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45"/>
        <w:ind w:left="590" w:right="543" w:firstLine="0"/>
        <w:jc w:val="center"/>
        <w:rPr>
          <w:sz w:val="32"/>
        </w:rPr>
      </w:pPr>
      <w:r>
        <w:rPr>
          <w:sz w:val="32"/>
        </w:rPr>
        <w:t>施工组织设计（专项施工方案）</w:t>
      </w:r>
      <w:r>
        <w:rPr>
          <w:spacing w:val="-4"/>
          <w:sz w:val="32"/>
        </w:rPr>
        <w:t>报审表</w:t>
      </w:r>
    </w:p>
    <w:p>
      <w:pPr>
        <w:pStyle w:val="BodyText"/>
        <w:spacing w:before="12"/>
        <w:ind w:left="0"/>
        <w:rPr>
          <w:sz w:val="34"/>
        </w:rPr>
      </w:pPr>
    </w:p>
    <w:p>
      <w:pPr>
        <w:pStyle w:val="BodyText"/>
        <w:spacing w:after="37"/>
        <w:ind w:left="381"/>
      </w:pPr>
      <w:r>
        <w:rPr>
          <w:spacing w:val="-4"/>
        </w:rPr>
        <w:t xml:space="preserve">工程名称：贵阳市清镇区朱雀大道南段 </w:t>
      </w:r>
      <w:r>
        <w:t>A</w:t>
      </w:r>
      <w:r>
        <w:rPr>
          <w:spacing w:val="-10"/>
        </w:rPr>
        <w:t xml:space="preserve"> 段道路工程</w:t>
      </w:r>
      <w:r>
        <w:t>(K0+762.337-</w:t>
      </w:r>
      <w:r>
        <w:rPr>
          <w:spacing w:val="-2"/>
        </w:rPr>
        <w:t>K2+415.743)</w:t>
      </w:r>
    </w:p>
    <w:tbl>
      <w:tblPr>
        <w:tblStyle w:val="TableNormal"/>
        <w:tblW w:w="0" w:type="auto"/>
        <w:jc w:val="left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80"/>
      </w:tblGrid>
      <w:tr>
        <w:tblPrEx>
          <w:tblW w:w="0" w:type="auto"/>
          <w:jc w:val="left"/>
          <w:tblInd w:w="4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27"/>
          <w:jc w:val="left"/>
        </w:trPr>
        <w:tc>
          <w:tcPr>
            <w:tcW w:w="9180" w:type="dxa"/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5"/>
              <w:jc w:val="both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致：</w:t>
            </w:r>
            <w:r>
              <w:rPr>
                <w:rFonts w:ascii="Times New Roman" w:eastAsia="Times New Roman"/>
                <w:spacing w:val="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江北建发工程管理有限公司贵州分公司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监理单位</w:t>
            </w:r>
            <w:r>
              <w:rPr>
                <w:rFonts w:ascii="Times New Roman" w:eastAsia="Times New Roman"/>
                <w:spacing w:val="-10"/>
                <w:sz w:val="24"/>
              </w:rPr>
              <w:t>)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spacing w:line="468" w:lineRule="auto"/>
              <w:ind w:left="5" w:right="-15" w:firstLine="480"/>
              <w:jc w:val="both"/>
              <w:rPr>
                <w:sz w:val="24"/>
              </w:rPr>
            </w:pPr>
            <w:r>
              <w:rPr>
                <w:sz w:val="24"/>
              </w:rPr>
              <w:t>我方已根据施工合同的有关规定完成了</w:t>
            </w:r>
            <w:r>
              <w:rPr>
                <w:rFonts w:ascii="Times New Roman" w:eastAsia="Times New Roman"/>
                <w:spacing w:val="6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 xml:space="preserve">贵阳市清镇区朱雀大道南段 </w:t>
            </w:r>
            <w:r>
              <w:rPr>
                <w:sz w:val="24"/>
                <w:u w:val="single"/>
              </w:rPr>
              <w:t>A</w:t>
            </w:r>
            <w:r>
              <w:rPr>
                <w:spacing w:val="-6"/>
                <w:sz w:val="24"/>
                <w:u w:val="single"/>
              </w:rPr>
              <w:t xml:space="preserve"> 段道路工程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(K0+762.337-K2+415.743)排水工程施工</w:t>
            </w:r>
            <w:r>
              <w:rPr>
                <w:sz w:val="24"/>
              </w:rPr>
              <w:t xml:space="preserve"> （专项）方案的编制，并经我单位上级技术负</w:t>
            </w:r>
            <w:r>
              <w:rPr>
                <w:spacing w:val="-2"/>
                <w:sz w:val="24"/>
              </w:rPr>
              <w:t>责人审查批准，请予以审查。</w:t>
            </w:r>
          </w:p>
          <w:p>
            <w:pPr>
              <w:pStyle w:val="TableParagraph"/>
              <w:spacing w:before="76"/>
              <w:ind w:right="6164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附件： □施工组织设计</w:t>
            </w:r>
          </w:p>
          <w:p>
            <w:pPr>
              <w:pStyle w:val="TableParagraph"/>
              <w:spacing w:before="4"/>
              <w:ind w:right="61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□专项施工方案</w:t>
            </w:r>
          </w:p>
          <w:p>
            <w:pPr>
              <w:pStyle w:val="TableParagraph"/>
              <w:spacing w:before="3"/>
              <w:ind w:left="1325"/>
              <w:rPr>
                <w:sz w:val="24"/>
              </w:rPr>
            </w:pPr>
            <w:r>
              <w:rPr>
                <w:spacing w:val="-2"/>
                <w:sz w:val="24"/>
              </w:rPr>
              <w:t>□施工方案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tabs>
                <w:tab w:val="left" w:pos="8872"/>
              </w:tabs>
              <w:spacing w:line="520" w:lineRule="atLeast"/>
              <w:ind w:left="5424" w:right="265" w:hanging="5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承</w:t>
            </w:r>
            <w:r>
              <w:rPr>
                <w:spacing w:val="-2"/>
                <w:sz w:val="24"/>
              </w:rPr>
              <w:t>包</w:t>
            </w:r>
            <w:r>
              <w:rPr>
                <w:spacing w:val="-2"/>
                <w:sz w:val="24"/>
              </w:rPr>
              <w:t>单</w:t>
            </w:r>
            <w:r>
              <w:rPr>
                <w:spacing w:val="-2"/>
                <w:sz w:val="24"/>
              </w:rPr>
              <w:t>位</w:t>
            </w:r>
            <w:r>
              <w:rPr>
                <w:spacing w:val="-2"/>
                <w:sz w:val="24"/>
              </w:rPr>
              <w:t>（</w:t>
            </w:r>
            <w:r>
              <w:rPr>
                <w:spacing w:val="-2"/>
                <w:sz w:val="24"/>
              </w:rPr>
              <w:t>章</w:t>
            </w:r>
            <w:r>
              <w:rPr>
                <w:spacing w:val="-2"/>
                <w:sz w:val="24"/>
              </w:rPr>
              <w:t>）：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rFonts w:ascii="Times New Roman" w:eastAsia="Times New Roman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项</w:t>
            </w:r>
            <w:r>
              <w:rPr>
                <w:spacing w:val="-4"/>
                <w:sz w:val="24"/>
              </w:rPr>
              <w:t>目</w:t>
            </w:r>
            <w:r>
              <w:rPr>
                <w:spacing w:val="-4"/>
                <w:sz w:val="24"/>
              </w:rPr>
              <w:t>经</w:t>
            </w:r>
            <w:r>
              <w:rPr>
                <w:spacing w:val="-4"/>
                <w:sz w:val="24"/>
              </w:rPr>
              <w:t>理</w:t>
            </w:r>
            <w:r>
              <w:rPr>
                <w:spacing w:val="-4"/>
                <w:sz w:val="24"/>
              </w:rPr>
              <w:t>：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rFonts w:ascii="Times New Roman" w:eastAsia="Times New Roman"/>
                <w:sz w:val="24"/>
              </w:rPr>
              <w:t xml:space="preserve"> </w:t>
            </w:r>
            <w:r>
              <w:rPr>
                <w:sz w:val="24"/>
              </w:rPr>
              <w:t>日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期：</w:t>
            </w:r>
            <w:r>
              <w:rPr>
                <w:rFonts w:ascii="Times New Roman" w:eastAsia="Times New Roman"/>
                <w:spacing w:val="60"/>
                <w:w w:val="150"/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ascii="Times New Roman" w:eastAsia="Times New Roman"/>
                <w:spacing w:val="70"/>
                <w:w w:val="150"/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ascii="Times New Roman" w:eastAsia="Times New Roman"/>
                <w:spacing w:val="70"/>
                <w:w w:val="150"/>
                <w:sz w:val="24"/>
                <w:u w:val="single"/>
              </w:rPr>
              <w:t xml:space="preserve">   </w:t>
            </w:r>
            <w:r>
              <w:rPr>
                <w:spacing w:val="-10"/>
                <w:sz w:val="24"/>
              </w:rPr>
              <w:t>日</w:t>
            </w:r>
          </w:p>
        </w:tc>
      </w:tr>
      <w:tr>
        <w:tblPrEx>
          <w:tblW w:w="0" w:type="auto"/>
          <w:jc w:val="left"/>
          <w:tblInd w:w="48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907"/>
          <w:jc w:val="left"/>
        </w:trPr>
        <w:tc>
          <w:tcPr>
            <w:tcW w:w="9180" w:type="dxa"/>
          </w:tcPr>
          <w:p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专业监理工程师审查意见：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tabs>
                <w:tab w:val="left" w:pos="6426"/>
                <w:tab w:val="left" w:pos="7386"/>
                <w:tab w:val="left" w:pos="8106"/>
                <w:tab w:val="left" w:pos="8826"/>
                <w:tab w:val="left" w:pos="8939"/>
              </w:tabs>
              <w:spacing w:line="520" w:lineRule="atLeast"/>
              <w:ind w:left="5707" w:right="102" w:hanging="662"/>
              <w:rPr>
                <w:sz w:val="24"/>
              </w:rPr>
            </w:pPr>
            <w:r>
              <w:rPr>
                <w:spacing w:val="-2"/>
                <w:sz w:val="24"/>
              </w:rPr>
              <w:t>专</w:t>
            </w:r>
            <w:r>
              <w:rPr>
                <w:spacing w:val="-2"/>
                <w:sz w:val="24"/>
              </w:rPr>
              <w:t>业</w:t>
            </w:r>
            <w:r>
              <w:rPr>
                <w:spacing w:val="-2"/>
                <w:sz w:val="24"/>
              </w:rPr>
              <w:t>监</w:t>
            </w:r>
            <w:r>
              <w:rPr>
                <w:spacing w:val="-2"/>
                <w:sz w:val="24"/>
              </w:rPr>
              <w:t>理</w:t>
            </w:r>
            <w:r>
              <w:rPr>
                <w:spacing w:val="-2"/>
                <w:sz w:val="24"/>
              </w:rPr>
              <w:t>工</w:t>
            </w:r>
            <w:r>
              <w:rPr>
                <w:spacing w:val="-2"/>
                <w:sz w:val="24"/>
              </w:rPr>
              <w:t>程</w:t>
            </w:r>
            <w:r>
              <w:rPr>
                <w:spacing w:val="-2"/>
                <w:sz w:val="24"/>
              </w:rPr>
              <w:t>师</w:t>
            </w:r>
            <w:r>
              <w:rPr>
                <w:spacing w:val="-2"/>
                <w:sz w:val="24"/>
              </w:rPr>
              <w:t>：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  <w:tab/>
              <w:tab/>
              <w:tab/>
            </w:r>
            <w:r>
              <w:rPr>
                <w:rFonts w:ascii="Times New Roman" w:eastAsia="Times New Roman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日</w:t>
            </w:r>
            <w:r>
              <w:rPr>
                <w:sz w:val="24"/>
              </w:rPr>
              <w:tab/>
              <w:t>期</w:t>
            </w:r>
            <w:r>
              <w:rPr>
                <w:spacing w:val="-10"/>
                <w:sz w:val="24"/>
              </w:rPr>
              <w:t>：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年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月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日</w:t>
            </w:r>
          </w:p>
        </w:tc>
      </w:tr>
      <w:tr>
        <w:tblPrEx>
          <w:tblW w:w="0" w:type="auto"/>
          <w:jc w:val="left"/>
          <w:tblInd w:w="48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6"/>
          <w:jc w:val="left"/>
        </w:trPr>
        <w:tc>
          <w:tcPr>
            <w:tcW w:w="9180" w:type="dxa"/>
          </w:tcPr>
          <w:p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总监理工程师审核意见：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tabs>
                <w:tab w:val="left" w:pos="6143"/>
                <w:tab w:val="left" w:pos="7223"/>
                <w:tab w:val="left" w:pos="7823"/>
                <w:tab w:val="left" w:pos="8543"/>
                <w:tab w:val="left" w:pos="8994"/>
              </w:tabs>
              <w:spacing w:before="1" w:line="520" w:lineRule="atLeast"/>
              <w:ind w:left="5424" w:right="102" w:hanging="3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项</w:t>
            </w:r>
            <w:r>
              <w:rPr>
                <w:spacing w:val="-2"/>
                <w:sz w:val="24"/>
              </w:rPr>
              <w:t>目</w:t>
            </w:r>
            <w:r>
              <w:rPr>
                <w:spacing w:val="-2"/>
                <w:sz w:val="24"/>
              </w:rPr>
              <w:t>监</w:t>
            </w:r>
            <w:r>
              <w:rPr>
                <w:spacing w:val="-2"/>
                <w:sz w:val="24"/>
              </w:rPr>
              <w:t>理</w:t>
            </w:r>
            <w:r>
              <w:rPr>
                <w:spacing w:val="-2"/>
                <w:sz w:val="24"/>
              </w:rPr>
              <w:t>机</w:t>
            </w:r>
            <w:r>
              <w:rPr>
                <w:spacing w:val="-2"/>
                <w:sz w:val="24"/>
              </w:rPr>
              <w:t>构</w:t>
            </w:r>
            <w:r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章</w:t>
            </w:r>
            <w:r>
              <w:rPr>
                <w:spacing w:val="-2"/>
                <w:sz w:val="24"/>
              </w:rPr>
              <w:t>):</w:t>
            </w:r>
            <w:r>
              <w:rPr>
                <w:sz w:val="24"/>
                <w:u w:val="single"/>
              </w:rPr>
              <w:tab/>
              <w:tab/>
              <w:tab/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总</w:t>
            </w:r>
            <w:r>
              <w:rPr>
                <w:spacing w:val="-2"/>
                <w:sz w:val="24"/>
              </w:rPr>
              <w:t>监</w:t>
            </w:r>
            <w:r>
              <w:rPr>
                <w:spacing w:val="-2"/>
                <w:sz w:val="24"/>
              </w:rPr>
              <w:t>理</w:t>
            </w:r>
            <w:r>
              <w:rPr>
                <w:spacing w:val="-2"/>
                <w:sz w:val="24"/>
              </w:rPr>
              <w:t>工</w:t>
            </w:r>
            <w:r>
              <w:rPr>
                <w:spacing w:val="-2"/>
                <w:sz w:val="24"/>
              </w:rPr>
              <w:t>程</w:t>
            </w:r>
            <w:r>
              <w:rPr>
                <w:spacing w:val="-2"/>
                <w:sz w:val="24"/>
              </w:rPr>
              <w:t>师</w:t>
            </w:r>
            <w:r>
              <w:rPr>
                <w:spacing w:val="-2"/>
                <w:sz w:val="24"/>
              </w:rPr>
              <w:t>:</w:t>
            </w:r>
            <w:r>
              <w:rPr>
                <w:sz w:val="24"/>
                <w:u w:val="single"/>
              </w:rPr>
              <w:tab/>
              <w:tab/>
              <w:tab/>
              <w:tab/>
            </w:r>
            <w:r>
              <w:rPr>
                <w:spacing w:val="-102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</w:rPr>
              <w:t xml:space="preserve"> 日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期</w:t>
            </w:r>
            <w:r>
              <w:rPr>
                <w:spacing w:val="-6"/>
                <w:sz w:val="24"/>
              </w:rPr>
              <w:t>：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年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月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日</w:t>
            </w:r>
          </w:p>
        </w:tc>
      </w:tr>
    </w:tbl>
    <w:p>
      <w:pPr>
        <w:pStyle w:val="BodyText"/>
        <w:spacing w:before="5"/>
        <w:ind w:left="381"/>
      </w:pPr>
      <w:r>
        <w:rPr>
          <w:spacing w:val="-1"/>
        </w:rPr>
        <w:t>本表一式三份，经项目监理机构审核后，建设单位、监理单位、承包单位各存一份。</w:t>
      </w:r>
    </w:p>
    <w:p>
      <w:pPr>
        <w:spacing w:after="0"/>
        <w:sectPr>
          <w:type w:val="continuous"/>
          <w:pgSz w:w="11910" w:h="16840"/>
          <w:pgMar w:top="1360" w:right="800" w:bottom="280" w:left="1320" w:header="708" w:footer="708"/>
          <w:cols w:space="708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18"/>
        </w:rPr>
      </w:pPr>
    </w:p>
    <w:p>
      <w:pPr>
        <w:spacing w:before="0" w:line="660" w:lineRule="exact"/>
        <w:ind w:left="0" w:right="519" w:firstLine="0"/>
        <w:jc w:val="center"/>
        <w:rPr>
          <w:rFonts w:ascii="Microsoft JhengHei" w:eastAsia="Microsoft JhengHei"/>
          <w:b/>
          <w:sz w:val="40"/>
        </w:rPr>
      </w:pPr>
      <w:r>
        <w:rPr>
          <w:rFonts w:ascii="Microsoft JhengHei" w:eastAsia="Microsoft JhengHei"/>
          <w:b/>
          <w:sz w:val="40"/>
        </w:rPr>
        <w:t xml:space="preserve">贵阳市清镇区朱雀大道南段 </w:t>
      </w:r>
      <w:r>
        <w:rPr>
          <w:rFonts w:ascii="Times New Roman" w:eastAsia="Times New Roman"/>
          <w:b/>
          <w:sz w:val="40"/>
        </w:rPr>
        <w:t>A</w:t>
      </w:r>
      <w:r>
        <w:rPr>
          <w:rFonts w:ascii="Times New Roman" w:eastAsia="Times New Roman"/>
          <w:b/>
          <w:spacing w:val="7"/>
          <w:sz w:val="40"/>
        </w:rPr>
        <w:t xml:space="preserve"> </w:t>
      </w:r>
      <w:r>
        <w:rPr>
          <w:rFonts w:ascii="Microsoft JhengHei" w:eastAsia="Microsoft JhengHei"/>
          <w:b/>
          <w:spacing w:val="-2"/>
          <w:sz w:val="40"/>
        </w:rPr>
        <w:t>段道路工程</w:t>
      </w:r>
    </w:p>
    <w:p>
      <w:pPr>
        <w:spacing w:before="23"/>
        <w:ind w:left="25" w:right="543" w:firstLine="0"/>
        <w:jc w:val="center"/>
        <w:rPr>
          <w:rFonts w:ascii="Times New Roman"/>
          <w:b/>
          <w:sz w:val="40"/>
        </w:rPr>
      </w:pPr>
      <w:r>
        <w:rPr>
          <w:rFonts w:ascii="Times New Roman"/>
          <w:b/>
          <w:sz w:val="40"/>
        </w:rPr>
        <w:t>(K0+762.337-</w:t>
      </w:r>
      <w:r>
        <w:rPr>
          <w:rFonts w:ascii="Times New Roman"/>
          <w:b/>
          <w:spacing w:val="-2"/>
          <w:sz w:val="40"/>
        </w:rPr>
        <w:t>K2+415.743)</w:t>
      </w:r>
    </w:p>
    <w:p>
      <w:pPr>
        <w:pStyle w:val="BodyText"/>
        <w:spacing w:before="8"/>
        <w:ind w:left="0"/>
        <w:rPr>
          <w:rFonts w:ascii="Times New Roman"/>
          <w:b/>
          <w:sz w:val="64"/>
        </w:rPr>
      </w:pPr>
    </w:p>
    <w:p>
      <w:pPr>
        <w:spacing w:before="0"/>
        <w:ind w:left="23" w:right="543" w:firstLine="0"/>
        <w:jc w:val="center"/>
        <w:rPr>
          <w:rFonts w:ascii="Microsoft JhengHei" w:eastAsia="Microsoft JhengHei"/>
          <w:b/>
          <w:sz w:val="72"/>
        </w:rPr>
      </w:pPr>
      <w:r>
        <w:rPr>
          <w:rFonts w:ascii="Microsoft JhengHei" w:eastAsia="Microsoft JhengHei"/>
          <w:b/>
          <w:spacing w:val="-2"/>
          <w:sz w:val="72"/>
        </w:rPr>
        <w:t>排水工程施工方案</w:t>
      </w:r>
    </w:p>
    <w:p>
      <w:pPr>
        <w:spacing w:after="0"/>
        <w:jc w:val="center"/>
        <w:rPr>
          <w:rFonts w:ascii="Microsoft JhengHei" w:eastAsia="Microsoft JhengHei"/>
          <w:sz w:val="72"/>
        </w:rPr>
        <w:sectPr>
          <w:footerReference w:type="default" r:id="rId4"/>
          <w:pgSz w:w="11910" w:h="16840"/>
          <w:pgMar w:top="1920" w:right="800" w:bottom="3500" w:left="1320" w:header="0" w:footer="3307"/>
          <w:pgNumType w:start="2"/>
          <w:cols w:space="708"/>
        </w:sectPr>
      </w:pPr>
    </w:p>
    <w:p>
      <w:pPr>
        <w:spacing w:before="0" w:line="574" w:lineRule="exact"/>
        <w:ind w:left="0" w:right="519" w:firstLine="0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/>
          <w:b/>
          <w:sz w:val="36"/>
        </w:rPr>
        <w:t xml:space="preserve">贵阳市清镇区朱雀大道南段 </w:t>
      </w:r>
      <w:r>
        <w:rPr>
          <w:rFonts w:ascii="Times New Roman" w:eastAsia="Times New Roman"/>
          <w:b/>
          <w:sz w:val="36"/>
        </w:rPr>
        <w:t>A</w:t>
      </w:r>
      <w:r>
        <w:rPr>
          <w:rFonts w:ascii="Times New Roman" w:eastAsia="Times New Roman"/>
          <w:b/>
          <w:spacing w:val="7"/>
          <w:sz w:val="36"/>
        </w:rPr>
        <w:t xml:space="preserve"> </w:t>
      </w:r>
      <w:r>
        <w:rPr>
          <w:rFonts w:ascii="Microsoft JhengHei" w:eastAsia="Microsoft JhengHei"/>
          <w:b/>
          <w:spacing w:val="-2"/>
          <w:sz w:val="36"/>
        </w:rPr>
        <w:t>段道路工程</w:t>
      </w:r>
    </w:p>
    <w:p>
      <w:pPr>
        <w:spacing w:before="80"/>
        <w:ind w:left="25" w:right="543" w:firstLine="0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t>(K0+762.337-</w:t>
      </w:r>
      <w:r>
        <w:rPr>
          <w:rFonts w:ascii="Times New Roman"/>
          <w:b/>
          <w:spacing w:val="-2"/>
          <w:sz w:val="36"/>
        </w:rPr>
        <w:t>K2+415.743)</w:t>
      </w:r>
    </w:p>
    <w:p>
      <w:pPr>
        <w:pStyle w:val="BodyText"/>
        <w:ind w:left="0"/>
        <w:rPr>
          <w:rFonts w:ascii="Times New Roman"/>
          <w:b/>
          <w:sz w:val="40"/>
        </w:rPr>
      </w:pPr>
    </w:p>
    <w:p>
      <w:pPr>
        <w:spacing w:before="293"/>
        <w:ind w:left="23" w:right="543" w:firstLine="0"/>
        <w:jc w:val="center"/>
        <w:rPr>
          <w:rFonts w:ascii="Microsoft JhengHei" w:eastAsia="Microsoft JhengHei"/>
          <w:b/>
          <w:sz w:val="72"/>
        </w:rPr>
      </w:pPr>
      <w:r>
        <w:rPr>
          <w:rFonts w:ascii="Microsoft JhengHei" w:eastAsia="Microsoft JhengHei"/>
          <w:b/>
          <w:spacing w:val="-2"/>
          <w:sz w:val="72"/>
        </w:rPr>
        <w:t>排水工程施工方案</w:t>
      </w:r>
    </w:p>
    <w:p>
      <w:pPr>
        <w:pStyle w:val="BodyText"/>
        <w:ind w:left="0"/>
        <w:rPr>
          <w:rFonts w:ascii="Microsoft JhengHei"/>
          <w:b/>
          <w:sz w:val="72"/>
        </w:rPr>
      </w:pPr>
    </w:p>
    <w:p>
      <w:pPr>
        <w:pStyle w:val="BodyText"/>
        <w:ind w:left="0"/>
        <w:rPr>
          <w:rFonts w:ascii="Microsoft JhengHei"/>
          <w:b/>
          <w:sz w:val="72"/>
        </w:rPr>
      </w:pPr>
    </w:p>
    <w:p>
      <w:pPr>
        <w:pStyle w:val="BodyText"/>
        <w:spacing w:before="11"/>
        <w:ind w:left="0"/>
        <w:rPr>
          <w:rFonts w:ascii="Microsoft JhengHei"/>
          <w:b/>
          <w:sz w:val="101"/>
        </w:rPr>
      </w:pPr>
    </w:p>
    <w:p>
      <w:pPr>
        <w:tabs>
          <w:tab w:val="left" w:pos="641"/>
          <w:tab w:val="left" w:pos="3778"/>
        </w:tabs>
        <w:spacing w:before="0"/>
        <w:ind w:left="0" w:right="463" w:firstLine="0"/>
        <w:jc w:val="center"/>
        <w:rPr>
          <w:rFonts w:ascii="Times New Roman" w:eastAsia="Times New Roman"/>
          <w:b/>
          <w:sz w:val="32"/>
        </w:rPr>
      </w:pPr>
      <w:r>
        <w:rPr>
          <w:rFonts w:ascii="Microsoft JhengHei" w:eastAsia="Microsoft JhengHei"/>
          <w:b/>
          <w:spacing w:val="-10"/>
          <w:sz w:val="32"/>
        </w:rPr>
        <w:t>编</w:t>
      </w:r>
      <w:r>
        <w:rPr>
          <w:rFonts w:ascii="Microsoft JhengHei" w:eastAsia="Microsoft JhengHei"/>
          <w:b/>
          <w:sz w:val="32"/>
        </w:rPr>
        <w:tab/>
        <w:t>制</w:t>
      </w:r>
      <w:r>
        <w:rPr>
          <w:rFonts w:ascii="Microsoft JhengHei" w:eastAsia="Microsoft JhengHei"/>
          <w:b/>
          <w:spacing w:val="-10"/>
          <w:sz w:val="32"/>
        </w:rPr>
        <w:t>：</w:t>
      </w:r>
      <w:r>
        <w:rPr>
          <w:rFonts w:ascii="Times New Roman" w:eastAsia="Times New Roman"/>
          <w:b/>
          <w:sz w:val="32"/>
          <w:u w:val="thick"/>
        </w:rPr>
        <w:tab/>
      </w: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tabs>
          <w:tab w:val="left" w:pos="641"/>
          <w:tab w:val="left" w:pos="3698"/>
        </w:tabs>
        <w:spacing w:before="101"/>
        <w:ind w:left="0" w:right="543" w:firstLine="0"/>
        <w:jc w:val="center"/>
        <w:rPr>
          <w:rFonts w:ascii="Times New Roman" w:eastAsia="Times New Roman"/>
          <w:b/>
          <w:sz w:val="32"/>
        </w:rPr>
      </w:pPr>
      <w:r>
        <w:rPr>
          <w:rFonts w:ascii="Microsoft JhengHei" w:eastAsia="Microsoft JhengHei"/>
          <w:b/>
          <w:spacing w:val="-10"/>
          <w:sz w:val="32"/>
        </w:rPr>
        <w:t>审</w:t>
      </w:r>
      <w:r>
        <w:rPr>
          <w:rFonts w:ascii="Microsoft JhengHei" w:eastAsia="Microsoft JhengHei"/>
          <w:b/>
          <w:sz w:val="32"/>
        </w:rPr>
        <w:tab/>
        <w:t>核</w:t>
      </w:r>
      <w:r>
        <w:rPr>
          <w:rFonts w:ascii="Microsoft JhengHei" w:eastAsia="Microsoft JhengHei"/>
          <w:b/>
          <w:spacing w:val="-10"/>
          <w:sz w:val="32"/>
        </w:rPr>
        <w:t>：</w:t>
      </w:r>
      <w:r>
        <w:rPr>
          <w:rFonts w:ascii="Times New Roman" w:eastAsia="Times New Roman"/>
          <w:b/>
          <w:sz w:val="32"/>
          <w:u w:val="thick"/>
        </w:rPr>
        <w:tab/>
      </w: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tabs>
          <w:tab w:val="left" w:pos="641"/>
          <w:tab w:val="left" w:pos="3778"/>
        </w:tabs>
        <w:spacing w:before="102"/>
        <w:ind w:left="0" w:right="463" w:firstLine="0"/>
        <w:jc w:val="center"/>
        <w:rPr>
          <w:rFonts w:ascii="Times New Roman" w:eastAsia="Times New Roman"/>
          <w:b/>
          <w:sz w:val="32"/>
        </w:rPr>
      </w:pPr>
      <w:r>
        <w:rPr>
          <w:rFonts w:ascii="Microsoft JhengHei" w:eastAsia="Microsoft JhengHei"/>
          <w:b/>
          <w:spacing w:val="-10"/>
          <w:sz w:val="32"/>
        </w:rPr>
        <w:t>审</w:t>
      </w:r>
      <w:r>
        <w:rPr>
          <w:rFonts w:ascii="Microsoft JhengHei" w:eastAsia="Microsoft JhengHei"/>
          <w:b/>
          <w:sz w:val="32"/>
        </w:rPr>
        <w:tab/>
        <w:t>批</w:t>
      </w:r>
      <w:r>
        <w:rPr>
          <w:rFonts w:ascii="Microsoft JhengHei" w:eastAsia="Microsoft JhengHei"/>
          <w:b/>
          <w:spacing w:val="-10"/>
          <w:sz w:val="32"/>
        </w:rPr>
        <w:t>：</w:t>
      </w:r>
      <w:r>
        <w:rPr>
          <w:rFonts w:ascii="Times New Roman" w:eastAsia="Times New Roman"/>
          <w:b/>
          <w:sz w:val="32"/>
          <w:u w:val="thick"/>
        </w:rPr>
        <w:tab/>
      </w:r>
    </w:p>
    <w:p>
      <w:pPr>
        <w:spacing w:after="0"/>
        <w:jc w:val="center"/>
        <w:rPr>
          <w:rFonts w:ascii="Times New Roman" w:eastAsia="Times New Roman"/>
          <w:sz w:val="32"/>
        </w:rPr>
        <w:sectPr>
          <w:footerReference w:type="default" r:id="rId5"/>
          <w:pgSz w:w="11910" w:h="16840"/>
          <w:pgMar w:top="1800" w:right="800" w:bottom="3500" w:left="1320" w:header="0" w:footer="3307"/>
          <w:pgNumType w:start="3"/>
          <w:cols w:space="708"/>
        </w:sectPr>
      </w:pPr>
    </w:p>
    <w:p>
      <w:pPr>
        <w:pStyle w:val="BodyText"/>
        <w:spacing w:before="8"/>
        <w:ind w:left="0"/>
        <w:rPr>
          <w:rFonts w:ascii="Times New Roman"/>
          <w:b/>
          <w:sz w:val="13"/>
        </w:rPr>
      </w:pPr>
    </w:p>
    <w:p>
      <w:pPr>
        <w:tabs>
          <w:tab w:val="left" w:pos="641"/>
        </w:tabs>
        <w:spacing w:before="0" w:line="538" w:lineRule="exact"/>
        <w:ind w:left="0" w:right="519" w:firstLine="0"/>
        <w:jc w:val="center"/>
        <w:rPr>
          <w:rFonts w:ascii="Microsoft JhengHei" w:eastAsia="Microsoft JhengHei"/>
          <w:b/>
          <w:sz w:val="32"/>
        </w:rPr>
      </w:pPr>
      <w:r>
        <w:rPr>
          <w:rFonts w:ascii="Microsoft JhengHei" w:eastAsia="Microsoft JhengHei"/>
          <w:b/>
          <w:spacing w:val="-10"/>
          <w:sz w:val="32"/>
        </w:rPr>
        <w:t>目</w:t>
      </w:r>
      <w:r>
        <w:rPr>
          <w:rFonts w:ascii="Microsoft JhengHei" w:eastAsia="Microsoft JhengHei"/>
          <w:b/>
          <w:sz w:val="32"/>
        </w:rPr>
        <w:tab/>
      </w:r>
      <w:r>
        <w:rPr>
          <w:rFonts w:ascii="Microsoft JhengHei" w:eastAsia="Microsoft JhengHei"/>
          <w:b/>
          <w:spacing w:val="-10"/>
          <w:sz w:val="32"/>
        </w:rPr>
        <w:t>录</w:t>
      </w:r>
    </w:p>
    <w:sdt>
      <w:sdtPr>
        <w:id w:val="480943547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9054"/>
            </w:tabs>
            <w:spacing w:before="464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anchor="_bookmark0" w:history="1">
            <w:r>
              <w:rPr>
                <w:spacing w:val="-6"/>
              </w:rPr>
              <w:t>1</w:t>
            </w:r>
            <w:r>
              <w:rPr>
                <w:spacing w:val="-6"/>
              </w:rPr>
              <w:t>、</w:t>
            </w:r>
            <w:r>
              <w:rPr>
                <w:spacing w:val="-6"/>
              </w:rPr>
              <w:t>编</w:t>
            </w:r>
            <w:r>
              <w:rPr>
                <w:spacing w:val="-6"/>
              </w:rPr>
              <w:t>制</w:t>
            </w:r>
            <w:r>
              <w:rPr>
                <w:spacing w:val="-6"/>
              </w:rPr>
              <w:t>依</w:t>
            </w:r>
            <w:r>
              <w:rPr>
                <w:spacing w:val="-10"/>
              </w:rPr>
              <w:t>据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rFonts w:ascii="Times New Roman" w:eastAsia="Times New Roman"/>
                <w:spacing w:val="-10"/>
              </w:rPr>
              <w:t>1</w:t>
            </w:r>
          </w:hyperlink>
        </w:p>
        <w:p>
          <w:pPr>
            <w:pStyle w:val="TOC1"/>
            <w:tabs>
              <w:tab w:val="right" w:leader="dot" w:pos="9054"/>
            </w:tabs>
            <w:rPr>
              <w:rFonts w:ascii="Times New Roman" w:eastAsia="Times New Roman"/>
            </w:rPr>
          </w:pPr>
          <w:hyperlink w:anchor="_bookmark1" w:history="1">
            <w:r>
              <w:rPr>
                <w:spacing w:val="-6"/>
              </w:rPr>
              <w:t>2</w:t>
            </w:r>
            <w:r>
              <w:rPr>
                <w:spacing w:val="-6"/>
              </w:rPr>
              <w:t>、</w:t>
            </w:r>
            <w:r>
              <w:rPr>
                <w:spacing w:val="-6"/>
              </w:rPr>
              <w:t>工</w:t>
            </w:r>
            <w:r>
              <w:rPr>
                <w:spacing w:val="-6"/>
              </w:rPr>
              <w:t>程</w:t>
            </w:r>
            <w:r>
              <w:rPr>
                <w:spacing w:val="-6"/>
              </w:rPr>
              <w:t>概</w:t>
            </w:r>
            <w:r>
              <w:rPr>
                <w:spacing w:val="-10"/>
              </w:rPr>
              <w:t>况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rFonts w:ascii="Times New Roman" w:eastAsia="Times New Roman"/>
                <w:spacing w:val="-10"/>
              </w:rPr>
              <w:t>1</w:t>
            </w:r>
          </w:hyperlink>
        </w:p>
        <w:p>
          <w:pPr>
            <w:pStyle w:val="TOC1"/>
            <w:tabs>
              <w:tab w:val="right" w:leader="dot" w:pos="9054"/>
            </w:tabs>
            <w:rPr>
              <w:rFonts w:ascii="Times New Roman" w:eastAsia="Times New Roman"/>
            </w:rPr>
          </w:pPr>
          <w:hyperlink w:anchor="_bookmark2" w:history="1">
            <w:r>
              <w:rPr>
                <w:spacing w:val="-4"/>
              </w:rPr>
              <w:t>3</w:t>
            </w:r>
            <w:r>
              <w:rPr>
                <w:spacing w:val="-4"/>
              </w:rPr>
              <w:t>、</w:t>
            </w:r>
            <w:r>
              <w:rPr>
                <w:spacing w:val="-4"/>
              </w:rPr>
              <w:t>施</w:t>
            </w:r>
            <w:r>
              <w:rPr>
                <w:spacing w:val="-4"/>
              </w:rPr>
              <w:t>工</w:t>
            </w:r>
            <w:r>
              <w:rPr>
                <w:spacing w:val="-4"/>
              </w:rPr>
              <w:t>工</w:t>
            </w:r>
            <w:r>
              <w:rPr>
                <w:spacing w:val="-4"/>
              </w:rPr>
              <w:t>艺</w:t>
            </w:r>
            <w:r>
              <w:rPr>
                <w:spacing w:val="-4"/>
              </w:rPr>
              <w:t>流</w:t>
            </w:r>
            <w:r>
              <w:rPr>
                <w:spacing w:val="-4"/>
              </w:rPr>
              <w:t>程</w:t>
            </w:r>
            <w:r>
              <w:rPr>
                <w:spacing w:val="-10"/>
              </w:rPr>
              <w:t>图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right" w:leader="dot" w:pos="9054"/>
            </w:tabs>
            <w:rPr>
              <w:rFonts w:ascii="Times New Roman" w:eastAsia="Times New Roman"/>
            </w:rPr>
          </w:pPr>
          <w:hyperlink w:anchor="_bookmark3" w:history="1">
            <w:r>
              <w:rPr>
                <w:spacing w:val="-6"/>
              </w:rPr>
              <w:t>4</w:t>
            </w:r>
            <w:r>
              <w:rPr>
                <w:spacing w:val="-6"/>
              </w:rPr>
              <w:t>、</w:t>
            </w:r>
            <w:r>
              <w:rPr>
                <w:spacing w:val="-6"/>
              </w:rPr>
              <w:t>施</w:t>
            </w:r>
            <w:r>
              <w:rPr>
                <w:spacing w:val="-6"/>
              </w:rPr>
              <w:t>工</w:t>
            </w:r>
            <w:r>
              <w:rPr>
                <w:spacing w:val="-6"/>
              </w:rPr>
              <w:t>准</w:t>
            </w:r>
            <w:r>
              <w:rPr>
                <w:spacing w:val="-10"/>
              </w:rPr>
              <w:t>备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right" w:leader="dot" w:pos="9054"/>
            </w:tabs>
            <w:spacing w:before="113"/>
            <w:rPr>
              <w:rFonts w:ascii="Times New Roman" w:eastAsia="Times New Roman"/>
            </w:rPr>
          </w:pPr>
          <w:hyperlink w:anchor="_TOC_250016" w:history="1">
            <w:r>
              <w:rPr>
                <w:spacing w:val="-4"/>
              </w:rPr>
              <w:t>5</w:t>
            </w:r>
            <w:r>
              <w:rPr>
                <w:spacing w:val="-4"/>
              </w:rPr>
              <w:t>、</w:t>
            </w:r>
            <w:r>
              <w:rPr>
                <w:spacing w:val="-4"/>
              </w:rPr>
              <w:t>总</w:t>
            </w:r>
            <w:r>
              <w:rPr>
                <w:spacing w:val="-4"/>
              </w:rPr>
              <w:t>体</w:t>
            </w:r>
            <w:r>
              <w:rPr>
                <w:spacing w:val="-4"/>
              </w:rPr>
              <w:t>施</w:t>
            </w:r>
            <w:r>
              <w:rPr>
                <w:spacing w:val="-4"/>
              </w:rPr>
              <w:t>工</w:t>
            </w:r>
            <w:r>
              <w:rPr>
                <w:spacing w:val="-4"/>
              </w:rPr>
              <w:t>部</w:t>
            </w:r>
            <w:r>
              <w:rPr>
                <w:spacing w:val="-10"/>
              </w:rPr>
              <w:t>署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2"/>
            <w:numPr>
              <w:ilvl w:val="1"/>
              <w:numId w:val="25"/>
            </w:numPr>
            <w:tabs>
              <w:tab w:val="left" w:pos="947"/>
              <w:tab w:val="right" w:leader="dot" w:pos="9054"/>
            </w:tabs>
            <w:spacing w:before="184" w:after="0" w:line="240" w:lineRule="auto"/>
            <w:ind w:left="947" w:right="0" w:hanging="316"/>
            <w:jc w:val="left"/>
            <w:rPr>
              <w:rFonts w:ascii="Times New Roman" w:eastAsia="Times New Roman"/>
            </w:rPr>
          </w:pPr>
          <w:hyperlink w:anchor="_TOC_250015" w:history="1">
            <w:r>
              <w:t>、施工组</w:t>
            </w:r>
            <w:r>
              <w:rPr>
                <w:spacing w:val="-10"/>
              </w:rPr>
              <w:t>织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2"/>
            <w:numPr>
              <w:ilvl w:val="1"/>
              <w:numId w:val="25"/>
            </w:numPr>
            <w:tabs>
              <w:tab w:val="left" w:pos="947"/>
              <w:tab w:val="right" w:leader="dot" w:pos="9054"/>
            </w:tabs>
            <w:spacing w:before="231" w:after="0" w:line="240" w:lineRule="auto"/>
            <w:ind w:left="947" w:right="0" w:hanging="316"/>
            <w:jc w:val="left"/>
            <w:rPr>
              <w:rFonts w:ascii="Times New Roman" w:eastAsia="Times New Roman"/>
            </w:rPr>
          </w:pPr>
          <w:hyperlink w:anchor="_TOC_250014" w:history="1">
            <w:r>
              <w:t>、主要劳动</w:t>
            </w:r>
            <w:r>
              <w:rPr>
                <w:spacing w:val="-10"/>
              </w:rPr>
              <w:t>力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2"/>
            <w:numPr>
              <w:ilvl w:val="1"/>
              <w:numId w:val="25"/>
            </w:numPr>
            <w:tabs>
              <w:tab w:val="left" w:pos="947"/>
              <w:tab w:val="right" w:leader="dot" w:pos="9054"/>
            </w:tabs>
            <w:spacing w:before="230" w:after="0" w:line="240" w:lineRule="auto"/>
            <w:ind w:left="947" w:right="0" w:hanging="316"/>
            <w:jc w:val="left"/>
            <w:rPr>
              <w:rFonts w:ascii="Times New Roman" w:eastAsia="Times New Roman"/>
            </w:rPr>
          </w:pPr>
          <w:hyperlink w:anchor="_TOC_250013" w:history="1">
            <w:r>
              <w:t>、施工机械设备、工具安</w:t>
            </w:r>
            <w:r>
              <w:rPr>
                <w:spacing w:val="-10"/>
              </w:rPr>
              <w:t>排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2"/>
            <w:numPr>
              <w:ilvl w:val="1"/>
              <w:numId w:val="25"/>
            </w:numPr>
            <w:tabs>
              <w:tab w:val="left" w:pos="947"/>
              <w:tab w:val="right" w:leader="dot" w:pos="9054"/>
            </w:tabs>
            <w:spacing w:before="231" w:after="0" w:line="240" w:lineRule="auto"/>
            <w:ind w:left="947" w:right="0" w:hanging="316"/>
            <w:jc w:val="left"/>
            <w:rPr>
              <w:rFonts w:ascii="Times New Roman" w:eastAsia="Times New Roman"/>
            </w:rPr>
          </w:pPr>
          <w:hyperlink w:anchor="_TOC_250012" w:history="1">
            <w:r>
              <w:t>、工期安</w:t>
            </w:r>
            <w:r>
              <w:rPr>
                <w:spacing w:val="-10"/>
              </w:rPr>
              <w:t>排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right" w:leader="dot" w:pos="9054"/>
            </w:tabs>
            <w:spacing w:before="162"/>
            <w:rPr>
              <w:rFonts w:ascii="Times New Roman" w:eastAsia="Times New Roman"/>
            </w:rPr>
          </w:pPr>
          <w:hyperlink w:anchor="_TOC_250011" w:history="1">
            <w:r>
              <w:rPr>
                <w:spacing w:val="-4"/>
              </w:rPr>
              <w:t>6</w:t>
            </w:r>
            <w:r>
              <w:rPr>
                <w:spacing w:val="-4"/>
              </w:rPr>
              <w:t>、</w:t>
            </w:r>
            <w:r>
              <w:rPr>
                <w:spacing w:val="-4"/>
              </w:rPr>
              <w:t>主</w:t>
            </w:r>
            <w:r>
              <w:rPr>
                <w:spacing w:val="-4"/>
              </w:rPr>
              <w:t>要</w:t>
            </w:r>
            <w:r>
              <w:rPr>
                <w:spacing w:val="-4"/>
              </w:rPr>
              <w:t>施</w:t>
            </w:r>
            <w:r>
              <w:rPr>
                <w:spacing w:val="-4"/>
              </w:rPr>
              <w:t>工</w:t>
            </w:r>
            <w:r>
              <w:rPr>
                <w:spacing w:val="-4"/>
              </w:rPr>
              <w:t>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3"/>
            </w:numPr>
            <w:tabs>
              <w:tab w:val="left" w:pos="947"/>
              <w:tab w:val="right" w:leader="dot" w:pos="9054"/>
            </w:tabs>
            <w:spacing w:before="183" w:after="0" w:line="240" w:lineRule="auto"/>
            <w:ind w:left="947" w:right="0" w:hanging="316"/>
            <w:jc w:val="left"/>
            <w:rPr>
              <w:rFonts w:ascii="Times New Roman" w:eastAsia="Times New Roman"/>
            </w:rPr>
          </w:pPr>
          <w:hyperlink w:anchor="_TOC_250010" w:history="1">
            <w:r>
              <w:t>、测量放</w:t>
            </w:r>
            <w:r>
              <w:rPr>
                <w:spacing w:val="-10"/>
              </w:rPr>
              <w:t>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3"/>
            </w:numPr>
            <w:tabs>
              <w:tab w:val="left" w:pos="947"/>
              <w:tab w:val="right" w:leader="dot" w:pos="9054"/>
            </w:tabs>
            <w:spacing w:before="231" w:after="0" w:line="240" w:lineRule="auto"/>
            <w:ind w:left="947" w:right="0" w:hanging="316"/>
            <w:jc w:val="left"/>
            <w:rPr>
              <w:rFonts w:ascii="Times New Roman" w:eastAsia="Times New Roman"/>
            </w:rPr>
          </w:pPr>
          <w:hyperlink w:anchor="_TOC_250009" w:history="1">
            <w:r>
              <w:t>、施工排</w:t>
            </w:r>
            <w:r>
              <w:rPr>
                <w:spacing w:val="-10"/>
              </w:rPr>
              <w:t>水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3"/>
            </w:numPr>
            <w:tabs>
              <w:tab w:val="left" w:pos="947"/>
              <w:tab w:val="right" w:leader="dot" w:pos="9054"/>
            </w:tabs>
            <w:spacing w:before="231" w:after="0" w:line="240" w:lineRule="auto"/>
            <w:ind w:left="947" w:right="0" w:hanging="316"/>
            <w:jc w:val="left"/>
            <w:rPr>
              <w:rFonts w:ascii="Times New Roman" w:eastAsia="Times New Roman"/>
            </w:rPr>
          </w:pPr>
          <w:hyperlink w:anchor="_TOC_250008" w:history="1">
            <w:r>
              <w:t>、沟槽开</w:t>
            </w:r>
            <w:r>
              <w:rPr>
                <w:spacing w:val="-10"/>
              </w:rPr>
              <w:t>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2"/>
            <w:numPr>
              <w:ilvl w:val="1"/>
              <w:numId w:val="23"/>
            </w:numPr>
            <w:tabs>
              <w:tab w:val="left" w:pos="947"/>
              <w:tab w:val="right" w:leader="dot" w:pos="9054"/>
            </w:tabs>
            <w:spacing w:before="231" w:after="0" w:line="240" w:lineRule="auto"/>
            <w:ind w:left="947" w:right="0" w:hanging="316"/>
            <w:jc w:val="left"/>
            <w:rPr>
              <w:rFonts w:ascii="Times New Roman" w:eastAsia="Times New Roman"/>
            </w:rPr>
          </w:pPr>
          <w:hyperlink w:anchor="_TOC_250007" w:history="1">
            <w:r>
              <w:t>、管道基</w:t>
            </w:r>
            <w:r>
              <w:rPr>
                <w:spacing w:val="-10"/>
              </w:rPr>
              <w:t>础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2"/>
            <w:numPr>
              <w:ilvl w:val="1"/>
              <w:numId w:val="23"/>
            </w:numPr>
            <w:tabs>
              <w:tab w:val="left" w:pos="947"/>
              <w:tab w:val="right" w:leader="dot" w:pos="9054"/>
            </w:tabs>
            <w:spacing w:before="231" w:after="0" w:line="240" w:lineRule="auto"/>
            <w:ind w:left="947" w:right="0" w:hanging="316"/>
            <w:jc w:val="left"/>
            <w:rPr>
              <w:rFonts w:ascii="Times New Roman" w:eastAsia="Times New Roman"/>
            </w:rPr>
          </w:pPr>
          <w:hyperlink w:anchor="_TOC_250006" w:history="1">
            <w:r>
              <w:t>、管道安装与连</w:t>
            </w:r>
            <w:r>
              <w:rPr>
                <w:spacing w:val="-10"/>
              </w:rPr>
              <w:t>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2"/>
            <w:numPr>
              <w:ilvl w:val="1"/>
              <w:numId w:val="23"/>
            </w:numPr>
            <w:tabs>
              <w:tab w:val="left" w:pos="947"/>
              <w:tab w:val="right" w:leader="dot" w:pos="9054"/>
            </w:tabs>
            <w:spacing w:before="231" w:after="0" w:line="240" w:lineRule="auto"/>
            <w:ind w:left="947" w:right="0" w:hanging="316"/>
            <w:jc w:val="left"/>
            <w:rPr>
              <w:rFonts w:ascii="Times New Roman" w:eastAsia="Times New Roman"/>
            </w:rPr>
          </w:pPr>
          <w:hyperlink w:anchor="_TOC_250005" w:history="1">
            <w:r>
              <w:t>、闭水试</w:t>
            </w:r>
            <w:r>
              <w:rPr>
                <w:spacing w:val="-10"/>
              </w:rPr>
              <w:t>验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2"/>
            <w:numPr>
              <w:ilvl w:val="1"/>
              <w:numId w:val="23"/>
            </w:numPr>
            <w:tabs>
              <w:tab w:val="left" w:pos="947"/>
              <w:tab w:val="right" w:leader="dot" w:pos="9054"/>
            </w:tabs>
            <w:spacing w:before="231" w:after="0" w:line="240" w:lineRule="auto"/>
            <w:ind w:left="947" w:right="0" w:hanging="316"/>
            <w:jc w:val="left"/>
            <w:rPr>
              <w:rFonts w:ascii="Times New Roman" w:eastAsia="Times New Roman"/>
            </w:rPr>
          </w:pPr>
          <w:hyperlink w:anchor="_TOC_250004" w:history="1">
            <w:r>
              <w:t>、管道回</w:t>
            </w:r>
            <w:r>
              <w:rPr>
                <w:spacing w:val="-10"/>
              </w:rPr>
              <w:t>填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right" w:leader="dot" w:pos="9054"/>
            </w:tabs>
            <w:spacing w:before="161"/>
            <w:rPr>
              <w:rFonts w:ascii="Times New Roman" w:eastAsia="Times New Roman"/>
            </w:rPr>
          </w:pPr>
          <w:hyperlink w:anchor="_TOC_250003" w:history="1">
            <w:r>
              <w:rPr>
                <w:spacing w:val="-4"/>
              </w:rPr>
              <w:t>7</w:t>
            </w:r>
            <w:r>
              <w:rPr>
                <w:spacing w:val="-4"/>
              </w:rPr>
              <w:t>、</w:t>
            </w:r>
            <w:r>
              <w:rPr>
                <w:spacing w:val="-4"/>
              </w:rPr>
              <w:t>文</w:t>
            </w:r>
            <w:r>
              <w:rPr>
                <w:spacing w:val="-4"/>
              </w:rPr>
              <w:t>明</w:t>
            </w:r>
            <w:r>
              <w:rPr>
                <w:spacing w:val="-4"/>
              </w:rPr>
              <w:t>施</w:t>
            </w:r>
            <w:r>
              <w:rPr>
                <w:spacing w:val="-4"/>
              </w:rPr>
              <w:t>工</w:t>
            </w:r>
            <w:r>
              <w:rPr>
                <w:spacing w:val="-4"/>
              </w:rPr>
              <w:t>、</w:t>
            </w:r>
            <w:r>
              <w:rPr>
                <w:spacing w:val="-4"/>
              </w:rPr>
              <w:t>环</w:t>
            </w:r>
            <w:r>
              <w:rPr>
                <w:spacing w:val="-4"/>
              </w:rPr>
              <w:t>保</w:t>
            </w:r>
            <w:r>
              <w:rPr>
                <w:spacing w:val="-4"/>
              </w:rPr>
              <w:t>措</w:t>
            </w:r>
            <w:r>
              <w:rPr>
                <w:spacing w:val="-10"/>
              </w:rPr>
              <w:t>施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rFonts w:ascii="Times New Roman" w:eastAsia="Times New Roman"/>
                <w:spacing w:val="-5"/>
              </w:rPr>
              <w:t>10</w:t>
            </w:r>
          </w:hyperlink>
        </w:p>
        <w:p>
          <w:pPr>
            <w:pStyle w:val="TOC1"/>
            <w:tabs>
              <w:tab w:val="right" w:leader="dot" w:pos="9054"/>
            </w:tabs>
            <w:rPr>
              <w:rFonts w:ascii="Times New Roman" w:eastAsia="Times New Roman"/>
            </w:rPr>
          </w:pPr>
          <w:hyperlink w:anchor="_TOC_250002" w:history="1">
            <w:r>
              <w:rPr>
                <w:spacing w:val="-2"/>
              </w:rPr>
              <w:t>8</w:t>
            </w:r>
            <w:r>
              <w:rPr>
                <w:spacing w:val="-2"/>
              </w:rPr>
              <w:t>、</w:t>
            </w:r>
            <w:r>
              <w:rPr>
                <w:spacing w:val="-2"/>
              </w:rPr>
              <w:t>基</w:t>
            </w:r>
            <w:r>
              <w:rPr>
                <w:spacing w:val="-2"/>
              </w:rPr>
              <w:t>坑</w:t>
            </w:r>
            <w:r>
              <w:rPr>
                <w:spacing w:val="-2"/>
              </w:rPr>
              <w:t>施</w:t>
            </w:r>
            <w:r>
              <w:rPr>
                <w:spacing w:val="-2"/>
              </w:rPr>
              <w:t>工</w:t>
            </w:r>
            <w:r>
              <w:rPr>
                <w:spacing w:val="-2"/>
              </w:rPr>
              <w:t>安</w:t>
            </w:r>
            <w:r>
              <w:rPr>
                <w:spacing w:val="-2"/>
              </w:rPr>
              <w:t>全</w:t>
            </w:r>
            <w:r>
              <w:rPr>
                <w:spacing w:val="-2"/>
              </w:rPr>
              <w:t>技</w:t>
            </w:r>
            <w:r>
              <w:rPr>
                <w:spacing w:val="-2"/>
              </w:rPr>
              <w:t>术</w:t>
            </w:r>
            <w:r>
              <w:rPr>
                <w:spacing w:val="-2"/>
              </w:rPr>
              <w:t>措</w:t>
            </w:r>
            <w:r>
              <w:rPr>
                <w:spacing w:val="-10"/>
              </w:rPr>
              <w:t>施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rFonts w:ascii="Times New Roman" w:eastAsia="Times New Roman"/>
                <w:spacing w:val="-5"/>
              </w:rPr>
              <w:t>13</w:t>
            </w:r>
          </w:hyperlink>
        </w:p>
        <w:p>
          <w:pPr>
            <w:pStyle w:val="TOC1"/>
            <w:tabs>
              <w:tab w:val="right" w:leader="dot" w:pos="9054"/>
            </w:tabs>
            <w:rPr>
              <w:rFonts w:ascii="Times New Roman" w:eastAsia="Times New Roman"/>
            </w:rPr>
          </w:pPr>
          <w:hyperlink w:anchor="_TOC_250001" w:history="1">
            <w:r>
              <w:rPr>
                <w:spacing w:val="-4"/>
              </w:rPr>
              <w:t>9</w:t>
            </w:r>
            <w:r>
              <w:rPr>
                <w:spacing w:val="-4"/>
              </w:rPr>
              <w:t>、</w:t>
            </w:r>
            <w:r>
              <w:rPr>
                <w:spacing w:val="-4"/>
              </w:rPr>
              <w:t>管</w:t>
            </w:r>
            <w:r>
              <w:rPr>
                <w:spacing w:val="-4"/>
              </w:rPr>
              <w:t>线</w:t>
            </w:r>
            <w:r>
              <w:rPr>
                <w:spacing w:val="-4"/>
              </w:rPr>
              <w:t>保</w:t>
            </w:r>
            <w:r>
              <w:rPr>
                <w:spacing w:val="-4"/>
              </w:rPr>
              <w:t>护</w:t>
            </w:r>
            <w:r>
              <w:rPr>
                <w:spacing w:val="-4"/>
              </w:rPr>
              <w:t>措</w:t>
            </w:r>
            <w:r>
              <w:rPr>
                <w:spacing w:val="-10"/>
              </w:rPr>
              <w:t>施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right" w:leader="dot" w:pos="9054"/>
            </w:tabs>
            <w:rPr>
              <w:rFonts w:ascii="Times New Roman" w:eastAsia="Times New Roman"/>
            </w:rPr>
          </w:pPr>
          <w:hyperlink w:anchor="_TOC_250000" w:history="1">
            <w:r>
              <w:rPr>
                <w:spacing w:val="-6"/>
              </w:rPr>
              <w:t>10</w:t>
            </w:r>
            <w:r>
              <w:rPr>
                <w:spacing w:val="-6"/>
              </w:rPr>
              <w:t>、</w:t>
            </w:r>
            <w:r>
              <w:rPr>
                <w:spacing w:val="-6"/>
              </w:rPr>
              <w:t>应</w:t>
            </w:r>
            <w:r>
              <w:rPr>
                <w:spacing w:val="-6"/>
              </w:rPr>
              <w:t>急</w:t>
            </w:r>
            <w:r>
              <w:rPr>
                <w:spacing w:val="-6"/>
              </w:rPr>
              <w:t>救</w:t>
            </w:r>
            <w:r>
              <w:rPr>
                <w:spacing w:val="-6"/>
              </w:rPr>
              <w:t>援</w:t>
            </w:r>
            <w:r>
              <w:rPr>
                <w:spacing w:val="-6"/>
              </w:rPr>
              <w:t>预</w:t>
            </w:r>
            <w:r>
              <w:rPr>
                <w:spacing w:val="-10"/>
              </w:rPr>
              <w:t>案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6"/>
          <w:pgSz w:w="11910" w:h="16840"/>
          <w:pgMar w:top="1920" w:right="800" w:bottom="280" w:left="1320" w:header="0" w:footer="0"/>
          <w:pgNumType w:start="4"/>
          <w:cols w:space="708"/>
        </w:sectPr>
      </w:pPr>
    </w:p>
    <w:p>
      <w:pPr>
        <w:spacing w:before="0" w:line="559" w:lineRule="exact"/>
        <w:ind w:left="0" w:right="519" w:firstLine="0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/>
          <w:b/>
          <w:spacing w:val="-4"/>
          <w:sz w:val="36"/>
        </w:rPr>
        <w:t xml:space="preserve">贵阳市清镇区朱雀大道南段 </w:t>
      </w:r>
      <w:r>
        <w:rPr>
          <w:rFonts w:ascii="Microsoft JhengHei" w:eastAsia="Microsoft JhengHei"/>
          <w:b/>
          <w:spacing w:val="-2"/>
          <w:sz w:val="36"/>
        </w:rPr>
        <w:t>A</w:t>
      </w:r>
      <w:r>
        <w:rPr>
          <w:rFonts w:ascii="Microsoft JhengHei" w:eastAsia="Microsoft JhengHei"/>
          <w:b/>
          <w:spacing w:val="-7"/>
          <w:sz w:val="36"/>
        </w:rPr>
        <w:t xml:space="preserve"> 段道路工程</w:t>
      </w:r>
    </w:p>
    <w:p>
      <w:pPr>
        <w:spacing w:before="0" w:line="643" w:lineRule="exact"/>
        <w:ind w:left="0" w:right="519" w:firstLine="0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/>
          <w:b/>
          <w:sz w:val="32"/>
        </w:rPr>
        <w:t>（</w:t>
      </w:r>
      <w:r>
        <w:rPr>
          <w:rFonts w:ascii="Microsoft JhengHei" w:eastAsia="Microsoft JhengHei"/>
          <w:b/>
          <w:w w:val="76"/>
          <w:sz w:val="32"/>
        </w:rPr>
        <w:t>K</w:t>
      </w:r>
      <w:r>
        <w:rPr>
          <w:rFonts w:ascii="Microsoft JhengHei" w:eastAsia="Microsoft JhengHei"/>
          <w:b/>
          <w:w w:val="83"/>
          <w:sz w:val="32"/>
        </w:rPr>
        <w:t>0</w:t>
      </w:r>
      <w:r>
        <w:rPr>
          <w:rFonts w:ascii="Microsoft JhengHei" w:eastAsia="Microsoft JhengHei"/>
          <w:b/>
          <w:w w:val="66"/>
          <w:sz w:val="32"/>
        </w:rPr>
        <w:t>+</w:t>
      </w:r>
      <w:r>
        <w:rPr>
          <w:rFonts w:ascii="Microsoft JhengHei" w:eastAsia="Microsoft JhengHei"/>
          <w:b/>
          <w:w w:val="83"/>
          <w:sz w:val="32"/>
        </w:rPr>
        <w:t>762</w:t>
      </w:r>
      <w:r>
        <w:rPr>
          <w:rFonts w:ascii="Microsoft JhengHei" w:eastAsia="Microsoft JhengHei"/>
          <w:b/>
          <w:w w:val="196"/>
          <w:sz w:val="32"/>
        </w:rPr>
        <w:t>.</w:t>
      </w:r>
      <w:r>
        <w:rPr>
          <w:rFonts w:ascii="Microsoft JhengHei" w:eastAsia="Microsoft JhengHei"/>
          <w:b/>
          <w:w w:val="83"/>
          <w:sz w:val="32"/>
        </w:rPr>
        <w:t>337</w:t>
      </w:r>
      <w:r>
        <w:rPr>
          <w:rFonts w:ascii="Microsoft JhengHei" w:eastAsia="Microsoft JhengHei"/>
          <w:b/>
          <w:w w:val="115"/>
          <w:sz w:val="32"/>
        </w:rPr>
        <w:t>-</w:t>
      </w:r>
      <w:r>
        <w:rPr>
          <w:rFonts w:ascii="Microsoft JhengHei" w:eastAsia="Microsoft JhengHei"/>
          <w:b/>
          <w:w w:val="78"/>
          <w:sz w:val="32"/>
        </w:rPr>
        <w:t>K</w:t>
      </w:r>
      <w:r>
        <w:rPr>
          <w:rFonts w:ascii="Microsoft JhengHei" w:eastAsia="Microsoft JhengHei"/>
          <w:b/>
          <w:w w:val="85"/>
          <w:sz w:val="32"/>
        </w:rPr>
        <w:t>2</w:t>
      </w:r>
      <w:r>
        <w:rPr>
          <w:rFonts w:ascii="Microsoft JhengHei" w:eastAsia="Microsoft JhengHei"/>
          <w:b/>
          <w:w w:val="68"/>
          <w:sz w:val="32"/>
        </w:rPr>
        <w:t>+</w:t>
      </w:r>
      <w:r>
        <w:rPr>
          <w:rFonts w:ascii="Microsoft JhengHei" w:eastAsia="Microsoft JhengHei"/>
          <w:b/>
          <w:w w:val="85"/>
          <w:sz w:val="32"/>
        </w:rPr>
        <w:t>415</w:t>
      </w:r>
      <w:r>
        <w:rPr>
          <w:rFonts w:ascii="Microsoft JhengHei" w:eastAsia="Microsoft JhengHei"/>
          <w:b/>
          <w:w w:val="198"/>
          <w:sz w:val="32"/>
        </w:rPr>
        <w:t>.</w:t>
      </w:r>
      <w:r>
        <w:rPr>
          <w:rFonts w:ascii="Microsoft JhengHei" w:eastAsia="Microsoft JhengHei"/>
          <w:b/>
          <w:w w:val="85"/>
          <w:sz w:val="32"/>
        </w:rPr>
        <w:t>743</w:t>
      </w:r>
      <w:r>
        <w:rPr>
          <w:rFonts w:ascii="Microsoft JhengHei" w:eastAsia="Microsoft JhengHei"/>
          <w:b/>
          <w:w w:val="102"/>
          <w:sz w:val="32"/>
        </w:rPr>
        <w:t>）</w:t>
      </w:r>
      <w:r>
        <w:rPr>
          <w:rFonts w:ascii="Microsoft JhengHei" w:eastAsia="Microsoft JhengHei"/>
          <w:b/>
          <w:w w:val="95"/>
          <w:sz w:val="36"/>
        </w:rPr>
        <w:t>排</w:t>
      </w:r>
      <w:r>
        <w:rPr>
          <w:rFonts w:ascii="Microsoft JhengHei" w:eastAsia="Microsoft JhengHei"/>
          <w:b/>
          <w:w w:val="95"/>
          <w:sz w:val="36"/>
        </w:rPr>
        <w:t>水</w:t>
      </w:r>
      <w:r>
        <w:rPr>
          <w:rFonts w:ascii="Microsoft JhengHei" w:eastAsia="Microsoft JhengHei"/>
          <w:b/>
          <w:w w:val="95"/>
          <w:sz w:val="36"/>
        </w:rPr>
        <w:t>施</w:t>
      </w:r>
      <w:r>
        <w:rPr>
          <w:rFonts w:ascii="Microsoft JhengHei" w:eastAsia="Microsoft JhengHei"/>
          <w:b/>
          <w:w w:val="95"/>
          <w:sz w:val="36"/>
        </w:rPr>
        <w:t>工</w:t>
      </w:r>
      <w:r>
        <w:rPr>
          <w:rFonts w:ascii="Microsoft JhengHei" w:eastAsia="Microsoft JhengHei"/>
          <w:b/>
          <w:w w:val="95"/>
          <w:sz w:val="36"/>
        </w:rPr>
        <w:t>方</w:t>
      </w:r>
      <w:r>
        <w:rPr>
          <w:rFonts w:ascii="Microsoft JhengHei" w:eastAsia="Microsoft JhengHei"/>
          <w:b/>
          <w:spacing w:val="-10"/>
          <w:w w:val="95"/>
          <w:sz w:val="36"/>
        </w:rPr>
        <w:t>案</w:t>
      </w:r>
    </w:p>
    <w:p>
      <w:pPr>
        <w:pStyle w:val="BodyText"/>
        <w:spacing w:before="1"/>
        <w:ind w:left="0"/>
        <w:rPr>
          <w:rFonts w:ascii="Microsoft JhengHei"/>
          <w:b/>
          <w:sz w:val="19"/>
        </w:rPr>
      </w:pPr>
    </w:p>
    <w:p>
      <w:pPr>
        <w:pStyle w:val="Heading1"/>
      </w:pPr>
      <w:bookmarkStart w:id="0" w:name="_bookmark0"/>
      <w:bookmarkEnd w:id="0"/>
      <w:r>
        <w:rPr>
          <w:spacing w:val="-6"/>
        </w:rPr>
        <w:t>1</w:t>
      </w:r>
      <w:r>
        <w:rPr>
          <w:spacing w:val="-7"/>
        </w:rPr>
        <w:t>、编制依据</w:t>
      </w:r>
    </w:p>
    <w:p>
      <w:pPr>
        <w:pStyle w:val="ListParagraph"/>
        <w:numPr>
          <w:ilvl w:val="1"/>
          <w:numId w:val="26"/>
        </w:numPr>
        <w:tabs>
          <w:tab w:val="left" w:pos="1054"/>
        </w:tabs>
        <w:spacing w:before="70" w:after="0" w:line="297" w:lineRule="auto"/>
        <w:ind w:left="211" w:right="730" w:firstLine="480"/>
        <w:jc w:val="both"/>
        <w:rPr>
          <w:sz w:val="24"/>
        </w:rPr>
      </w:pPr>
      <w:r>
        <w:rPr>
          <w:spacing w:val="-5"/>
          <w:sz w:val="24"/>
        </w:rPr>
        <w:t xml:space="preserve">、贵阳市清镇区朱雀大道南段 </w:t>
      </w:r>
      <w:r>
        <w:rPr>
          <w:spacing w:val="-4"/>
          <w:sz w:val="24"/>
        </w:rPr>
        <w:t>A</w:t>
      </w:r>
      <w:r>
        <w:rPr>
          <w:spacing w:val="-6"/>
          <w:sz w:val="24"/>
        </w:rPr>
        <w:t xml:space="preserve"> 段</w:t>
      </w:r>
      <w:r>
        <w:rPr>
          <w:spacing w:val="-4"/>
          <w:sz w:val="24"/>
        </w:rPr>
        <w:t>(（K0+762.337-K2+415.743）)道路工程第</w:t>
      </w:r>
      <w:r>
        <w:rPr>
          <w:spacing w:val="-2"/>
          <w:sz w:val="24"/>
        </w:rPr>
        <w:t>二标段施工设计图（排水）施工图及相关设计文件。</w:t>
      </w:r>
    </w:p>
    <w:p>
      <w:pPr>
        <w:pStyle w:val="ListParagraph"/>
        <w:numPr>
          <w:ilvl w:val="1"/>
          <w:numId w:val="26"/>
        </w:numPr>
        <w:tabs>
          <w:tab w:val="left" w:pos="1054"/>
        </w:tabs>
        <w:spacing w:before="7" w:after="0" w:line="240" w:lineRule="auto"/>
        <w:ind w:left="1053" w:right="0" w:hanging="363"/>
        <w:jc w:val="left"/>
        <w:rPr>
          <w:rFonts w:ascii="Microsoft JhengHei" w:eastAsia="Microsoft JhengHei"/>
          <w:b/>
          <w:sz w:val="24"/>
        </w:rPr>
      </w:pPr>
      <w:r>
        <w:rPr>
          <w:rFonts w:ascii="Microsoft JhengHei" w:eastAsia="Microsoft JhengHei"/>
          <w:b/>
          <w:spacing w:val="-2"/>
          <w:sz w:val="24"/>
        </w:rPr>
        <w:t>、有关规范</w:t>
      </w:r>
    </w:p>
    <w:p>
      <w:pPr>
        <w:pStyle w:val="BodyText"/>
        <w:spacing w:before="106"/>
        <w:ind w:left="691"/>
      </w:pPr>
      <w:r>
        <w:t>⑴《给水排水管道工程施工及验收规范》GB50268-</w:t>
      </w:r>
      <w:r>
        <w:rPr>
          <w:spacing w:val="-2"/>
        </w:rPr>
        <w:t>2008;</w:t>
      </w:r>
    </w:p>
    <w:p>
      <w:pPr>
        <w:pStyle w:val="BodyText"/>
        <w:spacing w:before="161"/>
        <w:ind w:left="691"/>
      </w:pPr>
      <w:r>
        <w:t>⑵《给水排水工程构筑物施工及验收规范》(GB50141-</w:t>
      </w:r>
      <w:r>
        <w:rPr>
          <w:spacing w:val="-2"/>
        </w:rPr>
        <w:t>2008);</w:t>
      </w:r>
    </w:p>
    <w:p>
      <w:pPr>
        <w:pStyle w:val="BodyText"/>
        <w:spacing w:before="160"/>
        <w:ind w:left="691"/>
      </w:pPr>
      <w:r>
        <w:t>⑶《市政排水构筑物施工及验收规范》DBJ08-224-</w:t>
      </w:r>
      <w:r>
        <w:rPr>
          <w:spacing w:val="-2"/>
        </w:rPr>
        <w:t>2010;</w:t>
      </w:r>
    </w:p>
    <w:p>
      <w:pPr>
        <w:pStyle w:val="BodyText"/>
        <w:spacing w:before="161"/>
        <w:ind w:left="691"/>
      </w:pPr>
      <w:r>
        <w:t>⑷《砌体工程施工质量验收规范》GB50203-</w:t>
      </w:r>
      <w:r>
        <w:rPr>
          <w:spacing w:val="-2"/>
        </w:rPr>
        <w:t>2011;</w:t>
      </w:r>
    </w:p>
    <w:p>
      <w:pPr>
        <w:pStyle w:val="BodyText"/>
        <w:spacing w:before="160"/>
        <w:ind w:left="691"/>
      </w:pPr>
      <w:r>
        <w:t>⑸《给排水标准图集》S1～S6（2004</w:t>
      </w:r>
      <w:r>
        <w:rPr>
          <w:spacing w:val="-30"/>
        </w:rPr>
        <w:t xml:space="preserve"> 版</w:t>
      </w:r>
      <w:r>
        <w:t>～2006</w:t>
      </w:r>
      <w:r>
        <w:rPr>
          <w:spacing w:val="-30"/>
        </w:rPr>
        <w:t xml:space="preserve"> 版</w:t>
      </w:r>
      <w:r>
        <w:rPr>
          <w:spacing w:val="-5"/>
        </w:rPr>
        <w:t>）;</w:t>
      </w:r>
    </w:p>
    <w:p>
      <w:pPr>
        <w:pStyle w:val="BodyText"/>
        <w:spacing w:before="161"/>
        <w:ind w:left="691"/>
      </w:pPr>
      <w:r>
        <w:t>⑹《普通混凝土拌合物性能试验方法》GB/T50080-</w:t>
      </w:r>
      <w:r>
        <w:rPr>
          <w:spacing w:val="-2"/>
        </w:rPr>
        <w:t>2002;</w:t>
      </w:r>
    </w:p>
    <w:p>
      <w:pPr>
        <w:pStyle w:val="BodyText"/>
        <w:spacing w:before="160"/>
        <w:ind w:left="691"/>
      </w:pPr>
      <w:r>
        <w:t>⑺《混凝土强度检验评定标准》GBJ107-</w:t>
      </w:r>
      <w:r>
        <w:rPr>
          <w:spacing w:val="-5"/>
        </w:rPr>
        <w:t>87;</w:t>
      </w:r>
    </w:p>
    <w:p>
      <w:pPr>
        <w:pStyle w:val="BodyText"/>
        <w:spacing w:before="161"/>
        <w:ind w:left="691"/>
      </w:pPr>
      <w:r>
        <w:t>⑻《施工现场临时用电安全技术规范》JGJ46-88</w:t>
      </w:r>
      <w:r>
        <w:rPr>
          <w:spacing w:val="-5"/>
        </w:rPr>
        <w:t xml:space="preserve"> 。</w:t>
      </w:r>
    </w:p>
    <w:p>
      <w:pPr>
        <w:pStyle w:val="BodyText"/>
        <w:ind w:left="0"/>
      </w:pPr>
    </w:p>
    <w:p>
      <w:pPr>
        <w:pStyle w:val="BodyText"/>
        <w:spacing w:before="12"/>
        <w:ind w:left="0"/>
        <w:rPr>
          <w:sz w:val="21"/>
        </w:rPr>
      </w:pPr>
    </w:p>
    <w:p>
      <w:pPr>
        <w:pStyle w:val="Heading1"/>
      </w:pPr>
      <w:bookmarkStart w:id="1" w:name="_bookmark1"/>
      <w:bookmarkEnd w:id="1"/>
      <w:r>
        <w:rPr>
          <w:spacing w:val="-6"/>
        </w:rPr>
        <w:t>2</w:t>
      </w:r>
      <w:r>
        <w:rPr>
          <w:spacing w:val="-7"/>
        </w:rPr>
        <w:t>、工程概况</w:t>
      </w:r>
    </w:p>
    <w:p>
      <w:pPr>
        <w:pStyle w:val="BodyText"/>
        <w:spacing w:before="149" w:line="364" w:lineRule="auto"/>
        <w:ind w:right="694" w:firstLine="480"/>
        <w:jc w:val="both"/>
      </w:pPr>
      <w:r>
        <w:rPr>
          <w:spacing w:val="-4"/>
        </w:rPr>
        <w:t xml:space="preserve">贵阳市清镇区朱雀大道南段 </w:t>
      </w:r>
      <w:r>
        <w:rPr>
          <w:spacing w:val="-2"/>
        </w:rPr>
        <w:t>A</w:t>
      </w:r>
      <w:r>
        <w:rPr>
          <w:spacing w:val="-7"/>
        </w:rPr>
        <w:t xml:space="preserve"> 段道路工程起于沙果南路与朱雀大道北段交叉处，</w:t>
      </w:r>
      <w:r>
        <w:rPr>
          <w:spacing w:val="-3"/>
        </w:rPr>
        <w:t xml:space="preserve">接朱雀大道北段，起点坐标 </w:t>
      </w:r>
      <w:r>
        <w:t>X=2956110.915、Y=364475.700，先下穿贵阳绕城高速后</w:t>
      </w:r>
      <w:r>
        <w:rPr>
          <w:spacing w:val="-2"/>
        </w:rPr>
        <w:t>与云环路相交，然后通过铝厂片区，接下来与同心路相交，然后分别和白金一号路、</w:t>
      </w:r>
      <w:r>
        <w:rPr>
          <w:spacing w:val="-2"/>
        </w:rPr>
        <w:t>白金二号路相交，之后两次下穿中国铝业贵州分公司运输铁路，最后接顺金园南路，</w:t>
      </w:r>
      <w:r>
        <w:t>最终止于清镇区与观ft</w:t>
      </w:r>
      <w:r>
        <w:rPr>
          <w:spacing w:val="1"/>
        </w:rPr>
        <w:t>湖区交界处接已规划设计完成的朱雀大道南段</w:t>
      </w:r>
      <w:r>
        <w:t>B</w:t>
      </w:r>
      <w:r>
        <w:rPr>
          <w:spacing w:val="-6"/>
        </w:rPr>
        <w:t xml:space="preserve"> 段与规划龙潭</w:t>
      </w:r>
      <w:r>
        <w:rPr>
          <w:spacing w:val="-7"/>
        </w:rPr>
        <w:t xml:space="preserve">路交叉处，坐标 </w:t>
      </w:r>
      <w:r>
        <w:rPr>
          <w:spacing w:val="-4"/>
        </w:rPr>
        <w:t>X=2952002.8、Y=363479.1</w:t>
      </w:r>
      <w:r>
        <w:rPr>
          <w:spacing w:val="-6"/>
        </w:rPr>
        <w:t xml:space="preserve">。第二标段实施段全长 </w:t>
      </w:r>
      <w:r>
        <w:rPr>
          <w:spacing w:val="-4"/>
        </w:rPr>
        <w:t>1653.406</w:t>
      </w:r>
      <w:r>
        <w:rPr>
          <w:spacing w:val="-9"/>
        </w:rPr>
        <w:t xml:space="preserve"> 米，桩号</w:t>
      </w:r>
      <w:r>
        <w:rPr>
          <w:spacing w:val="-4"/>
        </w:rPr>
        <w:t>范围为 K0+762.337～K2+415.743，实施起点位于朱雀大道与云环路交叉口处，道路终</w:t>
      </w:r>
      <w:r>
        <w:rPr>
          <w:spacing w:val="-1"/>
        </w:rPr>
        <w:t xml:space="preserve">点位于朱雀大道与同心路交叉口处，道路红线全宽为 </w:t>
      </w:r>
      <w:r>
        <w:t>40</w:t>
      </w:r>
      <w:r>
        <w:rPr>
          <w:spacing w:val="-8"/>
        </w:rPr>
        <w:t xml:space="preserve"> 米。</w:t>
      </w:r>
    </w:p>
    <w:p>
      <w:pPr>
        <w:pStyle w:val="BodyText"/>
        <w:ind w:left="0"/>
      </w:pPr>
    </w:p>
    <w:p>
      <w:pPr>
        <w:pStyle w:val="BodyText"/>
        <w:spacing w:before="165" w:line="364" w:lineRule="auto"/>
        <w:ind w:right="729"/>
      </w:pPr>
      <w:r>
        <w:rPr>
          <w:spacing w:val="-3"/>
        </w:rPr>
        <w:t xml:space="preserve">本工程配合清镇区朱雀大道南段 </w:t>
      </w:r>
      <w:r>
        <w:t>A</w:t>
      </w:r>
      <w:r>
        <w:rPr>
          <w:spacing w:val="-6"/>
        </w:rPr>
        <w:t xml:space="preserve"> 段道路建设项目</w:t>
      </w:r>
      <w:r>
        <w:t>(K0+762.337-K2+415.743)进行，结合道路纵段、高ft</w:t>
      </w:r>
      <w:r>
        <w:rPr>
          <w:spacing w:val="-2"/>
        </w:rPr>
        <w:t xml:space="preserve">排洪渠设计及清镇区给排水规控，共设有 </w:t>
      </w:r>
      <w:r>
        <w:t>5</w:t>
      </w:r>
      <w:r>
        <w:rPr>
          <w:spacing w:val="-6"/>
        </w:rPr>
        <w:t xml:space="preserve"> 个雨水排水出口</w:t>
      </w:r>
      <w:r>
        <w:t>，4</w:t>
      </w:r>
    </w:p>
    <w:p>
      <w:pPr>
        <w:spacing w:after="0" w:line="364" w:lineRule="auto"/>
        <w:sectPr>
          <w:footerReference w:type="default" r:id="rId7"/>
          <w:pgSz w:w="11910" w:h="16840"/>
          <w:pgMar w:top="1760" w:right="800" w:bottom="280" w:left="1320" w:header="0" w:footer="0"/>
          <w:pgNumType w:start="5"/>
          <w:cols w:space="708"/>
        </w:sectPr>
      </w:pPr>
    </w:p>
    <w:p>
      <w:pPr>
        <w:pStyle w:val="BodyText"/>
        <w:spacing w:before="41" w:line="364" w:lineRule="auto"/>
        <w:ind w:right="730"/>
      </w:pPr>
      <w:r>
        <w:rPr>
          <w:spacing w:val="-2"/>
        </w:rPr>
        <w:t>个污水排水出口，分别就近排进高ft排洪渠截污管，最终雨水进入麦架河，污水进入</w:t>
      </w:r>
      <w:r>
        <w:rPr>
          <w:spacing w:val="-2"/>
        </w:rPr>
        <w:t>拟建麦架河污水处理厂处理。</w:t>
      </w:r>
    </w:p>
    <w:p>
      <w:pPr>
        <w:pStyle w:val="BodyText"/>
        <w:spacing w:before="6"/>
        <w:ind w:left="0"/>
        <w:rPr>
          <w:sz w:val="33"/>
        </w:rPr>
      </w:pPr>
    </w:p>
    <w:p>
      <w:pPr>
        <w:pStyle w:val="Heading1"/>
      </w:pPr>
      <w:r>
        <w:pict>
          <v:group id="_x0000_s1025" style="width:405.75pt;height:248pt;margin-top:90.78pt;margin-left:70.93pt;mso-position-horizontal-relative:page;position:absolute;z-index:251658240" coordorigin="1419,1816" coordsize="8115,4960">
            <v:rect id="_x0000_s1026" style="width:3240;height:425;left:4126;position:absolute;top:2947" filled="t" fillcolor="#cff" stroked="f">
              <v:fill type="solid"/>
            </v:rect>
            <v:rect id="_x0000_s1027" style="width:3240;height:425;left:4126;position:absolute;top:2947" filled="f" stroked="t" strokecolor="black" strokeweight="0.75pt">
              <v:stroke dashstyle="solid"/>
            </v:rect>
            <v:shape id="_x0000_s1028" style="width:120;height:120;left:5606;position:absolute;top:2817" coordorigin="5606,2817" coordsize="120,120" path="m5666,2937l5606,2817,5726,2817,5666,2937xe" filled="t" fillcolor="black" stroked="f">
              <v:fill type="solid"/>
              <v:path arrowok="t"/>
            </v:shape>
            <v:line id="_x0000_s1029" style="position:absolute" from="5666,2523" to="5666,2915" stroked="t" strokecolor="black" strokeweight="0.75pt">
              <v:stroke dashstyle="solid"/>
            </v:line>
            <v:shape id="_x0000_s1030" style="width:120;height:120;left:5666;position:absolute;top:2604" coordorigin="5666,2604" coordsize="120,120" path="m5786,2724l5666,2664,5786,2604,5786,2724xe" filled="t" fillcolor="black" stroked="f">
              <v:fill type="solid"/>
              <v:path arrowok="t"/>
            </v:shape>
            <v:line id="_x0000_s1031" style="position:absolute" from="7826,2664" to="5689,2664" stroked="t" strokecolor="black" strokeweight="0.75pt">
              <v:stroke dashstyle="solid"/>
            </v:lin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width:180;height:415;left:5626;position:absolute;top:3371" stroked="f">
              <v:imagedata r:id="rId8" o:title=""/>
            </v:shape>
            <v:line id="_x0000_s1033" style="position:absolute" from="7846,3513" to="5709,3513" stroked="t" strokecolor="black" strokeweight="0.75pt">
              <v:stroke dashstyle="solid"/>
            </v:line>
            <v:shape id="_x0000_s1034" style="width:120;height:120;left:4006;position:absolute;top:3028" coordorigin="4006,3029" coordsize="120,120" path="m4006,3149l4006,3029,4126,3089,4006,3149xe" filled="t" fillcolor="black" stroked="f">
              <v:fill type="solid"/>
              <v:path arrowok="t"/>
            </v:shape>
            <v:line id="_x0000_s1035" style="position:absolute" from="3406,3089" to="4104,3089" stroked="t" strokecolor="black" strokeweight="0.75pt">
              <v:stroke dashstyle="solid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width:4440;height:1264;left:3406;position:absolute;top:2522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sz w:val="24"/>
                      </w:rPr>
                    </w:pPr>
                  </w:p>
                  <w:p>
                    <w:pPr>
                      <w:spacing w:before="200"/>
                      <w:ind w:left="1845" w:right="1606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3"/>
                        <w:sz w:val="24"/>
                      </w:rPr>
                      <w:t>基坑开挖</w:t>
                    </w:r>
                  </w:p>
                </w:txbxContent>
              </v:textbox>
            </v:shape>
            <v:shape id="_x0000_s1037" type="#_x0000_t202" style="width:1620;height:425;left:7846;position:absolute;top:3371" filled="t" fillcolor="#cff" stroked="t" strokecolor="black" strokeweight="0.75pt">
              <v:fill type="solid"/>
              <v:stroke dashstyle="solid"/>
              <v:textbox inset="0,0,0,0">
                <w:txbxContent>
                  <w:p>
                    <w:pPr>
                      <w:spacing w:before="76"/>
                      <w:ind w:left="322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3"/>
                        <w:sz w:val="24"/>
                      </w:rPr>
                      <w:t>检查验收</w:t>
                    </w:r>
                  </w:p>
                </w:txbxContent>
              </v:textbox>
            </v:shape>
            <v:shape id="_x0000_s1038" type="#_x0000_t202" style="width:1995;height:463;left:1426;position:absolute;top:2909" filled="t" fillcolor="#cff" stroked="t" strokecolor="black" strokeweight="0.75pt">
              <v:fill type="solid"/>
              <v:stroke dashstyle="solid"/>
              <v:textbox inset="0,0,0,0">
                <w:txbxContent>
                  <w:p>
                    <w:pPr>
                      <w:spacing w:before="76"/>
                      <w:ind w:left="509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3"/>
                        <w:sz w:val="24"/>
                      </w:rPr>
                      <w:t>基坑支护</w:t>
                    </w:r>
                  </w:p>
                </w:txbxContent>
              </v:textbox>
            </v:shape>
            <v:shape id="_x0000_s1039" type="#_x0000_t202" style="width:1620;height:425;left:7826;position:absolute;top:2522" filled="t" fillcolor="#cff" stroked="t" strokecolor="black" strokeweight="0.75pt">
              <v:fill type="solid"/>
              <v:stroke dashstyle="solid"/>
              <v:textbox inset="0,0,0,0">
                <w:txbxContent>
                  <w:p>
                    <w:pPr>
                      <w:spacing w:before="76"/>
                      <w:ind w:left="322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3"/>
                        <w:sz w:val="24"/>
                      </w:rPr>
                      <w:t>检查验收</w:t>
                    </w:r>
                  </w:p>
                </w:txbxContent>
              </v:textbox>
            </v:shape>
            <v:shape id="_x0000_s1040" type="#_x0000_t202" style="width:3240;height:425;left:4126;position:absolute;top:2098" filled="t" fillcolor="#cff" stroked="t" strokecolor="black" strokeweight="0.75pt">
              <v:fill type="solid"/>
              <v:stroke dashstyle="solid"/>
              <v:textbox inset="0,0,0,0">
                <w:txbxContent>
                  <w:p>
                    <w:pPr>
                      <w:spacing w:before="76"/>
                      <w:ind w:left="1118" w:right="1118" w:firstLine="0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3"/>
                        <w:sz w:val="24"/>
                      </w:rPr>
                      <w:t>平整场地</w:t>
                    </w:r>
                  </w:p>
                </w:txbxContent>
              </v:textbox>
            </v:shape>
            <v:shape id="_x0000_s1041" style="width:120;height:120;left:5606;position:absolute;top:1968" coordorigin="5606,1969" coordsize="120,120" path="m5666,2089l5606,1969,5726,1969,5666,2089xe" filled="t" fillcolor="black" stroked="f">
              <v:fill type="solid"/>
              <v:path arrowok="t"/>
            </v:shape>
            <v:line id="_x0000_s1042" style="position:absolute" from="5666,1816" to="5666,2066" stroked="t" strokecolor="black" strokeweight="0.75pt">
              <v:stroke dashstyle="solid"/>
            </v:line>
            <v:shape id="_x0000_s1043" style="width:120;height:120;left:4006;position:absolute;top:3877" coordorigin="4006,3878" coordsize="120,120" path="m4006,3998l4006,3878,4126,3938,4006,3998xe" filled="t" fillcolor="black" stroked="f">
              <v:fill type="solid"/>
              <v:path arrowok="t"/>
            </v:shape>
            <v:line id="_x0000_s1044" style="position:absolute" from="3406,3938" to="4104,3938" stroked="t" strokecolor="black" strokeweight="0.75pt">
              <v:stroke dashstyle="solid"/>
            </v:line>
            <v:shape id="_x0000_s1045" type="#_x0000_t202" style="width:3240;height:425;left:4126;position:absolute;top:3796" filled="t" fillcolor="#cff" stroked="t" strokecolor="black" strokeweight="0.75pt">
              <v:fill type="solid"/>
              <v:stroke dashstyle="solid"/>
              <v:textbox inset="0,0,0,0">
                <w:txbxContent>
                  <w:p>
                    <w:pPr>
                      <w:spacing w:before="76"/>
                      <w:ind w:left="1118" w:right="1118" w:firstLine="0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3"/>
                        <w:sz w:val="24"/>
                      </w:rPr>
                      <w:t>基础垫层</w:t>
                    </w:r>
                  </w:p>
                </w:txbxContent>
              </v:textbox>
            </v:shape>
            <v:shape id="_x0000_s1046" type="#_x0000_t202" style="width:1995;height:425;left:1426;position:absolute;top:3796" filled="t" fillcolor="#cff" stroked="t" strokecolor="black" strokeweight="0.75pt">
              <v:fill type="solid"/>
              <v:stroke dashstyle="solid"/>
              <v:textbox inset="0,0,0,0">
                <w:txbxContent>
                  <w:p>
                    <w:pPr>
                      <w:spacing w:before="76"/>
                      <w:ind w:left="509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3"/>
                        <w:sz w:val="24"/>
                      </w:rPr>
                      <w:t>垫层材料</w:t>
                    </w:r>
                  </w:p>
                </w:txbxContent>
              </v:textbox>
            </v:shape>
            <v:shape id="_x0000_s1047" type="#_x0000_t75" style="width:180;height:415;left:5666;position:absolute;top:4220" stroked="f">
              <v:imagedata r:id="rId9" o:title=""/>
            </v:shape>
            <v:line id="_x0000_s1048" style="position:absolute" from="7886,4504" to="5749,4504" stroked="t" strokecolor="black" strokeweight="0.75pt">
              <v:stroke dashstyle="solid"/>
            </v:line>
            <v:shape id="_x0000_s1049" type="#_x0000_t202" style="width:1620;height:425;left:7886;position:absolute;top:4220" filled="t" fillcolor="#cff" stroked="t" strokecolor="black" strokeweight="0.75pt">
              <v:fill type="solid"/>
              <v:stroke dashstyle="solid"/>
              <v:textbox inset="0,0,0,0">
                <w:txbxContent>
                  <w:p>
                    <w:pPr>
                      <w:spacing w:before="76"/>
                      <w:ind w:left="322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3"/>
                        <w:sz w:val="24"/>
                      </w:rPr>
                      <w:t>检查验收</w:t>
                    </w:r>
                  </w:p>
                </w:txbxContent>
              </v:textbox>
            </v:shape>
            <v:shape id="_x0000_s1050" type="#_x0000_t202" style="width:3240;height:425;left:4126;position:absolute;top:4645" filled="t" fillcolor="#cff" stroked="t" strokecolor="black" strokeweight="0.75pt">
              <v:fill type="solid"/>
              <v:stroke dashstyle="solid"/>
              <v:textbox inset="0,0,0,0">
                <w:txbxContent>
                  <w:p>
                    <w:pPr>
                      <w:spacing w:before="76"/>
                      <w:ind w:left="1118" w:right="1118" w:firstLine="0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3"/>
                        <w:sz w:val="24"/>
                      </w:rPr>
                      <w:t>管道安装</w:t>
                    </w:r>
                  </w:p>
                </w:txbxContent>
              </v:textbox>
            </v:shape>
            <v:shape id="_x0000_s1051" type="#_x0000_t75" style="width:180;height:415;left:5686;position:absolute;top:5069" stroked="f">
              <v:imagedata r:id="rId10" o:title=""/>
            </v:shape>
            <v:line id="_x0000_s1052" style="position:absolute" from="7906,5211" to="5769,5211" stroked="t" strokecolor="black" strokeweight="0.75pt">
              <v:stroke dashstyle="solid"/>
            </v:line>
            <v:shape id="_x0000_s1053" type="#_x0000_t202" style="width:3240;height:425;left:4126;position:absolute;top:5494" filled="t" fillcolor="#cff" stroked="t" strokecolor="black" strokeweight="0.75pt">
              <v:fill type="solid"/>
              <v:stroke dashstyle="solid"/>
              <v:textbox inset="0,0,0,0">
                <w:txbxContent>
                  <w:p>
                    <w:pPr>
                      <w:spacing w:before="76"/>
                      <w:ind w:left="652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2"/>
                        <w:sz w:val="24"/>
                      </w:rPr>
                      <w:t>接口、砌筑检查井</w:t>
                    </w:r>
                  </w:p>
                </w:txbxContent>
              </v:textbox>
            </v:shape>
            <v:shape id="_x0000_s1054" type="#_x0000_t202" style="width:1620;height:425;left:7906;position:absolute;top:5069" filled="t" fillcolor="#cff" stroked="t" strokecolor="black" strokeweight="0.75pt">
              <v:fill type="solid"/>
              <v:stroke dashstyle="solid"/>
              <v:textbox inset="0,0,0,0">
                <w:txbxContent>
                  <w:p>
                    <w:pPr>
                      <w:spacing w:before="76"/>
                      <w:ind w:left="322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3"/>
                        <w:sz w:val="24"/>
                      </w:rPr>
                      <w:t>检查验收</w:t>
                    </w:r>
                  </w:p>
                </w:txbxContent>
              </v:textbox>
            </v:shape>
            <v:shape id="_x0000_s1055" style="width:120;height:120;left:5686;position:absolute;top:6213" coordorigin="5686,6213" coordsize="120,120" path="m5746,6333l5686,6213,5806,6213,5746,6333xe" filled="t" fillcolor="black" stroked="f">
              <v:fill type="solid"/>
              <v:path arrowok="t"/>
            </v:shape>
            <v:line id="_x0000_s1056" style="position:absolute" from="5746,5919" to="5746,6311" stroked="t" strokecolor="black" strokeweight="0.75pt">
              <v:stroke dashstyle="solid"/>
            </v:line>
            <v:shape id="_x0000_s1057" style="width:120;height:120;left:5746;position:absolute;top:6127" coordorigin="5746,6128" coordsize="120,120" path="m5866,6248l5746,6188,5866,6128,5866,6248xe" filled="t" fillcolor="black" stroked="f">
              <v:fill type="solid"/>
              <v:path arrowok="t"/>
            </v:shape>
            <v:line id="_x0000_s1058" style="position:absolute" from="7906,6188" to="5769,6188" stroked="t" strokecolor="black" strokeweight="0.75pt">
              <v:stroke dashstyle="solid"/>
            </v:line>
            <v:shape id="_x0000_s1059" type="#_x0000_t202" style="width:1620;height:425;left:7906;position:absolute;top:5918" filled="t" fillcolor="#cff" stroked="t" strokecolor="black" strokeweight="0.75pt">
              <v:fill type="solid"/>
              <v:stroke dashstyle="solid"/>
              <v:textbox inset="0,0,0,0">
                <w:txbxContent>
                  <w:p>
                    <w:pPr>
                      <w:spacing w:before="76"/>
                      <w:ind w:left="322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3"/>
                        <w:sz w:val="24"/>
                      </w:rPr>
                      <w:t>检查验收</w:t>
                    </w:r>
                  </w:p>
                </w:txbxContent>
              </v:textbox>
            </v:shape>
            <v:shape id="_x0000_s1060" type="#_x0000_t202" style="width:3240;height:425;left:4126;position:absolute;top:6343" filled="t" fillcolor="#cff" stroked="t" strokecolor="black" strokeweight="0.75pt">
              <v:fill type="solid"/>
              <v:stroke dashstyle="solid"/>
              <v:textbox inset="0,0,0,0">
                <w:txbxContent>
                  <w:p>
                    <w:pPr>
                      <w:spacing w:before="76"/>
                      <w:ind w:left="1118" w:right="1118" w:firstLine="0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5"/>
                        <w:sz w:val="24"/>
                      </w:rPr>
                      <w:t>回填</w:t>
                    </w:r>
                  </w:p>
                </w:txbxContent>
              </v:textbox>
            </v:shape>
          </v:group>
        </w:pict>
      </w:r>
      <w:bookmarkStart w:id="2" w:name="_bookmark2"/>
      <w:bookmarkEnd w:id="2"/>
      <w:r>
        <w:rPr>
          <w:spacing w:val="-4"/>
        </w:rPr>
        <w:t>3</w:t>
      </w:r>
      <w:r>
        <w:rPr>
          <w:spacing w:val="-5"/>
        </w:rPr>
        <w:t>、施工工艺流程图</w:t>
      </w:r>
    </w:p>
    <w:p>
      <w:pPr>
        <w:pStyle w:val="BodyText"/>
        <w:spacing w:before="8"/>
        <w:ind w:left="0"/>
        <w:rPr>
          <w:rFonts w:ascii="Microsoft JhengHei"/>
          <w:b/>
          <w:sz w:val="7"/>
        </w:rPr>
      </w:pPr>
      <w:r>
        <w:pict>
          <v:shape id="_x0000_s1061" type="#_x0000_t202" style="width:162pt;height:21.25pt;margin-top:8.48pt;margin-left:206.3pt;mso-position-horizontal-relative:page;mso-wrap-distance-left:0;mso-wrap-distance-right:0;position:absolute;z-index:-251657216" filled="t" fillcolor="#cff" stroked="t" strokecolor="black" strokeweight="0.75pt">
            <v:fill type="solid"/>
            <v:stroke dashstyle="solid"/>
            <v:textbox inset="0,0,0,0">
              <w:txbxContent>
                <w:p>
                  <w:pPr>
                    <w:pStyle w:val="BodyText"/>
                    <w:spacing w:before="76"/>
                    <w:ind w:left="101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施工前准备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line="281" w:lineRule="exact"/>
        <w:ind w:left="4286"/>
        <w:rPr>
          <w:rFonts w:ascii="Microsoft JhengHei"/>
          <w:sz w:val="20"/>
        </w:rPr>
      </w:pPr>
      <w:r>
        <w:rPr>
          <w:rFonts w:ascii="Microsoft JhengHei"/>
          <w:position w:val="-5"/>
          <w:sz w:val="20"/>
        </w:rPr>
        <w:pict>
          <v:group id="_x0000_i1062" style="width:6pt;height:13.65pt;mso-position-horizontal-relative:char;mso-position-vertical-relative:line" coordorigin="0,0" coordsize="120,273">
            <v:shape id="_x0000_s1063" style="width:120;height:120;position:absolute;top:153" coordorigin="0,153" coordsize="120,120" path="m60,273l,153,120,153,60,273xe" filled="t" fillcolor="black" stroked="f">
              <v:fill type="solid"/>
              <v:path arrowok="t"/>
            </v:shape>
            <v:line id="_x0000_s1064" style="position:absolute" from="60,0" to="60,251" stroked="t" strokecolor="black" strokeweight="0.75pt">
              <v:stroke dashstyle="solid"/>
            </v:line>
            <w10:wrap type="none"/>
          </v:group>
        </w:pict>
      </w:r>
    </w:p>
    <w:p>
      <w:pPr>
        <w:pStyle w:val="BodyText"/>
        <w:ind w:left="2798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shape id="_x0000_i1065" type="#_x0000_t202" style="width:162pt;height:21.25pt;mso-position-horizontal-relative:char;mso-position-vertical-relative:line" filled="t" fillcolor="#cff" stroked="t" strokecolor="black" strokeweight="0.75pt">
            <v:fill type="solid"/>
            <v:stroke dashstyle="solid"/>
            <v:textbox inset="0,0,0,0">
              <w:txbxContent>
                <w:p>
                  <w:pPr>
                    <w:pStyle w:val="BodyText"/>
                    <w:spacing w:before="76"/>
                    <w:ind w:left="1118" w:right="1118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pacing w:val="-6"/>
                    </w:rPr>
                    <w:t>测量放线</w:t>
                  </w:r>
                </w:p>
              </w:txbxContent>
            </v:textbox>
            <w10:wrap type="none"/>
            <w10:anchorlock/>
          </v:shape>
        </w:pict>
      </w:r>
    </w:p>
    <w:p>
      <w:pPr>
        <w:pStyle w:val="BodyText"/>
        <w:ind w:left="0"/>
        <w:rPr>
          <w:rFonts w:ascii="Microsoft JhengHei"/>
          <w:b/>
          <w:sz w:val="28"/>
        </w:rPr>
      </w:pPr>
    </w:p>
    <w:p>
      <w:pPr>
        <w:pStyle w:val="BodyText"/>
        <w:ind w:left="0"/>
        <w:rPr>
          <w:rFonts w:ascii="Microsoft JhengHei"/>
          <w:b/>
          <w:sz w:val="28"/>
        </w:rPr>
      </w:pPr>
    </w:p>
    <w:p>
      <w:pPr>
        <w:pStyle w:val="BodyText"/>
        <w:ind w:left="0"/>
        <w:rPr>
          <w:rFonts w:ascii="Microsoft JhengHei"/>
          <w:b/>
          <w:sz w:val="28"/>
        </w:rPr>
      </w:pPr>
    </w:p>
    <w:p>
      <w:pPr>
        <w:pStyle w:val="BodyText"/>
        <w:ind w:left="0"/>
        <w:rPr>
          <w:rFonts w:ascii="Microsoft JhengHei"/>
          <w:b/>
          <w:sz w:val="28"/>
        </w:rPr>
      </w:pPr>
    </w:p>
    <w:p>
      <w:pPr>
        <w:pStyle w:val="BodyText"/>
        <w:ind w:left="0"/>
        <w:rPr>
          <w:rFonts w:ascii="Microsoft JhengHei"/>
          <w:b/>
          <w:sz w:val="28"/>
        </w:rPr>
      </w:pPr>
    </w:p>
    <w:p>
      <w:pPr>
        <w:pStyle w:val="BodyText"/>
        <w:ind w:left="0"/>
        <w:rPr>
          <w:rFonts w:ascii="Microsoft JhengHei"/>
          <w:b/>
          <w:sz w:val="28"/>
        </w:rPr>
      </w:pPr>
    </w:p>
    <w:p>
      <w:pPr>
        <w:pStyle w:val="BodyText"/>
        <w:ind w:left="0"/>
        <w:rPr>
          <w:rFonts w:ascii="Microsoft JhengHei"/>
          <w:b/>
          <w:sz w:val="28"/>
        </w:rPr>
      </w:pPr>
    </w:p>
    <w:p>
      <w:pPr>
        <w:pStyle w:val="BodyText"/>
        <w:ind w:left="0"/>
        <w:rPr>
          <w:rFonts w:ascii="Microsoft JhengHei"/>
          <w:b/>
          <w:sz w:val="28"/>
        </w:rPr>
      </w:pPr>
    </w:p>
    <w:p>
      <w:pPr>
        <w:pStyle w:val="BodyText"/>
        <w:ind w:left="0"/>
        <w:rPr>
          <w:rFonts w:ascii="Microsoft JhengHei"/>
          <w:b/>
          <w:sz w:val="28"/>
        </w:rPr>
      </w:pPr>
    </w:p>
    <w:p>
      <w:pPr>
        <w:pStyle w:val="BodyText"/>
        <w:spacing w:before="2"/>
        <w:ind w:left="0"/>
        <w:rPr>
          <w:rFonts w:ascii="Microsoft JhengHei"/>
          <w:b/>
          <w:sz w:val="37"/>
        </w:rPr>
      </w:pPr>
    </w:p>
    <w:p>
      <w:pPr>
        <w:pStyle w:val="Heading1"/>
      </w:pPr>
      <w:bookmarkStart w:id="3" w:name="_bookmark3"/>
      <w:bookmarkEnd w:id="3"/>
      <w:r>
        <w:rPr>
          <w:spacing w:val="-6"/>
        </w:rPr>
        <w:t>4</w:t>
      </w:r>
      <w:r>
        <w:rPr>
          <w:spacing w:val="-7"/>
        </w:rPr>
        <w:t>、施工准备</w:t>
      </w:r>
    </w:p>
    <w:p>
      <w:pPr>
        <w:pStyle w:val="ListParagraph"/>
        <w:numPr>
          <w:ilvl w:val="1"/>
          <w:numId w:val="27"/>
        </w:numPr>
        <w:tabs>
          <w:tab w:val="left" w:pos="1054"/>
        </w:tabs>
        <w:spacing w:before="70" w:after="0" w:line="240" w:lineRule="auto"/>
        <w:ind w:left="1053" w:right="0" w:hanging="363"/>
        <w:jc w:val="left"/>
        <w:rPr>
          <w:rFonts w:ascii="Microsoft JhengHei" w:eastAsia="Microsoft JhengHei"/>
          <w:b/>
          <w:sz w:val="24"/>
        </w:rPr>
      </w:pPr>
      <w:r>
        <w:rPr>
          <w:rFonts w:ascii="Microsoft JhengHei" w:eastAsia="Microsoft JhengHei"/>
          <w:b/>
          <w:sz w:val="24"/>
        </w:rPr>
        <w:t>﹑</w:t>
      </w:r>
      <w:r>
        <w:rPr>
          <w:rFonts w:ascii="Microsoft JhengHei" w:eastAsia="Microsoft JhengHei"/>
          <w:b/>
          <w:spacing w:val="-3"/>
          <w:sz w:val="24"/>
        </w:rPr>
        <w:t>技术交底</w:t>
      </w:r>
    </w:p>
    <w:p>
      <w:pPr>
        <w:pStyle w:val="BodyText"/>
        <w:spacing w:before="106" w:line="364" w:lineRule="auto"/>
        <w:ind w:right="694" w:firstLine="480"/>
        <w:jc w:val="both"/>
      </w:pPr>
      <w:r>
        <w:rPr>
          <w:spacing w:val="-2"/>
        </w:rPr>
        <w:t>工程开工前，在项目部技术负责人的组织下集中项目部有关人员仔细审阅图纸，</w:t>
      </w:r>
      <w:r>
        <w:rPr>
          <w:spacing w:val="-2"/>
        </w:rPr>
        <w:t>将不清或不明的问题及时汇总会知甲方、设计人员及时解决。本司将严格按有关技术</w:t>
      </w:r>
      <w:r>
        <w:rPr>
          <w:spacing w:val="-2"/>
        </w:rPr>
        <w:t>交底规程，组织技术交底。</w:t>
      </w:r>
    </w:p>
    <w:p>
      <w:pPr>
        <w:pStyle w:val="ListParagraph"/>
        <w:numPr>
          <w:ilvl w:val="1"/>
          <w:numId w:val="27"/>
        </w:numPr>
        <w:tabs>
          <w:tab w:val="left" w:pos="1054"/>
        </w:tabs>
        <w:spacing w:before="0" w:after="0" w:line="364" w:lineRule="exact"/>
        <w:ind w:left="1053" w:right="0" w:hanging="363"/>
        <w:jc w:val="left"/>
        <w:rPr>
          <w:rFonts w:ascii="Microsoft JhengHei" w:eastAsia="Microsoft JhengHei"/>
          <w:b/>
          <w:sz w:val="24"/>
        </w:rPr>
      </w:pPr>
      <w:r>
        <w:rPr>
          <w:rFonts w:ascii="Microsoft JhengHei" w:eastAsia="Microsoft JhengHei"/>
          <w:b/>
          <w:sz w:val="24"/>
        </w:rPr>
        <w:t>﹑</w:t>
      </w:r>
      <w:r>
        <w:rPr>
          <w:rFonts w:ascii="Microsoft JhengHei" w:eastAsia="Microsoft JhengHei"/>
          <w:b/>
          <w:spacing w:val="-1"/>
          <w:sz w:val="24"/>
        </w:rPr>
        <w:t>机械、材料的进场准备及劳动力的组织</w:t>
      </w:r>
    </w:p>
    <w:p>
      <w:pPr>
        <w:pStyle w:val="ListParagraph"/>
        <w:numPr>
          <w:ilvl w:val="2"/>
          <w:numId w:val="27"/>
        </w:numPr>
        <w:tabs>
          <w:tab w:val="left" w:pos="1292"/>
        </w:tabs>
        <w:spacing w:before="106" w:after="0" w:line="364" w:lineRule="auto"/>
        <w:ind w:left="211" w:right="729" w:firstLine="480"/>
        <w:jc w:val="left"/>
        <w:rPr>
          <w:sz w:val="24"/>
        </w:rPr>
      </w:pPr>
      <w:r>
        <w:rPr>
          <w:spacing w:val="-2"/>
          <w:sz w:val="24"/>
        </w:rPr>
        <w:t>、按照材料及机械计划编制分批进场计划，在工程启动后即组织土石方、</w:t>
      </w:r>
      <w:r>
        <w:rPr>
          <w:spacing w:val="-2"/>
          <w:sz w:val="24"/>
        </w:rPr>
        <w:t>机械进场，并合理调配资金，分期分批组织材料进场。</w:t>
      </w:r>
    </w:p>
    <w:p>
      <w:pPr>
        <w:pStyle w:val="ListParagraph"/>
        <w:numPr>
          <w:ilvl w:val="2"/>
          <w:numId w:val="27"/>
        </w:numPr>
        <w:tabs>
          <w:tab w:val="left" w:pos="1292"/>
        </w:tabs>
        <w:spacing w:before="1" w:after="0" w:line="364" w:lineRule="auto"/>
        <w:ind w:left="211" w:right="730" w:firstLine="480"/>
        <w:jc w:val="both"/>
        <w:rPr>
          <w:sz w:val="24"/>
        </w:rPr>
      </w:pPr>
      <w:r>
        <w:rPr>
          <w:spacing w:val="-2"/>
          <w:sz w:val="24"/>
        </w:rPr>
        <w:t>、安排劳动力进场，对准备进场的劳动力进行劳动安全教育；对工程所需</w:t>
      </w:r>
      <w:r>
        <w:rPr>
          <w:spacing w:val="-2"/>
          <w:sz w:val="24"/>
        </w:rPr>
        <w:t>的各技术工种进行技术培训教育，取得有关上岗证、资格证后方许其进场从事相应工</w:t>
      </w:r>
      <w:r>
        <w:rPr>
          <w:spacing w:val="-4"/>
          <w:sz w:val="24"/>
        </w:rPr>
        <w:t>种工作。</w:t>
      </w:r>
    </w:p>
    <w:p>
      <w:pPr>
        <w:spacing w:after="0" w:line="364" w:lineRule="auto"/>
        <w:jc w:val="both"/>
        <w:rPr>
          <w:sz w:val="24"/>
        </w:rPr>
        <w:sectPr>
          <w:footerReference w:type="default" r:id="rId11"/>
          <w:pgSz w:w="11910" w:h="16840"/>
          <w:pgMar w:top="1440" w:right="800" w:bottom="1180" w:left="1320" w:header="0" w:footer="991"/>
          <w:pgNumType w:start="2"/>
          <w:cols w:space="708"/>
        </w:sectPr>
      </w:pPr>
    </w:p>
    <w:p>
      <w:pPr>
        <w:pStyle w:val="ListParagraph"/>
        <w:numPr>
          <w:ilvl w:val="1"/>
          <w:numId w:val="21"/>
        </w:numPr>
        <w:tabs>
          <w:tab w:val="left" w:pos="1054"/>
        </w:tabs>
        <w:spacing w:before="0" w:after="0" w:line="403" w:lineRule="exact"/>
        <w:ind w:left="1053" w:right="0" w:hanging="363"/>
        <w:jc w:val="left"/>
        <w:rPr>
          <w:rFonts w:ascii="Microsoft JhengHei" w:eastAsia="Microsoft JhengHei"/>
          <w:b/>
          <w:sz w:val="24"/>
        </w:rPr>
      </w:pPr>
      <w:r>
        <w:rPr>
          <w:rFonts w:ascii="Microsoft JhengHei" w:eastAsia="Microsoft JhengHei"/>
          <w:b/>
          <w:spacing w:val="-2"/>
          <w:sz w:val="24"/>
        </w:rPr>
        <w:t>、测量放线</w:t>
      </w:r>
    </w:p>
    <w:p>
      <w:pPr>
        <w:pStyle w:val="BodyText"/>
        <w:spacing w:before="106" w:line="364" w:lineRule="auto"/>
        <w:ind w:right="730" w:firstLine="480"/>
      </w:pPr>
      <w:r>
        <w:rPr>
          <w:spacing w:val="-2"/>
        </w:rPr>
        <w:t>校对鉴定相关仪器，测量人员熟悉施工图纸。据甲方交接测量控制点，按规范复</w:t>
      </w:r>
      <w:r>
        <w:rPr>
          <w:spacing w:val="-2"/>
        </w:rPr>
        <w:t>测，建立测量控制网，确定中线和施工红线，尽快进行施工放样测量。</w:t>
      </w:r>
    </w:p>
    <w:p>
      <w:pPr>
        <w:pStyle w:val="ListParagraph"/>
        <w:numPr>
          <w:ilvl w:val="1"/>
          <w:numId w:val="21"/>
        </w:numPr>
        <w:tabs>
          <w:tab w:val="left" w:pos="1054"/>
        </w:tabs>
        <w:spacing w:before="0" w:after="0" w:line="363" w:lineRule="exact"/>
        <w:ind w:left="1053" w:right="0" w:hanging="363"/>
        <w:jc w:val="left"/>
        <w:rPr>
          <w:rFonts w:ascii="Microsoft JhengHei" w:eastAsia="Microsoft JhengHei"/>
          <w:b/>
          <w:sz w:val="24"/>
        </w:rPr>
      </w:pPr>
      <w:r>
        <w:rPr>
          <w:rFonts w:ascii="Microsoft JhengHei" w:eastAsia="Microsoft JhengHei"/>
          <w:b/>
          <w:sz w:val="24"/>
        </w:rPr>
        <w:t>﹑</w:t>
      </w:r>
      <w:r>
        <w:rPr>
          <w:rFonts w:ascii="Microsoft JhengHei" w:eastAsia="Microsoft JhengHei"/>
          <w:b/>
          <w:spacing w:val="-2"/>
          <w:sz w:val="24"/>
        </w:rPr>
        <w:t>施工协助配合工作</w:t>
      </w:r>
    </w:p>
    <w:p>
      <w:pPr>
        <w:pStyle w:val="BodyText"/>
        <w:spacing w:before="105"/>
      </w:pPr>
      <w:r>
        <w:rPr>
          <w:spacing w:val="-1"/>
        </w:rPr>
        <w:t>加强与各主办单位联系，为工程的顺利进行提供良好的条件。</w:t>
      </w:r>
    </w:p>
    <w:p>
      <w:pPr>
        <w:pStyle w:val="BodyText"/>
        <w:ind w:left="0"/>
      </w:pPr>
    </w:p>
    <w:p>
      <w:pPr>
        <w:pStyle w:val="BodyText"/>
        <w:ind w:left="0"/>
        <w:rPr>
          <w:sz w:val="22"/>
        </w:rPr>
      </w:pPr>
    </w:p>
    <w:p>
      <w:pPr>
        <w:pStyle w:val="Heading1"/>
        <w:ind w:left="0" w:right="7465"/>
        <w:jc w:val="right"/>
      </w:pPr>
      <w:bookmarkStart w:id="4" w:name="_TOC_250016"/>
      <w:r>
        <w:rPr>
          <w:spacing w:val="-4"/>
        </w:rPr>
        <w:t>5</w:t>
      </w:r>
      <w:bookmarkEnd w:id="4"/>
      <w:r>
        <w:rPr>
          <w:spacing w:val="-5"/>
        </w:rPr>
        <w:t>、总体施工部署</w:t>
      </w:r>
    </w:p>
    <w:p>
      <w:pPr>
        <w:pStyle w:val="Heading2"/>
        <w:numPr>
          <w:ilvl w:val="1"/>
          <w:numId w:val="20"/>
        </w:numPr>
        <w:tabs>
          <w:tab w:val="left" w:pos="363"/>
        </w:tabs>
        <w:spacing w:before="70" w:after="0" w:line="240" w:lineRule="auto"/>
        <w:ind w:left="362" w:right="7526" w:hanging="363"/>
        <w:jc w:val="right"/>
      </w:pPr>
      <w:bookmarkStart w:id="5" w:name="_TOC_250015"/>
      <w:bookmarkEnd w:id="5"/>
      <w:r>
        <w:rPr>
          <w:spacing w:val="-2"/>
        </w:rPr>
        <w:t>、施工组织</w:t>
      </w:r>
    </w:p>
    <w:p>
      <w:pPr>
        <w:pStyle w:val="BodyText"/>
        <w:spacing w:before="105" w:line="364" w:lineRule="auto"/>
        <w:ind w:right="694" w:firstLine="480"/>
        <w:jc w:val="both"/>
      </w:pPr>
      <w:r>
        <w:rPr>
          <w:spacing w:val="-2"/>
        </w:rPr>
        <w:t>为安全、优质、高效、按期完成本合同段的施工任务，本着精干、高效的原则，</w:t>
      </w:r>
      <w:r>
        <w:rPr>
          <w:spacing w:val="-2"/>
        </w:rPr>
        <w:t>我单位计划抽调理论和实践经验丰富、业务能力强、综合素质高的技术、管理、行政</w:t>
      </w:r>
      <w:r>
        <w:rPr>
          <w:spacing w:val="-2"/>
        </w:rPr>
        <w:t>人员及具有丰富路桥施工经验的施工队伍完成本合同段的施工任务。按项目法组建本</w:t>
      </w:r>
      <w:r>
        <w:rPr>
          <w:spacing w:val="-2"/>
        </w:rPr>
        <w:t>合同段工程管理机构，全面负责本合同段工程的施工组织管理工作。</w:t>
      </w:r>
    </w:p>
    <w:p>
      <w:pPr>
        <w:pStyle w:val="Heading2"/>
        <w:numPr>
          <w:ilvl w:val="1"/>
          <w:numId w:val="20"/>
        </w:numPr>
        <w:tabs>
          <w:tab w:val="left" w:pos="1054"/>
        </w:tabs>
        <w:spacing w:before="0" w:after="0" w:line="365" w:lineRule="exact"/>
        <w:ind w:left="1053" w:right="0" w:hanging="363"/>
        <w:jc w:val="left"/>
      </w:pPr>
      <w:bookmarkStart w:id="6" w:name="_TOC_250014"/>
      <w:bookmarkEnd w:id="6"/>
      <w:r>
        <w:rPr>
          <w:spacing w:val="-2"/>
        </w:rPr>
        <w:t>、主要劳动力</w:t>
      </w:r>
    </w:p>
    <w:p>
      <w:pPr>
        <w:pStyle w:val="BodyText"/>
        <w:spacing w:before="106" w:line="364" w:lineRule="auto"/>
        <w:ind w:right="610" w:firstLine="480"/>
      </w:pPr>
      <w:r>
        <w:pict>
          <v:shape id="_x0000_s1066" type="#_x0000_t202" style="width:404.5pt;height:200.1pt;margin-top:47.99pt;margin-left:95.4pt;mso-position-horizontal-relative:page;position:absolute;z-index:251660288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76"/>
                    <w:gridCol w:w="2277"/>
                    <w:gridCol w:w="1692"/>
                    <w:gridCol w:w="1815"/>
                  </w:tblGrid>
                  <w:tr>
                    <w:tblPrEx>
                      <w:tblW w:w="0" w:type="auto"/>
                      <w:jc w:val="left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92"/>
                      <w:jc w:val="left"/>
                    </w:trPr>
                    <w:tc>
                      <w:tcPr>
                        <w:tcW w:w="2276" w:type="dxa"/>
                        <w:vMerge w:val="restart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928" w:right="89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队别</w:t>
                        </w:r>
                      </w:p>
                    </w:tc>
                    <w:tc>
                      <w:tcPr>
                        <w:tcW w:w="2277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933" w:right="90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工种</w:t>
                        </w:r>
                      </w:p>
                    </w:tc>
                    <w:tc>
                      <w:tcPr>
                        <w:tcW w:w="3507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9"/>
                          <w:ind w:left="2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2018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年度月劳动力需要人数</w:t>
                        </w:r>
                        <w:r>
                          <w:rPr>
                            <w:sz w:val="20"/>
                          </w:rPr>
                          <w:t>（人</w:t>
                        </w:r>
                        <w:r>
                          <w:rPr>
                            <w:spacing w:val="-10"/>
                            <w:sz w:val="20"/>
                          </w:rPr>
                          <w:t>）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4"/>
                      <w:jc w:val="left"/>
                    </w:trPr>
                    <w:tc>
                      <w:tcPr>
                        <w:tcW w:w="2276" w:type="dxa"/>
                        <w:vMerge/>
                        <w:tcBorders>
                          <w:top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77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615" w:right="58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  <w:r>
                          <w:rPr>
                            <w:spacing w:val="-30"/>
                            <w:sz w:val="20"/>
                          </w:rPr>
                          <w:t xml:space="preserve"> 月</w:t>
                        </w:r>
                      </w:p>
                    </w:tc>
                    <w:tc>
                      <w:tcPr>
                        <w:tcW w:w="18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672" w:right="64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</w:t>
                        </w:r>
                        <w:r>
                          <w:rPr>
                            <w:spacing w:val="-30"/>
                            <w:sz w:val="20"/>
                          </w:rPr>
                          <w:t xml:space="preserve"> 月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5"/>
                      <w:jc w:val="left"/>
                    </w:trPr>
                    <w:tc>
                      <w:tcPr>
                        <w:tcW w:w="2276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1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一沟槽开挖施工队</w:t>
                        </w:r>
                      </w:p>
                    </w:tc>
                    <w:tc>
                      <w:tcPr>
                        <w:tcW w:w="227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933" w:right="90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力工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2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18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5"/>
                      <w:jc w:val="left"/>
                    </w:trPr>
                    <w:tc>
                      <w:tcPr>
                        <w:tcW w:w="2276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1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二管道安装施工队</w:t>
                        </w:r>
                      </w:p>
                    </w:tc>
                    <w:tc>
                      <w:tcPr>
                        <w:tcW w:w="2277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615" w:right="58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8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672" w:right="64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5"/>
                      <w:jc w:val="left"/>
                    </w:trPr>
                    <w:tc>
                      <w:tcPr>
                        <w:tcW w:w="2276" w:type="dxa"/>
                        <w:vMerge w:val="restart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1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三检查井砌筑施工队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834" w:right="8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泥水工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615" w:right="58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18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672" w:right="64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20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5"/>
                      <w:jc w:val="left"/>
                    </w:trPr>
                    <w:tc>
                      <w:tcPr>
                        <w:tcW w:w="2276" w:type="dxa"/>
                        <w:vMerge/>
                        <w:tcBorders>
                          <w:top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834" w:right="8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钢筋工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2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8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5"/>
                      <w:jc w:val="left"/>
                    </w:trPr>
                    <w:tc>
                      <w:tcPr>
                        <w:tcW w:w="2276" w:type="dxa"/>
                        <w:vMerge w:val="restart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1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四管道回填施工队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834" w:right="8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力工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2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8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4"/>
                      <w:jc w:val="left"/>
                    </w:trPr>
                    <w:tc>
                      <w:tcPr>
                        <w:tcW w:w="2276" w:type="dxa"/>
                        <w:vMerge/>
                        <w:tcBorders>
                          <w:top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834" w:right="8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维修工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2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8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37"/>
                      <w:jc w:val="left"/>
                    </w:trPr>
                    <w:tc>
                      <w:tcPr>
                        <w:tcW w:w="4553" w:type="dxa"/>
                        <w:gridSpan w:val="2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2166" w:right="173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合</w:t>
                        </w:r>
                        <w:r>
                          <w:rPr>
                            <w:spacing w:val="5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计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955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59</w:t>
                        </w:r>
                      </w:p>
                    </w:tc>
                    <w:tc>
                      <w:tcPr>
                        <w:tcW w:w="1815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672" w:right="64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35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</v:shape>
        </w:pict>
      </w:r>
      <w:r>
        <w:rPr>
          <w:spacing w:val="-10"/>
        </w:rPr>
        <w:t>各工序安排劳动力合理且形成流水作业，随着各工序的展开，施工人员陆续增加，</w:t>
      </w:r>
      <w:r>
        <w:rPr>
          <w:spacing w:val="-2"/>
        </w:rPr>
        <w:t>具体详见《劳动力计划表》。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5"/>
        <w:ind w:left="0"/>
        <w:rPr>
          <w:sz w:val="18"/>
        </w:rPr>
      </w:pPr>
    </w:p>
    <w:p>
      <w:pPr>
        <w:pStyle w:val="Heading2"/>
        <w:numPr>
          <w:ilvl w:val="1"/>
          <w:numId w:val="20"/>
        </w:numPr>
        <w:tabs>
          <w:tab w:val="left" w:pos="1054"/>
        </w:tabs>
        <w:spacing w:before="1" w:after="0" w:line="240" w:lineRule="auto"/>
        <w:ind w:left="1053" w:right="0" w:hanging="363"/>
        <w:jc w:val="left"/>
      </w:pPr>
      <w:bookmarkStart w:id="7" w:name="_TOC_250013"/>
      <w:bookmarkEnd w:id="7"/>
      <w:r>
        <w:rPr>
          <w:spacing w:val="-1"/>
        </w:rPr>
        <w:t>、施工机械设备、工具安排</w:t>
      </w:r>
    </w:p>
    <w:p>
      <w:pPr>
        <w:pStyle w:val="BodyText"/>
        <w:spacing w:before="106"/>
        <w:ind w:left="1171"/>
      </w:pPr>
      <w:r>
        <w:rPr>
          <w:spacing w:val="-2"/>
        </w:rPr>
        <w:t>机械设备安排见下表</w:t>
      </w:r>
    </w:p>
    <w:p>
      <w:pPr>
        <w:pStyle w:val="BodyText"/>
        <w:spacing w:before="1"/>
        <w:ind w:left="0"/>
        <w:rPr>
          <w:sz w:val="6"/>
        </w:rPr>
      </w:pPr>
    </w:p>
    <w:tbl>
      <w:tblPr>
        <w:tblStyle w:val="TableNormal0"/>
        <w:tblW w:w="0" w:type="auto"/>
        <w:jc w:val="left"/>
        <w:tblInd w:w="6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"/>
        <w:gridCol w:w="1162"/>
        <w:gridCol w:w="1932"/>
        <w:gridCol w:w="1818"/>
        <w:gridCol w:w="1350"/>
        <w:gridCol w:w="1249"/>
      </w:tblGrid>
      <w:tr>
        <w:tblPrEx>
          <w:tblW w:w="0" w:type="auto"/>
          <w:jc w:val="left"/>
          <w:tblInd w:w="618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5"/>
          <w:jc w:val="left"/>
        </w:trPr>
        <w:tc>
          <w:tcPr>
            <w:tcW w:w="549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5"/>
                <w:sz w:val="20"/>
              </w:rPr>
              <w:t>序号</w:t>
            </w:r>
          </w:p>
        </w:tc>
        <w:tc>
          <w:tcPr>
            <w:tcW w:w="11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191"/>
              <w:rPr>
                <w:sz w:val="20"/>
              </w:rPr>
            </w:pPr>
            <w:r>
              <w:rPr>
                <w:spacing w:val="-3"/>
                <w:sz w:val="20"/>
              </w:rPr>
              <w:t>机械名称</w:t>
            </w:r>
          </w:p>
        </w:tc>
        <w:tc>
          <w:tcPr>
            <w:tcW w:w="19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761" w:right="7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型号</w:t>
            </w:r>
          </w:p>
        </w:tc>
        <w:tc>
          <w:tcPr>
            <w:tcW w:w="1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703" w:right="6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内容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6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所需机械设备数量</w:t>
            </w:r>
          </w:p>
        </w:tc>
      </w:tr>
      <w:tr>
        <w:tblPrEx>
          <w:tblW w:w="0" w:type="auto"/>
          <w:jc w:val="left"/>
          <w:tblInd w:w="6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5"/>
          <w:jc w:val="left"/>
        </w:trPr>
        <w:tc>
          <w:tcPr>
            <w:tcW w:w="54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ind w:left="444" w:right="41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0"/>
                <w:sz w:val="20"/>
              </w:rPr>
              <w:t xml:space="preserve"> 月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6"/>
              <w:ind w:left="399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30"/>
                <w:sz w:val="20"/>
              </w:rPr>
              <w:t xml:space="preserve"> 月</w:t>
            </w:r>
          </w:p>
        </w:tc>
      </w:tr>
      <w:tr>
        <w:tblPrEx>
          <w:tblW w:w="0" w:type="auto"/>
          <w:jc w:val="left"/>
          <w:tblInd w:w="6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5"/>
          <w:jc w:val="left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6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6"/>
              <w:ind w:left="177" w:right="1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压路机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6"/>
              <w:ind w:left="166" w:right="136"/>
              <w:jc w:val="center"/>
              <w:rPr>
                <w:sz w:val="20"/>
              </w:rPr>
            </w:pPr>
            <w:r>
              <w:rPr>
                <w:sz w:val="20"/>
              </w:rPr>
              <w:t>徐工</w:t>
            </w:r>
            <w:r>
              <w:rPr>
                <w:spacing w:val="-2"/>
                <w:sz w:val="20"/>
              </w:rPr>
              <w:t>（18t）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6"/>
              <w:ind w:left="504" w:right="4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碾压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6"/>
              <w:ind w:left="444" w:right="4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0"/>
                <w:sz w:val="20"/>
              </w:rPr>
              <w:t xml:space="preserve"> 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6"/>
              <w:ind w:left="44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0"/>
                <w:sz w:val="20"/>
              </w:rPr>
              <w:t xml:space="preserve"> 台</w:t>
            </w:r>
          </w:p>
        </w:tc>
      </w:tr>
      <w:tr>
        <w:tblPrEx>
          <w:tblW w:w="0" w:type="auto"/>
          <w:jc w:val="left"/>
          <w:tblInd w:w="6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5"/>
          <w:jc w:val="left"/>
        </w:trPr>
        <w:tc>
          <w:tcPr>
            <w:tcW w:w="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6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6"/>
              <w:ind w:left="177" w:right="1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挖掘机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6"/>
              <w:ind w:left="166" w:right="136"/>
              <w:jc w:val="center"/>
              <w:rPr>
                <w:sz w:val="20"/>
              </w:rPr>
            </w:pPr>
            <w:r>
              <w:rPr>
                <w:sz w:val="20"/>
              </w:rPr>
              <w:t>PC360、</w:t>
            </w:r>
            <w:r>
              <w:rPr>
                <w:spacing w:val="-4"/>
                <w:sz w:val="20"/>
              </w:rPr>
              <w:t>320D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6"/>
              <w:ind w:left="504" w:right="475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开挖沟槽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6"/>
              <w:ind w:left="444" w:right="41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0"/>
                <w:sz w:val="20"/>
              </w:rPr>
              <w:t xml:space="preserve"> 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6"/>
              <w:ind w:left="44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0"/>
                <w:sz w:val="20"/>
              </w:rPr>
              <w:t xml:space="preserve"> 台</w:t>
            </w:r>
          </w:p>
        </w:tc>
      </w:tr>
    </w:tbl>
    <w:p>
      <w:pPr>
        <w:spacing w:after="0"/>
        <w:rPr>
          <w:sz w:val="20"/>
        </w:rPr>
        <w:sectPr>
          <w:footerReference w:type="default" r:id="rId12"/>
          <w:pgSz w:w="11910" w:h="16840"/>
          <w:pgMar w:top="1440" w:right="800" w:bottom="1180" w:left="1320" w:header="0" w:footer="991"/>
          <w:pgNumType w:start="3"/>
          <w:cols w:space="708"/>
        </w:sectPr>
      </w:pPr>
    </w:p>
    <w:p>
      <w:pPr>
        <w:pStyle w:val="BodyText"/>
        <w:spacing w:before="3"/>
        <w:ind w:left="0"/>
        <w:rPr>
          <w:sz w:val="2"/>
        </w:rPr>
      </w:pPr>
    </w:p>
    <w:tbl>
      <w:tblPr>
        <w:tblStyle w:val="TableNormal1"/>
        <w:tblW w:w="0" w:type="auto"/>
        <w:jc w:val="left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"/>
        <w:gridCol w:w="1162"/>
        <w:gridCol w:w="1932"/>
        <w:gridCol w:w="1818"/>
        <w:gridCol w:w="1350"/>
        <w:gridCol w:w="1249"/>
      </w:tblGrid>
      <w:tr>
        <w:tblPrEx>
          <w:tblW w:w="0" w:type="auto"/>
          <w:jc w:val="left"/>
          <w:tblInd w:w="6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5"/>
          <w:jc w:val="left"/>
        </w:trPr>
        <w:tc>
          <w:tcPr>
            <w:tcW w:w="549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18" w:type="dxa"/>
          </w:tcPr>
          <w:p>
            <w:pPr>
              <w:pStyle w:val="TableParagraph"/>
              <w:spacing w:before="106"/>
              <w:ind w:left="504" w:right="475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管道回填</w:t>
            </w:r>
          </w:p>
        </w:tc>
        <w:tc>
          <w:tcPr>
            <w:tcW w:w="1350" w:type="dxa"/>
          </w:tcPr>
          <w:p>
            <w:pPr>
              <w:pStyle w:val="TableParagraph"/>
              <w:spacing w:before="106"/>
              <w:ind w:left="444" w:right="4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0"/>
                <w:sz w:val="20"/>
              </w:rPr>
              <w:t xml:space="preserve"> 台</w:t>
            </w:r>
          </w:p>
        </w:tc>
        <w:tc>
          <w:tcPr>
            <w:tcW w:w="124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6"/>
              <w:ind w:left="44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0"/>
                <w:sz w:val="20"/>
              </w:rPr>
              <w:t xml:space="preserve"> 台</w:t>
            </w:r>
          </w:p>
        </w:tc>
      </w:tr>
      <w:tr>
        <w:tblPrEx>
          <w:tblW w:w="0" w:type="auto"/>
          <w:jc w:val="left"/>
          <w:tblInd w:w="6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5"/>
          <w:jc w:val="left"/>
        </w:trPr>
        <w:tc>
          <w:tcPr>
            <w:tcW w:w="54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6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2" w:type="dxa"/>
          </w:tcPr>
          <w:p>
            <w:pPr>
              <w:pStyle w:val="TableParagraph"/>
              <w:spacing w:before="106"/>
              <w:ind w:left="177" w:right="1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破碎机</w:t>
            </w:r>
          </w:p>
        </w:tc>
        <w:tc>
          <w:tcPr>
            <w:tcW w:w="1932" w:type="dxa"/>
          </w:tcPr>
          <w:p>
            <w:pPr>
              <w:pStyle w:val="TableParagraph"/>
              <w:spacing w:before="106"/>
              <w:ind w:left="166" w:right="1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液压</w:t>
            </w:r>
          </w:p>
        </w:tc>
        <w:tc>
          <w:tcPr>
            <w:tcW w:w="1818" w:type="dxa"/>
          </w:tcPr>
          <w:p>
            <w:pPr>
              <w:pStyle w:val="TableParagraph"/>
              <w:spacing w:before="106"/>
              <w:ind w:left="504" w:right="4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破碎</w:t>
            </w:r>
          </w:p>
        </w:tc>
        <w:tc>
          <w:tcPr>
            <w:tcW w:w="1350" w:type="dxa"/>
          </w:tcPr>
          <w:p>
            <w:pPr>
              <w:pStyle w:val="TableParagraph"/>
              <w:spacing w:before="106"/>
              <w:ind w:left="444" w:right="4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0"/>
                <w:sz w:val="20"/>
              </w:rPr>
              <w:t xml:space="preserve"> 台</w:t>
            </w:r>
          </w:p>
        </w:tc>
        <w:tc>
          <w:tcPr>
            <w:tcW w:w="124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6"/>
              <w:ind w:left="44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0"/>
                <w:sz w:val="20"/>
              </w:rPr>
              <w:t xml:space="preserve"> 台</w:t>
            </w:r>
          </w:p>
        </w:tc>
      </w:tr>
      <w:tr>
        <w:tblPrEx>
          <w:tblW w:w="0" w:type="auto"/>
          <w:jc w:val="left"/>
          <w:tblInd w:w="6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5"/>
          <w:jc w:val="left"/>
        </w:trPr>
        <w:tc>
          <w:tcPr>
            <w:tcW w:w="54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6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62" w:type="dxa"/>
          </w:tcPr>
          <w:p>
            <w:pPr>
              <w:pStyle w:val="TableParagraph"/>
              <w:spacing w:before="106"/>
              <w:ind w:left="177" w:right="1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装载机</w:t>
            </w:r>
          </w:p>
        </w:tc>
        <w:tc>
          <w:tcPr>
            <w:tcW w:w="1932" w:type="dxa"/>
          </w:tcPr>
          <w:p>
            <w:pPr>
              <w:pStyle w:val="TableParagraph"/>
              <w:spacing w:before="106"/>
              <w:ind w:left="166" w:right="136"/>
              <w:jc w:val="center"/>
              <w:rPr>
                <w:sz w:val="20"/>
              </w:rPr>
            </w:pPr>
            <w:r>
              <w:rPr>
                <w:spacing w:val="-17"/>
                <w:sz w:val="20"/>
              </w:rPr>
              <w:t xml:space="preserve">厦工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818" w:type="dxa"/>
          </w:tcPr>
          <w:p>
            <w:pPr>
              <w:pStyle w:val="TableParagraph"/>
              <w:spacing w:before="106"/>
              <w:ind w:left="504" w:right="475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转运材料</w:t>
            </w:r>
          </w:p>
        </w:tc>
        <w:tc>
          <w:tcPr>
            <w:tcW w:w="1350" w:type="dxa"/>
          </w:tcPr>
          <w:p>
            <w:pPr>
              <w:pStyle w:val="TableParagraph"/>
              <w:spacing w:before="106"/>
              <w:ind w:left="444" w:right="4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0"/>
                <w:sz w:val="20"/>
              </w:rPr>
              <w:t xml:space="preserve"> 台</w:t>
            </w:r>
          </w:p>
        </w:tc>
        <w:tc>
          <w:tcPr>
            <w:tcW w:w="124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6"/>
              <w:ind w:left="44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0"/>
                <w:sz w:val="20"/>
              </w:rPr>
              <w:t xml:space="preserve"> 台</w:t>
            </w:r>
          </w:p>
        </w:tc>
      </w:tr>
      <w:tr>
        <w:tblPrEx>
          <w:tblW w:w="0" w:type="auto"/>
          <w:jc w:val="left"/>
          <w:tblInd w:w="6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5"/>
          <w:jc w:val="left"/>
        </w:trPr>
        <w:tc>
          <w:tcPr>
            <w:tcW w:w="54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6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62" w:type="dxa"/>
          </w:tcPr>
          <w:p>
            <w:pPr>
              <w:pStyle w:val="TableParagraph"/>
              <w:spacing w:before="106"/>
              <w:ind w:left="177" w:right="147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自卸汽车</w:t>
            </w:r>
          </w:p>
        </w:tc>
        <w:tc>
          <w:tcPr>
            <w:tcW w:w="1932" w:type="dxa"/>
          </w:tcPr>
          <w:p>
            <w:pPr>
              <w:pStyle w:val="TableParagraph"/>
              <w:spacing w:before="106"/>
              <w:ind w:left="166" w:right="136"/>
              <w:jc w:val="center"/>
              <w:rPr>
                <w:sz w:val="20"/>
              </w:rPr>
            </w:pPr>
            <w:r>
              <w:rPr>
                <w:sz w:val="20"/>
              </w:rPr>
              <w:t>25m3/</w:t>
            </w:r>
            <w:r>
              <w:rPr>
                <w:spacing w:val="-5"/>
                <w:sz w:val="20"/>
              </w:rPr>
              <w:t>每辆</w:t>
            </w:r>
          </w:p>
        </w:tc>
        <w:tc>
          <w:tcPr>
            <w:tcW w:w="1818" w:type="dxa"/>
          </w:tcPr>
          <w:p>
            <w:pPr>
              <w:pStyle w:val="TableParagraph"/>
              <w:spacing w:before="106"/>
              <w:ind w:left="504" w:right="475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转运材料</w:t>
            </w:r>
          </w:p>
        </w:tc>
        <w:tc>
          <w:tcPr>
            <w:tcW w:w="1350" w:type="dxa"/>
          </w:tcPr>
          <w:p>
            <w:pPr>
              <w:pStyle w:val="TableParagraph"/>
              <w:spacing w:before="106"/>
              <w:ind w:left="444" w:right="41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30"/>
                <w:sz w:val="20"/>
              </w:rPr>
              <w:t xml:space="preserve"> 辆</w:t>
            </w:r>
          </w:p>
        </w:tc>
        <w:tc>
          <w:tcPr>
            <w:tcW w:w="124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6"/>
              <w:ind w:left="399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30"/>
                <w:sz w:val="20"/>
              </w:rPr>
              <w:t xml:space="preserve"> 辆</w:t>
            </w:r>
          </w:p>
        </w:tc>
      </w:tr>
      <w:tr>
        <w:tblPrEx>
          <w:tblW w:w="0" w:type="auto"/>
          <w:jc w:val="left"/>
          <w:tblInd w:w="6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5"/>
          <w:jc w:val="left"/>
        </w:trPr>
        <w:tc>
          <w:tcPr>
            <w:tcW w:w="54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6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62" w:type="dxa"/>
          </w:tcPr>
          <w:p>
            <w:pPr>
              <w:pStyle w:val="TableParagraph"/>
              <w:spacing w:before="106"/>
              <w:ind w:left="177" w:right="1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打夯机</w:t>
            </w:r>
          </w:p>
        </w:tc>
        <w:tc>
          <w:tcPr>
            <w:tcW w:w="1932" w:type="dxa"/>
          </w:tcPr>
          <w:p>
            <w:pPr>
              <w:pStyle w:val="TableParagraph"/>
              <w:spacing w:before="106"/>
              <w:ind w:left="166" w:right="136"/>
              <w:jc w:val="center"/>
              <w:rPr>
                <w:sz w:val="20"/>
              </w:rPr>
            </w:pPr>
            <w:r>
              <w:rPr>
                <w:sz w:val="20"/>
              </w:rPr>
              <w:t>HCR90</w:t>
            </w:r>
            <w:r>
              <w:rPr>
                <w:spacing w:val="-20"/>
                <w:sz w:val="20"/>
              </w:rPr>
              <w:t xml:space="preserve"> 内燃</w:t>
            </w:r>
          </w:p>
        </w:tc>
        <w:tc>
          <w:tcPr>
            <w:tcW w:w="1818" w:type="dxa"/>
          </w:tcPr>
          <w:p>
            <w:pPr>
              <w:pStyle w:val="TableParagraph"/>
              <w:spacing w:before="106"/>
              <w:ind w:left="504" w:right="4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夯实</w:t>
            </w:r>
          </w:p>
        </w:tc>
        <w:tc>
          <w:tcPr>
            <w:tcW w:w="1350" w:type="dxa"/>
          </w:tcPr>
          <w:p>
            <w:pPr>
              <w:pStyle w:val="TableParagraph"/>
              <w:spacing w:before="106"/>
              <w:ind w:left="444" w:right="4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0"/>
                <w:sz w:val="20"/>
              </w:rPr>
              <w:t xml:space="preserve"> 台</w:t>
            </w:r>
          </w:p>
        </w:tc>
        <w:tc>
          <w:tcPr>
            <w:tcW w:w="124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6"/>
              <w:ind w:left="44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0"/>
                <w:sz w:val="20"/>
              </w:rPr>
              <w:t xml:space="preserve"> 台</w:t>
            </w:r>
          </w:p>
        </w:tc>
      </w:tr>
      <w:tr>
        <w:tblPrEx>
          <w:tblW w:w="0" w:type="auto"/>
          <w:jc w:val="left"/>
          <w:tblInd w:w="6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5"/>
          <w:jc w:val="left"/>
        </w:trPr>
        <w:tc>
          <w:tcPr>
            <w:tcW w:w="54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6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62" w:type="dxa"/>
          </w:tcPr>
          <w:p>
            <w:pPr>
              <w:pStyle w:val="TableParagraph"/>
              <w:spacing w:before="106"/>
              <w:ind w:left="177" w:right="1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发电机</w:t>
            </w:r>
          </w:p>
        </w:tc>
        <w:tc>
          <w:tcPr>
            <w:tcW w:w="1932" w:type="dxa"/>
          </w:tcPr>
          <w:p>
            <w:pPr>
              <w:pStyle w:val="TableParagraph"/>
              <w:spacing w:before="106"/>
              <w:ind w:left="166" w:right="136"/>
              <w:jc w:val="center"/>
              <w:rPr>
                <w:sz w:val="20"/>
              </w:rPr>
            </w:pPr>
            <w:r>
              <w:rPr>
                <w:sz w:val="20"/>
              </w:rPr>
              <w:t>12KW</w:t>
            </w:r>
            <w:r>
              <w:rPr>
                <w:spacing w:val="-26"/>
                <w:sz w:val="20"/>
              </w:rPr>
              <w:t xml:space="preserve"> 汽油 </w:t>
            </w:r>
            <w:r>
              <w:rPr>
                <w:sz w:val="20"/>
              </w:rPr>
              <w:t>BS-</w:t>
            </w:r>
            <w:r>
              <w:rPr>
                <w:spacing w:val="-4"/>
                <w:sz w:val="20"/>
              </w:rPr>
              <w:t>1130</w:t>
            </w:r>
          </w:p>
        </w:tc>
        <w:tc>
          <w:tcPr>
            <w:tcW w:w="1818" w:type="dxa"/>
          </w:tcPr>
          <w:p>
            <w:pPr>
              <w:pStyle w:val="TableParagraph"/>
              <w:spacing w:before="106"/>
              <w:ind w:left="504" w:right="4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照明</w:t>
            </w:r>
          </w:p>
        </w:tc>
        <w:tc>
          <w:tcPr>
            <w:tcW w:w="1350" w:type="dxa"/>
          </w:tcPr>
          <w:p>
            <w:pPr>
              <w:pStyle w:val="TableParagraph"/>
              <w:spacing w:before="106"/>
              <w:ind w:left="444" w:right="4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0"/>
                <w:sz w:val="20"/>
              </w:rPr>
              <w:t xml:space="preserve"> 台</w:t>
            </w:r>
          </w:p>
        </w:tc>
        <w:tc>
          <w:tcPr>
            <w:tcW w:w="124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6"/>
              <w:ind w:left="44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0"/>
                <w:sz w:val="20"/>
              </w:rPr>
              <w:t xml:space="preserve"> 台</w:t>
            </w:r>
          </w:p>
        </w:tc>
      </w:tr>
      <w:tr>
        <w:tblPrEx>
          <w:tblW w:w="0" w:type="auto"/>
          <w:jc w:val="left"/>
          <w:tblInd w:w="6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5"/>
          <w:jc w:val="left"/>
        </w:trPr>
        <w:tc>
          <w:tcPr>
            <w:tcW w:w="549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21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6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121"/>
              <w:ind w:left="177" w:right="14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水泵</w:t>
            </w:r>
          </w:p>
        </w:tc>
        <w:tc>
          <w:tcPr>
            <w:tcW w:w="193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121"/>
              <w:ind w:left="166" w:right="13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φ150</w:t>
            </w: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121"/>
              <w:ind w:left="504" w:right="4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抽水</w:t>
            </w:r>
          </w:p>
        </w:tc>
        <w:tc>
          <w:tcPr>
            <w:tcW w:w="135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121"/>
              <w:ind w:left="444" w:right="4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0"/>
                <w:sz w:val="20"/>
              </w:rPr>
              <w:t xml:space="preserve"> 台</w:t>
            </w:r>
          </w:p>
        </w:tc>
        <w:tc>
          <w:tcPr>
            <w:tcW w:w="1249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1"/>
              <w:ind w:left="44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0"/>
                <w:sz w:val="20"/>
              </w:rPr>
              <w:t xml:space="preserve"> 台</w:t>
            </w:r>
          </w:p>
        </w:tc>
      </w:tr>
    </w:tbl>
    <w:p>
      <w:pPr>
        <w:pStyle w:val="Heading2"/>
        <w:numPr>
          <w:ilvl w:val="1"/>
          <w:numId w:val="20"/>
        </w:numPr>
        <w:tabs>
          <w:tab w:val="left" w:pos="363"/>
        </w:tabs>
        <w:spacing w:before="13" w:after="0" w:line="240" w:lineRule="auto"/>
        <w:ind w:left="362" w:right="7526" w:hanging="363"/>
        <w:jc w:val="right"/>
      </w:pPr>
      <w:bookmarkStart w:id="8" w:name="_TOC_250012"/>
      <w:bookmarkEnd w:id="8"/>
      <w:r>
        <w:rPr>
          <w:spacing w:val="-2"/>
        </w:rPr>
        <w:t>、工期安排</w:t>
      </w:r>
    </w:p>
    <w:p>
      <w:pPr>
        <w:pStyle w:val="BodyText"/>
        <w:spacing w:before="106"/>
        <w:ind w:left="691"/>
      </w:pPr>
      <w:r>
        <w:t>5</w:t>
      </w:r>
      <w:r>
        <w:rPr>
          <w:spacing w:val="-40"/>
        </w:rPr>
        <w:t xml:space="preserve"> 月 </w:t>
      </w:r>
      <w:r>
        <w:t>15</w:t>
      </w:r>
      <w:r>
        <w:rPr>
          <w:spacing w:val="-30"/>
        </w:rPr>
        <w:t xml:space="preserve"> 日</w:t>
      </w:r>
      <w:r>
        <w:t>～6</w:t>
      </w:r>
      <w:r>
        <w:rPr>
          <w:spacing w:val="-40"/>
        </w:rPr>
        <w:t xml:space="preserve"> 月 </w:t>
      </w:r>
      <w:r>
        <w:t>15</w:t>
      </w:r>
      <w:r>
        <w:rPr>
          <w:spacing w:val="-9"/>
        </w:rPr>
        <w:t xml:space="preserve"> 日完成沟槽开挖。</w:t>
      </w:r>
    </w:p>
    <w:p>
      <w:pPr>
        <w:pStyle w:val="ListParagraph"/>
        <w:numPr>
          <w:ilvl w:val="0"/>
          <w:numId w:val="19"/>
        </w:numPr>
        <w:tabs>
          <w:tab w:val="left" w:pos="871"/>
        </w:tabs>
        <w:spacing w:before="160" w:after="0" w:line="240" w:lineRule="auto"/>
        <w:ind w:left="871" w:right="0" w:hanging="180"/>
        <w:jc w:val="left"/>
        <w:rPr>
          <w:sz w:val="24"/>
        </w:rPr>
      </w:pPr>
      <w:r>
        <w:rPr>
          <w:spacing w:val="-30"/>
          <w:sz w:val="24"/>
        </w:rPr>
        <w:t xml:space="preserve">月 </w:t>
      </w:r>
      <w:r>
        <w:rPr>
          <w:sz w:val="24"/>
        </w:rPr>
        <w:t>20</w:t>
      </w:r>
      <w:r>
        <w:rPr>
          <w:spacing w:val="-30"/>
          <w:sz w:val="24"/>
        </w:rPr>
        <w:t xml:space="preserve"> 日</w:t>
      </w:r>
      <w:r>
        <w:rPr>
          <w:sz w:val="24"/>
        </w:rPr>
        <w:t>～6</w:t>
      </w:r>
      <w:r>
        <w:rPr>
          <w:spacing w:val="-40"/>
          <w:sz w:val="24"/>
        </w:rPr>
        <w:t xml:space="preserve"> 月 </w:t>
      </w:r>
      <w:r>
        <w:rPr>
          <w:sz w:val="24"/>
        </w:rPr>
        <w:t>10</w:t>
      </w:r>
      <w:r>
        <w:rPr>
          <w:spacing w:val="-9"/>
          <w:sz w:val="24"/>
        </w:rPr>
        <w:t xml:space="preserve"> 日完成管道安装和检查井砌筑。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val="left" w:pos="871"/>
        </w:tabs>
        <w:spacing w:before="0" w:after="0" w:line="240" w:lineRule="auto"/>
        <w:ind w:left="871" w:right="0" w:hanging="180"/>
        <w:jc w:val="left"/>
        <w:rPr>
          <w:sz w:val="24"/>
        </w:rPr>
      </w:pPr>
      <w:r>
        <w:rPr>
          <w:spacing w:val="-30"/>
          <w:sz w:val="24"/>
        </w:rPr>
        <w:t xml:space="preserve">月 </w:t>
      </w:r>
      <w:r>
        <w:rPr>
          <w:sz w:val="24"/>
        </w:rPr>
        <w:t>10</w:t>
      </w:r>
      <w:r>
        <w:rPr>
          <w:spacing w:val="-30"/>
          <w:sz w:val="24"/>
        </w:rPr>
        <w:t xml:space="preserve"> 日</w:t>
      </w:r>
      <w:r>
        <w:rPr>
          <w:sz w:val="24"/>
        </w:rPr>
        <w:t>～6</w:t>
      </w:r>
      <w:r>
        <w:rPr>
          <w:spacing w:val="-40"/>
          <w:sz w:val="24"/>
        </w:rPr>
        <w:t xml:space="preserve"> 月 </w:t>
      </w:r>
      <w:r>
        <w:rPr>
          <w:sz w:val="24"/>
        </w:rPr>
        <w:t>15</w:t>
      </w:r>
      <w:r>
        <w:rPr>
          <w:spacing w:val="-9"/>
          <w:sz w:val="24"/>
        </w:rPr>
        <w:t xml:space="preserve"> 日完成闭水实验及管道回填。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Heading1"/>
        <w:spacing w:before="193"/>
        <w:ind w:left="0" w:right="7465"/>
        <w:jc w:val="right"/>
      </w:pPr>
      <w:bookmarkStart w:id="9" w:name="_TOC_250011"/>
      <w:r>
        <w:rPr>
          <w:spacing w:val="-4"/>
        </w:rPr>
        <w:t>6</w:t>
      </w:r>
      <w:bookmarkEnd w:id="9"/>
      <w:r>
        <w:rPr>
          <w:spacing w:val="-5"/>
        </w:rPr>
        <w:t>、主要施工方法</w:t>
      </w:r>
    </w:p>
    <w:p>
      <w:pPr>
        <w:pStyle w:val="Heading2"/>
        <w:numPr>
          <w:ilvl w:val="1"/>
          <w:numId w:val="19"/>
        </w:numPr>
        <w:tabs>
          <w:tab w:val="left" w:pos="363"/>
        </w:tabs>
        <w:spacing w:before="70" w:after="0" w:line="240" w:lineRule="auto"/>
        <w:ind w:left="362" w:right="7526" w:hanging="363"/>
        <w:jc w:val="right"/>
      </w:pPr>
      <w:bookmarkStart w:id="10" w:name="_TOC_250010"/>
      <w:bookmarkEnd w:id="10"/>
      <w:r>
        <w:rPr>
          <w:spacing w:val="-2"/>
        </w:rPr>
        <w:t>、测量放线</w:t>
      </w:r>
    </w:p>
    <w:p>
      <w:pPr>
        <w:pStyle w:val="ListParagraph"/>
        <w:numPr>
          <w:ilvl w:val="2"/>
          <w:numId w:val="19"/>
        </w:numPr>
        <w:tabs>
          <w:tab w:val="left" w:pos="1292"/>
        </w:tabs>
        <w:spacing w:before="106" w:after="0" w:line="364" w:lineRule="auto"/>
        <w:ind w:left="211" w:right="730" w:firstLine="480"/>
        <w:jc w:val="left"/>
        <w:rPr>
          <w:sz w:val="24"/>
        </w:rPr>
      </w:pPr>
      <w:r>
        <w:rPr>
          <w:spacing w:val="-5"/>
          <w:sz w:val="24"/>
        </w:rPr>
        <w:t>、 组织测量技术人员对测量控制点进行复测，复核无误后建立工程测量控</w:t>
      </w:r>
      <w:r>
        <w:rPr>
          <w:spacing w:val="-2"/>
          <w:sz w:val="24"/>
        </w:rPr>
        <w:t>制网，对工程进行点面相结合的测量控制。</w:t>
      </w:r>
    </w:p>
    <w:p>
      <w:pPr>
        <w:pStyle w:val="ListParagraph"/>
        <w:numPr>
          <w:ilvl w:val="2"/>
          <w:numId w:val="19"/>
        </w:numPr>
        <w:tabs>
          <w:tab w:val="left" w:pos="1411"/>
        </w:tabs>
        <w:spacing w:before="1" w:after="0" w:line="364" w:lineRule="auto"/>
        <w:ind w:left="211" w:right="730" w:firstLine="480"/>
        <w:jc w:val="left"/>
        <w:rPr>
          <w:sz w:val="24"/>
        </w:rPr>
      </w:pPr>
      <w:r>
        <w:rPr>
          <w:spacing w:val="-2"/>
          <w:sz w:val="24"/>
        </w:rPr>
        <w:t>、进行施工放样测量，定出管道中线及井位置并定出水准基准点作为整个</w:t>
      </w:r>
      <w:r>
        <w:rPr>
          <w:spacing w:val="-2"/>
          <w:sz w:val="24"/>
        </w:rPr>
        <w:t>工程的控制点。每次测量均要闭合，严格控制闭合误差。</w:t>
      </w:r>
    </w:p>
    <w:p>
      <w:pPr>
        <w:pStyle w:val="ListParagraph"/>
        <w:numPr>
          <w:ilvl w:val="2"/>
          <w:numId w:val="19"/>
        </w:numPr>
        <w:tabs>
          <w:tab w:val="left" w:pos="1292"/>
        </w:tabs>
        <w:spacing w:before="1" w:after="0" w:line="364" w:lineRule="auto"/>
        <w:ind w:left="211" w:right="729" w:firstLine="480"/>
        <w:jc w:val="left"/>
        <w:rPr>
          <w:sz w:val="24"/>
        </w:rPr>
      </w:pPr>
      <w:r>
        <w:rPr>
          <w:spacing w:val="-2"/>
          <w:sz w:val="24"/>
        </w:rPr>
        <w:t>、沟槽开挖前应随同工程监理人员复核施工现场测量放线成果，测量偏差</w:t>
      </w:r>
      <w:r>
        <w:rPr>
          <w:spacing w:val="-2"/>
          <w:sz w:val="24"/>
        </w:rPr>
        <w:t>应在规范许可的允许偏差内。</w:t>
      </w:r>
    </w:p>
    <w:p>
      <w:pPr>
        <w:pStyle w:val="ListParagraph"/>
        <w:numPr>
          <w:ilvl w:val="2"/>
          <w:numId w:val="19"/>
        </w:numPr>
        <w:tabs>
          <w:tab w:val="left" w:pos="1292"/>
        </w:tabs>
        <w:spacing w:before="1" w:after="0" w:line="240" w:lineRule="auto"/>
        <w:ind w:left="1292" w:right="0" w:hanging="601"/>
        <w:jc w:val="left"/>
        <w:rPr>
          <w:sz w:val="24"/>
        </w:rPr>
      </w:pPr>
      <w:r>
        <w:rPr>
          <w:spacing w:val="-1"/>
          <w:sz w:val="24"/>
        </w:rPr>
        <w:t>、 检查井面标高应与路基平面相同。</w:t>
      </w:r>
    </w:p>
    <w:p>
      <w:pPr>
        <w:pStyle w:val="Heading2"/>
        <w:numPr>
          <w:ilvl w:val="1"/>
          <w:numId w:val="19"/>
        </w:numPr>
        <w:tabs>
          <w:tab w:val="left" w:pos="363"/>
        </w:tabs>
        <w:spacing w:before="82" w:after="0" w:line="240" w:lineRule="auto"/>
        <w:ind w:left="362" w:right="7526" w:hanging="363"/>
        <w:jc w:val="right"/>
      </w:pPr>
      <w:bookmarkStart w:id="11" w:name="_TOC_250009"/>
      <w:bookmarkEnd w:id="11"/>
      <w:r>
        <w:rPr>
          <w:spacing w:val="-2"/>
        </w:rPr>
        <w:t>、施工排水</w:t>
      </w:r>
    </w:p>
    <w:p>
      <w:pPr>
        <w:pStyle w:val="ListParagraph"/>
        <w:numPr>
          <w:ilvl w:val="2"/>
          <w:numId w:val="19"/>
        </w:numPr>
        <w:tabs>
          <w:tab w:val="left" w:pos="1292"/>
        </w:tabs>
        <w:spacing w:before="105" w:after="0" w:line="364" w:lineRule="auto"/>
        <w:ind w:left="211" w:right="729" w:firstLine="480"/>
        <w:jc w:val="left"/>
        <w:rPr>
          <w:sz w:val="24"/>
        </w:rPr>
      </w:pPr>
      <w:r>
        <w:rPr>
          <w:spacing w:val="-2"/>
          <w:sz w:val="24"/>
        </w:rPr>
        <w:t xml:space="preserve">、低水位地段采用明沟排水法沿沟槽设砖砌集水井，井径 </w:t>
      </w:r>
      <w:r>
        <w:rPr>
          <w:sz w:val="24"/>
        </w:rPr>
        <w:t>0.8</w:t>
      </w:r>
      <w:r>
        <w:rPr>
          <w:spacing w:val="-7"/>
          <w:sz w:val="24"/>
        </w:rPr>
        <w:t xml:space="preserve"> 米，井底比</w:t>
      </w:r>
      <w:r>
        <w:rPr>
          <w:spacing w:val="-15"/>
          <w:sz w:val="24"/>
        </w:rPr>
        <w:t xml:space="preserve">槽底深 </w:t>
      </w:r>
      <w:r>
        <w:rPr>
          <w:sz w:val="24"/>
        </w:rPr>
        <w:t>0.5</w:t>
      </w:r>
      <w:r>
        <w:rPr>
          <w:spacing w:val="-10"/>
          <w:sz w:val="24"/>
        </w:rPr>
        <w:t xml:space="preserve"> 米，井内安置潜水泵，集水井之间沿沟槽一侧做排水沟，排水沟为 </w:t>
      </w:r>
      <w:r>
        <w:rPr>
          <w:sz w:val="24"/>
        </w:rPr>
        <w:t>0.3×</w:t>
      </w:r>
    </w:p>
    <w:p>
      <w:pPr>
        <w:pStyle w:val="BodyText"/>
        <w:spacing w:before="2" w:line="364" w:lineRule="auto"/>
        <w:ind w:right="729"/>
      </w:pPr>
      <w:r>
        <w:t>0.3</w:t>
      </w:r>
      <w:r>
        <w:rPr>
          <w:spacing w:val="-15"/>
        </w:rPr>
        <w:t xml:space="preserve"> 米，以 </w:t>
      </w:r>
      <w:r>
        <w:t>3‰坡度坡向集水井，沟槽内水应排入工程师指定地点，排水时排水口应</w:t>
      </w:r>
      <w:r>
        <w:rPr>
          <w:spacing w:val="-2"/>
        </w:rPr>
        <w:t>做滤网，防止对当地水质污染。</w:t>
      </w:r>
    </w:p>
    <w:p>
      <w:pPr>
        <w:pStyle w:val="ListParagraph"/>
        <w:numPr>
          <w:ilvl w:val="2"/>
          <w:numId w:val="19"/>
        </w:numPr>
        <w:tabs>
          <w:tab w:val="left" w:pos="1292"/>
        </w:tabs>
        <w:spacing w:before="1" w:after="0" w:line="364" w:lineRule="auto"/>
        <w:ind w:left="211" w:right="610" w:firstLine="480"/>
        <w:jc w:val="left"/>
        <w:rPr>
          <w:sz w:val="24"/>
        </w:rPr>
      </w:pPr>
      <w:r>
        <w:rPr>
          <w:spacing w:val="-2"/>
          <w:sz w:val="24"/>
        </w:rPr>
        <w:t>、施工中遇雨天或挖至透水性好、涌水量大的土层时，增设集水井及水泵，</w:t>
      </w:r>
      <w:r>
        <w:rPr>
          <w:spacing w:val="-3"/>
          <w:sz w:val="24"/>
        </w:rPr>
        <w:t xml:space="preserve">集中排水将水位降至沟槽底部以下 </w:t>
      </w:r>
      <w:r>
        <w:rPr>
          <w:sz w:val="24"/>
        </w:rPr>
        <w:t>0.5</w:t>
      </w:r>
      <w:r>
        <w:rPr>
          <w:spacing w:val="-6"/>
          <w:sz w:val="24"/>
        </w:rPr>
        <w:t xml:space="preserve"> 米，确保干场作业，直至回填土超过地下水位</w:t>
      </w:r>
    </w:p>
    <w:p>
      <w:pPr>
        <w:spacing w:after="0" w:line="364" w:lineRule="auto"/>
        <w:jc w:val="left"/>
        <w:rPr>
          <w:sz w:val="24"/>
        </w:rPr>
        <w:sectPr>
          <w:footerReference w:type="default" r:id="rId13"/>
          <w:pgSz w:w="11910" w:h="16840"/>
          <w:pgMar w:top="1360" w:right="800" w:bottom="1180" w:left="1320" w:header="0" w:footer="991"/>
          <w:pgNumType w:start="4"/>
          <w:cols w:space="708"/>
        </w:sectPr>
      </w:pPr>
    </w:p>
    <w:p>
      <w:pPr>
        <w:pStyle w:val="BodyText"/>
        <w:spacing w:before="41" w:line="364" w:lineRule="auto"/>
        <w:ind w:right="730"/>
      </w:pPr>
      <w:r>
        <w:rPr>
          <w:spacing w:val="-2"/>
        </w:rPr>
        <w:t>高度且不致使空管浮起的高度时，才可停止和拆除降、排水设施，雨季施工还应在沟</w:t>
      </w:r>
      <w:r>
        <w:rPr>
          <w:spacing w:val="-2"/>
        </w:rPr>
        <w:t>槽顶部两侧分设挡水堤或截水沟，以防止地面水流入沟槽。</w:t>
      </w:r>
    </w:p>
    <w:p>
      <w:pPr>
        <w:pStyle w:val="Heading2"/>
        <w:numPr>
          <w:ilvl w:val="1"/>
          <w:numId w:val="28"/>
        </w:numPr>
        <w:tabs>
          <w:tab w:val="left" w:pos="1054"/>
        </w:tabs>
        <w:spacing w:before="0" w:after="0" w:line="363" w:lineRule="exact"/>
        <w:ind w:left="1053" w:right="0" w:hanging="363"/>
        <w:jc w:val="left"/>
      </w:pPr>
      <w:bookmarkStart w:id="12" w:name="_TOC_250008"/>
      <w:bookmarkEnd w:id="12"/>
      <w:r>
        <w:rPr>
          <w:spacing w:val="-2"/>
        </w:rPr>
        <w:t>、沟槽开挖</w:t>
      </w:r>
    </w:p>
    <w:p>
      <w:pPr>
        <w:pStyle w:val="ListParagraph"/>
        <w:numPr>
          <w:ilvl w:val="2"/>
          <w:numId w:val="28"/>
        </w:numPr>
        <w:tabs>
          <w:tab w:val="left" w:pos="1292"/>
        </w:tabs>
        <w:spacing w:before="106" w:after="0" w:line="364" w:lineRule="auto"/>
        <w:ind w:left="211" w:right="610" w:firstLine="480"/>
        <w:jc w:val="left"/>
        <w:rPr>
          <w:sz w:val="24"/>
        </w:rPr>
      </w:pPr>
      <w:r>
        <w:rPr>
          <w:spacing w:val="-2"/>
          <w:sz w:val="24"/>
        </w:rPr>
        <w:t>、沟槽开挖前，先定好槽底宽及沟槽放坡等。会同有关部门查清地下设施、</w:t>
      </w:r>
      <w:r>
        <w:rPr>
          <w:spacing w:val="-2"/>
          <w:sz w:val="24"/>
        </w:rPr>
        <w:t>地下埋设物的现状、分布位置及埋深，在施工过程中注意保护。对新建段与建成段衔</w:t>
      </w:r>
      <w:r>
        <w:rPr>
          <w:spacing w:val="-2"/>
          <w:sz w:val="24"/>
        </w:rPr>
        <w:t>接点的沟管平面位置、高程及断面进行复核，并将复核结果呈报建设方转设计单位核</w:t>
      </w:r>
      <w:r>
        <w:rPr>
          <w:spacing w:val="-2"/>
          <w:sz w:val="24"/>
        </w:rPr>
        <w:t>定后，才能进行施工。</w:t>
      </w:r>
    </w:p>
    <w:p>
      <w:pPr>
        <w:pStyle w:val="ListParagraph"/>
        <w:numPr>
          <w:ilvl w:val="2"/>
          <w:numId w:val="28"/>
        </w:numPr>
        <w:tabs>
          <w:tab w:val="left" w:pos="1292"/>
        </w:tabs>
        <w:spacing w:before="2" w:after="0" w:line="364" w:lineRule="auto"/>
        <w:ind w:left="211" w:right="730" w:firstLine="480"/>
        <w:jc w:val="both"/>
        <w:rPr>
          <w:sz w:val="24"/>
        </w:rPr>
      </w:pPr>
      <w:r>
        <w:rPr>
          <w:spacing w:val="-14"/>
          <w:sz w:val="24"/>
        </w:rPr>
        <w:t xml:space="preserve">、排水管线包括雨水和污水排水，污水管道和雨水管道水平中心距离为 </w:t>
      </w:r>
      <w:r>
        <w:rPr>
          <w:spacing w:val="-2"/>
          <w:sz w:val="24"/>
        </w:rPr>
        <w:t>1.5米，根据设计情况结合我单位多年的施工技术实践经验，对雨、污管沟槽采取同槽开</w:t>
      </w:r>
      <w:r>
        <w:rPr>
          <w:spacing w:val="-2"/>
          <w:sz w:val="24"/>
        </w:rPr>
        <w:t>挖施工，并按先主管施工，后支管施工的原则进行；根据现场地质、地下水位情况作</w:t>
      </w:r>
      <w:r>
        <w:rPr>
          <w:spacing w:val="-2"/>
          <w:sz w:val="24"/>
        </w:rPr>
        <w:t>临时排水沟排水，排水困难的地段采用设集水井水泵抽排。抽出的地下水、渗水，直</w:t>
      </w:r>
      <w:r>
        <w:rPr>
          <w:spacing w:val="-2"/>
          <w:sz w:val="24"/>
        </w:rPr>
        <w:t>接排入两侧的临时排水沟内排除，保证雨污管干槽施工。</w:t>
      </w:r>
    </w:p>
    <w:p>
      <w:pPr>
        <w:pStyle w:val="ListParagraph"/>
        <w:numPr>
          <w:ilvl w:val="2"/>
          <w:numId w:val="28"/>
        </w:numPr>
        <w:tabs>
          <w:tab w:val="left" w:pos="1292"/>
        </w:tabs>
        <w:spacing w:before="3" w:after="0" w:line="364" w:lineRule="auto"/>
        <w:ind w:left="211" w:right="729" w:firstLine="480"/>
        <w:jc w:val="both"/>
        <w:rPr>
          <w:sz w:val="24"/>
        </w:rPr>
      </w:pPr>
      <w:r>
        <w:rPr>
          <w:spacing w:val="-3"/>
          <w:sz w:val="24"/>
        </w:rPr>
        <w:t xml:space="preserve">、沟槽开挖以机械为主，机挖机运，为防止超挖，沟底预留 </w:t>
      </w:r>
      <w:r>
        <w:rPr>
          <w:spacing w:val="-2"/>
          <w:sz w:val="24"/>
        </w:rPr>
        <w:t>20cm，用人工</w:t>
      </w:r>
      <w:r>
        <w:rPr>
          <w:spacing w:val="-2"/>
          <w:sz w:val="24"/>
        </w:rPr>
        <w:t>修坡及槽底设计标高。</w:t>
      </w:r>
    </w:p>
    <w:p>
      <w:pPr>
        <w:pStyle w:val="ListParagraph"/>
        <w:numPr>
          <w:ilvl w:val="2"/>
          <w:numId w:val="28"/>
        </w:numPr>
        <w:tabs>
          <w:tab w:val="left" w:pos="1292"/>
        </w:tabs>
        <w:spacing w:before="1" w:after="0" w:line="364" w:lineRule="auto"/>
        <w:ind w:left="211" w:right="729" w:firstLine="480"/>
        <w:jc w:val="left"/>
        <w:rPr>
          <w:sz w:val="24"/>
        </w:rPr>
      </w:pPr>
      <w:r>
        <w:rPr>
          <w:spacing w:val="-2"/>
          <w:sz w:val="24"/>
        </w:rPr>
        <w:t>、沟槽底宽等于结构宽加工作面宽，工作面宽参照市政工程定额规定值选</w:t>
      </w:r>
      <w:r>
        <w:rPr>
          <w:spacing w:val="-2"/>
          <w:sz w:val="24"/>
        </w:rPr>
        <w:t>用。开挖坡度按地勘资料和现场开挖沟槽深度及土质情况确定。</w:t>
      </w:r>
    </w:p>
    <w:p>
      <w:pPr>
        <w:pStyle w:val="ListParagraph"/>
        <w:numPr>
          <w:ilvl w:val="2"/>
          <w:numId w:val="28"/>
        </w:numPr>
        <w:tabs>
          <w:tab w:val="left" w:pos="1292"/>
        </w:tabs>
        <w:spacing w:before="2" w:after="0" w:line="364" w:lineRule="auto"/>
        <w:ind w:left="211" w:right="730" w:firstLine="480"/>
        <w:jc w:val="both"/>
        <w:rPr>
          <w:sz w:val="24"/>
        </w:rPr>
      </w:pPr>
      <w:r>
        <w:rPr>
          <w:spacing w:val="-2"/>
          <w:sz w:val="24"/>
        </w:rPr>
        <w:t xml:space="preserve">、沟槽开挖时，开挖石渣堆放在人行道上备用，堆放高度不超过 </w:t>
      </w:r>
      <w:r>
        <w:rPr>
          <w:sz w:val="24"/>
        </w:rPr>
        <w:t>1.5</w:t>
      </w:r>
      <w:r>
        <w:rPr>
          <w:spacing w:val="-10"/>
          <w:sz w:val="24"/>
        </w:rPr>
        <w:t xml:space="preserve"> 米，</w:t>
      </w:r>
      <w:r>
        <w:rPr>
          <w:spacing w:val="-6"/>
          <w:sz w:val="24"/>
        </w:rPr>
        <w:t xml:space="preserve">且距槽口边缘不小于 </w:t>
      </w:r>
      <w:r>
        <w:rPr>
          <w:spacing w:val="-4"/>
          <w:sz w:val="24"/>
        </w:rPr>
        <w:t>0.8</w:t>
      </w:r>
      <w:r>
        <w:rPr>
          <w:spacing w:val="-8"/>
          <w:sz w:val="24"/>
        </w:rPr>
        <w:t xml:space="preserve"> 米，确保堆放安全。开挖石方留足回填量后，多余弃方土渣</w:t>
      </w:r>
      <w:r>
        <w:rPr>
          <w:spacing w:val="-2"/>
          <w:sz w:val="24"/>
        </w:rPr>
        <w:t>应运至指定弃土场堆放。</w:t>
      </w:r>
    </w:p>
    <w:p>
      <w:pPr>
        <w:pStyle w:val="ListParagraph"/>
        <w:numPr>
          <w:ilvl w:val="2"/>
          <w:numId w:val="28"/>
        </w:numPr>
        <w:tabs>
          <w:tab w:val="left" w:pos="1292"/>
        </w:tabs>
        <w:spacing w:before="1" w:after="0" w:line="364" w:lineRule="auto"/>
        <w:ind w:left="211" w:right="730" w:firstLine="480"/>
        <w:jc w:val="both"/>
        <w:rPr>
          <w:sz w:val="24"/>
        </w:rPr>
      </w:pPr>
      <w:r>
        <w:rPr>
          <w:spacing w:val="-2"/>
          <w:sz w:val="24"/>
        </w:rPr>
        <w:t>、沟槽容易出现坍方的地段，做到快挖、快安管、快回填，减少沟槽坍方</w:t>
      </w:r>
      <w:r>
        <w:rPr>
          <w:spacing w:val="-2"/>
          <w:sz w:val="24"/>
        </w:rPr>
        <w:t>事故发生。如土基不良，及时报请业主、监理、设计部门共同研究，及时采取加固措</w:t>
      </w:r>
      <w:r>
        <w:rPr>
          <w:spacing w:val="-2"/>
          <w:sz w:val="24"/>
        </w:rPr>
        <w:t>施。严格控制高程，槽底不得受冻受泡受扰动。</w:t>
      </w:r>
    </w:p>
    <w:p>
      <w:pPr>
        <w:pStyle w:val="ListParagraph"/>
        <w:numPr>
          <w:ilvl w:val="2"/>
          <w:numId w:val="28"/>
        </w:numPr>
        <w:tabs>
          <w:tab w:val="left" w:pos="1292"/>
        </w:tabs>
        <w:spacing w:before="2" w:after="0" w:line="364" w:lineRule="auto"/>
        <w:ind w:left="211" w:right="729" w:firstLine="480"/>
        <w:jc w:val="both"/>
        <w:rPr>
          <w:sz w:val="24"/>
        </w:rPr>
      </w:pPr>
      <w:r>
        <w:rPr>
          <w:spacing w:val="-2"/>
          <w:sz w:val="24"/>
        </w:rPr>
        <w:t>、道路大开挖地段须待路基平整后方可开挖。局部挖深地段采用跳槽法施</w:t>
      </w:r>
      <w:r>
        <w:rPr>
          <w:spacing w:val="-5"/>
          <w:sz w:val="24"/>
        </w:rPr>
        <w:t xml:space="preserve">工，间隔 </w:t>
      </w:r>
      <w:r>
        <w:rPr>
          <w:sz w:val="24"/>
        </w:rPr>
        <w:t>8-10</w:t>
      </w:r>
      <w:r>
        <w:rPr>
          <w:spacing w:val="-5"/>
          <w:sz w:val="24"/>
        </w:rPr>
        <w:t xml:space="preserve"> 米，增设挡板支撑。</w:t>
      </w:r>
    </w:p>
    <w:p>
      <w:pPr>
        <w:pStyle w:val="ListParagraph"/>
        <w:numPr>
          <w:ilvl w:val="2"/>
          <w:numId w:val="28"/>
        </w:numPr>
        <w:tabs>
          <w:tab w:val="left" w:pos="1292"/>
        </w:tabs>
        <w:spacing w:before="1" w:after="0" w:line="364" w:lineRule="auto"/>
        <w:ind w:left="211" w:right="729" w:firstLine="480"/>
        <w:jc w:val="left"/>
        <w:rPr>
          <w:sz w:val="24"/>
        </w:rPr>
      </w:pPr>
      <w:r>
        <w:rPr>
          <w:spacing w:val="-2"/>
          <w:sz w:val="24"/>
        </w:rPr>
        <w:t>、排水管道由厂商直接用汽车将材料运至工地，工地现场采用汽车式起重</w:t>
      </w:r>
      <w:r>
        <w:rPr>
          <w:spacing w:val="-2"/>
          <w:sz w:val="24"/>
        </w:rPr>
        <w:t>机吊运人工配合就位。</w:t>
      </w:r>
    </w:p>
    <w:p>
      <w:pPr>
        <w:pStyle w:val="Heading2"/>
        <w:numPr>
          <w:ilvl w:val="1"/>
          <w:numId w:val="28"/>
        </w:numPr>
        <w:tabs>
          <w:tab w:val="left" w:pos="1054"/>
        </w:tabs>
        <w:spacing w:before="0" w:after="0" w:line="363" w:lineRule="exact"/>
        <w:ind w:left="1053" w:right="0" w:hanging="363"/>
        <w:jc w:val="left"/>
      </w:pPr>
      <w:bookmarkStart w:id="13" w:name="_TOC_250007"/>
      <w:bookmarkEnd w:id="13"/>
      <w:r>
        <w:rPr>
          <w:spacing w:val="-2"/>
        </w:rPr>
        <w:t>、管道基础</w:t>
      </w:r>
    </w:p>
    <w:p>
      <w:pPr>
        <w:pStyle w:val="ListParagraph"/>
        <w:numPr>
          <w:ilvl w:val="2"/>
          <w:numId w:val="28"/>
        </w:numPr>
        <w:tabs>
          <w:tab w:val="left" w:pos="1292"/>
        </w:tabs>
        <w:spacing w:before="106" w:after="0" w:line="240" w:lineRule="auto"/>
        <w:ind w:left="1292" w:right="0" w:hanging="601"/>
        <w:jc w:val="left"/>
        <w:rPr>
          <w:sz w:val="24"/>
        </w:rPr>
      </w:pPr>
      <w:r>
        <w:rPr>
          <w:spacing w:val="-2"/>
          <w:sz w:val="24"/>
        </w:rPr>
        <w:t>、管材及管道基础</w:t>
      </w:r>
    </w:p>
    <w:p>
      <w:pPr>
        <w:pStyle w:val="BodyText"/>
        <w:spacing w:before="161" w:line="364" w:lineRule="auto"/>
        <w:ind w:right="730" w:firstLine="480"/>
      </w:pPr>
      <w:r>
        <w:rPr>
          <w:spacing w:val="-2"/>
        </w:rPr>
        <w:t>测量中心轴线，标高，并放出基础边线。在沟底设置水平小木桩，桩顶标高为管</w:t>
      </w:r>
      <w:r>
        <w:rPr>
          <w:spacing w:val="-2"/>
        </w:rPr>
        <w:t>道平基混凝土面的标高。</w:t>
      </w:r>
    </w:p>
    <w:p>
      <w:pPr>
        <w:spacing w:after="0" w:line="364" w:lineRule="auto"/>
        <w:sectPr>
          <w:footerReference w:type="default" r:id="rId14"/>
          <w:pgSz w:w="11910" w:h="16840"/>
          <w:pgMar w:top="1440" w:right="800" w:bottom="1180" w:left="1320" w:header="0" w:footer="991"/>
          <w:pgNumType w:start="5"/>
          <w:cols w:space="708"/>
        </w:sectPr>
      </w:pPr>
    </w:p>
    <w:p>
      <w:pPr>
        <w:pStyle w:val="ListParagraph"/>
        <w:numPr>
          <w:ilvl w:val="2"/>
          <w:numId w:val="19"/>
        </w:numPr>
        <w:tabs>
          <w:tab w:val="left" w:pos="1292"/>
        </w:tabs>
        <w:spacing w:before="41" w:after="0" w:line="240" w:lineRule="auto"/>
        <w:ind w:left="1292" w:right="0" w:hanging="601"/>
        <w:jc w:val="left"/>
        <w:rPr>
          <w:sz w:val="24"/>
        </w:rPr>
      </w:pPr>
      <w:r>
        <w:rPr>
          <w:spacing w:val="-6"/>
          <w:sz w:val="24"/>
        </w:rPr>
        <w:t xml:space="preserve">、污水管管材：采用 </w:t>
      </w:r>
      <w:r>
        <w:rPr>
          <w:sz w:val="24"/>
        </w:rPr>
        <w:t>HDPE</w:t>
      </w:r>
      <w:r>
        <w:rPr>
          <w:spacing w:val="-9"/>
          <w:sz w:val="24"/>
        </w:rPr>
        <w:t xml:space="preserve"> 聚乙烯塑钢缠绕排水管；</w:t>
      </w:r>
    </w:p>
    <w:p>
      <w:pPr>
        <w:pStyle w:val="BodyText"/>
        <w:spacing w:before="160" w:line="364" w:lineRule="auto"/>
        <w:ind w:right="730" w:firstLine="480"/>
      </w:pPr>
      <w:r>
        <w:rPr>
          <w:spacing w:val="-6"/>
        </w:rPr>
        <w:t xml:space="preserve">雨水管管材:雨水管 </w:t>
      </w:r>
      <w:r>
        <w:t>d≤600</w:t>
      </w:r>
      <w:r>
        <w:rPr>
          <w:spacing w:val="-30"/>
        </w:rPr>
        <w:t xml:space="preserve"> 采用 </w:t>
      </w:r>
      <w:r>
        <w:t>HDPE</w:t>
      </w:r>
      <w:r>
        <w:rPr>
          <w:spacing w:val="-8"/>
        </w:rPr>
        <w:t xml:space="preserve"> 聚乙烯塑钢缠绕排水管</w:t>
      </w:r>
      <w:r>
        <w:t>，d＞600</w:t>
      </w:r>
      <w:r>
        <w:rPr>
          <w:spacing w:val="-12"/>
        </w:rPr>
        <w:t xml:space="preserve"> 采用‖钢</w:t>
      </w:r>
      <w:r>
        <w:rPr>
          <w:spacing w:val="-2"/>
        </w:rPr>
        <w:t>筋混凝土管。</w:t>
      </w:r>
    </w:p>
    <w:p>
      <w:pPr>
        <w:pStyle w:val="BodyText"/>
        <w:spacing w:before="2"/>
        <w:ind w:left="691"/>
      </w:pPr>
      <w:r>
        <w:t>a、</w:t>
      </w:r>
      <w:r>
        <w:rPr>
          <w:spacing w:val="-2"/>
        </w:rPr>
        <w:t>300≤D≤600</w:t>
      </w:r>
    </w:p>
    <w:p>
      <w:pPr>
        <w:pStyle w:val="BodyText"/>
        <w:spacing w:before="160" w:line="364" w:lineRule="auto"/>
        <w:ind w:left="691" w:right="994"/>
      </w:pPr>
      <w:r>
        <w:rPr>
          <w:spacing w:val="-17"/>
        </w:rPr>
        <w:t xml:space="preserve">采用 </w:t>
      </w:r>
      <w:r>
        <w:rPr>
          <w:spacing w:val="-2"/>
        </w:rPr>
        <w:t>HDPE</w:t>
      </w:r>
      <w:r>
        <w:rPr>
          <w:spacing w:val="-9"/>
        </w:rPr>
        <w:t xml:space="preserve"> 聚乙烯塑钢缠绕排水管</w:t>
      </w:r>
      <w:r>
        <w:rPr>
          <w:spacing w:val="-2"/>
        </w:rPr>
        <w:t>，180°</w:t>
      </w:r>
      <w:r>
        <w:rPr>
          <w:spacing w:val="-6"/>
        </w:rPr>
        <w:t xml:space="preserve">砂基础，参照标准图集 </w:t>
      </w:r>
      <w:r>
        <w:rPr>
          <w:spacing w:val="-2"/>
        </w:rPr>
        <w:t>04S516-11</w:t>
      </w:r>
      <w:r>
        <w:rPr>
          <w:spacing w:val="-2"/>
        </w:rPr>
        <w:t>。 b、D＞600</w:t>
      </w:r>
    </w:p>
    <w:p>
      <w:pPr>
        <w:pStyle w:val="BodyText"/>
        <w:spacing w:before="1" w:line="364" w:lineRule="auto"/>
        <w:ind w:right="730" w:firstLine="480"/>
        <w:jc w:val="both"/>
      </w:pPr>
      <w:r>
        <w:rPr>
          <w:spacing w:val="-2"/>
        </w:rPr>
        <w:t xml:space="preserve">管顶覆土深度 </w:t>
      </w:r>
      <w:r>
        <w:t>H＜0.7m</w:t>
      </w:r>
      <w:r>
        <w:rPr>
          <w:spacing w:val="-2"/>
        </w:rPr>
        <w:t xml:space="preserve">，管道采用 </w:t>
      </w:r>
      <w:r>
        <w:t>C20</w:t>
      </w:r>
      <w:r>
        <w:rPr>
          <w:spacing w:val="-6"/>
        </w:rPr>
        <w:t xml:space="preserve"> 混凝土满包 </w:t>
      </w:r>
      <w:r>
        <w:t>200mm</w:t>
      </w:r>
      <w:r>
        <w:rPr>
          <w:spacing w:val="-5"/>
        </w:rPr>
        <w:t xml:space="preserve"> 处理。管顶覆土深度</w:t>
      </w:r>
      <w:r>
        <w:t xml:space="preserve"> </w:t>
      </w:r>
      <w:r>
        <w:rPr>
          <w:spacing w:val="-4"/>
        </w:rPr>
        <w:t>0.7m≤H≤6m 采用‖钢筋混凝土管，120°混凝土基础，参照标准图集 04S516-17。管</w:t>
      </w:r>
      <w:r>
        <w:t xml:space="preserve">顶覆土深度 6m≤H≤7.5m 采用‖钢筋混凝土管，180°混凝土基础，参照标准图集 </w:t>
      </w:r>
      <w:r>
        <w:rPr>
          <w:spacing w:val="-4"/>
        </w:rPr>
        <w:t>04S516-19。管顶覆土深度 7.5m≤H≤8m 采用Ⅲ钢筋混凝土管，180°混凝土基础，参</w:t>
      </w:r>
      <w:r>
        <w:rPr>
          <w:spacing w:val="-3"/>
        </w:rPr>
        <w:t xml:space="preserve">照标准图集 </w:t>
      </w:r>
      <w:r>
        <w:t>04S516-19</w:t>
      </w:r>
      <w:r>
        <w:rPr>
          <w:spacing w:val="-2"/>
        </w:rPr>
        <w:t xml:space="preserve">。管顶覆土深度 </w:t>
      </w:r>
      <w:r>
        <w:t>H＞8m</w:t>
      </w:r>
      <w:r>
        <w:rPr>
          <w:spacing w:val="-2"/>
        </w:rPr>
        <w:t xml:space="preserve">。设计中埋深小于 </w:t>
      </w:r>
      <w:r>
        <w:t>6m。</w:t>
      </w:r>
    </w:p>
    <w:p>
      <w:pPr>
        <w:pStyle w:val="ListParagraph"/>
        <w:numPr>
          <w:ilvl w:val="2"/>
          <w:numId w:val="19"/>
        </w:numPr>
        <w:tabs>
          <w:tab w:val="left" w:pos="1411"/>
        </w:tabs>
        <w:spacing w:before="3" w:after="0" w:line="364" w:lineRule="auto"/>
        <w:ind w:left="211" w:right="730" w:firstLine="480"/>
        <w:jc w:val="both"/>
        <w:rPr>
          <w:sz w:val="24"/>
        </w:rPr>
      </w:pPr>
      <w:r>
        <w:rPr>
          <w:spacing w:val="-2"/>
          <w:sz w:val="24"/>
        </w:rPr>
        <w:t>、对于需要碎石、砂垫层的管段，应先将碎石、砂拌匀然后铺设，铺筑垫</w:t>
      </w:r>
      <w:r>
        <w:rPr>
          <w:spacing w:val="-2"/>
          <w:sz w:val="24"/>
        </w:rPr>
        <w:t>层时应边铺边检平，并用平板振动器在垫层面上予以振动压实。</w:t>
      </w:r>
    </w:p>
    <w:p>
      <w:pPr>
        <w:pStyle w:val="ListParagraph"/>
        <w:numPr>
          <w:ilvl w:val="2"/>
          <w:numId w:val="19"/>
        </w:numPr>
        <w:tabs>
          <w:tab w:val="left" w:pos="1292"/>
        </w:tabs>
        <w:spacing w:before="1" w:after="0" w:line="364" w:lineRule="auto"/>
        <w:ind w:left="211" w:right="729" w:firstLine="480"/>
        <w:jc w:val="left"/>
        <w:rPr>
          <w:sz w:val="24"/>
        </w:rPr>
      </w:pPr>
      <w:r>
        <w:rPr>
          <w:spacing w:val="-2"/>
          <w:sz w:val="24"/>
        </w:rPr>
        <w:t>、按照测出的基础边线安装平基侧模板，模板内外打撑钉牢，并在模板内</w:t>
      </w:r>
      <w:r>
        <w:rPr>
          <w:spacing w:val="-2"/>
          <w:sz w:val="24"/>
        </w:rPr>
        <w:t>侧弹线用以控制混凝土浇筑高度。</w:t>
      </w:r>
    </w:p>
    <w:p>
      <w:pPr>
        <w:pStyle w:val="ListParagraph"/>
        <w:numPr>
          <w:ilvl w:val="2"/>
          <w:numId w:val="19"/>
        </w:numPr>
        <w:tabs>
          <w:tab w:val="left" w:pos="1292"/>
        </w:tabs>
        <w:spacing w:before="2" w:after="0" w:line="240" w:lineRule="auto"/>
        <w:ind w:left="1292" w:right="0" w:hanging="601"/>
        <w:jc w:val="left"/>
        <w:rPr>
          <w:sz w:val="24"/>
        </w:rPr>
      </w:pPr>
      <w:r>
        <w:rPr>
          <w:spacing w:val="-2"/>
          <w:sz w:val="24"/>
        </w:rPr>
        <w:t>、质量标准</w:t>
      </w:r>
    </w:p>
    <w:p>
      <w:pPr>
        <w:pStyle w:val="BodyText"/>
        <w:spacing w:before="160"/>
        <w:ind w:left="691"/>
      </w:pPr>
      <w:r>
        <w:t>b</w:t>
      </w:r>
      <w:r>
        <w:rPr>
          <w:spacing w:val="-1"/>
        </w:rPr>
        <w:t>、排水管平基和管座的基本项目及允许偏差项目</w:t>
      </w:r>
    </w:p>
    <w:p>
      <w:pPr>
        <w:pStyle w:val="BodyText"/>
        <w:spacing w:before="1"/>
        <w:ind w:left="0"/>
        <w:rPr>
          <w:sz w:val="6"/>
        </w:rPr>
      </w:pPr>
    </w:p>
    <w:tbl>
      <w:tblPr>
        <w:tblStyle w:val="TableNormal2"/>
        <w:tblW w:w="0" w:type="auto"/>
        <w:jc w:val="left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540"/>
        <w:gridCol w:w="1080"/>
        <w:gridCol w:w="1440"/>
        <w:gridCol w:w="1620"/>
        <w:gridCol w:w="900"/>
        <w:gridCol w:w="1980"/>
      </w:tblGrid>
      <w:tr>
        <w:tblPrEx>
          <w:tblW w:w="0" w:type="auto"/>
          <w:jc w:val="left"/>
          <w:tblInd w:w="62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0"/>
          <w:jc w:val="left"/>
        </w:trPr>
        <w:tc>
          <w:tcPr>
            <w:tcW w:w="468" w:type="dxa"/>
            <w:vMerge w:val="restart"/>
          </w:tcPr>
          <w:p>
            <w:pPr>
              <w:pStyle w:val="TableParagraph"/>
              <w:spacing w:before="8" w:line="310" w:lineRule="atLeast"/>
              <w:ind w:left="134" w:right="123"/>
              <w:rPr>
                <w:sz w:val="20"/>
              </w:rPr>
            </w:pPr>
            <w:r>
              <w:rPr>
                <w:spacing w:val="-10"/>
                <w:sz w:val="20"/>
              </w:rPr>
              <w:t>序</w:t>
            </w:r>
            <w:r>
              <w:rPr>
                <w:spacing w:val="-10"/>
                <w:sz w:val="20"/>
              </w:rPr>
              <w:t>号</w:t>
            </w:r>
          </w:p>
        </w:tc>
        <w:tc>
          <w:tcPr>
            <w:tcW w:w="1620" w:type="dxa"/>
            <w:gridSpan w:val="2"/>
            <w:vMerge w:val="restart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595" w:right="5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项目</w:t>
            </w:r>
          </w:p>
        </w:tc>
        <w:tc>
          <w:tcPr>
            <w:tcW w:w="1440" w:type="dxa"/>
            <w:vMerge w:val="restart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320"/>
              <w:rPr>
                <w:sz w:val="20"/>
              </w:rPr>
            </w:pPr>
            <w:r>
              <w:rPr>
                <w:spacing w:val="-3"/>
                <w:sz w:val="20"/>
              </w:rPr>
              <w:t>允许偏差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43"/>
              <w:ind w:left="845" w:right="836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检验频率</w:t>
            </w:r>
          </w:p>
        </w:tc>
        <w:tc>
          <w:tcPr>
            <w:tcW w:w="1980" w:type="dxa"/>
            <w:vMerge w:val="restart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589"/>
              <w:rPr>
                <w:sz w:val="20"/>
              </w:rPr>
            </w:pPr>
            <w:r>
              <w:rPr>
                <w:spacing w:val="-3"/>
                <w:sz w:val="20"/>
              </w:rPr>
              <w:t>检验方法</w:t>
            </w:r>
          </w:p>
        </w:tc>
      </w:tr>
      <w:tr>
        <w:tblPrEx>
          <w:tblW w:w="0" w:type="auto"/>
          <w:jc w:val="left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0"/>
          <w:jc w:val="left"/>
        </w:trPr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spacing w:before="43"/>
              <w:ind w:right="5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范围</w:t>
            </w:r>
          </w:p>
        </w:tc>
        <w:tc>
          <w:tcPr>
            <w:tcW w:w="900" w:type="dxa"/>
          </w:tcPr>
          <w:p>
            <w:pPr>
              <w:pStyle w:val="TableParagraph"/>
              <w:spacing w:before="43"/>
              <w:ind w:left="234" w:right="2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点数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468" w:type="dxa"/>
            <w:vMerge w:val="restart"/>
          </w:tcPr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before="12"/>
              <w:rPr>
                <w:sz w:val="15"/>
              </w:rPr>
            </w:pPr>
          </w:p>
          <w:p>
            <w:pPr>
              <w:pStyle w:val="TableParagraph"/>
              <w:spacing w:line="292" w:lineRule="auto"/>
              <w:ind w:left="169" w:right="159"/>
              <w:rPr>
                <w:sz w:val="20"/>
              </w:rPr>
            </w:pPr>
            <w:r>
              <w:rPr>
                <w:spacing w:val="-10"/>
                <w:sz w:val="20"/>
              </w:rPr>
              <w:t>垫</w:t>
            </w:r>
            <w:r>
              <w:rPr>
                <w:spacing w:val="-10"/>
                <w:sz w:val="20"/>
              </w:rPr>
              <w:t>层</w:t>
            </w:r>
          </w:p>
        </w:tc>
        <w:tc>
          <w:tcPr>
            <w:tcW w:w="1080" w:type="dxa"/>
          </w:tcPr>
          <w:p>
            <w:pPr>
              <w:pStyle w:val="TableParagraph"/>
              <w:spacing w:before="29"/>
              <w:ind w:left="126" w:right="116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中线每侧</w:t>
            </w:r>
          </w:p>
          <w:p>
            <w:pPr>
              <w:pStyle w:val="TableParagraph"/>
              <w:spacing w:before="56"/>
              <w:ind w:left="126" w:right="1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宽度</w:t>
            </w:r>
          </w:p>
        </w:tc>
        <w:tc>
          <w:tcPr>
            <w:tcW w:w="1440" w:type="dxa"/>
          </w:tcPr>
          <w:p>
            <w:pPr>
              <w:pStyle w:val="TableParagraph"/>
              <w:spacing w:before="29"/>
              <w:ind w:left="106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不小于设计规</w:t>
            </w:r>
          </w:p>
          <w:p>
            <w:pPr>
              <w:pStyle w:val="TableParagraph"/>
              <w:spacing w:before="5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定</w:t>
            </w:r>
          </w:p>
        </w:tc>
        <w:tc>
          <w:tcPr>
            <w:tcW w:w="1620" w:type="dxa"/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ind w:right="64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  <w:tc>
          <w:tcPr>
            <w:tcW w:w="900" w:type="dxa"/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0" w:type="dxa"/>
          </w:tcPr>
          <w:p>
            <w:pPr>
              <w:pStyle w:val="TableParagraph"/>
              <w:spacing w:before="29"/>
              <w:ind w:left="177" w:right="1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挂中心线用尺量每</w:t>
            </w:r>
          </w:p>
          <w:p>
            <w:pPr>
              <w:pStyle w:val="TableParagraph"/>
              <w:spacing w:before="56"/>
              <w:ind w:left="177" w:right="168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侧计一点</w:t>
            </w:r>
          </w:p>
        </w:tc>
      </w:tr>
      <w:tr>
        <w:tblPrEx>
          <w:tblW w:w="0" w:type="auto"/>
          <w:jc w:val="left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0"/>
          <w:jc w:val="left"/>
        </w:trPr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43"/>
              <w:ind w:left="126" w:right="1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高程</w:t>
            </w:r>
          </w:p>
        </w:tc>
        <w:tc>
          <w:tcPr>
            <w:tcW w:w="1440" w:type="dxa"/>
          </w:tcPr>
          <w:p>
            <w:pPr>
              <w:pStyle w:val="TableParagraph"/>
              <w:spacing w:before="43"/>
              <w:ind w:left="106" w:right="96"/>
              <w:jc w:val="center"/>
              <w:rPr>
                <w:sz w:val="20"/>
              </w:rPr>
            </w:pPr>
            <w:r>
              <w:rPr>
                <w:sz w:val="20"/>
              </w:rPr>
              <w:t>0，-</w:t>
            </w:r>
            <w:r>
              <w:rPr>
                <w:spacing w:val="-4"/>
                <w:sz w:val="20"/>
              </w:rPr>
              <w:t>15mm</w:t>
            </w:r>
          </w:p>
        </w:tc>
        <w:tc>
          <w:tcPr>
            <w:tcW w:w="1620" w:type="dxa"/>
          </w:tcPr>
          <w:p>
            <w:pPr>
              <w:pStyle w:val="TableParagraph"/>
              <w:spacing w:before="43"/>
              <w:ind w:right="64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  <w:tc>
          <w:tcPr>
            <w:tcW w:w="900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0" w:type="dxa"/>
          </w:tcPr>
          <w:p>
            <w:pPr>
              <w:pStyle w:val="TableParagraph"/>
              <w:spacing w:before="43"/>
              <w:ind w:left="177" w:right="1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用水准仪测量</w:t>
            </w:r>
          </w:p>
        </w:tc>
      </w:tr>
      <w:tr>
        <w:tblPrEx>
          <w:tblW w:w="0" w:type="auto"/>
          <w:jc w:val="left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46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5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 w:line="292" w:lineRule="auto"/>
              <w:ind w:left="169" w:right="159"/>
              <w:rPr>
                <w:sz w:val="20"/>
              </w:rPr>
            </w:pPr>
            <w:r>
              <w:rPr>
                <w:spacing w:val="-10"/>
                <w:sz w:val="20"/>
              </w:rPr>
              <w:t>平</w:t>
            </w:r>
            <w:r>
              <w:rPr>
                <w:spacing w:val="-10"/>
                <w:sz w:val="20"/>
              </w:rPr>
              <w:t>基</w:t>
            </w:r>
          </w:p>
        </w:tc>
        <w:tc>
          <w:tcPr>
            <w:tcW w:w="1080" w:type="dxa"/>
          </w:tcPr>
          <w:p>
            <w:pPr>
              <w:pStyle w:val="TableParagraph"/>
              <w:spacing w:before="29"/>
              <w:ind w:left="126" w:right="116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中线每侧</w:t>
            </w:r>
          </w:p>
          <w:p>
            <w:pPr>
              <w:pStyle w:val="TableParagraph"/>
              <w:spacing w:before="56"/>
              <w:ind w:left="126" w:right="1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宽度</w:t>
            </w:r>
          </w:p>
        </w:tc>
        <w:tc>
          <w:tcPr>
            <w:tcW w:w="1440" w:type="dxa"/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ind w:left="106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+10mm,0</w:t>
            </w:r>
          </w:p>
        </w:tc>
        <w:tc>
          <w:tcPr>
            <w:tcW w:w="1620" w:type="dxa"/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ind w:right="64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  <w:tc>
          <w:tcPr>
            <w:tcW w:w="900" w:type="dxa"/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0" w:type="dxa"/>
          </w:tcPr>
          <w:p>
            <w:pPr>
              <w:pStyle w:val="TableParagraph"/>
              <w:spacing w:before="29"/>
              <w:ind w:left="177" w:right="1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挂中心线用尺量每</w:t>
            </w:r>
          </w:p>
          <w:p>
            <w:pPr>
              <w:pStyle w:val="TableParagraph"/>
              <w:spacing w:before="56"/>
              <w:ind w:left="177" w:right="168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侧计一点</w:t>
            </w:r>
          </w:p>
        </w:tc>
      </w:tr>
      <w:tr>
        <w:tblPrEx>
          <w:tblW w:w="0" w:type="auto"/>
          <w:jc w:val="left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0"/>
          <w:jc w:val="left"/>
        </w:trPr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43"/>
              <w:ind w:left="126" w:right="1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高程</w:t>
            </w:r>
          </w:p>
        </w:tc>
        <w:tc>
          <w:tcPr>
            <w:tcW w:w="1440" w:type="dxa"/>
          </w:tcPr>
          <w:p>
            <w:pPr>
              <w:pStyle w:val="TableParagraph"/>
              <w:spacing w:before="43"/>
              <w:ind w:left="106" w:right="96"/>
              <w:jc w:val="center"/>
              <w:rPr>
                <w:sz w:val="20"/>
              </w:rPr>
            </w:pPr>
            <w:r>
              <w:rPr>
                <w:sz w:val="20"/>
              </w:rPr>
              <w:t>0, -</w:t>
            </w:r>
            <w:r>
              <w:rPr>
                <w:spacing w:val="-4"/>
                <w:sz w:val="20"/>
              </w:rPr>
              <w:t>15mm</w:t>
            </w:r>
          </w:p>
        </w:tc>
        <w:tc>
          <w:tcPr>
            <w:tcW w:w="1620" w:type="dxa"/>
          </w:tcPr>
          <w:p>
            <w:pPr>
              <w:pStyle w:val="TableParagraph"/>
              <w:spacing w:before="43"/>
              <w:ind w:right="64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  <w:tc>
          <w:tcPr>
            <w:tcW w:w="900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0" w:type="dxa"/>
          </w:tcPr>
          <w:p>
            <w:pPr>
              <w:pStyle w:val="TableParagraph"/>
              <w:spacing w:before="43"/>
              <w:ind w:left="177" w:right="1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用水准仪测量</w:t>
            </w:r>
          </w:p>
        </w:tc>
      </w:tr>
      <w:tr>
        <w:tblPrEx>
          <w:tblW w:w="0" w:type="auto"/>
          <w:jc w:val="left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ind w:left="126" w:right="1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厚度</w:t>
            </w:r>
          </w:p>
        </w:tc>
        <w:tc>
          <w:tcPr>
            <w:tcW w:w="1440" w:type="dxa"/>
          </w:tcPr>
          <w:p>
            <w:pPr>
              <w:pStyle w:val="TableParagraph"/>
              <w:spacing w:before="29"/>
              <w:ind w:left="106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不小于设计规</w:t>
            </w:r>
          </w:p>
          <w:p>
            <w:pPr>
              <w:pStyle w:val="TableParagraph"/>
              <w:spacing w:before="5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定</w:t>
            </w:r>
          </w:p>
        </w:tc>
        <w:tc>
          <w:tcPr>
            <w:tcW w:w="1620" w:type="dxa"/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ind w:right="59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10mm</w:t>
            </w:r>
          </w:p>
        </w:tc>
        <w:tc>
          <w:tcPr>
            <w:tcW w:w="900" w:type="dxa"/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0" w:type="dxa"/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ind w:left="177" w:right="1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用尺量</w:t>
            </w:r>
          </w:p>
        </w:tc>
      </w:tr>
    </w:tbl>
    <w:p>
      <w:pPr>
        <w:pStyle w:val="Heading2"/>
        <w:numPr>
          <w:ilvl w:val="1"/>
          <w:numId w:val="19"/>
        </w:numPr>
        <w:tabs>
          <w:tab w:val="left" w:pos="1054"/>
        </w:tabs>
        <w:spacing w:before="7" w:after="0" w:line="240" w:lineRule="auto"/>
        <w:ind w:left="1053" w:right="0" w:hanging="363"/>
        <w:jc w:val="left"/>
      </w:pPr>
      <w:bookmarkStart w:id="14" w:name="_TOC_250006"/>
      <w:bookmarkEnd w:id="14"/>
      <w:r>
        <w:rPr>
          <w:spacing w:val="-2"/>
        </w:rPr>
        <w:t>、管道安装与连接</w:t>
      </w:r>
    </w:p>
    <w:p>
      <w:pPr>
        <w:pStyle w:val="ListParagraph"/>
        <w:numPr>
          <w:ilvl w:val="2"/>
          <w:numId w:val="19"/>
        </w:numPr>
        <w:tabs>
          <w:tab w:val="left" w:pos="1292"/>
        </w:tabs>
        <w:spacing w:before="105" w:after="0" w:line="240" w:lineRule="auto"/>
        <w:ind w:left="1292" w:right="0" w:hanging="601"/>
        <w:jc w:val="left"/>
        <w:rPr>
          <w:sz w:val="24"/>
        </w:rPr>
      </w:pPr>
      <w:r>
        <w:rPr>
          <w:spacing w:val="-2"/>
          <w:sz w:val="24"/>
        </w:rPr>
        <w:t>、管道安装</w:t>
      </w:r>
    </w:p>
    <w:p>
      <w:pPr>
        <w:pStyle w:val="ListParagraph"/>
        <w:numPr>
          <w:ilvl w:val="0"/>
          <w:numId w:val="18"/>
        </w:numPr>
        <w:tabs>
          <w:tab w:val="left" w:pos="1054"/>
        </w:tabs>
        <w:spacing w:before="161" w:after="0" w:line="364" w:lineRule="auto"/>
        <w:ind w:left="211" w:right="730" w:firstLine="480"/>
        <w:jc w:val="both"/>
        <w:rPr>
          <w:sz w:val="24"/>
        </w:rPr>
      </w:pPr>
      <w:r>
        <w:rPr>
          <w:spacing w:val="-2"/>
          <w:sz w:val="24"/>
        </w:rPr>
        <w:t>、基槽检查合格后，检查管材质量，打好龙门桩，确定基础高程并按规定做</w:t>
      </w:r>
      <w:r>
        <w:rPr>
          <w:spacing w:val="-2"/>
          <w:sz w:val="24"/>
        </w:rPr>
        <w:t>好基础，待基础验收合格后，再行下管并准确校正管道中线及管底高程，然后固定管</w:t>
      </w:r>
      <w:r>
        <w:rPr>
          <w:spacing w:val="-2"/>
          <w:sz w:val="24"/>
        </w:rPr>
        <w:t>道避位移。</w:t>
      </w:r>
    </w:p>
    <w:p>
      <w:pPr>
        <w:pStyle w:val="ListParagraph"/>
        <w:numPr>
          <w:ilvl w:val="0"/>
          <w:numId w:val="18"/>
        </w:numPr>
        <w:tabs>
          <w:tab w:val="left" w:pos="1052"/>
        </w:tabs>
        <w:spacing w:before="2" w:after="0" w:line="240" w:lineRule="auto"/>
        <w:ind w:left="1052" w:right="0" w:hanging="361"/>
        <w:jc w:val="both"/>
        <w:rPr>
          <w:sz w:val="24"/>
        </w:rPr>
      </w:pPr>
      <w:r>
        <w:rPr>
          <w:spacing w:val="-5"/>
          <w:sz w:val="24"/>
        </w:rPr>
        <w:t xml:space="preserve">管道安装宜采用人工布管且在沟槽内连接；沟深大于 </w:t>
      </w:r>
      <w:r>
        <w:rPr>
          <w:spacing w:val="-2"/>
          <w:sz w:val="24"/>
        </w:rPr>
        <w:t>3m</w:t>
      </w:r>
      <w:r>
        <w:rPr>
          <w:spacing w:val="-16"/>
          <w:sz w:val="24"/>
        </w:rPr>
        <w:t xml:space="preserve"> 或管外径大于 </w:t>
      </w:r>
      <w:r>
        <w:rPr>
          <w:spacing w:val="-2"/>
          <w:sz w:val="24"/>
        </w:rPr>
        <w:t>400mm</w:t>
      </w:r>
    </w:p>
    <w:p>
      <w:pPr>
        <w:spacing w:after="0" w:line="240" w:lineRule="auto"/>
        <w:jc w:val="both"/>
        <w:rPr>
          <w:sz w:val="24"/>
        </w:rPr>
        <w:sectPr>
          <w:footerReference w:type="default" r:id="rId15"/>
          <w:pgSz w:w="11910" w:h="16840"/>
          <w:pgMar w:top="1440" w:right="800" w:bottom="1180" w:left="1320" w:header="0" w:footer="991"/>
          <w:pgNumType w:start="6"/>
          <w:cols w:space="708"/>
        </w:sectPr>
      </w:pPr>
    </w:p>
    <w:p>
      <w:pPr>
        <w:pStyle w:val="BodyText"/>
        <w:spacing w:before="41" w:line="364" w:lineRule="auto"/>
        <w:ind w:right="730"/>
      </w:pPr>
      <w:r>
        <w:rPr>
          <w:spacing w:val="-4"/>
        </w:rPr>
        <w:t xml:space="preserve">的管道，用非金属吊带兜住管节下管，严禁将管节翻滚抛入槽中，管径 </w:t>
      </w:r>
      <w:r>
        <w:rPr>
          <w:spacing w:val="-2"/>
        </w:rPr>
        <w:t>800mm</w:t>
      </w:r>
      <w:r>
        <w:rPr>
          <w:spacing w:val="-17"/>
        </w:rPr>
        <w:t xml:space="preserve"> 以上和</w:t>
      </w:r>
      <w:r>
        <w:rPr>
          <w:spacing w:val="-2"/>
        </w:rPr>
        <w:t>钢筋砼管用人工配合汽车吊装。</w:t>
      </w:r>
    </w:p>
    <w:p>
      <w:pPr>
        <w:pStyle w:val="ListParagraph"/>
        <w:numPr>
          <w:ilvl w:val="0"/>
          <w:numId w:val="29"/>
        </w:numPr>
        <w:tabs>
          <w:tab w:val="left" w:pos="1052"/>
        </w:tabs>
        <w:spacing w:before="1" w:after="0" w:line="364" w:lineRule="auto"/>
        <w:ind w:left="211" w:right="610" w:firstLine="480"/>
        <w:jc w:val="left"/>
        <w:rPr>
          <w:sz w:val="24"/>
        </w:rPr>
      </w:pPr>
      <w:r>
        <w:rPr>
          <w:sz w:val="24"/>
        </w:rPr>
        <w:t>、承插式柔性接口连接宜在当日温度较高时进行，插口端不宜插到承口底部</w:t>
      </w:r>
      <w:r>
        <w:rPr>
          <w:spacing w:val="-10"/>
          <w:sz w:val="24"/>
        </w:rPr>
        <w:t xml:space="preserve">，应预留不小于 </w:t>
      </w:r>
      <w:r>
        <w:rPr>
          <w:sz w:val="24"/>
        </w:rPr>
        <w:t>10mm</w:t>
      </w:r>
      <w:r>
        <w:rPr>
          <w:spacing w:val="-6"/>
          <w:sz w:val="24"/>
        </w:rPr>
        <w:t xml:space="preserve"> 的伸缩空隙，插入前应在插口端外壁做出插入深度标记；插入</w:t>
      </w:r>
      <w:r>
        <w:rPr>
          <w:sz w:val="24"/>
        </w:rPr>
        <w:t>完毕后，承插口周围空隙均匀，连接的管道平直。</w:t>
      </w:r>
    </w:p>
    <w:p>
      <w:pPr>
        <w:pStyle w:val="ListParagraph"/>
        <w:numPr>
          <w:ilvl w:val="0"/>
          <w:numId w:val="29"/>
        </w:numPr>
        <w:tabs>
          <w:tab w:val="left" w:pos="1054"/>
        </w:tabs>
        <w:spacing w:before="2" w:after="0" w:line="364" w:lineRule="auto"/>
        <w:ind w:left="211" w:right="730" w:firstLine="480"/>
        <w:jc w:val="both"/>
        <w:rPr>
          <w:sz w:val="24"/>
        </w:rPr>
      </w:pPr>
      <w:r>
        <w:rPr>
          <w:spacing w:val="-2"/>
          <w:sz w:val="24"/>
        </w:rPr>
        <w:t>设计雨污水管沟平面位置、高程与已建其他专业管道发生矛盾时，其他专业</w:t>
      </w:r>
      <w:r>
        <w:rPr>
          <w:spacing w:val="-2"/>
          <w:sz w:val="24"/>
        </w:rPr>
        <w:t>管道的修改有管道横断面另行确定；设计雨污水管沟的修改形成《工作联系单》送建</w:t>
      </w:r>
      <w:r>
        <w:rPr>
          <w:spacing w:val="-2"/>
          <w:sz w:val="24"/>
        </w:rPr>
        <w:t>设单位转设计确定后再施工。</w:t>
      </w:r>
    </w:p>
    <w:p>
      <w:pPr>
        <w:pStyle w:val="ListParagraph"/>
        <w:numPr>
          <w:ilvl w:val="2"/>
          <w:numId w:val="19"/>
        </w:numPr>
        <w:tabs>
          <w:tab w:val="left" w:pos="1292"/>
        </w:tabs>
        <w:spacing w:before="2" w:after="0" w:line="240" w:lineRule="auto"/>
        <w:ind w:left="1292" w:right="0" w:hanging="601"/>
        <w:jc w:val="left"/>
        <w:rPr>
          <w:sz w:val="24"/>
        </w:rPr>
      </w:pPr>
      <w:r>
        <w:rPr>
          <w:spacing w:val="-2"/>
          <w:sz w:val="24"/>
        </w:rPr>
        <w:t>、管道连接</w:t>
      </w:r>
    </w:p>
    <w:p>
      <w:pPr>
        <w:pStyle w:val="BodyText"/>
        <w:spacing w:before="160" w:line="364" w:lineRule="auto"/>
        <w:ind w:right="730" w:firstLine="480"/>
      </w:pPr>
      <w:r>
        <w:rPr>
          <w:spacing w:val="-4"/>
        </w:rPr>
        <w:t>D≤600</w:t>
      </w:r>
      <w:r>
        <w:rPr>
          <w:spacing w:val="-11"/>
        </w:rPr>
        <w:t xml:space="preserve"> 管道采用卡箍连接，连接所用管件、密封橡胶圈等连接材料由厂家配套提</w:t>
      </w:r>
      <w:r>
        <w:t>供。D</w:t>
      </w:r>
      <w:r>
        <w:rPr>
          <w:spacing w:val="-12"/>
        </w:rPr>
        <w:t xml:space="preserve"> 大于 </w:t>
      </w:r>
      <w:r>
        <w:t>600</w:t>
      </w:r>
      <w:r>
        <w:rPr>
          <w:spacing w:val="-6"/>
        </w:rPr>
        <w:t xml:space="preserve"> 管道采用企口式，承插结构，管道接口参照标准图集 </w:t>
      </w:r>
      <w:r>
        <w:t>04S516-18。</w:t>
      </w:r>
    </w:p>
    <w:p>
      <w:pPr>
        <w:pStyle w:val="ListParagraph"/>
        <w:numPr>
          <w:ilvl w:val="2"/>
          <w:numId w:val="19"/>
        </w:numPr>
        <w:tabs>
          <w:tab w:val="left" w:pos="1292"/>
        </w:tabs>
        <w:spacing w:before="1" w:after="0" w:line="240" w:lineRule="auto"/>
        <w:ind w:left="1292" w:right="0" w:hanging="601"/>
        <w:jc w:val="left"/>
        <w:rPr>
          <w:sz w:val="24"/>
        </w:rPr>
      </w:pPr>
      <w:r>
        <w:rPr>
          <w:spacing w:val="-2"/>
          <w:sz w:val="24"/>
        </w:rPr>
        <w:t>、质量标准</w:t>
      </w:r>
    </w:p>
    <w:p>
      <w:pPr>
        <w:pStyle w:val="BodyText"/>
        <w:spacing w:before="161" w:line="364" w:lineRule="auto"/>
        <w:ind w:left="691" w:right="1534"/>
      </w:pPr>
      <w:r>
        <w:rPr>
          <w:spacing w:val="-2"/>
        </w:rPr>
        <w:t>1）、管道埋设深度、轴线位置应符合设计要求，无压力管道严禁倒坡；</w:t>
      </w:r>
      <w:r>
        <w:rPr>
          <w:spacing w:val="-2"/>
        </w:rPr>
        <w:t>检查方法：检查施工记录、测量记录。</w:t>
      </w:r>
      <w:r>
        <w:rPr>
          <w:spacing w:val="80"/>
          <w:w w:val="150"/>
        </w:rPr>
        <w:t xml:space="preserve">             </w:t>
      </w:r>
      <w:r>
        <w:rPr>
          <w:spacing w:val="-2"/>
        </w:rPr>
        <w:t xml:space="preserve">2）、柔性管道的管壁不得出现纵向隆起、环向扁平和其他变形情况； </w:t>
      </w:r>
      <w:r>
        <w:rPr>
          <w:spacing w:val="-2"/>
        </w:rPr>
        <w:t>检查方法：观察，检查施工记录、测量记录。</w:t>
      </w:r>
      <w:r>
        <w:rPr>
          <w:spacing w:val="80"/>
          <w:w w:val="150"/>
        </w:rPr>
        <w:t xml:space="preserve">          </w:t>
      </w:r>
      <w:r>
        <w:rPr>
          <w:spacing w:val="-2"/>
        </w:rPr>
        <w:t>3）、管道埋设安装必须稳固，管道安装后应线形平直；</w:t>
      </w:r>
    </w:p>
    <w:p>
      <w:pPr>
        <w:pStyle w:val="BodyText"/>
        <w:spacing w:before="3" w:line="364" w:lineRule="auto"/>
        <w:ind w:left="691" w:right="5494"/>
      </w:pPr>
      <w:r>
        <w:pict>
          <v:shape id="_x0000_s1067" type="#_x0000_t202" style="width:438.45pt;height:143.5pt;margin-top:42.84pt;margin-left:78.43pt;mso-position-horizontal-relative:page;position:absolute;z-index:251661312" filled="f" stroked="f">
            <v:textbox inset="0,0,0,0">
              <w:txbxContent>
                <w:tbl>
                  <w:tblPr>
                    <w:tblStyle w:val="TableNormal3"/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17"/>
                    <w:gridCol w:w="1217"/>
                    <w:gridCol w:w="1454"/>
                    <w:gridCol w:w="1217"/>
                    <w:gridCol w:w="1218"/>
                    <w:gridCol w:w="1218"/>
                    <w:gridCol w:w="1218"/>
                  </w:tblGrid>
                  <w:tr>
                    <w:tblPrEx>
                      <w:tblW w:w="0" w:type="auto"/>
                      <w:jc w:val="left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40"/>
                      <w:jc w:val="left"/>
                    </w:trPr>
                    <w:tc>
                      <w:tcPr>
                        <w:tcW w:w="1217" w:type="dxa"/>
                        <w:vMerge w:val="restart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Microsoft JhengHei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408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2671" w:type="dxa"/>
                        <w:gridSpan w:val="2"/>
                        <w:vMerge w:val="restart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Microsoft JhengHei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921" w:right="9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项目</w:t>
                        </w:r>
                      </w:p>
                    </w:tc>
                    <w:tc>
                      <w:tcPr>
                        <w:tcW w:w="1217" w:type="dxa"/>
                        <w:vMerge w:val="restart"/>
                      </w:tcPr>
                      <w:p>
                        <w:pPr>
                          <w:pStyle w:val="TableParagraph"/>
                          <w:spacing w:before="62"/>
                          <w:ind w:left="170" w:right="20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3"/>
                            <w:sz w:val="20"/>
                          </w:rPr>
                          <w:t>允许偏差</w:t>
                        </w:r>
                      </w:p>
                      <w:p>
                        <w:pPr>
                          <w:pStyle w:val="TableParagraph"/>
                          <w:spacing w:before="56"/>
                          <w:ind w:left="170" w:right="16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mm</w:t>
                        </w:r>
                      </w:p>
                    </w:tc>
                    <w:tc>
                      <w:tcPr>
                        <w:tcW w:w="2436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818"/>
                          <w:rPr>
                            <w:sz w:val="20"/>
                          </w:rPr>
                        </w:pPr>
                        <w:r>
                          <w:rPr>
                            <w:spacing w:val="-3"/>
                            <w:sz w:val="20"/>
                          </w:rPr>
                          <w:t>检验频率</w:t>
                        </w:r>
                      </w:p>
                    </w:tc>
                    <w:tc>
                      <w:tcPr>
                        <w:tcW w:w="1218" w:type="dxa"/>
                        <w:vMerge w:val="restart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Microsoft JhengHei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208"/>
                          <w:rPr>
                            <w:sz w:val="20"/>
                          </w:rPr>
                        </w:pPr>
                        <w:r>
                          <w:rPr>
                            <w:spacing w:val="-3"/>
                            <w:sz w:val="20"/>
                          </w:rPr>
                          <w:t>检验方法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40"/>
                      <w:jc w:val="left"/>
                    </w:trPr>
                    <w:tc>
                      <w:tcPr>
                        <w:tcW w:w="121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71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8" w:type="dxa"/>
                      </w:tcPr>
                      <w:p>
                        <w:pPr>
                          <w:pStyle w:val="TableParagraph"/>
                          <w:spacing w:before="43"/>
                          <w:ind w:left="409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范围</w:t>
                        </w:r>
                      </w:p>
                    </w:tc>
                    <w:tc>
                      <w:tcPr>
                        <w:tcW w:w="1218" w:type="dxa"/>
                      </w:tcPr>
                      <w:p>
                        <w:pPr>
                          <w:pStyle w:val="TableParagraph"/>
                          <w:spacing w:before="43"/>
                          <w:ind w:left="93" w:right="8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点数</w:t>
                        </w:r>
                      </w:p>
                    </w:tc>
                    <w:tc>
                      <w:tcPr>
                        <w:tcW w:w="121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23"/>
                      <w:jc w:val="left"/>
                    </w:trPr>
                    <w:tc>
                      <w:tcPr>
                        <w:tcW w:w="1217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Microsoft JhengHei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ind w:left="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671" w:type="dxa"/>
                        <w:gridSpan w:val="2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Microsoft JhengHei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ind w:left="921" w:right="9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3"/>
                            <w:sz w:val="20"/>
                          </w:rPr>
                          <w:t>中线位移</w:t>
                        </w:r>
                      </w:p>
                    </w:tc>
                    <w:tc>
                      <w:tcPr>
                        <w:tcW w:w="1217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Microsoft JhengHei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ind w:left="395" w:right="38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218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Microsoft JhengHei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Microsoft JhengHei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Microsoft JhengHei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209"/>
                          <w:rPr>
                            <w:sz w:val="20"/>
                          </w:rPr>
                        </w:pPr>
                        <w:r>
                          <w:rPr>
                            <w:spacing w:val="-3"/>
                            <w:sz w:val="20"/>
                          </w:rPr>
                          <w:t>两井之间</w:t>
                        </w:r>
                      </w:p>
                    </w:tc>
                    <w:tc>
                      <w:tcPr>
                        <w:tcW w:w="1218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Microsoft JhengHei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ind w:left="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218" w:type="dxa"/>
                      </w:tcPr>
                      <w:p>
                        <w:pPr>
                          <w:pStyle w:val="TableParagraph"/>
                          <w:spacing w:before="29"/>
                          <w:ind w:left="93" w:right="8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挂中心线用</w:t>
                        </w:r>
                      </w:p>
                      <w:p>
                        <w:pPr>
                          <w:pStyle w:val="TableParagraph"/>
                          <w:spacing w:before="56"/>
                          <w:ind w:left="93" w:right="8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尺量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40"/>
                      <w:jc w:val="left"/>
                    </w:trPr>
                    <w:tc>
                      <w:tcPr>
                        <w:tcW w:w="1217" w:type="dxa"/>
                        <w:vMerge w:val="restart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Microsoft JhengHei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217" w:type="dxa"/>
                        <w:vMerge w:val="restart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Microsoft JhengHei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管内底高程</w:t>
                        </w:r>
                      </w:p>
                    </w:tc>
                    <w:tc>
                      <w:tcPr>
                        <w:tcW w:w="1454" w:type="dxa"/>
                      </w:tcPr>
                      <w:p>
                        <w:pPr>
                          <w:pStyle w:val="TableParagraph"/>
                          <w:spacing w:before="43"/>
                          <w:ind w:left="37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D≤1000</w:t>
                        </w:r>
                      </w:p>
                    </w:tc>
                    <w:tc>
                      <w:tcPr>
                        <w:tcW w:w="1217" w:type="dxa"/>
                      </w:tcPr>
                      <w:p>
                        <w:pPr>
                          <w:pStyle w:val="TableParagraph"/>
                          <w:spacing w:before="43"/>
                          <w:ind w:left="395" w:right="38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±10</w:t>
                        </w:r>
                      </w:p>
                    </w:tc>
                    <w:tc>
                      <w:tcPr>
                        <w:tcW w:w="121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8" w:type="dxa"/>
                        <w:vMerge w:val="restart"/>
                      </w:tcPr>
                      <w:p>
                        <w:pPr>
                          <w:pStyle w:val="TableParagraph"/>
                          <w:spacing w:before="16"/>
                          <w:rPr>
                            <w:rFonts w:ascii="Microsoft JhengHei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218" w:type="dxa"/>
                        <w:vMerge w:val="restart"/>
                      </w:tcPr>
                      <w:p>
                        <w:pPr>
                          <w:pStyle w:val="TableParagraph"/>
                          <w:spacing w:before="8" w:line="310" w:lineRule="atLeast"/>
                          <w:ind w:left="508" w:right="97" w:hanging="40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用水准仪测</w:t>
                        </w:r>
                        <w:r>
                          <w:rPr>
                            <w:spacing w:val="-10"/>
                            <w:sz w:val="20"/>
                          </w:rPr>
                          <w:t>量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40"/>
                      <w:jc w:val="left"/>
                    </w:trPr>
                    <w:tc>
                      <w:tcPr>
                        <w:tcW w:w="121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54" w:type="dxa"/>
                      </w:tcPr>
                      <w:p>
                        <w:pPr>
                          <w:pStyle w:val="TableParagraph"/>
                          <w:spacing w:before="43"/>
                          <w:ind w:left="42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D&gt;1000</w:t>
                        </w:r>
                      </w:p>
                    </w:tc>
                    <w:tc>
                      <w:tcPr>
                        <w:tcW w:w="1217" w:type="dxa"/>
                      </w:tcPr>
                      <w:p>
                        <w:pPr>
                          <w:pStyle w:val="TableParagraph"/>
                          <w:spacing w:before="43"/>
                          <w:ind w:left="395" w:right="38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±15</w:t>
                        </w:r>
                      </w:p>
                    </w:tc>
                    <w:tc>
                      <w:tcPr>
                        <w:tcW w:w="121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40"/>
                      <w:jc w:val="left"/>
                    </w:trPr>
                    <w:tc>
                      <w:tcPr>
                        <w:tcW w:w="1217" w:type="dxa"/>
                        <w:vMerge w:val="restart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Microsoft JhengHei"/>
                            <w:b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217" w:type="dxa"/>
                        <w:vMerge w:val="restart"/>
                      </w:tcPr>
                      <w:p>
                        <w:pPr>
                          <w:pStyle w:val="TableParagraph"/>
                          <w:spacing w:before="126" w:line="292" w:lineRule="auto"/>
                          <w:ind w:left="508" w:right="96" w:hanging="40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邻管内底错</w:t>
                        </w:r>
                        <w:r>
                          <w:rPr>
                            <w:spacing w:val="-10"/>
                            <w:sz w:val="20"/>
                          </w:rPr>
                          <w:t>口</w:t>
                        </w:r>
                      </w:p>
                    </w:tc>
                    <w:tc>
                      <w:tcPr>
                        <w:tcW w:w="1454" w:type="dxa"/>
                      </w:tcPr>
                      <w:p>
                        <w:pPr>
                          <w:pStyle w:val="TableParagraph"/>
                          <w:spacing w:before="43"/>
                          <w:ind w:left="37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D≤1000</w:t>
                        </w:r>
                      </w:p>
                    </w:tc>
                    <w:tc>
                      <w:tcPr>
                        <w:tcW w:w="1217" w:type="dxa"/>
                      </w:tcPr>
                      <w:p>
                        <w:pPr>
                          <w:pStyle w:val="TableParagraph"/>
                          <w:spacing w:before="43"/>
                          <w:ind w:left="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21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8" w:type="dxa"/>
                        <w:vMerge w:val="restart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Microsoft JhengHei"/>
                            <w:b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218" w:type="dxa"/>
                        <w:vMerge w:val="restart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Microsoft JhengHei"/>
                            <w:b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308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用尺量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7"/>
                      <w:jc w:val="left"/>
                    </w:trPr>
                    <w:tc>
                      <w:tcPr>
                        <w:tcW w:w="121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54" w:type="dxa"/>
                      </w:tcPr>
                      <w:p>
                        <w:pPr>
                          <w:pStyle w:val="TableParagraph"/>
                          <w:spacing w:before="82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D&gt;1000</w:t>
                        </w:r>
                      </w:p>
                    </w:tc>
                    <w:tc>
                      <w:tcPr>
                        <w:tcW w:w="1217" w:type="dxa"/>
                      </w:tcPr>
                      <w:p>
                        <w:pPr>
                          <w:pStyle w:val="TableParagraph"/>
                          <w:spacing w:before="82"/>
                          <w:ind w:left="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21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</v:shape>
        </w:pict>
      </w:r>
      <w:r>
        <w:rPr>
          <w:spacing w:val="-2"/>
        </w:rPr>
        <w:t>检查方法：观察，检查测量记录。</w:t>
      </w:r>
      <w:r>
        <w:rPr>
          <w:spacing w:val="-2"/>
        </w:rPr>
        <w:t>安管允许偏差及检验方法见下表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3"/>
        <w:ind w:left="0"/>
        <w:rPr>
          <w:sz w:val="33"/>
        </w:rPr>
      </w:pPr>
    </w:p>
    <w:p>
      <w:pPr>
        <w:spacing w:before="0"/>
        <w:ind w:left="651" w:right="0" w:firstLine="0"/>
        <w:jc w:val="left"/>
        <w:rPr>
          <w:sz w:val="22"/>
        </w:rPr>
      </w:pPr>
      <w:r>
        <w:rPr>
          <w:sz w:val="22"/>
        </w:rPr>
        <w:t>注：1、D&lt;700mm</w:t>
      </w:r>
      <w:r>
        <w:rPr>
          <w:spacing w:val="-9"/>
          <w:sz w:val="22"/>
        </w:rPr>
        <w:t xml:space="preserve"> 时，其相邻管内底错口在施工中自检，不计点</w:t>
      </w:r>
    </w:p>
    <w:p>
      <w:pPr>
        <w:spacing w:before="186"/>
        <w:ind w:left="651" w:right="0" w:firstLine="0"/>
        <w:jc w:val="left"/>
        <w:rPr>
          <w:sz w:val="22"/>
        </w:rPr>
      </w:pPr>
      <w:r>
        <w:rPr>
          <w:sz w:val="22"/>
        </w:rPr>
        <w:t>2</w:t>
      </w:r>
      <w:r>
        <w:rPr>
          <w:spacing w:val="-14"/>
          <w:sz w:val="22"/>
        </w:rPr>
        <w:t xml:space="preserve">、表中 </w:t>
      </w:r>
      <w:r>
        <w:rPr>
          <w:sz w:val="22"/>
        </w:rPr>
        <w:t>D</w:t>
      </w:r>
      <w:r>
        <w:rPr>
          <w:spacing w:val="-17"/>
          <w:sz w:val="22"/>
        </w:rPr>
        <w:t xml:space="preserve"> 为管径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1"/>
        <w:ind w:left="0"/>
        <w:rPr>
          <w:sz w:val="21"/>
        </w:rPr>
      </w:pPr>
    </w:p>
    <w:p>
      <w:pPr>
        <w:pStyle w:val="Heading2"/>
        <w:numPr>
          <w:ilvl w:val="1"/>
          <w:numId w:val="19"/>
        </w:numPr>
        <w:tabs>
          <w:tab w:val="left" w:pos="1054"/>
        </w:tabs>
        <w:spacing w:before="0" w:after="0" w:line="240" w:lineRule="auto"/>
        <w:ind w:left="1053" w:right="0" w:hanging="363"/>
        <w:jc w:val="left"/>
      </w:pPr>
      <w:bookmarkStart w:id="15" w:name="_TOC_250005"/>
      <w:bookmarkEnd w:id="15"/>
      <w:r>
        <w:rPr>
          <w:spacing w:val="-2"/>
        </w:rPr>
        <w:t>、闭水试验</w:t>
      </w:r>
    </w:p>
    <w:p>
      <w:pPr>
        <w:spacing w:after="0" w:line="240" w:lineRule="auto"/>
        <w:jc w:val="left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https://d.book118.com/005014010333011121</w:t>
        </w:r>
      </w:hyperlink>
    </w:p>
    <w:p>
      <w:pPr>
        <w:spacing w:after="0" w:line="240" w:lineRule="auto"/>
        <w:jc w:val="left"/>
      </w:pPr>
    </w:p>
    <w:sectPr>
      <w:footerReference w:type="default" r:id="rId17"/>
      <w:pgSz w:w="11910" w:h="16840"/>
      <w:pgMar w:top="1440" w:right="800" w:bottom="1180" w:left="1320" w:header="0" w:footer="991"/>
      <w:pgNumType w:start="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42.9pt;height:18pt;margin-top:665.58pt;margin-left:176.17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60" w:lineRule="exact"/>
                  <w:ind w:left="20" w:right="0" w:firstLine="0"/>
                  <w:jc w:val="left"/>
                  <w:rPr>
                    <w:rFonts w:ascii="Microsoft JhengHei" w:eastAsia="Microsoft JhengHei"/>
                    <w:b/>
                    <w:sz w:val="32"/>
                  </w:rPr>
                </w:pPr>
                <w:r>
                  <w:rPr>
                    <w:rFonts w:ascii="Microsoft JhengHei" w:eastAsia="Microsoft JhengHei"/>
                    <w:b/>
                    <w:spacing w:val="-1"/>
                    <w:sz w:val="32"/>
                  </w:rPr>
                  <w:t>贵州徐福源建筑工程有限责任公司</w:t>
                </w:r>
              </w:p>
            </w:txbxContent>
          </v:textbox>
        </v:shape>
      </w:pict>
    </w:r>
    <w:r>
      <w:pict>
        <v:shape id="_x0000_s2050" type="#_x0000_t202" style="width:18pt;height:18pt;margin-top:696.78pt;margin-left:284.6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60" w:lineRule="exact"/>
                  <w:ind w:left="20" w:right="0" w:firstLine="0"/>
                  <w:jc w:val="left"/>
                  <w:rPr>
                    <w:rFonts w:ascii="Microsoft JhengHei" w:eastAsia="Microsoft JhengHei"/>
                    <w:b/>
                    <w:sz w:val="32"/>
                  </w:rPr>
                </w:pPr>
                <w:r>
                  <w:rPr>
                    <w:rFonts w:ascii="Microsoft JhengHei" w:eastAsia="Microsoft JhengHei"/>
                    <w:b/>
                    <w:sz w:val="32"/>
                  </w:rPr>
                  <w:t>年</w:t>
                </w:r>
              </w:p>
            </w:txbxContent>
          </v:textbox>
        </v:shape>
      </w:pict>
    </w:r>
    <w:r>
      <w:pict>
        <v:shape id="_x0000_s2051" type="#_x0000_t202" style="width:18pt;height:18pt;margin-top:696.78pt;margin-left:324.7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60" w:lineRule="exact"/>
                  <w:ind w:left="20" w:right="0" w:firstLine="0"/>
                  <w:jc w:val="left"/>
                  <w:rPr>
                    <w:rFonts w:ascii="Microsoft JhengHei" w:eastAsia="Microsoft JhengHei"/>
                    <w:b/>
                    <w:sz w:val="32"/>
                  </w:rPr>
                </w:pPr>
                <w:r>
                  <w:rPr>
                    <w:rFonts w:ascii="Microsoft JhengHei" w:eastAsia="Microsoft JhengHei"/>
                    <w:b/>
                    <w:sz w:val="32"/>
                  </w:rPr>
                  <w:t>月</w:t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1.5pt;height:12pt;margin-top:781.33pt;margin-left:286.9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7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42.9pt;height:18pt;margin-top:665.58pt;margin-left:176.17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60" w:lineRule="exact"/>
                  <w:ind w:left="20" w:right="0" w:firstLine="0"/>
                  <w:jc w:val="left"/>
                  <w:rPr>
                    <w:rFonts w:ascii="Microsoft JhengHei" w:eastAsia="Microsoft JhengHei"/>
                    <w:b/>
                    <w:sz w:val="32"/>
                  </w:rPr>
                </w:pPr>
                <w:r>
                  <w:rPr>
                    <w:rFonts w:ascii="Microsoft JhengHei" w:eastAsia="Microsoft JhengHei"/>
                    <w:b/>
                    <w:spacing w:val="-1"/>
                    <w:sz w:val="32"/>
                  </w:rPr>
                  <w:t>贵州徐福源建筑工程有限责任公司</w:t>
                </w:r>
              </w:p>
            </w:txbxContent>
          </v:textbox>
        </v:shape>
      </w:pict>
    </w:r>
    <w:r>
      <w:pict>
        <v:shape id="_x0000_s2053" type="#_x0000_t202" style="width:18pt;height:18pt;margin-top:696.78pt;margin-left:284.6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60" w:lineRule="exact"/>
                  <w:ind w:left="20" w:right="0" w:firstLine="0"/>
                  <w:jc w:val="left"/>
                  <w:rPr>
                    <w:rFonts w:ascii="Microsoft JhengHei" w:eastAsia="Microsoft JhengHei"/>
                    <w:b/>
                    <w:sz w:val="32"/>
                  </w:rPr>
                </w:pPr>
                <w:r>
                  <w:rPr>
                    <w:rFonts w:ascii="Microsoft JhengHei" w:eastAsia="Microsoft JhengHei"/>
                    <w:b/>
                    <w:sz w:val="32"/>
                  </w:rPr>
                  <w:t>年</w:t>
                </w:r>
              </w:p>
            </w:txbxContent>
          </v:textbox>
        </v:shape>
      </w:pict>
    </w:r>
    <w:r>
      <w:pict>
        <v:shape id="_x0000_s2054" type="#_x0000_t202" style="width:18pt;height:18pt;margin-top:696.78pt;margin-left:324.7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60" w:lineRule="exact"/>
                  <w:ind w:left="20" w:right="0" w:firstLine="0"/>
                  <w:jc w:val="left"/>
                  <w:rPr>
                    <w:rFonts w:ascii="Microsoft JhengHei" w:eastAsia="Microsoft JhengHei"/>
                    <w:b/>
                    <w:sz w:val="32"/>
                  </w:rPr>
                </w:pPr>
                <w:r>
                  <w:rPr>
                    <w:rFonts w:ascii="Microsoft JhengHei" w:eastAsia="Microsoft JhengHei"/>
                    <w:b/>
                    <w:sz w:val="32"/>
                  </w:rPr>
                  <w:t>月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1.5pt;height:12pt;margin-top:781.33pt;margin-left:286.9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2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1.5pt;height:12pt;margin-top:781.33pt;margin-left:286.9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3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1.5pt;height:12pt;margin-top:781.33pt;margin-left:286.9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4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1.5pt;height:12pt;margin-top:781.33pt;margin-left:286.9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5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1.5pt;height:12pt;margin-top:781.33pt;margin-left:286.9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6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6BDAF9"/>
    <w:multiLevelType w:val="hybridMultilevel"/>
    <w:tmpl w:val="00000000"/>
    <w:lvl w:ilvl="0">
      <w:start w:val="1"/>
      <w:numFmt w:val="decimal"/>
      <w:lvlText w:val="%1）"/>
      <w:lvlJc w:val="left"/>
      <w:pPr>
        <w:ind w:left="211" w:hanging="363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176" w:hanging="3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33" w:hanging="3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89" w:hanging="3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46" w:hanging="3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003" w:hanging="3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59" w:hanging="3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16" w:hanging="3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72" w:hanging="363"/>
      </w:pPr>
      <w:rPr>
        <w:rFonts w:hint="default"/>
        <w:lang w:val="en-US" w:eastAsia="zh-CN" w:bidi="ar-SA"/>
      </w:rPr>
    </w:lvl>
  </w:abstractNum>
  <w:abstractNum w:abstractNumId="1">
    <w:nsid w:val="0B255C47"/>
    <w:multiLevelType w:val="hybridMultilevel"/>
    <w:tmpl w:val="00000000"/>
    <w:lvl w:ilvl="0">
      <w:start w:val="1"/>
      <w:numFmt w:val="decimal"/>
      <w:lvlText w:val="%1）"/>
      <w:lvlJc w:val="left"/>
      <w:pPr>
        <w:ind w:left="1052" w:hanging="36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32" w:hanging="36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805" w:hanging="36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677" w:hanging="36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550" w:hanging="36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423" w:hanging="36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95" w:hanging="36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68" w:hanging="36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40" w:hanging="361"/>
      </w:pPr>
      <w:rPr>
        <w:rFonts w:hint="default"/>
        <w:lang w:val="en-US" w:eastAsia="zh-CN" w:bidi="ar-SA"/>
      </w:rPr>
    </w:lvl>
  </w:abstractNum>
  <w:abstractNum w:abstractNumId="2">
    <w:nsid w:val="0BB492C9"/>
    <w:multiLevelType w:val="hybridMultilevel"/>
    <w:tmpl w:val="00000000"/>
    <w:lvl w:ilvl="0">
      <w:start w:val="1"/>
      <w:numFmt w:val="decimal"/>
      <w:lvlText w:val="%1）"/>
      <w:lvlJc w:val="left"/>
      <w:pPr>
        <w:ind w:left="211" w:hanging="363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176" w:hanging="3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33" w:hanging="3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89" w:hanging="3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46" w:hanging="3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003" w:hanging="3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59" w:hanging="3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16" w:hanging="3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72" w:hanging="363"/>
      </w:pPr>
      <w:rPr>
        <w:rFonts w:hint="default"/>
        <w:lang w:val="en-US" w:eastAsia="zh-CN" w:bidi="ar-SA"/>
      </w:rPr>
    </w:lvl>
  </w:abstractNum>
  <w:abstractNum w:abstractNumId="3">
    <w:nsid w:val="0EE5BA3A"/>
    <w:multiLevelType w:val="hybridMultilevel"/>
    <w:tmpl w:val="00000000"/>
    <w:lvl w:ilvl="0">
      <w:start w:val="5"/>
      <w:numFmt w:val="decimal"/>
      <w:lvlText w:val="%1"/>
      <w:lvlJc w:val="left"/>
      <w:pPr>
        <w:ind w:left="947" w:hanging="316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947" w:hanging="316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19"/>
        <w:szCs w:val="19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709" w:hanging="31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593" w:hanging="31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478" w:hanging="31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363" w:hanging="31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47" w:hanging="31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32" w:hanging="31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16" w:hanging="316"/>
      </w:pPr>
      <w:rPr>
        <w:rFonts w:hint="default"/>
        <w:lang w:val="en-US" w:eastAsia="zh-CN" w:bidi="ar-SA"/>
      </w:rPr>
    </w:lvl>
  </w:abstractNum>
  <w:abstractNum w:abstractNumId="4">
    <w:nsid w:val="0EF29DE5"/>
    <w:multiLevelType w:val="hybridMultilevel"/>
    <w:tmpl w:val="00000000"/>
    <w:lvl w:ilvl="0">
      <w:start w:val="1"/>
      <w:numFmt w:val="decimal"/>
      <w:lvlText w:val="%1）"/>
      <w:lvlJc w:val="left"/>
      <w:pPr>
        <w:ind w:left="1052" w:hanging="36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32" w:hanging="36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805" w:hanging="36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677" w:hanging="36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550" w:hanging="36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423" w:hanging="36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95" w:hanging="36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68" w:hanging="36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40" w:hanging="361"/>
      </w:pPr>
      <w:rPr>
        <w:rFonts w:hint="default"/>
        <w:lang w:val="en-US" w:eastAsia="zh-CN" w:bidi="ar-SA"/>
      </w:rPr>
    </w:lvl>
  </w:abstractNum>
  <w:abstractNum w:abstractNumId="5">
    <w:nsid w:val="1894E0E4"/>
    <w:multiLevelType w:val="hybridMultilevel"/>
    <w:tmpl w:val="00000000"/>
    <w:lvl w:ilvl="0">
      <w:start w:val="1"/>
      <w:numFmt w:val="decimal"/>
      <w:lvlText w:val="%1）"/>
      <w:lvlJc w:val="left"/>
      <w:pPr>
        <w:ind w:left="1052" w:hanging="36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32" w:hanging="36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805" w:hanging="36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677" w:hanging="36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550" w:hanging="36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423" w:hanging="36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95" w:hanging="36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68" w:hanging="36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40" w:hanging="361"/>
      </w:pPr>
      <w:rPr>
        <w:rFonts w:hint="default"/>
        <w:lang w:val="en-US" w:eastAsia="zh-CN" w:bidi="ar-SA"/>
      </w:rPr>
    </w:lvl>
  </w:abstractNum>
  <w:abstractNum w:abstractNumId="6">
    <w:nsid w:val="1A8DE529"/>
    <w:multiLevelType w:val="hybridMultilevel"/>
    <w:tmpl w:val="00000000"/>
    <w:lvl w:ilvl="0">
      <w:start w:val="1"/>
      <w:numFmt w:val="decimal"/>
      <w:lvlText w:val="%1)"/>
      <w:lvlJc w:val="left"/>
      <w:pPr>
        <w:ind w:left="932" w:hanging="24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824" w:hanging="24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709" w:hanging="24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593" w:hanging="24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478" w:hanging="24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363" w:hanging="24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47" w:hanging="24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32" w:hanging="24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16" w:hanging="241"/>
      </w:pPr>
      <w:rPr>
        <w:rFonts w:hint="default"/>
        <w:lang w:val="en-US" w:eastAsia="zh-CN" w:bidi="ar-SA"/>
      </w:rPr>
    </w:lvl>
  </w:abstractNum>
  <w:abstractNum w:abstractNumId="7">
    <w:nsid w:val="1DFD2A64"/>
    <w:multiLevelType w:val="hybridMultilevel"/>
    <w:tmpl w:val="00000000"/>
    <w:lvl w:ilvl="0">
      <w:start w:val="5"/>
      <w:numFmt w:val="decimal"/>
      <w:lvlText w:val="%1"/>
      <w:lvlJc w:val="left"/>
      <w:pPr>
        <w:ind w:left="211" w:hanging="601"/>
        <w:jc w:val="left"/>
      </w:pPr>
      <w:rPr>
        <w:rFonts w:hint="default"/>
        <w:lang w:val="en-US" w:eastAsia="zh-CN" w:bidi="ar-SA"/>
      </w:rPr>
    </w:lvl>
    <w:lvl w:ilvl="1">
      <w:start w:val="3"/>
      <w:numFmt w:val="decimal"/>
      <w:lvlText w:val="%1.%2"/>
      <w:lvlJc w:val="left"/>
      <w:pPr>
        <w:ind w:left="211" w:hanging="601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211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89" w:hanging="6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46" w:hanging="6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003" w:hanging="6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59" w:hanging="6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16" w:hanging="6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72" w:hanging="601"/>
      </w:pPr>
      <w:rPr>
        <w:rFonts w:hint="default"/>
        <w:lang w:val="en-US" w:eastAsia="zh-CN" w:bidi="ar-SA"/>
      </w:rPr>
    </w:lvl>
  </w:abstractNum>
  <w:abstractNum w:abstractNumId="8">
    <w:nsid w:val="1EF647D6"/>
    <w:multiLevelType w:val="hybridMultilevel"/>
    <w:tmpl w:val="00000000"/>
    <w:lvl w:ilvl="0">
      <w:start w:val="1"/>
      <w:numFmt w:val="decimal"/>
      <w:lvlText w:val="%1)"/>
      <w:lvlJc w:val="left"/>
      <w:pPr>
        <w:ind w:left="932" w:hanging="24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824" w:hanging="24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709" w:hanging="24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593" w:hanging="24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478" w:hanging="24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363" w:hanging="24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47" w:hanging="24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32" w:hanging="24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16" w:hanging="241"/>
      </w:pPr>
      <w:rPr>
        <w:rFonts w:hint="default"/>
        <w:lang w:val="en-US" w:eastAsia="zh-CN" w:bidi="ar-SA"/>
      </w:rPr>
    </w:lvl>
  </w:abstractNum>
  <w:abstractNum w:abstractNumId="9">
    <w:nsid w:val="20B1BE54"/>
    <w:multiLevelType w:val="hybridMultilevel"/>
    <w:tmpl w:val="00000000"/>
    <w:lvl w:ilvl="0">
      <w:start w:val="1"/>
      <w:numFmt w:val="decimal"/>
      <w:lvlText w:val="%1）"/>
      <w:lvlJc w:val="left"/>
      <w:pPr>
        <w:ind w:left="211" w:hanging="363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176" w:hanging="3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33" w:hanging="3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89" w:hanging="3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46" w:hanging="3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003" w:hanging="3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59" w:hanging="3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16" w:hanging="3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72" w:hanging="363"/>
      </w:pPr>
      <w:rPr>
        <w:rFonts w:hint="default"/>
        <w:lang w:val="en-US" w:eastAsia="zh-CN" w:bidi="ar-SA"/>
      </w:rPr>
    </w:lvl>
  </w:abstractNum>
  <w:abstractNum w:abstractNumId="10">
    <w:nsid w:val="25775368"/>
    <w:multiLevelType w:val="hybridMultilevel"/>
    <w:tmpl w:val="00000000"/>
    <w:lvl w:ilvl="0">
      <w:start w:val="5"/>
      <w:numFmt w:val="decimal"/>
      <w:lvlText w:val="%1"/>
      <w:lvlJc w:val="left"/>
      <w:pPr>
        <w:ind w:left="1053" w:hanging="363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053" w:hanging="363"/>
        <w:jc w:val="left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w w:val="83"/>
        <w:sz w:val="22"/>
        <w:szCs w:val="22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805" w:hanging="3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677" w:hanging="3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550" w:hanging="3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423" w:hanging="3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95" w:hanging="3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68" w:hanging="3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40" w:hanging="363"/>
      </w:pPr>
      <w:rPr>
        <w:rFonts w:hint="default"/>
        <w:lang w:val="en-US" w:eastAsia="zh-CN" w:bidi="ar-SA"/>
      </w:rPr>
    </w:lvl>
  </w:abstractNum>
  <w:abstractNum w:abstractNumId="11">
    <w:nsid w:val="2655F227"/>
    <w:multiLevelType w:val="hybridMultilevel"/>
    <w:tmpl w:val="00000000"/>
    <w:lvl w:ilvl="0">
      <w:start w:val="1"/>
      <w:numFmt w:val="decimal"/>
      <w:lvlText w:val="%1)"/>
      <w:lvlJc w:val="left"/>
      <w:pPr>
        <w:ind w:left="932" w:hanging="24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052" w:hanging="36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29" w:hanging="36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999" w:hanging="36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68" w:hanging="36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938" w:hanging="36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07" w:hanging="36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877" w:hanging="36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46" w:hanging="361"/>
      </w:pPr>
      <w:rPr>
        <w:rFonts w:hint="default"/>
        <w:lang w:val="en-US" w:eastAsia="zh-CN" w:bidi="ar-SA"/>
      </w:rPr>
    </w:lvl>
  </w:abstractNum>
  <w:abstractNum w:abstractNumId="12">
    <w:nsid w:val="29023336"/>
    <w:multiLevelType w:val="hybridMultilevel"/>
    <w:tmpl w:val="00000000"/>
    <w:lvl w:ilvl="0">
      <w:start w:val="5"/>
      <w:numFmt w:val="decimal"/>
      <w:lvlText w:val="%1"/>
      <w:lvlJc w:val="left"/>
      <w:pPr>
        <w:ind w:left="871" w:hanging="180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053" w:hanging="363"/>
        <w:jc w:val="left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w w:val="83"/>
        <w:sz w:val="22"/>
        <w:szCs w:val="22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211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00" w:hanging="6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420" w:hanging="6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6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4208" w:hanging="6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5603" w:hanging="6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97" w:hanging="601"/>
      </w:pPr>
      <w:rPr>
        <w:rFonts w:hint="default"/>
        <w:lang w:val="en-US" w:eastAsia="zh-CN" w:bidi="ar-SA"/>
      </w:rPr>
    </w:lvl>
  </w:abstractNum>
  <w:abstractNum w:abstractNumId="13">
    <w:nsid w:val="29FA479F"/>
    <w:multiLevelType w:val="hybridMultilevel"/>
    <w:tmpl w:val="00000000"/>
    <w:lvl w:ilvl="0">
      <w:start w:val="1"/>
      <w:numFmt w:val="decimal"/>
      <w:lvlText w:val="%1)"/>
      <w:lvlJc w:val="left"/>
      <w:pPr>
        <w:ind w:left="211" w:hanging="24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176" w:hanging="24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33" w:hanging="24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89" w:hanging="24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46" w:hanging="24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003" w:hanging="24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59" w:hanging="24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16" w:hanging="24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72" w:hanging="241"/>
      </w:pPr>
      <w:rPr>
        <w:rFonts w:hint="default"/>
        <w:lang w:val="en-US" w:eastAsia="zh-CN" w:bidi="ar-SA"/>
      </w:rPr>
    </w:lvl>
  </w:abstractNum>
  <w:abstractNum w:abstractNumId="14">
    <w:nsid w:val="3183AAC7"/>
    <w:multiLevelType w:val="hybridMultilevel"/>
    <w:tmpl w:val="00000000"/>
    <w:lvl w:ilvl="0">
      <w:start w:val="6"/>
      <w:numFmt w:val="decimal"/>
      <w:lvlText w:val="%1"/>
      <w:lvlJc w:val="left"/>
      <w:pPr>
        <w:ind w:left="947" w:hanging="316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947" w:hanging="316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19"/>
        <w:szCs w:val="19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709" w:hanging="31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593" w:hanging="31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478" w:hanging="31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363" w:hanging="31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47" w:hanging="31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32" w:hanging="31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16" w:hanging="316"/>
      </w:pPr>
      <w:rPr>
        <w:rFonts w:hint="default"/>
        <w:lang w:val="en-US" w:eastAsia="zh-CN" w:bidi="ar-SA"/>
      </w:rPr>
    </w:lvl>
  </w:abstractNum>
  <w:abstractNum w:abstractNumId="15">
    <w:nsid w:val="3432FC87"/>
    <w:multiLevelType w:val="hybridMultilevel"/>
    <w:tmpl w:val="00000000"/>
    <w:lvl w:ilvl="0">
      <w:start w:val="1"/>
      <w:numFmt w:val="decimal"/>
      <w:lvlText w:val="(%1)"/>
      <w:lvlJc w:val="left"/>
      <w:pPr>
        <w:ind w:left="1052" w:hanging="36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32" w:hanging="36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805" w:hanging="36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677" w:hanging="36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550" w:hanging="36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423" w:hanging="36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95" w:hanging="36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68" w:hanging="36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40" w:hanging="361"/>
      </w:pPr>
      <w:rPr>
        <w:rFonts w:hint="default"/>
        <w:lang w:val="en-US" w:eastAsia="zh-CN" w:bidi="ar-SA"/>
      </w:rPr>
    </w:lvl>
  </w:abstractNum>
  <w:abstractNum w:abstractNumId="16">
    <w:nsid w:val="37776049"/>
    <w:multiLevelType w:val="hybridMultilevel"/>
    <w:tmpl w:val="00000000"/>
    <w:lvl w:ilvl="0">
      <w:start w:val="1"/>
      <w:numFmt w:val="decimal"/>
      <w:lvlText w:val="%1）"/>
      <w:lvlJc w:val="left"/>
      <w:pPr>
        <w:ind w:left="211" w:hanging="363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176" w:hanging="3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33" w:hanging="3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89" w:hanging="3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46" w:hanging="3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003" w:hanging="3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59" w:hanging="3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16" w:hanging="3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72" w:hanging="363"/>
      </w:pPr>
      <w:rPr>
        <w:rFonts w:hint="default"/>
        <w:lang w:val="en-US" w:eastAsia="zh-CN" w:bidi="ar-SA"/>
      </w:rPr>
    </w:lvl>
  </w:abstractNum>
  <w:abstractNum w:abstractNumId="17">
    <w:nsid w:val="3BB87A05"/>
    <w:multiLevelType w:val="hybridMultilevel"/>
    <w:tmpl w:val="00000000"/>
    <w:lvl w:ilvl="0">
      <w:start w:val="2"/>
      <w:numFmt w:val="decimal"/>
      <w:lvlText w:val="%1)"/>
      <w:lvlJc w:val="left"/>
      <w:pPr>
        <w:ind w:left="932" w:hanging="24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211" w:hanging="36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211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00" w:hanging="6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512" w:hanging="6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724" w:hanging="6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4936" w:hanging="6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49" w:hanging="6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361" w:hanging="601"/>
      </w:pPr>
      <w:rPr>
        <w:rFonts w:hint="default"/>
        <w:lang w:val="en-US" w:eastAsia="zh-CN" w:bidi="ar-SA"/>
      </w:rPr>
    </w:lvl>
  </w:abstractNum>
  <w:abstractNum w:abstractNumId="18">
    <w:nsid w:val="44969438"/>
    <w:multiLevelType w:val="hybridMultilevel"/>
    <w:tmpl w:val="00000000"/>
    <w:lvl w:ilvl="0">
      <w:start w:val="2"/>
      <w:numFmt w:val="decimal"/>
      <w:lvlText w:val="%1"/>
      <w:lvlJc w:val="left"/>
      <w:pPr>
        <w:ind w:left="211" w:hanging="363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211" w:hanging="363"/>
        <w:jc w:val="left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w w:val="83"/>
        <w:sz w:val="22"/>
        <w:szCs w:val="22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33" w:hanging="3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89" w:hanging="3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46" w:hanging="3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003" w:hanging="3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59" w:hanging="3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16" w:hanging="3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72" w:hanging="363"/>
      </w:pPr>
      <w:rPr>
        <w:rFonts w:hint="default"/>
        <w:lang w:val="en-US" w:eastAsia="zh-CN" w:bidi="ar-SA"/>
      </w:rPr>
    </w:lvl>
  </w:abstractNum>
  <w:abstractNum w:abstractNumId="19">
    <w:nsid w:val="5216E74D"/>
    <w:multiLevelType w:val="hybridMultilevel"/>
    <w:tmpl w:val="00000000"/>
    <w:lvl w:ilvl="0">
      <w:start w:val="4"/>
      <w:numFmt w:val="decimal"/>
      <w:lvlText w:val="%1"/>
      <w:lvlJc w:val="left"/>
      <w:pPr>
        <w:ind w:left="1053" w:hanging="363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053" w:hanging="363"/>
        <w:jc w:val="left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w w:val="83"/>
        <w:sz w:val="22"/>
        <w:szCs w:val="22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211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999" w:hanging="6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68" w:hanging="6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938" w:hanging="6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07" w:hanging="6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877" w:hanging="6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46" w:hanging="601"/>
      </w:pPr>
      <w:rPr>
        <w:rFonts w:hint="default"/>
        <w:lang w:val="en-US" w:eastAsia="zh-CN" w:bidi="ar-SA"/>
      </w:rPr>
    </w:lvl>
  </w:abstractNum>
  <w:abstractNum w:abstractNumId="20">
    <w:nsid w:val="5348DE80"/>
    <w:multiLevelType w:val="hybridMultilevel"/>
    <w:tmpl w:val="00000000"/>
    <w:lvl w:ilvl="0">
      <w:start w:val="1"/>
      <w:numFmt w:val="decimal"/>
      <w:lvlText w:val="%1）"/>
      <w:lvlJc w:val="left"/>
      <w:pPr>
        <w:ind w:left="211" w:hanging="36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-36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176" w:hanging="36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33" w:hanging="36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89" w:hanging="36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46" w:hanging="36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003" w:hanging="36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59" w:hanging="36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16" w:hanging="36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72" w:hanging="361"/>
      </w:pPr>
      <w:rPr>
        <w:rFonts w:hint="default"/>
        <w:lang w:val="en-US" w:eastAsia="zh-CN" w:bidi="ar-SA"/>
      </w:rPr>
    </w:lvl>
  </w:abstractNum>
  <w:abstractNum w:abstractNumId="21">
    <w:nsid w:val="63F1410E"/>
    <w:multiLevelType w:val="hybridMultilevel"/>
    <w:tmpl w:val="00000000"/>
    <w:lvl w:ilvl="0">
      <w:start w:val="7"/>
      <w:numFmt w:val="decimal"/>
      <w:lvlText w:val="%1"/>
      <w:lvlJc w:val="left"/>
      <w:pPr>
        <w:ind w:left="1053" w:hanging="363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053" w:hanging="363"/>
        <w:jc w:val="left"/>
      </w:pPr>
      <w:rPr>
        <w:rFonts w:hint="default"/>
        <w:w w:val="83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805" w:hanging="3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677" w:hanging="3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550" w:hanging="3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423" w:hanging="3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95" w:hanging="3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68" w:hanging="3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40" w:hanging="363"/>
      </w:pPr>
      <w:rPr>
        <w:rFonts w:hint="default"/>
        <w:lang w:val="en-US" w:eastAsia="zh-CN" w:bidi="ar-SA"/>
      </w:rPr>
    </w:lvl>
  </w:abstractNum>
  <w:abstractNum w:abstractNumId="22">
    <w:nsid w:val="693724F0"/>
    <w:multiLevelType w:val="hybridMultilevel"/>
    <w:tmpl w:val="00000000"/>
    <w:lvl w:ilvl="0">
      <w:start w:val="5"/>
      <w:numFmt w:val="decimal"/>
      <w:lvlText w:val="%1"/>
      <w:lvlJc w:val="left"/>
      <w:pPr>
        <w:ind w:left="947" w:hanging="316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947" w:hanging="316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19"/>
        <w:szCs w:val="19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709" w:hanging="31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593" w:hanging="31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478" w:hanging="31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363" w:hanging="31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47" w:hanging="31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32" w:hanging="31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16" w:hanging="316"/>
      </w:pPr>
      <w:rPr>
        <w:rFonts w:hint="default"/>
        <w:lang w:val="en-US" w:eastAsia="zh-CN" w:bidi="ar-SA"/>
      </w:rPr>
    </w:lvl>
  </w:abstractNum>
  <w:abstractNum w:abstractNumId="23">
    <w:nsid w:val="6EE363BB"/>
    <w:multiLevelType w:val="hybridMultilevel"/>
    <w:tmpl w:val="00000000"/>
    <w:lvl w:ilvl="0">
      <w:start w:val="1"/>
      <w:numFmt w:val="decimal"/>
      <w:lvlText w:val="%1）"/>
      <w:lvlJc w:val="left"/>
      <w:pPr>
        <w:ind w:left="211" w:hanging="363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176" w:hanging="3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33" w:hanging="3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89" w:hanging="3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46" w:hanging="3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003" w:hanging="3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59" w:hanging="3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16" w:hanging="3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72" w:hanging="363"/>
      </w:pPr>
      <w:rPr>
        <w:rFonts w:hint="default"/>
        <w:lang w:val="en-US" w:eastAsia="zh-CN" w:bidi="ar-SA"/>
      </w:rPr>
    </w:lvl>
  </w:abstractNum>
  <w:abstractNum w:abstractNumId="24">
    <w:nsid w:val="6FFB38EA"/>
    <w:multiLevelType w:val="hybridMultilevel"/>
    <w:tmpl w:val="00000000"/>
    <w:lvl w:ilvl="0">
      <w:start w:val="4"/>
      <w:numFmt w:val="decimal"/>
      <w:lvlText w:val="%1"/>
      <w:lvlJc w:val="left"/>
      <w:pPr>
        <w:ind w:left="1053" w:hanging="363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053" w:hanging="363"/>
        <w:jc w:val="left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w w:val="83"/>
        <w:sz w:val="22"/>
        <w:szCs w:val="22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211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999" w:hanging="6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68" w:hanging="6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938" w:hanging="6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07" w:hanging="6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877" w:hanging="6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46" w:hanging="601"/>
      </w:pPr>
      <w:rPr>
        <w:rFonts w:hint="default"/>
        <w:lang w:val="en-US" w:eastAsia="zh-CN" w:bidi="ar-SA"/>
      </w:rPr>
    </w:lvl>
  </w:abstractNum>
  <w:abstractNum w:abstractNumId="25">
    <w:nsid w:val="70849FC4"/>
    <w:multiLevelType w:val="hybridMultilevel"/>
    <w:tmpl w:val="00000000"/>
    <w:lvl w:ilvl="0">
      <w:start w:val="1"/>
      <w:numFmt w:val="decimal"/>
      <w:lvlText w:val="(%1)"/>
      <w:lvlJc w:val="left"/>
      <w:pPr>
        <w:ind w:left="1052" w:hanging="36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32" w:hanging="36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805" w:hanging="36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677" w:hanging="36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550" w:hanging="36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423" w:hanging="36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95" w:hanging="36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68" w:hanging="36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40" w:hanging="361"/>
      </w:pPr>
      <w:rPr>
        <w:rFonts w:hint="default"/>
        <w:lang w:val="en-US" w:eastAsia="zh-CN" w:bidi="ar-SA"/>
      </w:rPr>
    </w:lvl>
  </w:abstractNum>
  <w:abstractNum w:abstractNumId="26">
    <w:nsid w:val="7255D1CD"/>
    <w:multiLevelType w:val="hybridMultilevel"/>
    <w:tmpl w:val="00000000"/>
    <w:lvl w:ilvl="0">
      <w:start w:val="1"/>
      <w:numFmt w:val="decimal"/>
      <w:lvlText w:val="%1）"/>
      <w:lvlJc w:val="left"/>
      <w:pPr>
        <w:ind w:left="1052" w:hanging="36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32" w:hanging="36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805" w:hanging="36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677" w:hanging="36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550" w:hanging="36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423" w:hanging="36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95" w:hanging="36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68" w:hanging="36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40" w:hanging="361"/>
      </w:pPr>
      <w:rPr>
        <w:rFonts w:hint="default"/>
        <w:lang w:val="en-US" w:eastAsia="zh-CN" w:bidi="ar-SA"/>
      </w:rPr>
    </w:lvl>
  </w:abstractNum>
  <w:abstractNum w:abstractNumId="27">
    <w:nsid w:val="778CA5E2"/>
    <w:multiLevelType w:val="hybridMultilevel"/>
    <w:tmpl w:val="00000000"/>
    <w:lvl w:ilvl="0">
      <w:start w:val="2"/>
      <w:numFmt w:val="decimal"/>
      <w:lvlText w:val="%1"/>
      <w:lvlJc w:val="left"/>
      <w:pPr>
        <w:ind w:left="211" w:hanging="363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211" w:hanging="363"/>
        <w:jc w:val="left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w w:val="83"/>
        <w:sz w:val="22"/>
        <w:szCs w:val="22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33" w:hanging="3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89" w:hanging="3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46" w:hanging="3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003" w:hanging="3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59" w:hanging="3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16" w:hanging="3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72" w:hanging="363"/>
      </w:pPr>
      <w:rPr>
        <w:rFonts w:hint="default"/>
        <w:lang w:val="en-US" w:eastAsia="zh-CN" w:bidi="ar-SA"/>
      </w:rPr>
    </w:lvl>
  </w:abstractNum>
  <w:abstractNum w:abstractNumId="28">
    <w:nsid w:val="7F5127C1"/>
    <w:multiLevelType w:val="hybridMultilevel"/>
    <w:tmpl w:val="00000000"/>
    <w:lvl w:ilvl="0">
      <w:start w:val="5"/>
      <w:numFmt w:val="decimal"/>
      <w:lvlText w:val="%1"/>
      <w:lvlJc w:val="left"/>
      <w:pPr>
        <w:ind w:left="871" w:hanging="180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053" w:hanging="363"/>
        <w:jc w:val="left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w w:val="83"/>
        <w:sz w:val="22"/>
        <w:szCs w:val="22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211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00" w:hanging="6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420" w:hanging="6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6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4208" w:hanging="6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5603" w:hanging="6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97" w:hanging="601"/>
      </w:pPr>
      <w:rPr>
        <w:rFonts w:hint="default"/>
        <w:lang w:val="en-US" w:eastAsia="zh-CN" w:bidi="ar-SA"/>
      </w:rPr>
    </w:lvl>
  </w:abstractNum>
  <w:num w:numId="1">
    <w:abstractNumId w:val="7"/>
  </w:num>
  <w:num w:numId="2">
    <w:abstractNumId w:val="25"/>
  </w:num>
  <w:num w:numId="3">
    <w:abstractNumId w:val="17"/>
  </w:num>
  <w:num w:numId="4">
    <w:abstractNumId w:val="11"/>
  </w:num>
  <w:num w:numId="5">
    <w:abstractNumId w:val="6"/>
  </w:num>
  <w:num w:numId="6">
    <w:abstractNumId w:val="13"/>
  </w:num>
  <w:num w:numId="7">
    <w:abstractNumId w:val="5"/>
  </w:num>
  <w:num w:numId="8">
    <w:abstractNumId w:val="0"/>
  </w:num>
  <w:num w:numId="9">
    <w:abstractNumId w:val="16"/>
  </w:num>
  <w:num w:numId="10">
    <w:abstractNumId w:val="1"/>
  </w:num>
  <w:num w:numId="11">
    <w:abstractNumId w:val="2"/>
  </w:num>
  <w:num w:numId="12">
    <w:abstractNumId w:val="20"/>
  </w:num>
  <w:num w:numId="13">
    <w:abstractNumId w:val="21"/>
  </w:num>
  <w:num w:numId="14">
    <w:abstractNumId w:val="15"/>
  </w:num>
  <w:num w:numId="15">
    <w:abstractNumId w:val="8"/>
  </w:num>
  <w:num w:numId="16">
    <w:abstractNumId w:val="26"/>
  </w:num>
  <w:num w:numId="17">
    <w:abstractNumId w:val="4"/>
  </w:num>
  <w:num w:numId="18">
    <w:abstractNumId w:val="23"/>
  </w:num>
  <w:num w:numId="19">
    <w:abstractNumId w:val="12"/>
  </w:num>
  <w:num w:numId="20">
    <w:abstractNumId w:val="10"/>
  </w:num>
  <w:num w:numId="21">
    <w:abstractNumId w:val="19"/>
  </w:num>
  <w:num w:numId="22">
    <w:abstractNumId w:val="27"/>
  </w:num>
  <w:num w:numId="23">
    <w:abstractNumId w:val="14"/>
  </w:num>
  <w:num w:numId="24">
    <w:abstractNumId w:val="22"/>
  </w:num>
  <w:num w:numId="25">
    <w:abstractNumId w:val="3"/>
  </w:num>
  <w:num w:numId="26">
    <w:abstractNumId w:val="18"/>
  </w:num>
  <w:num w:numId="27">
    <w:abstractNumId w:val="24"/>
  </w:num>
  <w:num w:numId="28">
    <w:abstractNumId w:val="28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211"/>
      <w:outlineLvl w:val="0"/>
    </w:pPr>
    <w:rPr>
      <w:rFonts w:ascii="Microsoft JhengHei" w:eastAsia="Microsoft JhengHei" w:hAnsi="Microsoft JhengHei" w:cs="Microsoft JhengHei"/>
      <w:b/>
      <w:bCs/>
      <w:sz w:val="28"/>
      <w:szCs w:val="28"/>
      <w:lang w:val="en-US" w:eastAsia="zh-CN" w:bidi="ar-SA"/>
    </w:rPr>
  </w:style>
  <w:style w:type="paragraph" w:styleId="Heading2">
    <w:name w:val="heading 2"/>
    <w:basedOn w:val="Normal"/>
    <w:uiPriority w:val="1"/>
    <w:qFormat/>
    <w:pPr>
      <w:ind w:left="1053" w:hanging="363"/>
      <w:outlineLvl w:val="1"/>
    </w:pPr>
    <w:rPr>
      <w:rFonts w:ascii="Microsoft JhengHei" w:eastAsia="Microsoft JhengHei" w:hAnsi="Microsoft JhengHei" w:cs="Microsoft JhengHei"/>
      <w:b/>
      <w:bCs/>
      <w:sz w:val="24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114"/>
      <w:ind w:left="211"/>
    </w:pPr>
    <w:rPr>
      <w:rFonts w:ascii="Microsoft JhengHei" w:eastAsia="Microsoft JhengHei" w:hAnsi="Microsoft JhengHei" w:cs="Microsoft JhengHei"/>
      <w:b/>
      <w:bCs/>
      <w:sz w:val="21"/>
      <w:szCs w:val="21"/>
      <w:lang w:val="en-US" w:eastAsia="zh-CN" w:bidi="ar-SA"/>
    </w:rPr>
  </w:style>
  <w:style w:type="paragraph" w:styleId="TOC2">
    <w:name w:val="toc 2"/>
    <w:basedOn w:val="Normal"/>
    <w:uiPriority w:val="1"/>
    <w:qFormat/>
    <w:pPr>
      <w:spacing w:before="231"/>
      <w:ind w:left="947" w:hanging="316"/>
    </w:pPr>
    <w:rPr>
      <w:rFonts w:ascii="宋体" w:eastAsia="宋体" w:hAnsi="宋体" w:cs="宋体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211"/>
    </w:pPr>
    <w:rPr>
      <w:rFonts w:ascii="宋体" w:eastAsia="宋体" w:hAnsi="宋体" w:cs="宋体"/>
      <w:sz w:val="24"/>
      <w:szCs w:val="24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spacing w:before="1"/>
      <w:ind w:left="211" w:firstLine="480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footer" Target="footer7.xml" /><Relationship Id="rId14" Type="http://schemas.openxmlformats.org/officeDocument/2006/relationships/footer" Target="footer8.xml" /><Relationship Id="rId15" Type="http://schemas.openxmlformats.org/officeDocument/2006/relationships/footer" Target="footer9.xml" /><Relationship Id="rId16" Type="http://schemas.openxmlformats.org/officeDocument/2006/relationships/hyperlink" Target="https://d.book118.com/005014010333011121" TargetMode="External" /><Relationship Id="rId17" Type="http://schemas.openxmlformats.org/officeDocument/2006/relationships/footer" Target="footer10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2024-03-01T13:38:13Z</dcterms:created>
  <dcterms:modified xsi:type="dcterms:W3CDTF">2024-03-01T13:38:13Z</dcterms:modified>
</cp:coreProperties>
</file>