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2015-2023年湖南电气职业技术学院高职单招（数学／语文／英语）历年参考题库带答案解析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《冯谖客孟尝君》采用了欲扬先抑的表现手法，下列不属于贬抑手法的一项是（）。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A.孟尝君曰：“客何好”曰：“客无好也。”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B.左右皆恶之，以为贪而不知足。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C.孟尝君不悦，曰：“诺，先生休矣!”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D.孟尝君为相数十年，无纤介之祸者，冯谖之计也。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冯谖为孟尝君“焚券市义”行为中蕴含着（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A.道家思想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下列画横线的句子翻译错误的一项是（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A.与尔三矢，尔其无忘乃父之志。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B.故今具道所以，冀君实或见恕。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D.将军自念，岂尝有所恨乎?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“呕出一颗心来，——在我心里!”此诗句出自（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下列诗句中，在描写罗敷美貌时运用了侧面烘托手法的是（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A.头上倭堕髻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B.耳中明月珠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C.来归相怨怒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D.紫绮为上襦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A.怒则须髯张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B.拔刀断指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C.抽矢射贺兰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D.记忆超人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李商隐的《无题》（相见时难别亦难）表达相思之苦的名句是（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A.东风无力百花残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B.晓镜但愁云鬓改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C.相见时难别亦难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D.春蚕到死丝方尽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“文章合为时而著，歌诗合为事而作”的口号是谁提出的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D.未名社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《李将军列传》中，李广和李蔡的对比描写，主要是为了表现李广的（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A.骁勇善战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B.爱护士卒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C.乐观旷达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D.白首未封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https://d.book118.com/005231023101011113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05231023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