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left="0" w:firstLine="0" w:leftChars="0" w:firstLineChars="0"/>
        <w:rPr>
          <w:rFonts w:ascii="Calibri" w:hAnsi="Calibri"/>
        </w:rPr>
      </w:pP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eastAsia="隶书"/>
          <w:b/>
          <w:bCs/>
          <w:sz w:val="84"/>
        </w:rPr>
      </w:pPr>
      <w:r>
        <w:rPr>
          <w:rFonts w:eastAsia="隶书" w:hint="eastAsia"/>
          <w:b/>
          <w:bCs/>
          <w:sz w:val="84"/>
        </w:rPr>
        <w:t>华北水利水电大学</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b/>
          <w:bCs/>
          <w:sz w:val="28"/>
          <w:szCs w:val="28"/>
        </w:rPr>
      </w:pPr>
      <w:r>
        <w:rPr>
          <w:b/>
          <w:bCs/>
          <w:sz w:val="28"/>
          <w:szCs w:val="28"/>
        </w:rPr>
        <w:t>North China University of Water Resources and Electric Power</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eastAsia="方正楷体简体"/>
          <w:b/>
          <w:bCs/>
          <w:sz w:val="96"/>
        </w:rPr>
      </w:pPr>
      <w:r>
        <w:rPr>
          <w:rFonts w:eastAsia="隶书" w:hint="eastAsia"/>
          <w:b/>
          <w:bCs/>
          <w:sz w:val="52"/>
          <w:szCs w:val="28"/>
        </w:rPr>
        <w:t>远程与继续教育学院</w:t>
      </w:r>
    </w:p>
    <w:p>
      <w:pPr>
        <w:ind w:firstLine="201"/>
        <w:jc w:val="center"/>
        <w:rPr>
          <w:rFonts w:eastAsia="方正楷体简体"/>
          <w:b/>
          <w:bCs/>
          <w:sz w:val="10"/>
          <w:szCs w:val="10"/>
        </w:rPr>
      </w:pPr>
    </w:p>
    <w:p>
      <w:pPr>
        <w:ind w:left="0" w:firstLine="0" w:leftChars="0" w:firstLineChars="0"/>
        <w:jc w:val="center"/>
        <w:rPr>
          <w:rFonts w:ascii="楷体" w:eastAsia="楷体" w:hAnsi="楷体"/>
          <w:b/>
          <w:bCs/>
          <w:sz w:val="96"/>
        </w:rPr>
      </w:pPr>
      <w:r>
        <w:rPr>
          <w:rFonts w:ascii="楷体" w:eastAsia="楷体" w:hAnsi="楷体" w:hint="eastAsia"/>
          <w:b/>
          <w:bCs/>
          <w:sz w:val="96"/>
        </w:rPr>
        <w:t>毕业论文</w:t>
      </w:r>
    </w:p>
    <w:p>
      <w:pPr>
        <w:ind w:firstLine="1687"/>
        <w:jc w:val="center"/>
        <w:rPr>
          <w:rFonts w:eastAsia="方正楷体简体"/>
          <w:b/>
          <w:bCs/>
          <w:sz w:val="84"/>
        </w:rPr>
      </w:pPr>
    </w:p>
    <w:p>
      <w:pPr>
        <w:spacing w:line="480" w:lineRule="auto"/>
        <w:ind w:firstLine="1742" w:firstLineChars="396"/>
        <w:rPr>
          <w:rFonts w:ascii="宋体" w:hAnsi="宋体"/>
          <w:b/>
          <w:bCs/>
          <w:sz w:val="44"/>
        </w:rPr>
      </w:pPr>
      <w:r>
        <w:rPr>
          <w:rFonts w:hint="eastAsia"/>
          <w:b/>
          <w:bCs/>
          <w:sz w:val="44"/>
        </w:rPr>
        <w:t>题目</w:t>
      </w:r>
      <w:r>
        <w:rPr>
          <w:rFonts w:hint="eastAsia"/>
          <w:sz w:val="44"/>
          <w:u w:val="single"/>
        </w:rPr>
        <w:t xml:space="preserve">   </w:t>
      </w:r>
      <w:r>
        <w:rPr>
          <w:rFonts w:hint="eastAsia"/>
          <w:sz w:val="44"/>
          <w:u w:val="single"/>
          <w:lang w:eastAsia="zh-CN"/>
        </w:rPr>
        <w:t>拟建建筑物地质差异较大时的地基处理措施</w:t>
      </w:r>
      <w:r>
        <w:rPr>
          <w:rFonts w:hint="eastAsia"/>
          <w:sz w:val="44"/>
          <w:u w:val="single"/>
        </w:rPr>
        <w:t xml:space="preserve">  </w:t>
      </w:r>
    </w:p>
    <w:p>
      <w:pPr>
        <w:ind w:firstLine="480"/>
      </w:pPr>
    </w:p>
    <w:p>
      <w:pPr>
        <w:ind w:firstLine="883"/>
        <w:rPr>
          <w:rFonts w:ascii="宋体" w:hAnsi="宋体"/>
          <w:b/>
          <w:bCs/>
          <w:sz w:val="44"/>
          <w:u w:val="single"/>
        </w:rPr>
      </w:pPr>
      <w:r>
        <w:rPr>
          <w:rFonts w:ascii="宋体" w:hAnsi="宋体" w:hint="eastAsia"/>
          <w:b/>
          <w:bCs/>
          <w:sz w:val="44"/>
        </w:rPr>
        <w:t xml:space="preserve">         </w:t>
      </w:r>
      <w:r>
        <w:rPr>
          <w:rFonts w:ascii="宋体" w:hAnsi="宋体" w:hint="eastAsia"/>
          <w:b/>
          <w:bCs/>
          <w:sz w:val="44"/>
          <w:u w:val="single"/>
        </w:rPr>
        <w:t xml:space="preserve">                       </w:t>
      </w:r>
    </w:p>
    <w:p>
      <w:pPr>
        <w:ind w:firstLine="480"/>
      </w:pPr>
    </w:p>
    <w:p>
      <w:pPr>
        <w:ind w:firstLine="2800" w:firstLineChars="1000"/>
        <w:rPr>
          <w:b/>
          <w:bCs/>
          <w:sz w:val="28"/>
          <w:u w:val="single"/>
        </w:rPr>
      </w:pPr>
      <w:r>
        <w:rPr>
          <w:rFonts w:hint="eastAsia"/>
          <w:b/>
          <w:bCs/>
          <w:sz w:val="28"/>
        </w:rPr>
        <w:t xml:space="preserve">毕业院校 </w:t>
      </w:r>
      <w:r>
        <w:rPr>
          <w:rFonts w:hint="eastAsia"/>
          <w:sz w:val="28"/>
          <w:u w:val="single"/>
        </w:rPr>
        <w:t xml:space="preserve"> 华北水利水电大学</w:t>
      </w:r>
    </w:p>
    <w:p>
      <w:pPr>
        <w:ind w:firstLine="2800" w:firstLineChars="1000"/>
        <w:rPr>
          <w:b/>
          <w:bCs/>
          <w:sz w:val="28"/>
          <w:u w:val="single"/>
        </w:rPr>
      </w:pPr>
      <w:r>
        <w:rPr>
          <w:rFonts w:hint="eastAsia"/>
          <w:b/>
          <w:bCs/>
          <w:sz w:val="28"/>
        </w:rPr>
        <w:t xml:space="preserve">专    业  </w:t>
      </w:r>
      <w:r>
        <w:rPr>
          <w:rFonts w:hint="eastAsia"/>
          <w:sz w:val="28"/>
          <w:u w:val="single"/>
        </w:rPr>
        <w:t xml:space="preserve">    土木工程   </w:t>
      </w:r>
    </w:p>
    <w:p>
      <w:pPr>
        <w:spacing w:line="480" w:lineRule="auto"/>
        <w:ind w:firstLine="1960" w:firstLineChars="700"/>
        <w:rPr>
          <w:b/>
          <w:bCs/>
          <w:sz w:val="28"/>
        </w:rPr>
      </w:pPr>
      <w:r>
        <w:rPr>
          <w:rFonts w:hint="eastAsia"/>
          <w:b/>
          <w:bCs/>
          <w:sz w:val="28"/>
        </w:rPr>
        <w:t xml:space="preserve">      姓    名  </w:t>
      </w:r>
      <w:r>
        <w:rPr>
          <w:rFonts w:hint="eastAsia"/>
          <w:sz w:val="28"/>
          <w:u w:val="single"/>
        </w:rPr>
        <w:t xml:space="preserve">    </w:t>
      </w:r>
      <w:r>
        <w:rPr>
          <w:rFonts w:hint="eastAsia"/>
          <w:sz w:val="28"/>
          <w:u w:val="single"/>
          <w:lang w:eastAsia="zh-CN"/>
        </w:rPr>
        <w:t>刘春磊</w:t>
      </w:r>
      <w:r>
        <w:rPr>
          <w:rFonts w:hint="eastAsia"/>
          <w:sz w:val="28"/>
          <w:u w:val="single"/>
        </w:rPr>
        <w:t xml:space="preserve">     </w:t>
      </w:r>
    </w:p>
    <w:p>
      <w:pPr>
        <w:spacing w:line="480" w:lineRule="auto"/>
        <w:ind w:firstLine="1960" w:firstLineChars="700"/>
        <w:rPr>
          <w:b/>
          <w:bCs/>
          <w:sz w:val="28"/>
          <w:u w:val="single"/>
        </w:rPr>
      </w:pPr>
      <w:r>
        <w:rPr>
          <w:rFonts w:hint="eastAsia"/>
          <w:b/>
          <w:bCs/>
          <w:sz w:val="28"/>
        </w:rPr>
        <w:t xml:space="preserve">      学    号  </w:t>
      </w:r>
      <w:r>
        <w:rPr>
          <w:rFonts w:hint="eastAsia"/>
          <w:sz w:val="28"/>
          <w:u w:val="single"/>
        </w:rPr>
        <w:t xml:space="preserve">  </w:t>
      </w:r>
      <w:r>
        <w:rPr>
          <w:rFonts w:hint="eastAsia"/>
          <w:sz w:val="28"/>
          <w:u w:val="single"/>
          <w:lang w:eastAsia="zh-CN"/>
        </w:rPr>
        <w:t>41210424417</w:t>
      </w:r>
      <w:r>
        <w:rPr>
          <w:rFonts w:hint="eastAsia"/>
          <w:sz w:val="28"/>
          <w:u w:val="single"/>
        </w:rPr>
        <w:t xml:space="preserve">  </w:t>
      </w:r>
    </w:p>
    <w:p>
      <w:pPr>
        <w:spacing w:line="480" w:lineRule="auto"/>
        <w:ind w:firstLine="2800" w:firstLineChars="1000"/>
        <w:rPr>
          <w:b/>
          <w:bCs/>
          <w:sz w:val="28"/>
          <w:u w:val="single"/>
        </w:rPr>
      </w:pPr>
      <w:r>
        <w:rPr>
          <w:rFonts w:hint="eastAsia"/>
          <w:b/>
          <w:bCs/>
          <w:sz w:val="28"/>
        </w:rPr>
        <w:t xml:space="preserve">指导教师  </w:t>
      </w:r>
      <w:r>
        <w:rPr>
          <w:rFonts w:hint="eastAsia"/>
          <w:sz w:val="28"/>
          <w:u w:val="single"/>
        </w:rPr>
        <w:t xml:space="preserve">               </w:t>
      </w:r>
    </w:p>
    <w:p>
      <w:pPr>
        <w:ind w:firstLine="560"/>
        <w:jc w:val="center"/>
        <w:rPr>
          <w:sz w:val="28"/>
        </w:rPr>
      </w:pPr>
    </w:p>
    <w:p>
      <w:pPr>
        <w:ind w:firstLine="560"/>
        <w:jc w:val="center"/>
        <w:rPr>
          <w:sz w:val="28"/>
        </w:rPr>
      </w:pPr>
      <w:r>
        <w:rPr>
          <w:rFonts w:hint="eastAsia"/>
          <w:sz w:val="28"/>
          <w:lang w:val="en-US" w:eastAsia="zh-CN"/>
        </w:rPr>
        <w:t>2023</w:t>
      </w:r>
      <w:r>
        <w:rPr>
          <w:rFonts w:hint="eastAsia"/>
          <w:sz w:val="28"/>
        </w:rPr>
        <w:t xml:space="preserve">年 </w:t>
      </w:r>
      <w:r>
        <w:rPr>
          <w:rFonts w:hint="eastAsia"/>
          <w:sz w:val="28"/>
          <w:lang w:val="en-US" w:eastAsia="zh-CN"/>
        </w:rPr>
        <w:t xml:space="preserve"> 3</w:t>
      </w:r>
      <w:r>
        <w:rPr>
          <w:rFonts w:hint="eastAsia"/>
          <w:sz w:val="28"/>
        </w:rPr>
        <w:t xml:space="preserve">  月  </w:t>
      </w:r>
      <w:r>
        <w:rPr>
          <w:rFonts w:hint="eastAsia"/>
          <w:sz w:val="28"/>
          <w:lang w:val="en-US" w:eastAsia="zh-CN"/>
        </w:rPr>
        <w:t>4</w:t>
      </w:r>
      <w:r>
        <w:rPr>
          <w:rFonts w:hint="eastAsia"/>
          <w:sz w:val="28"/>
        </w:rPr>
        <w:t xml:space="preserve">  日</w:t>
      </w:r>
    </w:p>
    <w:p>
      <w:pPr>
        <w:ind w:firstLine="5600" w:firstLineChars="2000"/>
        <w:rPr>
          <w:sz w:val="28"/>
        </w:rPr>
        <w:sectPr>
          <w:footerReference w:type="default" r:id="rId7"/>
          <w:pgSz w:w="11906" w:h="16838"/>
          <w:pgMar w:top="1418" w:right="1418" w:bottom="1418" w:left="1418" w:header="851" w:footer="992" w:gutter="0"/>
          <w:pgNumType w:start="1"/>
          <w:cols w:num="1" w:space="720"/>
          <w:docGrid w:type="linesAndChars" w:linePitch="312" w:charSpace="0"/>
        </w:sectPr>
      </w:pPr>
    </w:p>
    <w:p>
      <w:pPr>
        <w:ind w:firstLine="5600" w:firstLineChars="2000"/>
        <w:rPr>
          <w:sz w:val="28"/>
        </w:rPr>
      </w:pPr>
    </w:p>
    <w:p>
      <w:pPr>
        <w:ind w:firstLine="880"/>
        <w:jc w:val="center"/>
        <w:rPr>
          <w:rFonts w:ascii="黑体" w:eastAsia="黑体"/>
          <w:sz w:val="44"/>
          <w:szCs w:val="44"/>
        </w:rPr>
      </w:pPr>
    </w:p>
    <w:p>
      <w:pPr>
        <w:ind w:left="0" w:firstLine="0" w:leftChars="0" w:firstLineChars="0"/>
        <w:jc w:val="center"/>
        <w:rPr>
          <w:rFonts w:ascii="黑体" w:eastAsia="黑体"/>
          <w:sz w:val="44"/>
          <w:szCs w:val="44"/>
        </w:rPr>
      </w:pPr>
      <w:r>
        <w:rPr>
          <w:rFonts w:ascii="黑体" w:eastAsia="黑体" w:hint="eastAsia"/>
          <w:sz w:val="44"/>
          <w:szCs w:val="44"/>
        </w:rPr>
        <w:t>独立完成与诚信声明</w:t>
      </w:r>
    </w:p>
    <w:p>
      <w:pPr>
        <w:ind w:firstLine="300"/>
        <w:jc w:val="center"/>
        <w:rPr>
          <w:rFonts w:ascii="黑体" w:eastAsia="黑体"/>
          <w:sz w:val="15"/>
          <w:szCs w:val="15"/>
        </w:rPr>
      </w:pPr>
    </w:p>
    <w:p>
      <w:pPr>
        <w:spacing w:after="120"/>
        <w:ind w:left="480" w:firstLine="560" w:leftChars="200"/>
        <w:rPr>
          <w:rFonts w:ascii="仿宋_GB2312" w:eastAsia="仿宋_GB2312"/>
          <w:sz w:val="28"/>
          <w:szCs w:val="28"/>
        </w:rPr>
      </w:pPr>
    </w:p>
    <w:p>
      <w:pPr>
        <w:spacing w:after="120"/>
        <w:ind w:left="480" w:firstLine="560" w:leftChars="200"/>
        <w:rPr>
          <w:rFonts w:ascii="仿宋_GB2312" w:eastAsia="仿宋_GB2312"/>
          <w:sz w:val="28"/>
          <w:szCs w:val="28"/>
        </w:rPr>
      </w:pPr>
      <w:r>
        <w:rPr>
          <w:rFonts w:ascii="仿宋_GB2312" w:eastAsia="仿宋_GB2312" w:hint="eastAsia"/>
          <w:sz w:val="28"/>
          <w:szCs w:val="28"/>
        </w:rPr>
        <w:t>本人郑重声明：所提交的毕业设计（论文）是本人在指导教师的指导下，独立工作所取得的成果并撰写完成的，郑重确认没有剽窃、抄袭等违反学术道德、学术规范的侵权行为。文中除已经标注引用的内容外，不包含其他人或集体已经发表或撰写过的研究成果。对本文的研究做出重要贡献的个人和集体，均已在文中作了明确的说明并表示了谢意。本人完全意识到本声明的法律后果由本人承担。</w:t>
      </w:r>
    </w:p>
    <w:p>
      <w:pPr>
        <w:ind w:firstLine="700" w:firstLineChars="250"/>
        <w:rPr>
          <w:rFonts w:ascii="仿宋_GB2312" w:eastAsia="仿宋_GB2312" w:hAnsi="宋体"/>
          <w:sz w:val="28"/>
          <w:szCs w:val="28"/>
        </w:rPr>
      </w:pPr>
    </w:p>
    <w:p>
      <w:pPr>
        <w:ind w:firstLine="700" w:firstLineChars="250"/>
        <w:rPr>
          <w:rFonts w:ascii="仿宋_GB2312" w:eastAsia="仿宋_GB2312" w:hAnsi="宋体"/>
          <w:sz w:val="28"/>
          <w:szCs w:val="28"/>
        </w:rPr>
      </w:pPr>
      <w:r>
        <w:rPr>
          <w:rFonts w:ascii="仿宋_GB2312" w:eastAsia="仿宋_GB2312" w:hAnsi="宋体" w:hint="eastAsia"/>
          <w:sz w:val="28"/>
          <w:szCs w:val="28"/>
        </w:rPr>
        <w:t xml:space="preserve">毕业设计（论文）作者签名：           指导导师签名： </w:t>
      </w:r>
    </w:p>
    <w:p>
      <w:pPr>
        <w:ind w:right="480" w:firstLine="560"/>
        <w:rPr>
          <w:rFonts w:ascii="仿宋_GB2312" w:eastAsia="仿宋_GB2312" w:hAnsi="宋体"/>
          <w:sz w:val="28"/>
          <w:szCs w:val="28"/>
        </w:rPr>
      </w:pPr>
    </w:p>
    <w:p>
      <w:pPr>
        <w:ind w:right="480" w:firstLine="700" w:firstLineChars="250"/>
        <w:rPr>
          <w:rFonts w:ascii="仿宋_GB2312" w:eastAsia="仿宋_GB2312" w:hAnsi="宋体"/>
          <w:sz w:val="28"/>
          <w:szCs w:val="28"/>
        </w:rPr>
      </w:pPr>
      <w:r>
        <w:rPr>
          <w:rFonts w:ascii="仿宋_GB2312" w:eastAsia="仿宋_GB2312" w:hAnsi="宋体" w:hint="eastAsia"/>
          <w:sz w:val="28"/>
          <w:szCs w:val="28"/>
        </w:rPr>
        <w:t>签字日期：                           签字日期：</w:t>
      </w:r>
    </w:p>
    <w:p>
      <w:pPr>
        <w:ind w:firstLine="880"/>
        <w:jc w:val="center"/>
        <w:rPr>
          <w:rFonts w:ascii="黑体" w:eastAsia="黑体"/>
          <w:sz w:val="44"/>
          <w:szCs w:val="44"/>
        </w:rPr>
      </w:pPr>
    </w:p>
    <w:p>
      <w:pPr>
        <w:ind w:firstLine="880"/>
        <w:jc w:val="center"/>
        <w:rPr>
          <w:rFonts w:ascii="黑体" w:eastAsia="黑体"/>
          <w:sz w:val="44"/>
          <w:szCs w:val="44"/>
        </w:rPr>
      </w:pPr>
    </w:p>
    <w:p>
      <w:pPr>
        <w:ind w:firstLine="880"/>
        <w:jc w:val="center"/>
        <w:rPr>
          <w:rFonts w:ascii="黑体" w:eastAsia="黑体"/>
          <w:sz w:val="44"/>
          <w:szCs w:val="44"/>
        </w:rPr>
      </w:pPr>
    </w:p>
    <w:p>
      <w:pPr>
        <w:ind w:firstLine="880"/>
        <w:jc w:val="center"/>
        <w:rPr>
          <w:rFonts w:ascii="黑体" w:eastAsia="黑体"/>
          <w:sz w:val="44"/>
          <w:szCs w:val="44"/>
        </w:rPr>
      </w:pPr>
    </w:p>
    <w:p>
      <w:pPr>
        <w:ind w:firstLine="880"/>
        <w:jc w:val="center"/>
        <w:rPr>
          <w:rFonts w:ascii="黑体" w:eastAsia="黑体"/>
          <w:sz w:val="44"/>
          <w:szCs w:val="44"/>
        </w:rPr>
      </w:pPr>
    </w:p>
    <w:p>
      <w:pPr>
        <w:ind w:firstLine="880"/>
        <w:jc w:val="center"/>
        <w:rPr>
          <w:rFonts w:ascii="黑体" w:eastAsia="黑体"/>
          <w:sz w:val="44"/>
          <w:szCs w:val="44"/>
        </w:rPr>
      </w:pPr>
    </w:p>
    <w:p>
      <w:pPr>
        <w:ind w:firstLine="880"/>
        <w:jc w:val="center"/>
        <w:rPr>
          <w:rFonts w:ascii="黑体" w:eastAsia="黑体"/>
          <w:sz w:val="44"/>
          <w:szCs w:val="44"/>
        </w:rPr>
      </w:pPr>
    </w:p>
    <w:p>
      <w:pPr>
        <w:ind w:firstLine="880"/>
        <w:jc w:val="center"/>
        <w:rPr>
          <w:rFonts w:ascii="黑体" w:eastAsia="黑体"/>
          <w:sz w:val="44"/>
          <w:szCs w:val="44"/>
        </w:rPr>
        <w:sectPr>
          <w:footerReference w:type="default" r:id="rId8"/>
          <w:pgSz w:w="11906" w:h="16838"/>
          <w:pgMar w:top="1418" w:right="1418" w:bottom="1418" w:left="1418" w:header="851" w:footer="992" w:gutter="0"/>
          <w:pgNumType w:start="1"/>
          <w:cols w:num="1" w:space="720"/>
          <w:docGrid w:type="linesAndChars" w:linePitch="312" w:charSpace="0"/>
        </w:sectPr>
      </w:pPr>
    </w:p>
    <w:p>
      <w:pPr>
        <w:ind w:firstLine="880"/>
        <w:jc w:val="center"/>
        <w:rPr>
          <w:rFonts w:ascii="黑体" w:eastAsia="黑体"/>
          <w:sz w:val="44"/>
          <w:szCs w:val="44"/>
        </w:rPr>
      </w:pPr>
    </w:p>
    <w:p>
      <w:pPr>
        <w:ind w:firstLine="880"/>
        <w:jc w:val="center"/>
        <w:rPr>
          <w:rFonts w:ascii="黑体" w:eastAsia="黑体"/>
          <w:sz w:val="44"/>
          <w:szCs w:val="44"/>
        </w:rPr>
      </w:pPr>
    </w:p>
    <w:p>
      <w:pPr>
        <w:ind w:left="0" w:firstLine="0" w:leftChars="0" w:firstLineChars="0"/>
        <w:jc w:val="center"/>
        <w:rPr>
          <w:rFonts w:ascii="黑体" w:eastAsia="黑体"/>
          <w:sz w:val="15"/>
          <w:szCs w:val="15"/>
        </w:rPr>
      </w:pPr>
      <w:r>
        <w:rPr>
          <w:rFonts w:ascii="黑体" w:eastAsia="黑体" w:hint="eastAsia"/>
          <w:sz w:val="44"/>
          <w:szCs w:val="44"/>
        </w:rPr>
        <w:t>毕业设计（论文）版权使用授权书</w:t>
      </w:r>
    </w:p>
    <w:p>
      <w:pPr>
        <w:ind w:firstLine="300"/>
        <w:jc w:val="center"/>
        <w:rPr>
          <w:rFonts w:ascii="黑体" w:eastAsia="黑体"/>
          <w:sz w:val="15"/>
          <w:szCs w:val="15"/>
        </w:rPr>
      </w:pPr>
    </w:p>
    <w:p>
      <w:pPr>
        <w:spacing w:after="120"/>
        <w:ind w:left="480" w:firstLine="560" w:leftChars="200"/>
        <w:rPr>
          <w:rFonts w:ascii="仿宋_GB2312" w:eastAsia="仿宋_GB2312"/>
          <w:sz w:val="28"/>
          <w:szCs w:val="28"/>
        </w:rPr>
      </w:pPr>
    </w:p>
    <w:p>
      <w:pPr>
        <w:spacing w:after="120"/>
        <w:ind w:left="480" w:firstLine="560" w:leftChars="200"/>
        <w:rPr>
          <w:rFonts w:ascii="仿宋_GB2312" w:eastAsia="仿宋_GB2312"/>
          <w:sz w:val="28"/>
          <w:szCs w:val="28"/>
        </w:rPr>
      </w:pPr>
      <w:r>
        <w:rPr>
          <w:rFonts w:ascii="仿宋_GB2312" w:eastAsia="仿宋_GB2312" w:hint="eastAsia"/>
          <w:sz w:val="28"/>
          <w:szCs w:val="28"/>
        </w:rPr>
        <w:t>本人完全了解华北水利水电大学有关保管、使用毕业设计（论文）的规定。特授权华北水利水电大学可以将毕业设计（论文）的全部或部分内容公开和编入有关数据库提供检索，并采用影印、缩印或扫描等复制手段复制、保存、汇编以供查阅和借阅。同意学校向国家有关部门或机构送交毕业设计（论文）原件或复印件和电子文档（涉密的成果在解密后应遵守此规定）。</w:t>
      </w:r>
    </w:p>
    <w:p>
      <w:pPr>
        <w:spacing w:after="120"/>
        <w:ind w:left="480" w:firstLine="560" w:leftChars="200"/>
        <w:rPr>
          <w:rFonts w:ascii="仿宋_GB2312" w:eastAsia="仿宋_GB2312"/>
          <w:sz w:val="28"/>
          <w:szCs w:val="28"/>
        </w:rPr>
      </w:pPr>
    </w:p>
    <w:p>
      <w:pPr>
        <w:ind w:firstLine="700" w:firstLineChars="250"/>
        <w:rPr>
          <w:rFonts w:ascii="仿宋_GB2312" w:eastAsia="仿宋_GB2312" w:hAnsi="宋体"/>
          <w:sz w:val="28"/>
          <w:szCs w:val="28"/>
        </w:rPr>
      </w:pPr>
      <w:r>
        <w:rPr>
          <w:rFonts w:ascii="仿宋_GB2312" w:eastAsia="仿宋_GB2312" w:hint="eastAsia"/>
          <w:sz w:val="28"/>
          <w:szCs w:val="28"/>
        </w:rPr>
        <w:t>毕业设计（论文）</w:t>
      </w:r>
      <w:r>
        <w:rPr>
          <w:rFonts w:ascii="仿宋_GB2312" w:eastAsia="仿宋_GB2312" w:hAnsi="宋体" w:hint="eastAsia"/>
          <w:sz w:val="28"/>
          <w:szCs w:val="28"/>
        </w:rPr>
        <w:t>作者签名：               导师签名：</w:t>
      </w:r>
    </w:p>
    <w:p>
      <w:pPr>
        <w:ind w:firstLine="700" w:firstLineChars="250"/>
        <w:rPr>
          <w:rFonts w:ascii="仿宋_GB2312" w:eastAsia="仿宋_GB2312" w:hAnsi="宋体"/>
          <w:sz w:val="28"/>
          <w:szCs w:val="28"/>
        </w:rPr>
      </w:pPr>
    </w:p>
    <w:p>
      <w:pPr>
        <w:ind w:firstLine="700" w:firstLineChars="250"/>
        <w:rPr>
          <w:rFonts w:ascii="仿宋_GB2312" w:eastAsia="仿宋_GB2312" w:hAnsi="宋体"/>
          <w:sz w:val="28"/>
          <w:szCs w:val="28"/>
        </w:rPr>
      </w:pPr>
    </w:p>
    <w:p>
      <w:pPr>
        <w:widowControl/>
        <w:snapToGrid w:val="0"/>
        <w:ind w:firstLine="700" w:firstLineChars="250"/>
      </w:pPr>
      <w:r>
        <w:rPr>
          <w:rFonts w:ascii="仿宋_GB2312" w:eastAsia="仿宋_GB2312" w:hAnsi="宋体" w:hint="eastAsia"/>
          <w:sz w:val="28"/>
          <w:szCs w:val="28"/>
        </w:rPr>
        <w:t>签字日期：                               签字日期</w:t>
      </w:r>
      <w:r>
        <w:rPr>
          <w:rFonts w:ascii="仿宋_GB2312" w:eastAsia="仿宋_GB2312" w:hint="eastAsia"/>
          <w:sz w:val="28"/>
          <w:szCs w:val="28"/>
        </w:rPr>
        <w:t>：</w:t>
      </w:r>
    </w:p>
    <w:p>
      <w:pPr>
        <w:widowControl/>
        <w:snapToGrid w:val="0"/>
        <w:ind w:firstLine="480"/>
      </w:pPr>
    </w:p>
    <w:p>
      <w:pPr>
        <w:widowControl/>
        <w:snapToGrid w:val="0"/>
        <w:ind w:firstLine="480"/>
      </w:pPr>
    </w:p>
    <w:p>
      <w:pPr>
        <w:widowControl/>
        <w:snapToGrid w:val="0"/>
        <w:ind w:firstLine="480"/>
      </w:pPr>
    </w:p>
    <w:p>
      <w:pPr>
        <w:widowControl/>
        <w:snapToGrid w:val="0"/>
        <w:ind w:firstLine="480"/>
      </w:pPr>
    </w:p>
    <w:p>
      <w:pPr>
        <w:adjustRightInd w:val="0"/>
        <w:snapToGrid w:val="0"/>
        <w:spacing w:before="312" w:beforeLines="100" w:after="312" w:afterLines="100" w:line="312" w:lineRule="auto"/>
        <w:ind w:firstLine="480"/>
        <w:jc w:val="center"/>
        <w:sectPr>
          <w:footerReference w:type="default" r:id="rId9"/>
          <w:pgSz w:w="11906" w:h="16838"/>
          <w:pgMar w:top="1418" w:right="1418" w:bottom="1418" w:left="1418" w:header="851" w:footer="992" w:gutter="0"/>
          <w:pgNumType w:start="1"/>
          <w:cols w:num="1" w:space="720"/>
          <w:docGrid w:type="linesAndChars" w:linePitch="312" w:charSpace="0"/>
        </w:sectPr>
      </w:pPr>
    </w:p>
    <w:p>
      <w:pPr>
        <w:adjustRightInd w:val="0"/>
        <w:snapToGrid w:val="0"/>
        <w:spacing w:before="312" w:beforeLines="100" w:after="312" w:afterLines="100" w:line="312" w:lineRule="auto"/>
        <w:ind w:firstLine="643"/>
        <w:jc w:val="center"/>
      </w:pPr>
      <w:r>
        <w:rPr>
          <w:rFonts w:ascii="黑体" w:eastAsia="黑体" w:hint="eastAsia"/>
          <w:b/>
          <w:bCs/>
          <w:sz w:val="32"/>
          <w:szCs w:val="32"/>
        </w:rPr>
        <w:t>目  录</w:t>
      </w:r>
    </w:p>
    <w:p>
      <w:pPr>
        <w:pStyle w:val="TOC1"/>
        <w:tabs>
          <w:tab w:val="clear" w:pos="9060"/>
          <w:tab w:val="right" w:leader="dot" w:pos="9070"/>
        </w:tabs>
      </w:pPr>
      <w:r>
        <w:rPr>
          <w:rFonts w:ascii="黑体" w:eastAsia="黑体" w:hAnsi="黑体" w:cs="黑体"/>
        </w:rPr>
        <w:fldChar w:fldCharType="begin"/>
      </w:r>
      <w:r>
        <w:rPr>
          <w:rFonts w:ascii="黑体" w:eastAsia="黑体" w:hAnsi="黑体" w:cs="黑体"/>
        </w:rPr>
        <w:instrText xml:space="preserve">TOC \o "1-3" \h \u </w:instrText>
      </w:r>
      <w:r>
        <w:rPr>
          <w:rFonts w:ascii="黑体" w:eastAsia="黑体" w:hAnsi="黑体" w:cs="黑体"/>
        </w:rPr>
        <w:fldChar w:fldCharType="separate"/>
      </w:r>
      <w:hyperlink w:anchor="_Toc7780" w:history="1">
        <w:r>
          <w:rPr>
            <w:rFonts w:ascii="黑体" w:hAnsi="黑体" w:cs="黑体" w:hint="eastAsia"/>
            <w:szCs w:val="32"/>
          </w:rPr>
          <w:t>摘 要</w:t>
        </w:r>
        <w:r>
          <w:tab/>
        </w:r>
        <w:r>
          <w:fldChar w:fldCharType="begin"/>
        </w:r>
        <w:r>
          <w:instrText xml:space="preserve"> PAGEREF _Toc7780 \h </w:instrText>
        </w:r>
        <w:r>
          <w:fldChar w:fldCharType="separate"/>
        </w:r>
        <w:r>
          <w:t>I</w:t>
        </w:r>
        <w:r>
          <w:fldChar w:fldCharType="end"/>
        </w:r>
      </w:hyperlink>
    </w:p>
    <w:p>
      <w:pPr>
        <w:pStyle w:val="TOC1"/>
        <w:tabs>
          <w:tab w:val="clear" w:pos="9060"/>
          <w:tab w:val="right" w:leader="dot" w:pos="9070"/>
        </w:tabs>
      </w:pPr>
      <w:hyperlink w:anchor="_Toc15214" w:history="1">
        <w:r>
          <w:rPr>
            <w:bCs w:val="0"/>
            <w:szCs w:val="32"/>
          </w:rPr>
          <w:t>ABSTRACT</w:t>
        </w:r>
        <w:r>
          <w:tab/>
        </w:r>
        <w:r>
          <w:fldChar w:fldCharType="begin"/>
        </w:r>
        <w:r>
          <w:instrText xml:space="preserve"> PAGEREF _Toc15214 \h </w:instrText>
        </w:r>
        <w:r>
          <w:fldChar w:fldCharType="separate"/>
        </w:r>
        <w:r>
          <w:t>I</w:t>
        </w:r>
        <w:r>
          <w:fldChar w:fldCharType="end"/>
        </w:r>
      </w:hyperlink>
    </w:p>
    <w:p>
      <w:pPr>
        <w:pStyle w:val="TOC1"/>
        <w:tabs>
          <w:tab w:val="clear" w:pos="9060"/>
          <w:tab w:val="right" w:leader="dot" w:pos="9070"/>
        </w:tabs>
      </w:pPr>
      <w:hyperlink w:anchor="_Toc2924" w:history="1">
        <w:r>
          <w:rPr>
            <w:rFonts w:ascii="黑体" w:eastAsia="黑体" w:hAnsi="黑体" w:cs="宋体" w:hint="default"/>
            <w:lang w:val="en-US" w:eastAsia="zh-CN"/>
          </w:rPr>
          <w:t xml:space="preserve">第1章 </w:t>
        </w:r>
        <w:r>
          <w:rPr>
            <w:rFonts w:hint="eastAsia"/>
            <w:lang w:val="en-US" w:eastAsia="zh-CN"/>
          </w:rPr>
          <w:t>引言</w:t>
        </w:r>
        <w:r>
          <w:tab/>
        </w:r>
        <w:r>
          <w:fldChar w:fldCharType="begin"/>
        </w:r>
        <w:r>
          <w:instrText xml:space="preserve"> PAGEREF _Toc2924 \h </w:instrText>
        </w:r>
        <w:r>
          <w:fldChar w:fldCharType="separate"/>
        </w:r>
        <w:r>
          <w:t>2</w:t>
        </w:r>
        <w:r>
          <w:fldChar w:fldCharType="end"/>
        </w:r>
      </w:hyperlink>
    </w:p>
    <w:p>
      <w:pPr>
        <w:pStyle w:val="TOC1"/>
        <w:tabs>
          <w:tab w:val="clear" w:pos="9060"/>
          <w:tab w:val="right" w:leader="dot" w:pos="9070"/>
        </w:tabs>
      </w:pPr>
      <w:hyperlink w:anchor="_Toc1620" w:history="1">
        <w:r>
          <w:rPr>
            <w:rFonts w:ascii="黑体" w:eastAsia="黑体" w:hAnsi="黑体" w:cs="宋体" w:hint="default"/>
            <w:lang w:val="en-US" w:eastAsia="zh-CN"/>
          </w:rPr>
          <w:t xml:space="preserve">第2章 </w:t>
        </w:r>
        <w:r>
          <w:rPr>
            <w:rFonts w:hint="eastAsia"/>
            <w:lang w:val="en-US" w:eastAsia="zh-CN"/>
          </w:rPr>
          <w:t>建筑物地基处理的重要性</w:t>
        </w:r>
        <w:r>
          <w:tab/>
        </w:r>
        <w:r>
          <w:fldChar w:fldCharType="begin"/>
        </w:r>
        <w:r>
          <w:instrText xml:space="preserve"> PAGEREF _Toc1620 \h </w:instrText>
        </w:r>
        <w:r>
          <w:fldChar w:fldCharType="separate"/>
        </w:r>
        <w:r>
          <w:t>5</w:t>
        </w:r>
        <w:r>
          <w:fldChar w:fldCharType="end"/>
        </w:r>
      </w:hyperlink>
    </w:p>
    <w:p>
      <w:pPr>
        <w:pStyle w:val="TOC2"/>
        <w:tabs>
          <w:tab w:val="clear" w:pos="9060"/>
          <w:tab w:val="right" w:leader="dot" w:pos="9070"/>
        </w:tabs>
      </w:pPr>
      <w:hyperlink w:anchor="_Toc29800" w:history="1">
        <w:r>
          <w:rPr>
            <w:rFonts w:ascii="宋体" w:eastAsia="宋体" w:hAnsi="宋体" w:cs="宋体" w:hint="default"/>
            <w:lang w:val="en-US" w:eastAsia="zh-CN"/>
          </w:rPr>
          <w:t xml:space="preserve">2.1 </w:t>
        </w:r>
        <w:r>
          <w:rPr>
            <w:rFonts w:hint="eastAsia"/>
            <w:lang w:val="en-US" w:eastAsia="zh-CN"/>
          </w:rPr>
          <w:t>地基处理技术的发展</w:t>
        </w:r>
        <w:r>
          <w:tab/>
        </w:r>
        <w:r>
          <w:fldChar w:fldCharType="begin"/>
        </w:r>
        <w:r>
          <w:instrText xml:space="preserve"> PAGEREF _Toc29800 \h </w:instrText>
        </w:r>
        <w:r>
          <w:fldChar w:fldCharType="separate"/>
        </w:r>
        <w:r>
          <w:t>5</w:t>
        </w:r>
        <w:r>
          <w:fldChar w:fldCharType="end"/>
        </w:r>
      </w:hyperlink>
    </w:p>
    <w:p>
      <w:pPr>
        <w:pStyle w:val="TOC2"/>
        <w:tabs>
          <w:tab w:val="clear" w:pos="9060"/>
          <w:tab w:val="right" w:leader="dot" w:pos="9070"/>
        </w:tabs>
      </w:pPr>
      <w:hyperlink w:anchor="_Toc28533" w:history="1">
        <w:r>
          <w:rPr>
            <w:rFonts w:ascii="宋体" w:eastAsia="宋体" w:hAnsi="宋体" w:cs="宋体" w:hint="default"/>
            <w:lang w:val="en-US" w:eastAsia="zh-CN"/>
          </w:rPr>
          <w:t xml:space="preserve">2.2 </w:t>
        </w:r>
        <w:r>
          <w:rPr>
            <w:rFonts w:hint="eastAsia"/>
            <w:lang w:val="en-US" w:eastAsia="zh-CN"/>
          </w:rPr>
          <w:t>特殊土概述</w:t>
        </w:r>
        <w:r>
          <w:tab/>
        </w:r>
        <w:r>
          <w:fldChar w:fldCharType="begin"/>
        </w:r>
        <w:r>
          <w:instrText xml:space="preserve"> PAGEREF _Toc28533 \h </w:instrText>
        </w:r>
        <w:r>
          <w:fldChar w:fldCharType="separate"/>
        </w:r>
        <w:r>
          <w:t>6</w:t>
        </w:r>
        <w:r>
          <w:fldChar w:fldCharType="end"/>
        </w:r>
      </w:hyperlink>
    </w:p>
    <w:p>
      <w:pPr>
        <w:pStyle w:val="TOC2"/>
        <w:tabs>
          <w:tab w:val="clear" w:pos="9060"/>
          <w:tab w:val="right" w:leader="dot" w:pos="9070"/>
        </w:tabs>
      </w:pPr>
      <w:hyperlink w:anchor="_Toc18785" w:history="1">
        <w:r>
          <w:rPr>
            <w:rFonts w:ascii="宋体" w:eastAsia="宋体" w:hAnsi="宋体" w:cs="宋体" w:hint="default"/>
            <w:lang w:val="en-US" w:eastAsia="zh-CN"/>
          </w:rPr>
          <w:t xml:space="preserve">2.3 </w:t>
        </w:r>
        <w:r>
          <w:rPr>
            <w:rFonts w:hint="eastAsia"/>
            <w:lang w:val="en-US" w:eastAsia="zh-CN"/>
          </w:rPr>
          <w:t>良好地基对房屋建筑的重要性</w:t>
        </w:r>
        <w:r>
          <w:tab/>
        </w:r>
        <w:r>
          <w:fldChar w:fldCharType="begin"/>
        </w:r>
        <w:r>
          <w:instrText xml:space="preserve"> PAGEREF _Toc18785 \h </w:instrText>
        </w:r>
        <w:r>
          <w:fldChar w:fldCharType="separate"/>
        </w:r>
        <w:r>
          <w:t>6</w:t>
        </w:r>
        <w:r>
          <w:fldChar w:fldCharType="end"/>
        </w:r>
      </w:hyperlink>
    </w:p>
    <w:p>
      <w:pPr>
        <w:pStyle w:val="TOC1"/>
        <w:tabs>
          <w:tab w:val="clear" w:pos="9060"/>
          <w:tab w:val="right" w:leader="dot" w:pos="9070"/>
        </w:tabs>
      </w:pPr>
      <w:hyperlink w:anchor="_Toc18838" w:history="1">
        <w:r>
          <w:rPr>
            <w:rFonts w:ascii="黑体" w:eastAsia="黑体" w:hAnsi="黑体" w:cs="宋体" w:hint="default"/>
            <w:lang w:val="en-US" w:eastAsia="zh-CN"/>
          </w:rPr>
          <w:t xml:space="preserve">第3章 </w:t>
        </w:r>
        <w:r>
          <w:rPr>
            <w:rFonts w:hint="eastAsia"/>
            <w:lang w:val="en-US" w:eastAsia="zh-CN"/>
          </w:rPr>
          <w:t>地基处理的基本概述</w:t>
        </w:r>
        <w:r>
          <w:tab/>
        </w:r>
        <w:r>
          <w:fldChar w:fldCharType="begin"/>
        </w:r>
        <w:r>
          <w:instrText xml:space="preserve"> PAGEREF _Toc18838 \h </w:instrText>
        </w:r>
        <w:r>
          <w:fldChar w:fldCharType="separate"/>
        </w:r>
        <w:r>
          <w:t>8</w:t>
        </w:r>
        <w:r>
          <w:fldChar w:fldCharType="end"/>
        </w:r>
      </w:hyperlink>
    </w:p>
    <w:p>
      <w:pPr>
        <w:pStyle w:val="TOC2"/>
        <w:tabs>
          <w:tab w:val="clear" w:pos="9060"/>
          <w:tab w:val="right" w:leader="dot" w:pos="9070"/>
        </w:tabs>
      </w:pPr>
      <w:hyperlink w:anchor="_Toc4472" w:history="1">
        <w:r>
          <w:rPr>
            <w:rFonts w:ascii="宋体" w:eastAsia="宋体" w:hAnsi="宋体" w:cs="宋体" w:hint="default"/>
            <w:lang w:val="en-US" w:eastAsia="zh-CN"/>
          </w:rPr>
          <w:t xml:space="preserve">3.1 </w:t>
        </w:r>
        <w:r>
          <w:rPr>
            <w:rFonts w:hint="eastAsia"/>
            <w:lang w:val="en-US" w:eastAsia="zh-CN"/>
          </w:rPr>
          <w:t>房屋建筑工程地基处理工作的特征分析</w:t>
        </w:r>
        <w:r>
          <w:tab/>
        </w:r>
        <w:r>
          <w:fldChar w:fldCharType="begin"/>
        </w:r>
        <w:r>
          <w:instrText xml:space="preserve"> PAGEREF _Toc4472 \h </w:instrText>
        </w:r>
        <w:r>
          <w:fldChar w:fldCharType="separate"/>
        </w:r>
        <w:r>
          <w:t>9</w:t>
        </w:r>
        <w:r>
          <w:fldChar w:fldCharType="end"/>
        </w:r>
      </w:hyperlink>
    </w:p>
    <w:p>
      <w:pPr>
        <w:pStyle w:val="TOC2"/>
        <w:tabs>
          <w:tab w:val="clear" w:pos="9060"/>
          <w:tab w:val="right" w:leader="dot" w:pos="9070"/>
        </w:tabs>
      </w:pPr>
      <w:hyperlink w:anchor="_Toc18683" w:history="1">
        <w:r>
          <w:rPr>
            <w:rFonts w:ascii="宋体" w:eastAsia="宋体" w:hAnsi="宋体" w:cs="宋体" w:hint="default"/>
            <w:lang w:val="en-US" w:eastAsia="zh-CN"/>
          </w:rPr>
          <w:t xml:space="preserve">3.2 </w:t>
        </w:r>
        <w:r>
          <w:rPr>
            <w:rFonts w:hint="eastAsia"/>
            <w:lang w:val="en-US" w:eastAsia="zh-CN"/>
          </w:rPr>
          <w:t>拟建建筑物地质差异较大会对建筑产生的影响</w:t>
        </w:r>
        <w:r>
          <w:tab/>
        </w:r>
        <w:r>
          <w:fldChar w:fldCharType="begin"/>
        </w:r>
        <w:r>
          <w:instrText xml:space="preserve"> PAGEREF _Toc18683 \h </w:instrText>
        </w:r>
        <w:r>
          <w:fldChar w:fldCharType="separate"/>
        </w:r>
        <w:r>
          <w:t>9</w:t>
        </w:r>
        <w:r>
          <w:fldChar w:fldCharType="end"/>
        </w:r>
      </w:hyperlink>
    </w:p>
    <w:p>
      <w:pPr>
        <w:pStyle w:val="TOC1"/>
        <w:tabs>
          <w:tab w:val="clear" w:pos="9060"/>
          <w:tab w:val="right" w:leader="dot" w:pos="9070"/>
        </w:tabs>
      </w:pPr>
      <w:hyperlink w:anchor="_Toc31464" w:history="1">
        <w:r>
          <w:rPr>
            <w:rFonts w:ascii="黑体" w:eastAsia="黑体" w:hAnsi="黑体" w:cs="宋体" w:hint="default"/>
            <w:lang w:val="en-US" w:eastAsia="zh-CN"/>
          </w:rPr>
          <w:t xml:space="preserve">第4章 </w:t>
        </w:r>
        <w:r>
          <w:rPr>
            <w:rFonts w:hint="eastAsia"/>
            <w:lang w:val="en-US" w:eastAsia="zh-CN"/>
          </w:rPr>
          <w:t>地质差异较大时地基的处理措施</w:t>
        </w:r>
        <w:r>
          <w:tab/>
        </w:r>
        <w:r>
          <w:fldChar w:fldCharType="begin"/>
        </w:r>
        <w:r>
          <w:instrText xml:space="preserve"> PAGEREF _Toc31464 \h </w:instrText>
        </w:r>
        <w:r>
          <w:fldChar w:fldCharType="separate"/>
        </w:r>
        <w:r>
          <w:t>11</w:t>
        </w:r>
        <w:r>
          <w:fldChar w:fldCharType="end"/>
        </w:r>
      </w:hyperlink>
    </w:p>
    <w:p>
      <w:pPr>
        <w:pStyle w:val="TOC2"/>
        <w:tabs>
          <w:tab w:val="clear" w:pos="9060"/>
          <w:tab w:val="right" w:leader="dot" w:pos="9070"/>
        </w:tabs>
      </w:pPr>
      <w:hyperlink w:anchor="_Toc2545" w:history="1">
        <w:r>
          <w:rPr>
            <w:rFonts w:ascii="宋体" w:eastAsia="宋体" w:hAnsi="宋体" w:cs="宋体" w:hint="default"/>
            <w:lang w:val="en-US" w:eastAsia="zh-CN"/>
          </w:rPr>
          <w:t xml:space="preserve">4.1 </w:t>
        </w:r>
        <w:r>
          <w:rPr>
            <w:rFonts w:hint="eastAsia"/>
            <w:lang w:val="en-US" w:eastAsia="zh-CN"/>
          </w:rPr>
          <w:t>夯实水泥土桩法</w:t>
        </w:r>
        <w:r>
          <w:tab/>
        </w:r>
        <w:r>
          <w:fldChar w:fldCharType="begin"/>
        </w:r>
        <w:r>
          <w:instrText xml:space="preserve"> PAGEREF _Toc2545 \h </w:instrText>
        </w:r>
        <w:r>
          <w:fldChar w:fldCharType="separate"/>
        </w:r>
        <w:r>
          <w:t>11</w:t>
        </w:r>
        <w:r>
          <w:fldChar w:fldCharType="end"/>
        </w:r>
      </w:hyperlink>
    </w:p>
    <w:p>
      <w:pPr>
        <w:pStyle w:val="TOC2"/>
        <w:tabs>
          <w:tab w:val="clear" w:pos="9060"/>
          <w:tab w:val="right" w:leader="dot" w:pos="9070"/>
        </w:tabs>
      </w:pPr>
      <w:hyperlink w:anchor="_Toc9176" w:history="1">
        <w:r>
          <w:rPr>
            <w:rFonts w:ascii="宋体" w:eastAsia="宋体" w:hAnsi="宋体" w:cs="宋体" w:hint="default"/>
            <w:lang w:val="en-US" w:eastAsia="zh-CN"/>
          </w:rPr>
          <w:t xml:space="preserve">4.2 </w:t>
        </w:r>
        <w:r>
          <w:rPr>
            <w:rFonts w:hint="eastAsia"/>
            <w:lang w:val="en-US" w:eastAsia="zh-CN"/>
          </w:rPr>
          <w:t>水泥粉煤灰碎石桩法</w:t>
        </w:r>
        <w:r>
          <w:tab/>
        </w:r>
        <w:r>
          <w:fldChar w:fldCharType="begin"/>
        </w:r>
        <w:r>
          <w:instrText xml:space="preserve"> PAGEREF _Toc9176 \h </w:instrText>
        </w:r>
        <w:r>
          <w:fldChar w:fldCharType="separate"/>
        </w:r>
        <w:r>
          <w:t>11</w:t>
        </w:r>
        <w:r>
          <w:fldChar w:fldCharType="end"/>
        </w:r>
      </w:hyperlink>
    </w:p>
    <w:p>
      <w:pPr>
        <w:pStyle w:val="TOC2"/>
        <w:tabs>
          <w:tab w:val="clear" w:pos="9060"/>
          <w:tab w:val="right" w:leader="dot" w:pos="9070"/>
        </w:tabs>
      </w:pPr>
      <w:hyperlink w:anchor="_Toc8391" w:history="1">
        <w:r>
          <w:rPr>
            <w:rFonts w:ascii="宋体" w:eastAsia="宋体" w:hAnsi="宋体" w:cs="宋体" w:hint="default"/>
            <w:lang w:val="en-US" w:eastAsia="zh-CN"/>
          </w:rPr>
          <w:t xml:space="preserve">4.3 </w:t>
        </w:r>
        <w:r>
          <w:rPr>
            <w:rFonts w:hint="eastAsia"/>
            <w:lang w:val="en-US" w:eastAsia="zh-CN"/>
          </w:rPr>
          <w:t>换填垫层法</w:t>
        </w:r>
        <w:r>
          <w:tab/>
        </w:r>
        <w:r>
          <w:fldChar w:fldCharType="begin"/>
        </w:r>
        <w:r>
          <w:instrText xml:space="preserve"> PAGEREF _Toc8391 \h </w:instrText>
        </w:r>
        <w:r>
          <w:fldChar w:fldCharType="separate"/>
        </w:r>
        <w:r>
          <w:t>11</w:t>
        </w:r>
        <w:r>
          <w:fldChar w:fldCharType="end"/>
        </w:r>
      </w:hyperlink>
    </w:p>
    <w:p>
      <w:pPr>
        <w:pStyle w:val="TOC2"/>
        <w:tabs>
          <w:tab w:val="clear" w:pos="9060"/>
          <w:tab w:val="right" w:leader="dot" w:pos="9070"/>
        </w:tabs>
      </w:pPr>
      <w:hyperlink w:anchor="_Toc11009" w:history="1">
        <w:r>
          <w:rPr>
            <w:rFonts w:ascii="宋体" w:eastAsia="宋体" w:hAnsi="宋体" w:cs="宋体" w:hint="default"/>
            <w:lang w:val="en-US" w:eastAsia="zh-CN"/>
          </w:rPr>
          <w:t xml:space="preserve">4.4 </w:t>
        </w:r>
        <w:r>
          <w:rPr>
            <w:rFonts w:hint="eastAsia"/>
            <w:lang w:val="en-US" w:eastAsia="zh-CN"/>
          </w:rPr>
          <w:t>强夯法</w:t>
        </w:r>
        <w:r>
          <w:tab/>
        </w:r>
        <w:r>
          <w:fldChar w:fldCharType="begin"/>
        </w:r>
        <w:r>
          <w:instrText xml:space="preserve"> PAGEREF _Toc11009 \h </w:instrText>
        </w:r>
        <w:r>
          <w:fldChar w:fldCharType="separate"/>
        </w:r>
        <w:r>
          <w:t>12</w:t>
        </w:r>
        <w:r>
          <w:fldChar w:fldCharType="end"/>
        </w:r>
      </w:hyperlink>
    </w:p>
    <w:p>
      <w:pPr>
        <w:pStyle w:val="TOC2"/>
        <w:tabs>
          <w:tab w:val="clear" w:pos="9060"/>
          <w:tab w:val="right" w:leader="dot" w:pos="9070"/>
        </w:tabs>
      </w:pPr>
      <w:hyperlink w:anchor="_Toc9843" w:history="1">
        <w:r>
          <w:rPr>
            <w:rFonts w:ascii="宋体" w:eastAsia="宋体" w:hAnsi="宋体" w:cs="宋体" w:hint="default"/>
            <w:lang w:val="en-US" w:eastAsia="zh-CN"/>
          </w:rPr>
          <w:t xml:space="preserve">4.5 </w:t>
        </w:r>
        <w:r>
          <w:rPr>
            <w:rFonts w:hint="eastAsia"/>
            <w:lang w:val="en-US" w:eastAsia="zh-CN"/>
          </w:rPr>
          <w:t>砂石桩法</w:t>
        </w:r>
        <w:r>
          <w:tab/>
        </w:r>
        <w:r>
          <w:fldChar w:fldCharType="begin"/>
        </w:r>
        <w:r>
          <w:instrText xml:space="preserve"> PAGEREF _Toc9843 \h </w:instrText>
        </w:r>
        <w:r>
          <w:fldChar w:fldCharType="separate"/>
        </w:r>
        <w:r>
          <w:t>12</w:t>
        </w:r>
        <w:r>
          <w:fldChar w:fldCharType="end"/>
        </w:r>
      </w:hyperlink>
    </w:p>
    <w:p>
      <w:pPr>
        <w:pStyle w:val="TOC2"/>
        <w:tabs>
          <w:tab w:val="clear" w:pos="9060"/>
          <w:tab w:val="right" w:leader="dot" w:pos="9070"/>
        </w:tabs>
      </w:pPr>
      <w:hyperlink w:anchor="_Toc20016" w:history="1">
        <w:r>
          <w:rPr>
            <w:rFonts w:ascii="宋体" w:eastAsia="宋体" w:hAnsi="宋体" w:cs="宋体" w:hint="default"/>
            <w:lang w:val="en-US" w:eastAsia="zh-CN"/>
          </w:rPr>
          <w:t xml:space="preserve">4.6 </w:t>
        </w:r>
        <w:r>
          <w:rPr>
            <w:rFonts w:hint="eastAsia"/>
            <w:lang w:val="en-US" w:eastAsia="zh-CN"/>
          </w:rPr>
          <w:t>石灰桩法</w:t>
        </w:r>
        <w:r>
          <w:tab/>
        </w:r>
        <w:r>
          <w:fldChar w:fldCharType="begin"/>
        </w:r>
        <w:r>
          <w:instrText xml:space="preserve"> PAGEREF _Toc20016 \h </w:instrText>
        </w:r>
        <w:r>
          <w:fldChar w:fldCharType="separate"/>
        </w:r>
        <w:r>
          <w:t>12</w:t>
        </w:r>
        <w:r>
          <w:fldChar w:fldCharType="end"/>
        </w:r>
      </w:hyperlink>
    </w:p>
    <w:p>
      <w:pPr>
        <w:pStyle w:val="TOC1"/>
        <w:tabs>
          <w:tab w:val="clear" w:pos="9060"/>
          <w:tab w:val="right" w:leader="dot" w:pos="9070"/>
        </w:tabs>
      </w:pPr>
      <w:hyperlink w:anchor="_Toc3955" w:history="1">
        <w:r>
          <w:rPr>
            <w:rFonts w:ascii="黑体" w:eastAsia="黑体" w:hAnsi="黑体" w:cs="宋体" w:hint="default"/>
            <w:lang w:val="en-US" w:eastAsia="zh-CN"/>
          </w:rPr>
          <w:t xml:space="preserve">第5章 </w:t>
        </w:r>
        <w:r>
          <w:rPr>
            <w:rFonts w:hint="eastAsia"/>
            <w:lang w:val="en-US" w:eastAsia="zh-CN"/>
          </w:rPr>
          <w:t>工程实践</w:t>
        </w:r>
        <w:r>
          <w:tab/>
        </w:r>
        <w:r>
          <w:fldChar w:fldCharType="begin"/>
        </w:r>
        <w:r>
          <w:instrText xml:space="preserve"> PAGEREF _Toc3955 \h </w:instrText>
        </w:r>
        <w:r>
          <w:fldChar w:fldCharType="separate"/>
        </w:r>
        <w:r>
          <w:t>14</w:t>
        </w:r>
        <w:r>
          <w:fldChar w:fldCharType="end"/>
        </w:r>
      </w:hyperlink>
    </w:p>
    <w:p>
      <w:pPr>
        <w:pStyle w:val="TOC1"/>
        <w:tabs>
          <w:tab w:val="clear" w:pos="9060"/>
          <w:tab w:val="right" w:leader="dot" w:pos="9070"/>
        </w:tabs>
      </w:pPr>
      <w:hyperlink w:anchor="_Toc20010" w:history="1">
        <w:r>
          <w:rPr>
            <w:rFonts w:ascii="黑体" w:eastAsia="黑体" w:hAnsi="黑体" w:cs="宋体" w:hint="default"/>
            <w:lang w:val="en-US" w:eastAsia="zh-CN"/>
          </w:rPr>
          <w:t xml:space="preserve">第6章 </w:t>
        </w:r>
        <w:r>
          <w:rPr>
            <w:rFonts w:hint="eastAsia"/>
            <w:lang w:val="en-US" w:eastAsia="zh-CN"/>
          </w:rPr>
          <w:t>地基处理及基础工程的发展应用</w:t>
        </w:r>
        <w:r>
          <w:tab/>
        </w:r>
        <w:r>
          <w:fldChar w:fldCharType="begin"/>
        </w:r>
        <w:r>
          <w:instrText xml:space="preserve"> PAGEREF _Toc20010 \h </w:instrText>
        </w:r>
        <w:r>
          <w:fldChar w:fldCharType="separate"/>
        </w:r>
        <w:r>
          <w:t>15</w:t>
        </w:r>
        <w:r>
          <w:fldChar w:fldCharType="end"/>
        </w:r>
      </w:hyperlink>
    </w:p>
    <w:p>
      <w:pPr>
        <w:pStyle w:val="TOC1"/>
        <w:tabs>
          <w:tab w:val="clear" w:pos="9060"/>
          <w:tab w:val="right" w:leader="dot" w:pos="9070"/>
        </w:tabs>
      </w:pPr>
      <w:hyperlink w:anchor="_Toc18096" w:history="1">
        <w:r>
          <w:rPr>
            <w:rFonts w:ascii="黑体" w:eastAsia="黑体" w:hAnsi="黑体" w:cs="宋体" w:hint="default"/>
            <w:lang w:val="en-US" w:eastAsia="zh-CN"/>
          </w:rPr>
          <w:t xml:space="preserve">第7章 </w:t>
        </w:r>
        <w:r>
          <w:rPr>
            <w:rFonts w:hint="eastAsia"/>
            <w:lang w:val="en-US" w:eastAsia="zh-CN"/>
          </w:rPr>
          <w:t>结语</w:t>
        </w:r>
        <w:r>
          <w:tab/>
        </w:r>
        <w:r>
          <w:fldChar w:fldCharType="begin"/>
        </w:r>
        <w:r>
          <w:instrText xml:space="preserve"> PAGEREF _Toc18096 \h </w:instrText>
        </w:r>
        <w:r>
          <w:fldChar w:fldCharType="separate"/>
        </w:r>
        <w:r>
          <w:t>16</w:t>
        </w:r>
        <w:r>
          <w:fldChar w:fldCharType="end"/>
        </w:r>
      </w:hyperlink>
    </w:p>
    <w:p>
      <w:pPr>
        <w:pStyle w:val="TOC1"/>
        <w:tabs>
          <w:tab w:val="clear" w:pos="9060"/>
          <w:tab w:val="right" w:leader="dot" w:pos="9070"/>
        </w:tabs>
      </w:pPr>
      <w:hyperlink w:anchor="_Toc5220" w:history="1">
        <w:r>
          <w:rPr>
            <w:rFonts w:hint="eastAsia"/>
            <w:bCs w:val="0"/>
          </w:rPr>
          <w:t>参考文献</w:t>
        </w:r>
        <w:r>
          <w:tab/>
        </w:r>
        <w:r>
          <w:fldChar w:fldCharType="begin"/>
        </w:r>
        <w:r>
          <w:instrText xml:space="preserve"> PAGEREF _Toc5220 \h </w:instrText>
        </w:r>
        <w:r>
          <w:fldChar w:fldCharType="separate"/>
        </w:r>
        <w:r>
          <w:t>17</w:t>
        </w:r>
        <w:r>
          <w:fldChar w:fldCharType="end"/>
        </w:r>
      </w:hyperlink>
    </w:p>
    <w:p>
      <w:pPr>
        <w:pStyle w:val="TOC1"/>
        <w:tabs>
          <w:tab w:val="clear" w:pos="9060"/>
          <w:tab w:val="right" w:leader="dot" w:pos="9070"/>
        </w:tabs>
      </w:pPr>
      <w:hyperlink w:anchor="_Toc7556" w:history="1">
        <w:r>
          <w:rPr>
            <w:rFonts w:hint="eastAsia"/>
            <w:bCs w:val="0"/>
          </w:rPr>
          <w:t>致  谢</w:t>
        </w:r>
        <w:r>
          <w:tab/>
        </w:r>
        <w:r>
          <w:fldChar w:fldCharType="begin"/>
        </w:r>
        <w:r>
          <w:instrText xml:space="preserve"> PAGEREF _Toc7556 \h </w:instrText>
        </w:r>
        <w:r>
          <w:fldChar w:fldCharType="separate"/>
        </w:r>
        <w:r>
          <w:t>18</w:t>
        </w:r>
        <w:r>
          <w:fldChar w:fldCharType="end"/>
        </w:r>
      </w:hyperlink>
    </w:p>
    <w:p>
      <w:pPr>
        <w:widowControl/>
        <w:snapToGrid w:val="0"/>
        <w:ind w:firstLine="480"/>
        <w:rPr>
          <w:rFonts w:ascii="黑体" w:eastAsia="黑体" w:hAnsi="黑体" w:cs="黑体"/>
        </w:rPr>
      </w:pPr>
      <w:r>
        <w:rPr>
          <w:rFonts w:ascii="黑体" w:eastAsia="黑体" w:hAnsi="黑体" w:cs="黑体"/>
        </w:rPr>
        <w:fldChar w:fldCharType="end"/>
      </w:r>
    </w:p>
    <w:p>
      <w:pPr>
        <w:widowControl/>
        <w:snapToGrid w:val="0"/>
        <w:ind w:firstLine="480"/>
      </w:pPr>
    </w:p>
    <w:p>
      <w:pPr>
        <w:widowControl/>
        <w:snapToGrid w:val="0"/>
        <w:ind w:firstLine="480"/>
        <w:sectPr>
          <w:headerReference w:type="even" r:id="rId10"/>
          <w:headerReference w:type="default" r:id="rId11"/>
          <w:footerReference w:type="even" r:id="rId12"/>
          <w:footerReference w:type="default" r:id="rId13"/>
          <w:pgSz w:w="11906" w:h="16838"/>
          <w:pgMar w:top="1418" w:right="1418" w:bottom="1418" w:left="1418" w:header="851" w:footer="992" w:gutter="0"/>
          <w:pgNumType w:fmt="upperRoman" w:start="1"/>
          <w:cols w:num="1" w:space="720"/>
          <w:docGrid w:type="linesAndChars" w:linePitch="312" w:charSpace="0"/>
        </w:sectPr>
      </w:pPr>
    </w:p>
    <w:p>
      <w:pPr>
        <w:widowControl/>
        <w:snapToGrid w:val="0"/>
        <w:ind w:firstLine="480"/>
      </w:pPr>
    </w:p>
    <w:p>
      <w:pPr>
        <w:ind w:firstLine="723"/>
        <w:jc w:val="center"/>
        <w:rPr>
          <w:rFonts w:ascii="黑体" w:eastAsia="黑体" w:hint="eastAsia"/>
          <w:sz w:val="32"/>
          <w:szCs w:val="32"/>
        </w:rPr>
      </w:pPr>
      <w:r>
        <w:rPr>
          <w:rFonts w:ascii="黑体" w:eastAsia="黑体" w:hint="eastAsia"/>
          <w:b/>
          <w:bCs/>
          <w:sz w:val="36"/>
          <w:szCs w:val="36"/>
          <w:lang w:eastAsia="zh-CN"/>
        </w:rPr>
        <w:t>拟建建筑物地质差异较大时的地基处理措施</w:t>
      </w:r>
    </w:p>
    <w:p>
      <w:pPr>
        <w:ind w:firstLine="640"/>
        <w:jc w:val="center"/>
        <w:rPr>
          <w:rFonts w:ascii="黑体" w:eastAsia="黑体"/>
          <w:sz w:val="32"/>
          <w:szCs w:val="32"/>
        </w:rPr>
      </w:pPr>
    </w:p>
    <w:p>
      <w:pPr>
        <w:pStyle w:val="Heading1"/>
        <w:numPr>
          <w:ilvl w:val="0"/>
          <w:numId w:val="0"/>
        </w:numPr>
        <w:adjustRightInd w:val="0"/>
        <w:snapToGrid w:val="0"/>
        <w:spacing w:before="156" w:after="156" w:line="300" w:lineRule="auto"/>
        <w:rPr>
          <w:sz w:val="32"/>
          <w:szCs w:val="32"/>
        </w:rPr>
      </w:pPr>
      <w:bookmarkStart w:id="0" w:name="_Toc293585673"/>
      <w:bookmarkStart w:id="1" w:name="_Toc20085"/>
      <w:bookmarkStart w:id="2" w:name="_Toc6014"/>
      <w:bookmarkStart w:id="3" w:name="_Toc276302377"/>
      <w:bookmarkStart w:id="4" w:name="_Toc22423"/>
      <w:bookmarkStart w:id="5" w:name="_Toc293585418"/>
      <w:bookmarkStart w:id="6" w:name="_Toc12108"/>
      <w:bookmarkStart w:id="7" w:name="_Toc318110194"/>
      <w:bookmarkStart w:id="8" w:name="_Toc7780"/>
      <w:r>
        <w:rPr>
          <w:rFonts w:ascii="黑体" w:hAnsi="黑体" w:cs="黑体" w:hint="eastAsia"/>
          <w:sz w:val="32"/>
          <w:szCs w:val="32"/>
        </w:rPr>
        <w:t>摘 要</w:t>
      </w:r>
      <w:bookmarkEnd w:id="0"/>
      <w:bookmarkEnd w:id="1"/>
      <w:bookmarkEnd w:id="2"/>
      <w:bookmarkEnd w:id="3"/>
      <w:bookmarkEnd w:id="4"/>
      <w:bookmarkEnd w:id="5"/>
      <w:bookmarkEnd w:id="6"/>
      <w:bookmarkEnd w:id="7"/>
      <w:bookmarkEnd w:id="8"/>
    </w:p>
    <w:p>
      <w:pPr>
        <w:adjustRightInd w:val="0"/>
        <w:snapToGrid w:val="0"/>
        <w:spacing w:line="300" w:lineRule="auto"/>
        <w:ind w:left="0" w:firstLine="480" w:leftChars="0" w:firstLineChars="200"/>
        <w:rPr>
          <w:rFonts w:hint="eastAsia"/>
        </w:rPr>
      </w:pPr>
    </w:p>
    <w:p>
      <w:pPr>
        <w:adjustRightInd w:val="0"/>
        <w:snapToGrid w:val="0"/>
        <w:spacing w:line="300" w:lineRule="auto"/>
        <w:ind w:left="0" w:firstLine="480" w:leftChars="0" w:firstLineChars="200"/>
        <w:rPr>
          <w:rFonts w:hint="eastAsia"/>
        </w:rPr>
      </w:pPr>
      <w:r>
        <w:rPr>
          <w:rFonts w:ascii="Times New Roman" w:eastAsia="宋体" w:hAnsi="Times New Roman" w:cs="Times New Roman" w:hint="eastAsia"/>
        </w:rPr>
        <w:t>地基处理是指采用拆换、夯实、工程加固、污水管道砂土、热力学的方式对地基土进行一定的工程加固，改善地基土的压缩性、裁剪性、振动性及与众不同地基的特性，做到工程要求。地基处理是否合理会会直接关系到工程质量、投入和进度。因此，地基的处理方式对节约基本建设投资，保证工程正常运转具有十分重要的意义。原文中讲述了优质地基对住宅建筑的重要性，概述了特别土地基础及其地基处理方法及应用，同时对软土、湿陷性黄土、软土、红粘土等其他土的工程特性和相关地基处理防范措施展开了简要介绍。最终融合典型案例了湿陷性黄土地基处理及软土地基处理的一些问题</w:t>
      </w:r>
      <w:r>
        <w:rPr>
          <w:rFonts w:hint="eastAsia"/>
          <w:lang w:val="en-US" w:eastAsia="zh-CN"/>
        </w:rPr>
        <w:t>。</w:t>
      </w:r>
    </w:p>
    <w:p>
      <w:pPr>
        <w:adjustRightInd w:val="0"/>
        <w:snapToGrid w:val="0"/>
        <w:spacing w:line="300" w:lineRule="auto"/>
        <w:ind w:firstLine="480"/>
      </w:pPr>
    </w:p>
    <w:p>
      <w:pPr>
        <w:adjustRightInd w:val="0"/>
        <w:snapToGrid w:val="0"/>
        <w:spacing w:line="300" w:lineRule="auto"/>
        <w:ind w:firstLine="480"/>
      </w:pPr>
      <w:r>
        <w:rPr>
          <w:rFonts w:ascii="黑体" w:eastAsia="黑体" w:hint="eastAsia"/>
        </w:rPr>
        <w:t>关键词：</w:t>
      </w:r>
      <w:r>
        <w:rPr>
          <w:rFonts w:hint="eastAsia"/>
          <w:color w:val="000000"/>
          <w:sz w:val="24"/>
          <w:lang w:eastAsia="zh-CN"/>
        </w:rPr>
        <w:t>特殊土地基；湿陷性黄土；地基处理</w:t>
      </w:r>
    </w:p>
    <w:p>
      <w:pPr>
        <w:adjustRightInd w:val="0"/>
        <w:snapToGrid w:val="0"/>
        <w:spacing w:line="300" w:lineRule="auto"/>
        <w:ind w:firstLine="480"/>
        <w:rPr>
          <w:rFonts w:ascii="宋体" w:hAnsi="宋体" w:cs="宋体"/>
        </w:rPr>
      </w:pPr>
    </w:p>
    <w:p>
      <w:pPr>
        <w:spacing w:line="312" w:lineRule="auto"/>
        <w:ind w:firstLine="480"/>
        <w:rPr>
          <w:rFonts w:ascii="宋体" w:hAnsi="宋体"/>
        </w:rPr>
        <w:sectPr>
          <w:headerReference w:type="even" r:id="rId14"/>
          <w:headerReference w:type="default" r:id="rId15"/>
          <w:footerReference w:type="even" r:id="rId16"/>
          <w:footerReference w:type="default" r:id="rId17"/>
          <w:pgSz w:w="11906" w:h="16838"/>
          <w:pgMar w:top="1418" w:right="1418" w:bottom="1418" w:left="1418" w:header="851" w:footer="992" w:gutter="0"/>
          <w:pgNumType w:fmt="upperRoman" w:start="1"/>
          <w:cols w:num="1" w:space="720"/>
          <w:docGrid w:type="linesAndChars" w:linePitch="312" w:charSpace="0"/>
        </w:sectPr>
      </w:pPr>
    </w:p>
    <w:p>
      <w:pPr>
        <w:ind w:firstLine="643"/>
        <w:jc w:val="center"/>
        <w:rPr>
          <w:rFonts w:hint="eastAsia"/>
          <w:b/>
          <w:caps/>
          <w:sz w:val="36"/>
          <w:szCs w:val="36"/>
        </w:rPr>
      </w:pPr>
      <w:r>
        <w:rPr>
          <w:rFonts w:eastAsia="宋体" w:hint="eastAsia"/>
          <w:b/>
          <w:caps/>
          <w:sz w:val="36"/>
          <w:szCs w:val="36"/>
          <w:lang w:val="en-US" w:eastAsia="zh-CN"/>
        </w:rPr>
        <w:t>Foundation treatment measures when the geological difference of the proposed building is large</w:t>
      </w:r>
    </w:p>
    <w:p>
      <w:pPr>
        <w:pStyle w:val="Heading1"/>
        <w:numPr>
          <w:ilvl w:val="0"/>
          <w:numId w:val="0"/>
        </w:numPr>
        <w:adjustRightInd w:val="0"/>
        <w:snapToGrid w:val="0"/>
        <w:spacing w:before="156" w:after="156" w:line="300" w:lineRule="auto"/>
        <w:ind w:left="432"/>
        <w:rPr>
          <w:b/>
          <w:bCs w:val="0"/>
          <w:sz w:val="32"/>
          <w:szCs w:val="32"/>
        </w:rPr>
      </w:pPr>
      <w:bookmarkStart w:id="9" w:name="_Toc318110195"/>
      <w:bookmarkStart w:id="10" w:name="_Toc293585674"/>
      <w:bookmarkStart w:id="11" w:name="_Toc3898"/>
      <w:bookmarkStart w:id="12" w:name="_Toc276302378"/>
      <w:bookmarkStart w:id="13" w:name="_Toc31304"/>
      <w:bookmarkStart w:id="14" w:name="_Toc24716"/>
      <w:bookmarkStart w:id="15" w:name="_Toc15749"/>
      <w:bookmarkStart w:id="16" w:name="_Toc293585419"/>
      <w:bookmarkStart w:id="17" w:name="_Toc15214"/>
      <w:r>
        <w:rPr>
          <w:b/>
          <w:bCs w:val="0"/>
          <w:sz w:val="32"/>
          <w:szCs w:val="32"/>
        </w:rPr>
        <w:t>ABSTRACT</w:t>
      </w:r>
      <w:bookmarkEnd w:id="9"/>
      <w:bookmarkEnd w:id="10"/>
      <w:bookmarkEnd w:id="11"/>
      <w:bookmarkEnd w:id="12"/>
      <w:bookmarkEnd w:id="13"/>
      <w:bookmarkEnd w:id="14"/>
      <w:bookmarkEnd w:id="15"/>
      <w:bookmarkEnd w:id="16"/>
      <w:bookmarkEnd w:id="17"/>
    </w:p>
    <w:p>
      <w:pPr>
        <w:ind w:firstLine="480"/>
      </w:pPr>
    </w:p>
    <w:p>
      <w:pPr>
        <w:adjustRightInd w:val="0"/>
        <w:snapToGrid w:val="0"/>
        <w:spacing w:line="300" w:lineRule="auto"/>
        <w:ind w:firstLine="480"/>
        <w:rPr>
          <w:rFonts w:hint="eastAsia"/>
        </w:rPr>
      </w:pPr>
      <w:r>
        <w:rPr>
          <w:rFonts w:hint="eastAsia"/>
          <w:lang w:val="en-US"/>
        </w:rPr>
        <w:t>Foundation treatment refers to the use of disassembly</w:t>
      </w:r>
      <w:r>
        <w:rPr>
          <w:rFonts w:hint="eastAsia"/>
          <w:lang w:val="en-US" w:eastAsia="zh-CN"/>
        </w:rPr>
        <w:t>，</w:t>
      </w:r>
      <w:r>
        <w:rPr>
          <w:rFonts w:hint="eastAsia"/>
          <w:lang w:val="en-US"/>
        </w:rPr>
        <w:t xml:space="preserve"> tamping</w:t>
      </w:r>
      <w:r>
        <w:rPr>
          <w:rFonts w:hint="eastAsia"/>
          <w:lang w:val="en-US" w:eastAsia="zh-CN"/>
        </w:rPr>
        <w:t>，</w:t>
      </w:r>
      <w:r>
        <w:rPr>
          <w:rFonts w:hint="eastAsia"/>
          <w:lang w:val="en-US"/>
        </w:rPr>
        <w:t xml:space="preserve"> engineering reinforcement</w:t>
      </w:r>
      <w:r>
        <w:rPr>
          <w:rFonts w:hint="eastAsia"/>
          <w:lang w:val="en-US" w:eastAsia="zh-CN"/>
        </w:rPr>
        <w:t>，</w:t>
      </w:r>
      <w:r>
        <w:rPr>
          <w:rFonts w:hint="eastAsia"/>
          <w:lang w:val="en-US"/>
        </w:rPr>
        <w:t xml:space="preserve"> sewage pipe sand</w:t>
      </w:r>
      <w:r>
        <w:rPr>
          <w:rFonts w:hint="eastAsia"/>
          <w:lang w:val="en-US" w:eastAsia="zh-CN"/>
        </w:rPr>
        <w:t>，</w:t>
      </w:r>
      <w:r>
        <w:rPr>
          <w:rFonts w:hint="eastAsia"/>
          <w:lang w:val="en-US"/>
        </w:rPr>
        <w:t xml:space="preserve"> thermodynamics to carry out certain engineering reinforcement of foundation soil</w:t>
      </w:r>
      <w:r>
        <w:rPr>
          <w:rFonts w:hint="eastAsia"/>
          <w:lang w:val="en-US" w:eastAsia="zh-CN"/>
        </w:rPr>
        <w:t>，</w:t>
      </w:r>
      <w:r>
        <w:rPr>
          <w:rFonts w:hint="eastAsia"/>
          <w:lang w:val="en-US"/>
        </w:rPr>
        <w:t xml:space="preserve"> improve the compressibility</w:t>
      </w:r>
      <w:r>
        <w:rPr>
          <w:rFonts w:hint="eastAsia"/>
          <w:lang w:val="en-US" w:eastAsia="zh-CN"/>
        </w:rPr>
        <w:t>，</w:t>
      </w:r>
      <w:r>
        <w:rPr>
          <w:rFonts w:hint="eastAsia"/>
          <w:lang w:val="en-US"/>
        </w:rPr>
        <w:t xml:space="preserve"> tailoring</w:t>
      </w:r>
      <w:r>
        <w:rPr>
          <w:rFonts w:hint="eastAsia"/>
          <w:lang w:val="en-US" w:eastAsia="zh-CN"/>
        </w:rPr>
        <w:t>，</w:t>
      </w:r>
      <w:r>
        <w:rPr>
          <w:rFonts w:hint="eastAsia"/>
          <w:lang w:val="en-US"/>
        </w:rPr>
        <w:t xml:space="preserve"> vibration and unusual characteristics of foundation soil</w:t>
      </w:r>
      <w:r>
        <w:rPr>
          <w:rFonts w:hint="eastAsia"/>
          <w:lang w:val="en-US" w:eastAsia="zh-CN"/>
        </w:rPr>
        <w:t>，</w:t>
      </w:r>
      <w:r>
        <w:rPr>
          <w:rFonts w:hint="eastAsia"/>
          <w:lang w:val="en-US"/>
        </w:rPr>
        <w:t xml:space="preserve"> to meet the engineering requirements. Whether the foundation treatment is reasonable or not will directly affect the quality</w:t>
      </w:r>
      <w:r>
        <w:rPr>
          <w:rFonts w:hint="eastAsia"/>
          <w:lang w:val="en-US" w:eastAsia="zh-CN"/>
        </w:rPr>
        <w:t>，</w:t>
      </w:r>
      <w:r>
        <w:rPr>
          <w:rFonts w:hint="eastAsia"/>
          <w:lang w:val="en-US"/>
        </w:rPr>
        <w:t xml:space="preserve"> investment and progress of the project. Therefore</w:t>
      </w:r>
      <w:r>
        <w:rPr>
          <w:rFonts w:hint="eastAsia"/>
          <w:lang w:val="en-US" w:eastAsia="zh-CN"/>
        </w:rPr>
        <w:t>，</w:t>
      </w:r>
      <w:r>
        <w:rPr>
          <w:rFonts w:hint="eastAsia"/>
          <w:lang w:val="en-US"/>
        </w:rPr>
        <w:t xml:space="preserve"> the treatment of foundation is of great significance to save the capital construction investment and ensure the normal operation of the project. This paper describes the importance of high quality foundation for residential construction</w:t>
      </w:r>
      <w:r>
        <w:rPr>
          <w:rFonts w:hint="eastAsia"/>
          <w:lang w:val="en-US" w:eastAsia="zh-CN"/>
        </w:rPr>
        <w:t>，</w:t>
      </w:r>
      <w:r>
        <w:rPr>
          <w:rFonts w:hint="eastAsia"/>
          <w:lang w:val="en-US"/>
        </w:rPr>
        <w:t xml:space="preserve"> Outlines the special soil foundation and its treatment methods and applications</w:t>
      </w:r>
      <w:r>
        <w:rPr>
          <w:rFonts w:hint="eastAsia"/>
          <w:lang w:val="en-US" w:eastAsia="zh-CN"/>
        </w:rPr>
        <w:t>，</w:t>
      </w:r>
      <w:r>
        <w:rPr>
          <w:rFonts w:hint="eastAsia"/>
          <w:lang w:val="en-US"/>
        </w:rPr>
        <w:t xml:space="preserve"> and briefly introduces the engineering characteristics of soft soil</w:t>
      </w:r>
      <w:r>
        <w:rPr>
          <w:rFonts w:hint="eastAsia"/>
          <w:lang w:val="en-US" w:eastAsia="zh-CN"/>
        </w:rPr>
        <w:t>，</w:t>
      </w:r>
      <w:r>
        <w:rPr>
          <w:rFonts w:hint="eastAsia"/>
          <w:lang w:val="en-US"/>
        </w:rPr>
        <w:t xml:space="preserve"> collapsible loess</w:t>
      </w:r>
      <w:r>
        <w:rPr>
          <w:rFonts w:hint="eastAsia"/>
          <w:lang w:val="en-US" w:eastAsia="zh-CN"/>
        </w:rPr>
        <w:t>，</w:t>
      </w:r>
      <w:r>
        <w:rPr>
          <w:rFonts w:hint="eastAsia"/>
          <w:lang w:val="en-US"/>
        </w:rPr>
        <w:t xml:space="preserve"> soft soil</w:t>
      </w:r>
      <w:r>
        <w:rPr>
          <w:rFonts w:hint="eastAsia"/>
          <w:lang w:val="en-US" w:eastAsia="zh-CN"/>
        </w:rPr>
        <w:t>，</w:t>
      </w:r>
      <w:r>
        <w:rPr>
          <w:rFonts w:hint="eastAsia"/>
          <w:lang w:val="en-US"/>
        </w:rPr>
        <w:t xml:space="preserve"> red clay and other soil and related prevention measures for foundation treatment. Finally</w:t>
      </w:r>
      <w:r>
        <w:rPr>
          <w:rFonts w:hint="eastAsia"/>
          <w:lang w:val="en-US" w:eastAsia="zh-CN"/>
        </w:rPr>
        <w:t>，</w:t>
      </w:r>
      <w:r>
        <w:rPr>
          <w:rFonts w:hint="eastAsia"/>
          <w:lang w:val="en-US"/>
        </w:rPr>
        <w:t xml:space="preserve"> some problems of collapsible loess foundation treatment and soft soil foundation treatment are combined with typical cases.</w:t>
      </w:r>
    </w:p>
    <w:p>
      <w:pPr>
        <w:adjustRightInd w:val="0"/>
        <w:snapToGrid w:val="0"/>
        <w:spacing w:line="300" w:lineRule="auto"/>
        <w:ind w:firstLine="480"/>
      </w:pPr>
    </w:p>
    <w:p>
      <w:pPr>
        <w:adjustRightInd w:val="0"/>
        <w:snapToGrid w:val="0"/>
        <w:spacing w:line="300" w:lineRule="auto"/>
        <w:ind w:firstLine="482"/>
      </w:pPr>
      <w:r>
        <w:rPr>
          <w:b/>
        </w:rPr>
        <w:t>KEY</w:t>
      </w:r>
      <w:r>
        <w:rPr>
          <w:rFonts w:hint="eastAsia"/>
          <w:b/>
        </w:rPr>
        <w:t xml:space="preserve"> </w:t>
      </w:r>
      <w:r>
        <w:rPr>
          <w:b/>
        </w:rPr>
        <w:t>WORDS</w:t>
      </w:r>
      <w:r>
        <w:rPr>
          <w:rFonts w:hint="eastAsia"/>
          <w:b/>
        </w:rPr>
        <w:t>:</w:t>
      </w:r>
      <w:r>
        <w:rPr>
          <w:b/>
        </w:rPr>
        <w:t xml:space="preserve"> </w:t>
      </w:r>
      <w:r>
        <w:rPr>
          <w:rFonts w:hint="eastAsia"/>
        </w:rPr>
        <w:t xml:space="preserve"> </w:t>
      </w:r>
      <w:r>
        <w:rPr>
          <w:rFonts w:hint="eastAsia"/>
          <w:lang w:val="en-US" w:eastAsia="zh-CN"/>
        </w:rPr>
        <w:t>Special ground； Collapsible loess； Foundation treatment</w:t>
      </w:r>
    </w:p>
    <w:p>
      <w:pPr>
        <w:adjustRightInd w:val="0"/>
        <w:snapToGrid w:val="0"/>
        <w:spacing w:line="300" w:lineRule="auto"/>
        <w:ind w:firstLine="480"/>
        <w:rPr>
          <w:rFonts w:ascii="宋体" w:hAnsi="宋体"/>
        </w:rPr>
      </w:pPr>
    </w:p>
    <w:p>
      <w:pPr>
        <w:adjustRightInd w:val="0"/>
        <w:snapToGrid w:val="0"/>
        <w:spacing w:line="300" w:lineRule="auto"/>
        <w:ind w:firstLine="480"/>
      </w:pPr>
    </w:p>
    <w:p>
      <w:pPr>
        <w:adjustRightInd w:val="0"/>
        <w:snapToGrid w:val="0"/>
        <w:spacing w:line="300" w:lineRule="auto"/>
        <w:ind w:firstLine="480"/>
        <w:rPr>
          <w:rFonts w:ascii="宋体" w:hAnsi="宋体"/>
        </w:rPr>
      </w:pPr>
    </w:p>
    <w:p>
      <w:pPr>
        <w:adjustRightInd w:val="0"/>
        <w:snapToGrid w:val="0"/>
        <w:spacing w:line="300" w:lineRule="auto"/>
        <w:ind w:firstLine="480"/>
        <w:rPr>
          <w:rFonts w:ascii="宋体" w:hAnsi="宋体"/>
        </w:rPr>
        <w:sectPr>
          <w:headerReference w:type="even" r:id="rId18"/>
          <w:headerReference w:type="default" r:id="rId19"/>
          <w:footerReference w:type="even" r:id="rId20"/>
          <w:footerReference w:type="default" r:id="rId21"/>
          <w:pgSz w:w="11906" w:h="16838"/>
          <w:pgMar w:top="1418" w:right="1418" w:bottom="1418" w:left="1418" w:header="851" w:footer="992" w:gutter="0"/>
          <w:pgNumType w:fmt="upperRoman" w:start="1"/>
          <w:cols w:num="1" w:space="720"/>
          <w:docGrid w:type="linesAndChars" w:linePitch="312" w:charSpace="0"/>
        </w:sectPr>
      </w:pPr>
    </w:p>
    <w:p>
      <w:pPr>
        <w:pStyle w:val="Heading1"/>
        <w:bidi w:val="0"/>
        <w:rPr>
          <w:rFonts w:hint="eastAsia"/>
          <w:lang w:val="en-US" w:eastAsia="zh-CN"/>
        </w:rPr>
      </w:pPr>
      <w:bookmarkStart w:id="18" w:name="_Toc5147"/>
      <w:bookmarkStart w:id="19" w:name="_Toc3855"/>
      <w:bookmarkStart w:id="20" w:name="_Toc2924"/>
      <w:r>
        <w:rPr>
          <w:rFonts w:hint="eastAsia"/>
          <w:lang w:val="en-US" w:eastAsia="zh-CN"/>
        </w:rPr>
        <w:t>引言</w:t>
      </w:r>
      <w:bookmarkEnd w:id="18"/>
      <w:bookmarkEnd w:id="19"/>
      <w:bookmarkEnd w:id="20"/>
    </w:p>
    <w:p>
      <w:pPr>
        <w:ind w:firstLine="480"/>
        <w:rPr>
          <w:rFonts w:hint="eastAsia"/>
        </w:rPr>
      </w:pPr>
      <w:r>
        <w:rPr>
          <w:rFonts w:hint="eastAsia"/>
          <w:lang w:val="en-US" w:eastAsia="zh-CN"/>
        </w:rPr>
        <w:t>伴随着社会经济的快速发展，务必选择规范优质区域进行基本建设，有时候甚至在情况极端的基础上基本建设。即便是合理的技术性新月还会大幅上升构造物的支撑力，因而原本被评价为优良建筑基础，但在一定的独特环境下也可能要进行地基处理。因而，处理核心地位都是看得到的，早已操纵工程基本建设的关键因素，不仅仅是工程要求选择令人满意的方式，项目投资设计、工程施工及计算方式的检测，并且已经有大量工程和技术人员出现在眼前。</w:t>
      </w:r>
    </w:p>
    <w:p>
      <w:pPr>
        <w:ind w:firstLine="480"/>
        <w:rPr>
          <w:rFonts w:hint="eastAsia"/>
        </w:rPr>
      </w:pPr>
      <w:r>
        <w:rPr>
          <w:rFonts w:hint="eastAsia"/>
          <w:lang w:val="en-US" w:eastAsia="zh-CN"/>
        </w:rPr>
        <w:t>地基处理是一项比较长的工程技术性。上溯到很早以前，人们便以明白对纯天然地基进行人工解决，由于现代主义建筑工作对地基处理标准的日益提高，已有的大部分技术也会跟着不断涌现。在我国已有的地基处理技术也随着我国的改革开放至今发展出来的，有些就是从海外引进，并且在工程在实践中进行更新改造，以满足我国基本国情，有些是在我国工程技术工作人员自主研制出。现如今至今发展的强夯法、振冲法、真空泵顶压法及其加强筋法等以广泛运用于工程实践活动。地基处理的兴起和提升在中国发展的迅速，地基处理的研究和营销推广已经成为世界各国土木工程工程的一门关键课题研究。</w:t>
      </w:r>
    </w:p>
    <w:p>
      <w:pPr>
        <w:ind w:firstLine="480"/>
        <w:rPr>
          <w:rFonts w:hint="eastAsia"/>
        </w:rPr>
      </w:pPr>
      <w:r>
        <w:rPr>
          <w:rFonts w:hint="eastAsia"/>
          <w:lang w:val="en-US" w:eastAsia="zh-CN"/>
        </w:rPr>
        <w:t>在中国临江、环湖路、沿海地区等地方普遍散落着软基处理，而这些地区一般也是经济发达城市，对道路交通必须急切，特别要发展高速路。因此在高路堤、大中型公路桥梁，大量隧洞、安全通道处软基处理也给他们产生一定程度的伤害。如路基工程的移动，开裂，地面起伏不平，排水工程安全通道等人力构筑物处的碰车晃动进而这种区域的道路建筑者感到十分繁杂，需花很多人力资源、物力资源、财力时长，来进行勘测、检测、设计方案、科学研究及施工。当纯天然地基无法满足房屋建筑标准时，需要采用各种各样地基处理对策，产生人力地基以适应房屋建筑对地基的各类规定，确保其安全和正常启动。联系实际工程地质环境等因素，挑选出最优的地基处理计划方案。地基处理的合理程度，会严重影响工程的工程造价，并且危害工程的安全，它关联到整个工程的品质、投入和进展，其作用己越来越多地被大众了解。尤其是在软基处理地域，地基处理是十分重要的阶段。</w:t>
      </w:r>
    </w:p>
    <w:p>
      <w:pPr>
        <w:ind w:firstLine="480"/>
        <w:rPr>
          <w:rFonts w:hint="eastAsia"/>
        </w:rPr>
        <w:sectPr>
          <w:headerReference w:type="even" r:id="rId22"/>
          <w:headerReference w:type="default" r:id="rId23"/>
          <w:footerReference w:type="even" r:id="rId24"/>
          <w:footerReference w:type="default" r:id="rId25"/>
          <w:pgSz w:w="11906" w:h="16838"/>
          <w:pgMar w:top="1418" w:right="1418" w:bottom="1418" w:left="1418" w:header="851" w:footer="992" w:gutter="0"/>
          <w:pgNumType w:fmt="decimal" w:start="2"/>
          <w:cols w:num="1" w:space="720"/>
          <w:docGrid w:type="lines" w:linePitch="312" w:charSpace="0"/>
        </w:sectPr>
      </w:pPr>
    </w:p>
    <w:p>
      <w:pPr>
        <w:sectPr>
          <w:headerReference w:type="even" r:id="rId26"/>
          <w:headerReference w:type="default" r:id="rId27"/>
          <w:footerReference w:type="even" r:id="rId28"/>
          <w:footerReference w:type="default" r:id="rId29"/>
          <w:pgSz w:w="11906" w:h="16838"/>
          <w:pgMar w:top="1418" w:right="1418" w:bottom="1418" w:left="1418" w:header="851" w:footer="992" w:gutter="0"/>
          <w:pgNumType w:fmt="decimal" w:start="17"/>
          <w:cols w:num="1" w:space="720"/>
          <w:docGrid w:type="lines" w:linePitch="312" w:charSpace="0"/>
        </w:sectPr>
      </w:pPr>
    </w:p>
    <w:p>
      <w:pPr>
        <w:ind w:firstLine="480"/>
        <w:rPr>
          <w:rFonts w:hint="eastAsia"/>
        </w:rPr>
      </w:pPr>
      <w:r>
        <w:rPr>
          <w:rFonts w:hint="eastAsia"/>
          <w:lang w:val="en-US" w:eastAsia="zh-CN"/>
        </w:rPr>
        <w:t>假如纯天然地基相对较为柔弱，其实就是常称之软基处理地基，此类地基在工程特性上不能满足工程设计要点和变形规定，而且在地震力的作用下极高发汽化、震陷和失衡，因而此类路基工程构造需经过人力结构加固技术解决，一般这种对软基处理地基开展加固结构加固的工艺流程称之为地基处理。</w:t>
      </w:r>
    </w:p>
    <w:p>
      <w:pPr>
        <w:ind w:firstLine="480"/>
        <w:rPr>
          <w:rFonts w:hint="eastAsia"/>
        </w:rPr>
      </w:pPr>
      <w:r>
        <w:rPr>
          <w:rFonts w:hint="eastAsia"/>
          <w:lang w:val="en-US" w:eastAsia="zh-CN"/>
        </w:rPr>
        <w:t>构筑物的建造使地基中原地区有些应力状态产生变化，承载力影响下地基土需要满足强度和变形两上的要求：（1）针对承载力的需求：确保地基土在承载力影响下有充足的安全系数贮备；（2）针对变型操纵的需求：确保地基地基沉降不得超过地基应力的规定值，确保构筑物不容易因为地基所产生的应力而出现毁坏或是影响到正常使用方式。在这个基础上，世界各国专家学者在理论基础研究和工程在实践中做了大量的科研工作，也取得了比较丰硕的成果。</w:t>
      </w:r>
    </w:p>
    <w:p>
      <w:pPr>
        <w:ind w:firstLine="480"/>
        <w:rPr>
          <w:rFonts w:hint="eastAsia"/>
        </w:rPr>
      </w:pPr>
      <w:r>
        <w:rPr>
          <w:rFonts w:hint="eastAsia"/>
          <w:lang w:val="en-US" w:eastAsia="zh-CN"/>
        </w:rPr>
        <w:t>地基处理技术最开始在国外的一些国家获得了发展，也取得了比较丰富的研究成果及其工程社会经验。早就在二十世纪60年代末，要实现砂土的抗压强度的大幅度提高，在工程中推广使用了土体结构的“加强筋法”；为了能探寻怎样有益于土的排水管道和加快土体等技术，依次开发生产了土工聚合物、砂井预压处理和塑料排水带；为了能科学研究深层次密实度工艺，探寻采用提升击实输出功率解决技术，开发制定了震动“冲洗法”和“强夯法”等技术。伴随工业生产技术的不断进步，持续创造出载重量几十吨的专用地基结构加固起重设备；在“冲洗法”的前提下，引进潜水电泵技术，逐步完善和发展震动冲洗法，同时利用机械泵技术，创造了真空预压法，200个大气压力之上空压机发明，促使“髙压喷射注浆法”、“真空预压法”等地基结构加固技术取得成功用以工程实践活动。</w:t>
      </w:r>
    </w:p>
    <w:p>
      <w:pPr>
        <w:ind w:firstLine="480"/>
        <w:rPr>
          <w:rFonts w:hint="eastAsia"/>
        </w:rPr>
      </w:pPr>
      <w:r>
        <w:rPr>
          <w:rFonts w:hint="eastAsia"/>
          <w:lang w:val="en-US" w:eastAsia="zh-CN"/>
        </w:rPr>
        <w:t>因为地基处理工程的实践项目逐渐增多，大家不但不断完善着土体结构特征的认知和工程运用特征的深入分析，并且不断深化地基处理技术和施工工艺的变革与创新，地基砂土解决也成为了土力学、土层学及其基本工程行业中一个较有生机的技术专业支系。1981年6月召开的第十届国际性土力学与基础工程会议中，针对“地基处理”技术展开阐述的期刊论文已经达到46篇，且变成会议上12个关键课题之一。第八届欧洲地区土力学及基本工程大会于1983年召开，该次大会所探讨活动的主题均围绕“地基处理”这一话题，国际性土力学及基本工程学好也专门成立了“地基处理学术委员会”，并且该学术委员会于1997年1月宣布建立“地基处理”（“Ground Improvement”）学术研究专刊。</w:t>
      </w:r>
    </w:p>
    <w:p>
      <w:pPr>
        <w:ind w:firstLine="480"/>
        <w:rPr>
          <w:rFonts w:hint="eastAsia"/>
        </w:rPr>
        <w:sectPr>
          <w:headerReference w:type="even" r:id="rId30"/>
          <w:headerReference w:type="default" r:id="rId31"/>
          <w:footerReference w:type="even" r:id="rId32"/>
          <w:footerReference w:type="default" r:id="rId33"/>
          <w:type w:val="nextPage"/>
          <w:pgSz w:w="11906" w:h="16838"/>
          <w:pgMar w:top="1418" w:right="1418" w:bottom="1418" w:left="1418" w:header="851" w:footer="992" w:gutter="0"/>
          <w:pgNumType w:fmt="decimal" w:start="3"/>
          <w:cols w:num="1" w:space="720"/>
          <w:titlePg w:val="0"/>
          <w:docGrid w:type="lines" w:linePitch="312" w:charSpace="0"/>
        </w:sectPr>
      </w:pPr>
    </w:p>
    <w:p>
      <w:pPr>
        <w:sectPr>
          <w:headerReference w:type="even" r:id="rId34"/>
          <w:headerReference w:type="default" r:id="rId35"/>
          <w:footerReference w:type="even" r:id="rId36"/>
          <w:footerReference w:type="default" r:id="rId37"/>
          <w:pgSz w:w="11906" w:h="16838"/>
          <w:pgMar w:top="1418" w:right="1418" w:bottom="1418" w:left="1418" w:header="851" w:footer="992" w:gutter="0"/>
          <w:pgNumType w:fmt="decimal" w:start="17"/>
          <w:cols w:num="1" w:space="720"/>
          <w:docGrid w:type="lines" w:linePitch="312" w:charSpace="0"/>
        </w:sectPr>
      </w:pPr>
    </w:p>
    <w:p>
      <w:pPr>
        <w:ind w:firstLine="480"/>
        <w:rPr>
          <w:rFonts w:hint="eastAsia"/>
        </w:rPr>
      </w:pPr>
      <w:r>
        <w:rPr>
          <w:rFonts w:hint="eastAsia"/>
          <w:lang w:val="en-US" w:eastAsia="zh-CN"/>
        </w:rPr>
        <w:t>在中国，地基处理技术实际上也是一门相对性传统技术，地基处理的诸多技术都能在古时候寻找它原型。据记载，早就在三千多年之前，在我国就已开始运用木材、毛竹及其秸秆等相关材料来结构加固软基处理地基；早就在两千多年之前，就会有向软基处理中瓦片体、砂砾石等相关材料以挤密软基处理的处理方式。除此之外，运用压实的三合土及其三七灰土等相关材料做为房屋建筑基础垫层的技术，在中国古代建筑中采用地也非常广泛。</w:t>
      </w:r>
    </w:p>
    <w:p>
      <w:pPr>
        <w:ind w:firstLine="480"/>
        <w:rPr>
          <w:rFonts w:hint="eastAsia"/>
        </w:rPr>
      </w:pPr>
      <w:r>
        <w:rPr>
          <w:rFonts w:hint="eastAsia"/>
          <w:lang w:val="en-US" w:eastAsia="zh-CN"/>
        </w:rPr>
        <w:t>建国以后，地基处理技术大致可以分为两阶段。解放初期至七十年代及七十年代迄今。第一阶段，在我国为了实现新中国创立基本上设施规划和工业化建设的发展规定，以往原苏联引入并消化吸收发展了很多基础处理技术。铺沙方式、个人缩小方式、桩神经中枢式缩小方式、注浆方式、生石灰粉方式、堆桩方式桩、回托桩方法与挤土方式、均推棒(pre推棒)方法以及井点降水方式等地基处理技术在中国得到了很好的发展。从20个世纪70时代开始，地基处理技术发展到第二个时期，与此同时中国地基处理技术的不断发展和改进是一个关键时期。从盛开的1978年开始我国改革的顺利开展，中国深入推进新项目示范项目基本建设，尤其是很多大中型智能建筑结构与建筑结构的发展，中国二次解决引入了大量国外前行的、技术，以一定的视角推动基本在中国增添了技术的发展。</w:t>
      </w:r>
    </w:p>
    <w:p>
      <w:pPr>
        <w:ind w:firstLine="480"/>
        <w:rPr>
          <w:rFonts w:hint="eastAsia"/>
        </w:rPr>
      </w:pPr>
      <w:r>
        <w:rPr>
          <w:rFonts w:hint="eastAsia"/>
          <w:lang w:val="en-US" w:eastAsia="zh-CN"/>
        </w:rPr>
        <w:t>1984年12月，中国土学工程优秀项目“解决学术委员会”宣布成立，1986年至1997年，该委员会依次召开5次学术会，分配小编《基础处理指南》。同时期，中国住房建设部也建立了地基处理技术标准《建筑地基处理技术规范》(cjgj79-91)。伴随着地基处理技术的发展和改进，国内很多地方也依据地区路基工程项目特点，建立了地区地基处理技术规范。1990年，为了能完善上海路基规范处理技术生产制造技术，上海朋友高校建立了上海市地基处理技术规范：《地基处理技术规范》(DBJ08-40-94)，1994年深圳市天下岩土工程公司和深圳市勘测研究室建立了《深水区地基处理技术规范》)sjg04-96)</w:t>
      </w:r>
    </w:p>
    <w:p>
      <w:pPr>
        <w:rPr>
          <w:rFonts w:hint="eastAsia"/>
        </w:rPr>
        <w:sectPr>
          <w:headerReference w:type="even" r:id="rId38"/>
          <w:headerReference w:type="default" r:id="rId39"/>
          <w:footerReference w:type="even" r:id="rId40"/>
          <w:footerReference w:type="default" r:id="rId41"/>
          <w:type w:val="nextPage"/>
          <w:pgSz w:w="11906" w:h="16838"/>
          <w:pgMar w:top="1418" w:right="1418" w:bottom="1418" w:left="1418" w:header="851" w:footer="992" w:gutter="0"/>
          <w:pgNumType w:fmt="decimal" w:start="4"/>
          <w:cols w:num="1" w:space="720"/>
          <w:titlePg w:val="0"/>
          <w:docGrid w:type="lines" w:linePitch="312" w:charSpace="0"/>
        </w:sectPr>
      </w:pPr>
      <w:bookmarkStart w:id="21" w:name="_Toc29030"/>
      <w:bookmarkStart w:id="22" w:name="_Toc15981"/>
    </w:p>
    <w:p>
      <w:pPr>
        <w:sectPr>
          <w:headerReference w:type="even" r:id="rId42"/>
          <w:headerReference w:type="default" r:id="rId43"/>
          <w:footerReference w:type="even" r:id="rId44"/>
          <w:footerReference w:type="default" r:id="rId45"/>
          <w:pgSz w:w="11906" w:h="16838"/>
          <w:pgMar w:top="1418" w:right="1418" w:bottom="1418" w:left="1418" w:header="851" w:footer="992" w:gutter="0"/>
          <w:pgNumType w:fmt="decimal" w:start="17"/>
          <w:cols w:num="1" w:space="720"/>
          <w:docGrid w:type="lines" w:linePitch="312" w:charSpace="0"/>
        </w:sectPr>
      </w:pPr>
    </w:p>
    <w:p>
      <w:pPr>
        <w:pStyle w:val="Heading1"/>
        <w:bidi w:val="0"/>
        <w:rPr>
          <w:rFonts w:hint="eastAsia"/>
          <w:lang w:val="en-US" w:eastAsia="zh-CN"/>
        </w:rPr>
      </w:pPr>
      <w:bookmarkStart w:id="23" w:name="_Toc1620"/>
      <w:r>
        <w:rPr>
          <w:rFonts w:hint="eastAsia"/>
          <w:lang w:val="en-US" w:eastAsia="zh-CN"/>
        </w:rPr>
        <w:t>建筑物地基处理的重要性</w:t>
      </w:r>
      <w:bookmarkEnd w:id="21"/>
      <w:bookmarkEnd w:id="22"/>
      <w:bookmarkEnd w:id="23"/>
    </w:p>
    <w:p>
      <w:pPr>
        <w:ind w:firstLine="480"/>
        <w:rPr>
          <w:rFonts w:hint="eastAsia"/>
        </w:rPr>
      </w:pPr>
      <w:r>
        <w:rPr>
          <w:rFonts w:hint="eastAsia"/>
          <w:lang w:val="en-US" w:eastAsia="zh-CN"/>
        </w:rPr>
        <w:t>因为增强了上端承载力，地基承载能力和可能出现的地基沉降变型值是重要环节。不一样土层状况各不相同，绝大多数的地基，承载能力都有一定的安全储备。却也有些地基应用阶段的承载能力很有可能比建造时减少，即便原先一般可被评价为较好的地基，也有可能在特定环境下一定要进行地基结构加固。假如因为地基的承载能力欠缺，可能出现的</w:t>
      </w:r>
    </w:p>
    <w:p>
      <w:pPr>
        <w:ind w:firstLine="480"/>
        <w:rPr>
          <w:rFonts w:hint="eastAsia"/>
        </w:rPr>
      </w:pPr>
      <w:r>
        <w:rPr>
          <w:rFonts w:hint="eastAsia"/>
          <w:lang w:val="en-US" w:eastAsia="zh-CN"/>
        </w:rPr>
        <w:t>变型较大时，需在进行深入剖析较为的前提下，明确提出地基结构加固处置措施，进行相应的结构加固解决，如何看待不仅有建筑物地基，尤其是已形成显著缝隙和基础沉降的房屋建筑，妥当结构加固和解决好地基十分重要。因而，选用科学合理方式，仔细检查.评价分析地基土的品质与情况，对保护不仅有房屋建筑，为地基处理提供可靠根据拥有十分重要的意义。</w:t>
      </w:r>
    </w:p>
    <w:p>
      <w:pPr>
        <w:pStyle w:val="Heading2"/>
        <w:bidi w:val="0"/>
        <w:rPr>
          <w:rFonts w:hint="eastAsia"/>
          <w:lang w:val="en-US" w:eastAsia="zh-CN"/>
        </w:rPr>
      </w:pPr>
      <w:bookmarkStart w:id="24" w:name="_Toc9552"/>
      <w:bookmarkStart w:id="25" w:name="_Toc7814"/>
      <w:bookmarkStart w:id="26" w:name="_Toc29800"/>
      <w:r>
        <w:rPr>
          <w:rFonts w:hint="eastAsia"/>
          <w:lang w:val="en-US" w:eastAsia="zh-CN"/>
        </w:rPr>
        <w:t>地基处理技术的发展</w:t>
      </w:r>
      <w:bookmarkEnd w:id="24"/>
      <w:bookmarkEnd w:id="25"/>
      <w:bookmarkEnd w:id="26"/>
    </w:p>
    <w:p>
      <w:pPr>
        <w:ind w:firstLine="480"/>
        <w:rPr>
          <w:rFonts w:hint="eastAsia"/>
        </w:rPr>
      </w:pPr>
      <w:r>
        <w:rPr>
          <w:rFonts w:hint="eastAsia"/>
          <w:lang w:val="en-US" w:eastAsia="zh-CN"/>
        </w:rPr>
        <w:t>基本加工是一个历史悠久又很十分年青的领域。激励改革创新、自主创新、开放至今设备新项目迅速发展。为适应路面工程建筑技术规范处理工艺与我国的高效发展，新技术应用取决于地面处理机械设备的生产和原料、地面处理，理论和地面处理设计、施工工艺、光学检测科技的当场一致，取决于可持续性发展以及不同层面地面支援或组成。</w:t>
      </w:r>
    </w:p>
    <w:p>
      <w:pPr>
        <w:ind w:firstLine="480"/>
        <w:rPr>
          <w:rFonts w:hint="eastAsia"/>
        </w:rPr>
      </w:pPr>
      <w:r>
        <w:rPr>
          <w:rFonts w:hint="eastAsia"/>
          <w:lang w:val="en-US" w:eastAsia="zh-CN"/>
        </w:rPr>
        <w:t>为了实现加工工艺流程的日益要求，近些年加工工业设备获得了快速的发展。比如，二轴间的深层拌和体制多年以来两轴机械震动筛的完工，造成沙浆引入深层和粉末状喷涌切换阀的多变性。研制出单螺杆近些年协同搅拌器深层和粉末状喷涌搅拌器，自改建和沙浆引入深层BanHe炉开放至今，水底搅拌器已交付使用好长时间，近些年，在我国水底搅拌器的储藏量增添了不少。移动机械设备的独特工作压力发展快速，很多新机器移动到独特工作压力。比如，将传动装置改成井室四柱液压机、气、水配电设备进行改善，来源于轴、果实工作就会越大，改进为水准裁切混合层岩层。水准深层搅拌桩机设备成功应用，进一步扩大了独特工作压力皮下注射的应用范围。有关连续式插进设备塑料排水管道固定方法，高效率变大。震子生产也趋于广泛、规范化。一定要做好摇一摇，清除道路中环境污染砂干vibrosion当场，在产品研发范围之内，保证锂电池组涂装技术运用炉粉干坚定不移。加工机械发展使加工达到高质量。</w:t>
      </w:r>
    </w:p>
    <w:p>
      <w:pPr>
        <w:ind w:firstLine="480"/>
        <w:rPr>
          <w:rFonts w:hint="eastAsia"/>
        </w:rPr>
        <w:sectPr>
          <w:headerReference w:type="even" r:id="rId46"/>
          <w:headerReference w:type="default" r:id="rId47"/>
          <w:footerReference w:type="even" r:id="rId48"/>
          <w:footerReference w:type="default" r:id="rId49"/>
          <w:type w:val="nextPage"/>
          <w:pgSz w:w="11906" w:h="16838"/>
          <w:pgMar w:top="1418" w:right="1418" w:bottom="1418" w:left="1418" w:header="851" w:footer="992" w:gutter="0"/>
          <w:pgNumType w:fmt="decimal" w:start="5"/>
          <w:cols w:num="1" w:space="720"/>
          <w:titlePg w:val="0"/>
          <w:docGrid w:type="lines" w:linePitch="312" w:charSpace="0"/>
        </w:sectPr>
      </w:pPr>
    </w:p>
    <w:p>
      <w:r>
        <w:br/>
      </w:r>
      <w: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0" w:history="1">
        <w:r>
          <w:rPr>
            <w:rFonts w:ascii="SimSun" w:eastAsia="SimSun" w:hAnsi="SimSun" w:cs="SimSun"/>
            <w:b/>
            <w:bCs/>
            <w:color w:val="0000EE"/>
            <w:kern w:val="0"/>
            <w:sz w:val="30"/>
            <w:szCs w:val="30"/>
            <w:u w:val="single" w:color="0000EE"/>
          </w:rPr>
          <w:t>https://d.book118.com/005232323101011114</w:t>
        </w:r>
      </w:hyperlink>
    </w:p>
    <w:p/>
    <w:sectPr>
      <w:headerReference w:type="even" r:id="rId51"/>
      <w:headerReference w:type="default" r:id="rId52"/>
      <w:footerReference w:type="even" r:id="rId53"/>
      <w:footerReference w:type="default" r:id="rId54"/>
      <w:pgSz w:w="11906" w:h="16838"/>
      <w:pgMar w:top="1418" w:right="1418" w:bottom="1418" w:left="1418" w:header="851" w:footer="992" w:gutter="0"/>
      <w:pgNumType w:fmt="decimal" w:start="17"/>
      <w:cols w:num="1" w:space="720"/>
      <w:docGrid w:type="lines" w:linePitch="312"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隶书">
    <w:panose1 w:val="02010509060101010101"/>
    <w:charset w:val="86"/>
    <w:family w:val="modern"/>
    <w:pitch w:val="default"/>
    <w:sig w:usb0="00000001" w:usb1="080E0000" w:usb2="00000000" w:usb3="00000000" w:csb0="00040000" w:csb1="00000000"/>
  </w:font>
  <w:font w:name="方正楷体简体">
    <w:altName w:val="宋体"/>
    <w:panose1 w:val="00000000000000000000"/>
    <w:charset w:val="86"/>
    <w:family w:val="auto"/>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ind w:firstLine="360"/>
      <w:jc w:val="center"/>
      <w:rPr>
        <w:rStyle w:val="PageNumber"/>
      </w:rPr>
    </w:pPr>
    <w:r>
      <w:fldChar w:fldCharType="begin"/>
    </w:r>
    <w:r>
      <w:rPr>
        <w:rStyle w:val="PageNumber"/>
      </w:rPr>
      <w:instrText xml:space="preserve">PAGE  </w:instrText>
    </w:r>
    <w:r>
      <w:fldChar w:fldCharType="separate"/>
    </w:r>
    <w:r>
      <w:rPr>
        <w:rStyle w:val="PageNumber"/>
      </w:rPr>
      <w:t>I</w:t>
    </w:r>
    <w:r>
      <w:fldChar w:fldCharType="end"/>
    </w:r>
  </w:p>
  <w:p>
    <w:pPr>
      <w:pStyle w:val="Footer"/>
      <w:framePr w:wrap="around" w:vAnchor="text" w:hAnchor="margin" w:xAlign="center" w:y="1"/>
      <w:ind w:firstLine="360"/>
      <w:rPr>
        <w:rStyle w:val="PageNumber"/>
      </w:rPr>
    </w:pPr>
  </w:p>
  <w:p>
    <w:pPr>
      <w:pStyle w:val="Footer"/>
      <w:framePr w:wrap="around" w:vAnchor="text" w:hAnchor="margin" w:xAlign="center" w:y="1"/>
      <w:ind w:firstLine="360"/>
      <w:rPr>
        <w:rStyle w:val="PageNumber"/>
      </w:rPr>
    </w:pPr>
  </w:p>
  <w:p>
    <w:pPr>
      <w:pStyle w:val="Footer"/>
      <w:ind w:firstLine="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ind w:firstLine="360"/>
      <w:jc w:val="center"/>
      <w:rPr>
        <w:rStyle w:val="PageNumber"/>
      </w:rPr>
    </w:pPr>
    <w:r>
      <w:fldChar w:fldCharType="begin"/>
    </w:r>
    <w:r>
      <w:rPr>
        <w:rStyle w:val="PageNumber"/>
      </w:rPr>
      <w:instrText xml:space="preserve">PAGE  </w:instrText>
    </w:r>
    <w:r>
      <w:fldChar w:fldCharType="separate"/>
    </w:r>
    <w:r>
      <w:rPr>
        <w:rStyle w:val="PageNumber"/>
      </w:rPr>
      <w:t>I</w:t>
    </w:r>
    <w:r>
      <w:fldChar w:fldCharType="end"/>
    </w:r>
  </w:p>
  <w:p>
    <w:pPr>
      <w:pStyle w:val="Footer"/>
      <w:framePr w:wrap="around" w:vAnchor="text" w:hAnchor="margin" w:xAlign="center" w:y="1"/>
      <w:ind w:firstLine="360"/>
      <w:rPr>
        <w:rStyle w:val="PageNumber"/>
      </w:rPr>
    </w:pPr>
  </w:p>
  <w:p>
    <w:pPr>
      <w:pStyle w:val="Footer"/>
      <w:framePr w:wrap="around" w:vAnchor="text" w:hAnchor="margin" w:xAlign="center" w:y="1"/>
      <w:ind w:firstLine="360"/>
      <w:rPr>
        <w:rStyle w:val="PageNumber"/>
      </w:rPr>
    </w:pPr>
  </w:p>
  <w:p>
    <w:pPr>
      <w:pStyle w:val="Footer"/>
      <w:ind w:firstLine="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96748655"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17</w:t>
                    </w:r>
                    <w: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56879620"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96019751"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17</w:t>
                    </w:r>
                    <w:r>
                      <w:fldChar w:fldCharType="end"/>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91923219"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862699866"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17</w:t>
                    </w:r>
                    <w:r>
                      <w:fldChar w:fldCharType="end"/>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68113227"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20243346"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fldChar w:fldCharType="begin"/>
                    </w:r>
                    <w:r>
                      <w:instrText xml:space="preserve"> PAGE  \* MERGEFORMAT </w:instrText>
                    </w:r>
                    <w:r>
                      <w:fldChar w:fldCharType="separate"/>
                    </w:r>
                    <w:r>
                      <w:t>17</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rPr>
      <w:t>华北水利水电大学毕业设计</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rPr>
      <w:t>华北水利水电大学毕业设计</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rPr>
      <w:t>华北水利水电大学毕业设计</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rPr>
      <w:t>华北水利水电大学毕业设计</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2A0B1BE8"/>
    <w:multiLevelType w:val="multilevel"/>
    <w:tmpl w:val="2A0B1BE8"/>
    <w:lvl w:ilvl="0">
      <w:start w:val="1"/>
      <w:numFmt w:val="decimal"/>
      <w:pStyle w:val="Heading1"/>
      <w:suff w:val="space"/>
      <w:lvlText w:val="第%1章 "/>
      <w:lvlJc w:val="left"/>
      <w:pPr>
        <w:tabs>
          <w:tab w:val="left" w:pos="0"/>
        </w:tabs>
        <w:ind w:left="432" w:hanging="432"/>
      </w:pPr>
      <w:rPr>
        <w:rFonts w:ascii="黑体" w:eastAsia="黑体" w:hAnsi="黑体" w:cs="宋体" w:hint="default"/>
      </w:rPr>
    </w:lvl>
    <w:lvl w:ilvl="1">
      <w:start w:val="1"/>
      <w:numFmt w:val="decimal"/>
      <w:pStyle w:val="Heading2"/>
      <w:isLgl/>
      <w:suff w:val="space"/>
      <w:lvlText w:val="%1.%2"/>
      <w:lvlJc w:val="left"/>
      <w:pPr>
        <w:tabs>
          <w:tab w:val="left" w:pos="420"/>
        </w:tabs>
        <w:ind w:left="575" w:hanging="575"/>
      </w:pPr>
      <w:rPr>
        <w:rFonts w:ascii="宋体" w:eastAsia="宋体" w:hAnsi="宋体" w:cs="宋体" w:hint="default"/>
      </w:rPr>
    </w:lvl>
    <w:lvl w:ilvl="2">
      <w:start w:val="1"/>
      <w:numFmt w:val="decimal"/>
      <w:pStyle w:val="Heading3"/>
      <w:isLgl/>
      <w:suff w:val="space"/>
      <w:lvlText w:val="%1.%2.%3"/>
      <w:lvlJc w:val="left"/>
      <w:pPr>
        <w:tabs>
          <w:tab w:val="left" w:pos="420"/>
        </w:tabs>
        <w:ind w:left="720" w:hanging="720"/>
      </w:pPr>
      <w:rPr>
        <w:rFonts w:ascii="宋体" w:eastAsia="宋体" w:hAnsi="宋体" w:cs="宋体" w:hint="default"/>
      </w:rPr>
    </w:lvl>
    <w:lvl w:ilvl="3">
      <w:start w:val="1"/>
      <w:numFmt w:val="decimal"/>
      <w:pStyle w:val="Heading4"/>
      <w:isLgl/>
      <w:lvlText w:val="%1.%2.%3.%4."/>
      <w:lvlJc w:val="left"/>
      <w:pPr>
        <w:ind w:left="864" w:hanging="864"/>
      </w:pPr>
      <w:rPr>
        <w:rFonts w:hint="eastAsia"/>
      </w:rPr>
    </w:lvl>
    <w:lvl w:ilvl="4">
      <w:start w:val="1"/>
      <w:numFmt w:val="decimal"/>
      <w:pStyle w:val="Heading5"/>
      <w:isLgl/>
      <w:lvlText w:val="%1.%2.%3.%4.%5."/>
      <w:lvlJc w:val="left"/>
      <w:pPr>
        <w:ind w:left="1008" w:hanging="1008"/>
      </w:pPr>
      <w:rPr>
        <w:rFonts w:hint="eastAsia"/>
      </w:rPr>
    </w:lvl>
    <w:lvl w:ilvl="5">
      <w:start w:val="1"/>
      <w:numFmt w:val="decimal"/>
      <w:pStyle w:val="Heading6"/>
      <w:isLgl/>
      <w:lvlText w:val="%1.%2.%3.%4.%5.%6."/>
      <w:lvlJc w:val="left"/>
      <w:pPr>
        <w:ind w:left="1151" w:hanging="1151"/>
      </w:pPr>
      <w:rPr>
        <w:rFonts w:hint="eastAsia"/>
      </w:rPr>
    </w:lvl>
    <w:lvl w:ilvl="6">
      <w:start w:val="1"/>
      <w:numFmt w:val="decimal"/>
      <w:pStyle w:val="Heading7"/>
      <w:isLgl/>
      <w:lvlText w:val="%1.%2.%3.%4.%5.%6.%7."/>
      <w:lvlJc w:val="left"/>
      <w:pPr>
        <w:ind w:left="1296" w:hanging="1296"/>
      </w:pPr>
      <w:rPr>
        <w:rFonts w:hint="eastAsia"/>
      </w:rPr>
    </w:lvl>
    <w:lvl w:ilvl="7">
      <w:start w:val="1"/>
      <w:numFmt w:val="decimal"/>
      <w:pStyle w:val="Heading8"/>
      <w:isLgl/>
      <w:lvlText w:val="%1.%2.%3.%4.%5.%6.%7.%8."/>
      <w:lvlJc w:val="left"/>
      <w:pPr>
        <w:ind w:left="1440" w:hanging="1440"/>
      </w:pPr>
      <w:rPr>
        <w:rFonts w:hint="eastAsia"/>
      </w:rPr>
    </w:lvl>
    <w:lvl w:ilvl="8">
      <w:start w:val="1"/>
      <w:numFmt w:val="decimal"/>
      <w:pStyle w:val="Heading9"/>
      <w:isLgl/>
      <w:lvlText w:val="%1.%2.%3.%4.%5.%6.%7.%8.%9."/>
      <w:lvlJc w:val="left"/>
      <w:pPr>
        <w:ind w:left="1583" w:hanging="1583"/>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0E35D5"/>
    <w:rsid w:val="000E340C"/>
    <w:rsid w:val="00465763"/>
    <w:rsid w:val="004B1946"/>
    <w:rsid w:val="00523072"/>
    <w:rsid w:val="00854C8F"/>
    <w:rsid w:val="00C6543E"/>
    <w:rsid w:val="00E1439C"/>
    <w:rsid w:val="00E8596A"/>
    <w:rsid w:val="00EB48E9"/>
    <w:rsid w:val="00F727C3"/>
    <w:rsid w:val="03FE5EDC"/>
    <w:rsid w:val="11D5049D"/>
    <w:rsid w:val="12116AC0"/>
    <w:rsid w:val="1683396C"/>
    <w:rsid w:val="208640FC"/>
    <w:rsid w:val="25445C0D"/>
    <w:rsid w:val="2BFE3322"/>
    <w:rsid w:val="340E35D5"/>
    <w:rsid w:val="4B4E4762"/>
    <w:rsid w:val="5A8F5D69"/>
    <w:rsid w:val="60687D7F"/>
    <w:rsid w:val="60982E5F"/>
  </w:rsids>
  <w:docVars>
    <w:docVar w:name="commondata" w:val="eyJoZGlkIjoiNTkxN2EwOWU2ZDhiNmJkYWZjYzQ1ZTc5NjA2N2EwND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qFormat="1"/>
    <w:lsdException w:name="header" w:semiHidden="0" w:unhideWhenUsed="0" w:qFormat="1"/>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Heading1"/>
    <w:qFormat/>
    <w:pPr>
      <w:widowControl w:val="0"/>
      <w:spacing w:line="360" w:lineRule="auto"/>
      <w:ind w:firstLine="420" w:firstLineChars="200"/>
      <w:jc w:val="both"/>
    </w:pPr>
    <w:rPr>
      <w:rFonts w:ascii="Times New Roman" w:eastAsia="宋体" w:hAnsi="Times New Roman" w:cs="Times New Roman"/>
      <w:kern w:val="2"/>
      <w:sz w:val="24"/>
      <w:szCs w:val="24"/>
      <w:lang w:val="en-US" w:eastAsia="zh-CN" w:bidi="ar-SA"/>
    </w:rPr>
  </w:style>
  <w:style w:type="paragraph" w:styleId="Heading1">
    <w:name w:val="heading 1"/>
    <w:basedOn w:val="Normal"/>
    <w:next w:val="Normal"/>
    <w:link w:val="1Char"/>
    <w:qFormat/>
    <w:pPr>
      <w:keepNext/>
      <w:keepLines/>
      <w:numPr>
        <w:ilvl w:val="0"/>
        <w:numId w:val="1"/>
      </w:numPr>
      <w:spacing w:beforeLines="50" w:afterLines="50"/>
      <w:ind w:firstLine="0" w:firstLineChars="0"/>
      <w:jc w:val="center"/>
      <w:outlineLvl w:val="0"/>
    </w:pPr>
    <w:rPr>
      <w:rFonts w:eastAsia="黑体"/>
      <w:bCs/>
      <w:kern w:val="44"/>
      <w:sz w:val="36"/>
      <w:szCs w:val="44"/>
    </w:rPr>
  </w:style>
  <w:style w:type="paragraph" w:styleId="Heading2">
    <w:name w:val="heading 2"/>
    <w:basedOn w:val="Normal"/>
    <w:next w:val="Normal"/>
    <w:qFormat/>
    <w:pPr>
      <w:keepNext/>
      <w:numPr>
        <w:ilvl w:val="1"/>
        <w:numId w:val="1"/>
      </w:numPr>
      <w:spacing w:before="120" w:after="120"/>
      <w:ind w:left="0" w:firstLine="0" w:firstLineChars="0"/>
      <w:jc w:val="left"/>
      <w:outlineLvl w:val="1"/>
    </w:pPr>
    <w:rPr>
      <w:rFonts w:eastAsia="黑体"/>
      <w:bCs/>
      <w:sz w:val="30"/>
    </w:rPr>
  </w:style>
  <w:style w:type="paragraph" w:styleId="Heading3">
    <w:name w:val="heading 3"/>
    <w:basedOn w:val="Normal"/>
    <w:next w:val="Normal"/>
    <w:uiPriority w:val="9"/>
    <w:qFormat/>
    <w:pPr>
      <w:keepNext/>
      <w:keepLines/>
      <w:numPr>
        <w:ilvl w:val="2"/>
        <w:numId w:val="1"/>
      </w:numPr>
      <w:spacing w:before="60" w:after="60"/>
      <w:ind w:left="0" w:firstLine="0" w:firstLineChars="0"/>
      <w:outlineLvl w:val="2"/>
    </w:pPr>
    <w:rPr>
      <w:rFonts w:eastAsia="黑体"/>
      <w:bCs/>
      <w:sz w:val="28"/>
      <w:szCs w:val="32"/>
    </w:rPr>
  </w:style>
  <w:style w:type="paragraph" w:styleId="Heading4">
    <w:name w:val="heading 4"/>
    <w:basedOn w:val="Normal"/>
    <w:next w:val="Normal"/>
    <w:semiHidden/>
    <w:unhideWhenUsed/>
    <w:qFormat/>
    <w:pPr>
      <w:keepNext/>
      <w:keepLines/>
      <w:numPr>
        <w:ilvl w:val="3"/>
        <w:numId w:val="1"/>
      </w:numPr>
      <w:spacing w:line="372" w:lineRule="auto"/>
      <w:ind w:firstLineChars="0"/>
      <w:outlineLvl w:val="3"/>
    </w:pPr>
    <w:rPr>
      <w:rFonts w:ascii="Arial" w:eastAsia="黑体" w:hAnsi="Arial"/>
      <w:b/>
      <w:sz w:val="28"/>
    </w:rPr>
  </w:style>
  <w:style w:type="paragraph" w:styleId="Heading5">
    <w:name w:val="heading 5"/>
    <w:basedOn w:val="Normal"/>
    <w:next w:val="Normal"/>
    <w:semiHidden/>
    <w:unhideWhenUsed/>
    <w:qFormat/>
    <w:pPr>
      <w:keepNext/>
      <w:keepLines/>
      <w:numPr>
        <w:ilvl w:val="4"/>
        <w:numId w:val="1"/>
      </w:numPr>
      <w:spacing w:line="372" w:lineRule="auto"/>
      <w:ind w:firstLineChars="0"/>
      <w:outlineLvl w:val="4"/>
    </w:pPr>
    <w:rPr>
      <w:b/>
      <w:sz w:val="28"/>
    </w:rPr>
  </w:style>
  <w:style w:type="paragraph" w:styleId="Heading6">
    <w:name w:val="heading 6"/>
    <w:basedOn w:val="Normal"/>
    <w:next w:val="Normal"/>
    <w:semiHidden/>
    <w:unhideWhenUsed/>
    <w:qFormat/>
    <w:pPr>
      <w:keepNext/>
      <w:keepLines/>
      <w:numPr>
        <w:ilvl w:val="5"/>
        <w:numId w:val="1"/>
      </w:numPr>
      <w:spacing w:line="317" w:lineRule="auto"/>
      <w:ind w:firstLineChars="0"/>
      <w:outlineLvl w:val="5"/>
    </w:pPr>
    <w:rPr>
      <w:rFonts w:ascii="Arial" w:eastAsia="黑体" w:hAnsi="Arial"/>
      <w:b/>
    </w:rPr>
  </w:style>
  <w:style w:type="paragraph" w:styleId="Heading7">
    <w:name w:val="heading 7"/>
    <w:basedOn w:val="Normal"/>
    <w:next w:val="Normal"/>
    <w:semiHidden/>
    <w:unhideWhenUsed/>
    <w:qFormat/>
    <w:pPr>
      <w:keepNext/>
      <w:keepLines/>
      <w:numPr>
        <w:ilvl w:val="6"/>
        <w:numId w:val="1"/>
      </w:numPr>
      <w:spacing w:line="317" w:lineRule="auto"/>
      <w:ind w:firstLineChars="0"/>
      <w:outlineLvl w:val="6"/>
    </w:pPr>
    <w:rPr>
      <w:b/>
    </w:rPr>
  </w:style>
  <w:style w:type="paragraph" w:styleId="Heading8">
    <w:name w:val="heading 8"/>
    <w:basedOn w:val="Normal"/>
    <w:next w:val="Normal"/>
    <w:semiHidden/>
    <w:unhideWhenUsed/>
    <w:qFormat/>
    <w:pPr>
      <w:keepNext/>
      <w:keepLines/>
      <w:numPr>
        <w:ilvl w:val="7"/>
        <w:numId w:val="1"/>
      </w:numPr>
      <w:spacing w:line="317" w:lineRule="auto"/>
      <w:ind w:firstLineChars="0"/>
      <w:outlineLvl w:val="7"/>
    </w:pPr>
    <w:rPr>
      <w:rFonts w:ascii="Arial" w:eastAsia="黑体" w:hAnsi="Arial"/>
    </w:rPr>
  </w:style>
  <w:style w:type="paragraph" w:styleId="Heading9">
    <w:name w:val="heading 9"/>
    <w:basedOn w:val="Normal"/>
    <w:next w:val="Normal"/>
    <w:semiHidden/>
    <w:unhideWhenUsed/>
    <w:qFormat/>
    <w:pPr>
      <w:keepNext/>
      <w:keepLines/>
      <w:numPr>
        <w:ilvl w:val="8"/>
        <w:numId w:val="1"/>
      </w:numPr>
      <w:spacing w:line="317" w:lineRule="auto"/>
      <w:ind w:firstLineChars="0"/>
      <w:outlineLvl w:val="8"/>
    </w:pPr>
    <w:rPr>
      <w:rFonts w:ascii="Arial" w:eastAsia="黑体" w:hAnsi="Arial"/>
      <w:sz w:val="21"/>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CommentText">
    <w:name w:val="annotation text"/>
    <w:basedOn w:val="Normal"/>
    <w:qFormat/>
    <w:pPr>
      <w:jc w:val="left"/>
    </w:pPr>
  </w:style>
  <w:style w:type="paragraph" w:styleId="TOC3">
    <w:name w:val="toc 3"/>
    <w:basedOn w:val="Normal"/>
    <w:next w:val="Normal"/>
    <w:uiPriority w:val="39"/>
    <w:qFormat/>
    <w:pPr>
      <w:tabs>
        <w:tab w:val="right" w:leader="dot" w:pos="9060"/>
      </w:tabs>
      <w:spacing w:line="312" w:lineRule="auto"/>
      <w:ind w:left="420"/>
      <w:jc w:val="left"/>
    </w:pPr>
    <w:rPr>
      <w:rFonts w:ascii="Calibri" w:hAnsi="Calibri" w:cs="Calibri"/>
      <w:iCs/>
      <w:szCs w:val="20"/>
    </w:rPr>
  </w:style>
  <w:style w:type="paragraph" w:styleId="PlainText">
    <w:name w:val="Plain Text"/>
    <w:basedOn w:val="Normal"/>
    <w:qFormat/>
    <w:rPr>
      <w:rFonts w:ascii="宋体" w:hAnsi="Courier New"/>
      <w:szCs w:val="20"/>
    </w:rPr>
  </w:style>
  <w:style w:type="paragraph" w:styleId="Footer">
    <w:name w:val="footer"/>
    <w:basedOn w:val="Normal"/>
    <w:uiPriority w:val="99"/>
    <w:qFormat/>
    <w:pPr>
      <w:tabs>
        <w:tab w:val="center" w:pos="4153"/>
        <w:tab w:val="right" w:pos="8306"/>
      </w:tabs>
      <w:snapToGrid w:val="0"/>
      <w:jc w:val="left"/>
    </w:pPr>
    <w:rPr>
      <w:sz w:val="18"/>
      <w:szCs w:val="18"/>
    </w:rPr>
  </w:style>
  <w:style w:type="paragraph" w:styleId="Header">
    <w:name w:val="header"/>
    <w:basedOn w:val="Normal"/>
    <w:uiPriority w:val="99"/>
    <w:qFormat/>
    <w:pPr>
      <w:pBdr>
        <w:bottom w:val="single" w:sz="6" w:space="1" w:color="auto"/>
      </w:pBdr>
      <w:tabs>
        <w:tab w:val="center" w:pos="4153"/>
        <w:tab w:val="right" w:pos="8306"/>
      </w:tabs>
      <w:snapToGrid w:val="0"/>
      <w:spacing w:line="240" w:lineRule="auto"/>
      <w:ind w:firstLine="0" w:firstLineChars="0"/>
      <w:jc w:val="right"/>
    </w:pPr>
    <w:rPr>
      <w:sz w:val="21"/>
      <w:szCs w:val="18"/>
    </w:rPr>
  </w:style>
  <w:style w:type="paragraph" w:styleId="TOC1">
    <w:name w:val="toc 1"/>
    <w:basedOn w:val="Normal"/>
    <w:next w:val="Normal"/>
    <w:uiPriority w:val="39"/>
    <w:qFormat/>
    <w:pPr>
      <w:tabs>
        <w:tab w:val="right" w:leader="dot" w:pos="9060"/>
      </w:tabs>
      <w:adjustRightInd w:val="0"/>
      <w:snapToGrid w:val="0"/>
      <w:spacing w:line="312" w:lineRule="auto"/>
      <w:jc w:val="left"/>
    </w:pPr>
    <w:rPr>
      <w:bCs/>
      <w:caps/>
    </w:rPr>
  </w:style>
  <w:style w:type="paragraph" w:styleId="TOC2">
    <w:name w:val="toc 2"/>
    <w:basedOn w:val="Normal"/>
    <w:next w:val="Normal"/>
    <w:uiPriority w:val="39"/>
    <w:qFormat/>
    <w:pPr>
      <w:tabs>
        <w:tab w:val="right" w:leader="dot" w:pos="9060"/>
      </w:tabs>
      <w:spacing w:line="312" w:lineRule="auto"/>
      <w:ind w:left="210"/>
      <w:jc w:val="left"/>
    </w:pPr>
    <w:rPr>
      <w:rFonts w:ascii="黑体" w:hAnsi="黑体" w:cs="Calibri"/>
      <w:smallCaps/>
      <w:szCs w:val="20"/>
    </w:rPr>
  </w:style>
  <w:style w:type="paragraph" w:styleId="NormalWeb">
    <w:name w:val="Normal (Web)"/>
    <w:basedOn w:val="Normal"/>
    <w:uiPriority w:val="99"/>
    <w:unhideWhenUsed/>
    <w:qFormat/>
    <w:pPr>
      <w:widowControl/>
      <w:spacing w:beforeAutospacing="1" w:afterAutospacing="1"/>
      <w:jc w:val="left"/>
    </w:pPr>
    <w:rPr>
      <w:rFonts w:ascii="宋体" w:hAnsi="宋体" w:cs="宋体"/>
      <w:kern w:val="0"/>
    </w:rPr>
  </w:style>
  <w:style w:type="table" w:styleId="TableGrid">
    <w:name w:val="Table Grid"/>
    <w:basedOn w:val="Table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qFormat/>
  </w:style>
  <w:style w:type="paragraph" w:customStyle="1" w:styleId="22">
    <w:name w:val="样式 宋体 行距: 固定值 22 磅"/>
    <w:basedOn w:val="Normal"/>
    <w:qFormat/>
    <w:pPr>
      <w:spacing w:line="440" w:lineRule="exact"/>
      <w:ind w:left="0" w:right="0" w:firstLine="200" w:leftChars="0" w:rightChars="0" w:firstLineChars="200"/>
    </w:pPr>
    <w:rPr>
      <w:rFonts w:ascii="宋体" w:eastAsia="宋体" w:hAnsi="宋体" w:cs="宋体"/>
      <w:szCs w:val="20"/>
    </w:rPr>
  </w:style>
  <w:style w:type="character" w:customStyle="1" w:styleId="1Char">
    <w:name w:val="标题 1 Char"/>
    <w:basedOn w:val="DefaultParagraphFont"/>
    <w:link w:val="Heading1"/>
    <w:qFormat/>
    <w:rPr>
      <w:rFonts w:eastAsia="黑体"/>
      <w:bCs/>
      <w:kern w:val="44"/>
      <w:sz w:val="36"/>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eader" Target="header1.xml" /><Relationship Id="rId11" Type="http://schemas.openxmlformats.org/officeDocument/2006/relationships/header" Target="header2.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3.xml" /><Relationship Id="rId15" Type="http://schemas.openxmlformats.org/officeDocument/2006/relationships/header" Target="header4.xml" /><Relationship Id="rId16" Type="http://schemas.openxmlformats.org/officeDocument/2006/relationships/footer" Target="footer6.xml" /><Relationship Id="rId17" Type="http://schemas.openxmlformats.org/officeDocument/2006/relationships/footer" Target="footer7.xml" /><Relationship Id="rId18" Type="http://schemas.openxmlformats.org/officeDocument/2006/relationships/header" Target="header5.xml" /><Relationship Id="rId19" Type="http://schemas.openxmlformats.org/officeDocument/2006/relationships/header" Target="header6.xml" /><Relationship Id="rId2" Type="http://schemas.openxmlformats.org/officeDocument/2006/relationships/endnotes" Target="endnotes.xml" /><Relationship Id="rId20" Type="http://schemas.openxmlformats.org/officeDocument/2006/relationships/footer" Target="footer8.xml" /><Relationship Id="rId21" Type="http://schemas.openxmlformats.org/officeDocument/2006/relationships/footer" Target="footer9.xml" /><Relationship Id="rId22" Type="http://schemas.openxmlformats.org/officeDocument/2006/relationships/header" Target="header7.xml" /><Relationship Id="rId23" Type="http://schemas.openxmlformats.org/officeDocument/2006/relationships/header" Target="header8.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9.xml" /><Relationship Id="rId27" Type="http://schemas.openxmlformats.org/officeDocument/2006/relationships/header" Target="header10.xml" /><Relationship Id="rId28" Type="http://schemas.openxmlformats.org/officeDocument/2006/relationships/footer" Target="footer12.xml" /><Relationship Id="rId29" Type="http://schemas.openxmlformats.org/officeDocument/2006/relationships/footer" Target="footer13.xml" /><Relationship Id="rId3" Type="http://schemas.openxmlformats.org/officeDocument/2006/relationships/settings" Target="settings.xml" /><Relationship Id="rId30" Type="http://schemas.openxmlformats.org/officeDocument/2006/relationships/header" Target="header11.xml" /><Relationship Id="rId31" Type="http://schemas.openxmlformats.org/officeDocument/2006/relationships/header" Target="header12.xml" /><Relationship Id="rId32" Type="http://schemas.openxmlformats.org/officeDocument/2006/relationships/footer" Target="footer14.xml" /><Relationship Id="rId33" Type="http://schemas.openxmlformats.org/officeDocument/2006/relationships/footer" Target="footer15.xml" /><Relationship Id="rId34" Type="http://schemas.openxmlformats.org/officeDocument/2006/relationships/header" Target="header13.xml" /><Relationship Id="rId35" Type="http://schemas.openxmlformats.org/officeDocument/2006/relationships/header" Target="header14.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5.xml" /><Relationship Id="rId39" Type="http://schemas.openxmlformats.org/officeDocument/2006/relationships/header" Target="header16.xml" /><Relationship Id="rId4" Type="http://schemas.openxmlformats.org/officeDocument/2006/relationships/webSettings" Target="webSettings.xml" /><Relationship Id="rId40" Type="http://schemas.openxmlformats.org/officeDocument/2006/relationships/footer" Target="footer18.xml" /><Relationship Id="rId41" Type="http://schemas.openxmlformats.org/officeDocument/2006/relationships/footer" Target="footer19.xml" /><Relationship Id="rId42" Type="http://schemas.openxmlformats.org/officeDocument/2006/relationships/header" Target="header17.xml" /><Relationship Id="rId43" Type="http://schemas.openxmlformats.org/officeDocument/2006/relationships/header" Target="header18.xml" /><Relationship Id="rId44" Type="http://schemas.openxmlformats.org/officeDocument/2006/relationships/footer" Target="footer20.xml" /><Relationship Id="rId45" Type="http://schemas.openxmlformats.org/officeDocument/2006/relationships/footer" Target="footer21.xml" /><Relationship Id="rId46" Type="http://schemas.openxmlformats.org/officeDocument/2006/relationships/header" Target="header19.xml" /><Relationship Id="rId47" Type="http://schemas.openxmlformats.org/officeDocument/2006/relationships/header" Target="header20.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fontTable" Target="fontTable.xml" /><Relationship Id="rId50" Type="http://schemas.openxmlformats.org/officeDocument/2006/relationships/hyperlink" Target="https://d.book118.com/005232323101011114" TargetMode="External" /><Relationship Id="rId51" Type="http://schemas.openxmlformats.org/officeDocument/2006/relationships/header" Target="header21.xml" /><Relationship Id="rId52" Type="http://schemas.openxmlformats.org/officeDocument/2006/relationships/header" Target="header22.xml" /><Relationship Id="rId53" Type="http://schemas.openxmlformats.org/officeDocument/2006/relationships/footer" Target="footer24.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numbering" Target="numbering.xml" /><Relationship Id="rId57" Type="http://schemas.openxmlformats.org/officeDocument/2006/relationships/styles" Target="styles.xml" /><Relationship Id="rId6" Type="http://schemas.openxmlformats.org/officeDocument/2006/relationships/customXml" Target="../customXml/item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14</Pages>
  <Words>15931</Words>
  <Characters>6093</Characters>
  <Application>Microsoft Office Word</Application>
  <DocSecurity>0</DocSecurity>
  <Lines>50</Lines>
  <Paragraphs>43</Paragraphs>
  <ScaleCrop>false</ScaleCrop>
  <Company/>
  <LinksUpToDate>false</LinksUpToDate>
  <CharactersWithSpaces>21981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我是阿迪呀</dc:creator>
  <cp:lastModifiedBy>...</cp:lastModifiedBy>
  <cp:revision>7</cp:revision>
  <dcterms:created xsi:type="dcterms:W3CDTF">2022-12-31T05:41:00Z</dcterms:created>
  <dcterms:modified xsi:type="dcterms:W3CDTF">2023-03-04T09:38:10Z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B02C882983174C67A89899822CAE7007</vt:lpwstr>
  </property>
  <property fmtid="{D5CDD505-2E9C-101B-9397-08002B2CF9AE}" pid="3" name="KSOProductBuildVer">
    <vt:lpwstr>2052-11.1.0.13703</vt:lpwstr>
  </property>
</Properties>
</file>