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数字模拟混合输出仪表通讯模板行业相关公司设立可行性研究报告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_Toc21299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二、数字模拟混合输出仪表通讯模板筹建公司基本信息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_Toc29188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3" w:history="1">
        <w:r>
          <w:rPr>
            <w:rFonts w:ascii="仿宋" w:eastAsia="仿宋" w:hAnsi="仿宋" w:cs="仿宋" w:hint="eastAsia"/>
            <w:lang w:eastAsia="zh-CN"/>
          </w:rPr>
          <w:t>(一)、数字模拟混合输出仪表通讯模板项目选址原则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4" w:history="1">
        <w:r>
          <w:rPr>
            <w:rFonts w:ascii="仿宋" w:eastAsia="仿宋" w:hAnsi="仿宋" w:cs="仿宋" w:hint="eastAsia"/>
            <w:lang w:eastAsia="zh-CN"/>
          </w:rPr>
          <w:t>(五)、数字模拟混合输出仪表通讯模板项目选址综合评价</w:t>
        </w:r>
        <w:r>
          <w:tab/>
        </w:r>
        <w:r>
          <w:fldChar w:fldCharType="begin"/>
        </w:r>
        <w:r>
          <w:instrText xml:space="preserve"> PAGEREF _Toc23354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_Toc11716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_Toc24301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1" w:history="1">
        <w:r>
          <w:rPr>
            <w:rFonts w:ascii="仿宋" w:eastAsia="仿宋" w:hAnsi="仿宋" w:cs="仿宋" w:hint="eastAsia"/>
            <w:lang w:eastAsia="zh-CN"/>
          </w:rPr>
          <w:t>(一)、数字模拟混合输出仪表通讯模板项目背景分析</w:t>
        </w:r>
        <w:r>
          <w:tab/>
        </w:r>
        <w:r>
          <w:fldChar w:fldCharType="begin"/>
        </w:r>
        <w:r>
          <w:instrText xml:space="preserve"> PAGEREF _Toc20581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(二)、数字模拟混合输出仪表通讯模板项目建设必要性分析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eastAsia="zh-CN"/>
          </w:rPr>
          <w:t>(五)、数字模拟混合输出仪表通讯模板项目总投资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_Toc9139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_Toc24894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(一)、数字模拟混合输出仪表通讯模板项目进度安排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(二)、数字模拟混合输出仪表通讯模板项目实施保障措施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_Toc32726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_Toc23051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_Toc5922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(二)、合作数字模拟混合输出仪表通讯模板项目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十四、数字模拟混合输出仪表通讯模板项目总结分析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9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https://d.book118.com/005322242340011044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数字模拟混合输出仪表通讯模板行业相关公司设立可行性研究报告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数字模拟混合输出仪表通讯模板行业相关公司设立可行性研究报告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数字模拟混合输出仪表通讯模板行业相关公司设立可行性研究报告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数字模拟混合输出仪表通讯模板行业相关公司设立可行性研究报告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数字模拟混合输出仪表通讯模板行业相关公司设立可行性研究报告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5322242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2024-01-01T00:32:00Z</dcterms:created>
  <dcterms:modified xsi:type="dcterms:W3CDTF">2024-01-01T00:32:34Z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2527D275363E493C930AAA834F0167E0_11</vt:lpwstr>
  </property>
  <property fmtid="{D5CDD505-2E9C-101B-9397-08002B2CF9AE}" pid="3" name="KSOProductBuildVer">
    <vt:lpwstr>2052-12.1.0.16120</vt:lpwstr>
  </property>
</Properties>
</file>