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少儿模特项目建设方案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70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_Toc13703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28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_Toc25228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_Toc19419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_Toc12680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_Toc933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_Toc3089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_Toc7669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20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_Toc12420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_Toc788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_Toc990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4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_Toc4734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_Toc1112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98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_Toc9098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3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_Toc15843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7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_Toc17527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4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_Toc14224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66" w:history="1">
        <w:r>
          <w:rPr>
            <w:rFonts w:ascii="仿宋" w:eastAsia="仿宋" w:hAnsi="仿宋" w:cs="仿宋" w:hint="eastAsia"/>
            <w:lang w:eastAsia="zh-CN"/>
          </w:rPr>
          <w:t>四、项目选址研究</w:t>
        </w:r>
        <w:r>
          <w:tab/>
        </w:r>
        <w:r>
          <w:fldChar w:fldCharType="begin"/>
        </w:r>
        <w:r>
          <w:instrText xml:space="preserve"> PAGEREF _Toc29366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4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_Toc18724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6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_Toc7846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_Toc621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6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_Toc7716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3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_Toc23053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2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_Toc3222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5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_Toc18395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52" w:history="1">
        <w:r>
          <w:rPr>
            <w:rFonts w:ascii="仿宋" w:eastAsia="仿宋" w:hAnsi="仿宋" w:cs="仿宋" w:hint="eastAsia"/>
            <w:lang w:eastAsia="zh-CN"/>
          </w:rPr>
          <w:t>五、财务管理与成本控制</w:t>
        </w:r>
        <w:r>
          <w:tab/>
        </w:r>
        <w:r>
          <w:fldChar w:fldCharType="begin"/>
        </w:r>
        <w:r>
          <w:instrText xml:space="preserve"> PAGEREF _Toc19552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0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_Toc20230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3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_Toc15583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27" w:history="1">
        <w:r>
          <w:rPr>
            <w:rFonts w:ascii="仿宋" w:eastAsia="仿宋" w:hAnsi="仿宋" w:cs="仿宋" w:hint="eastAsia"/>
            <w:lang w:eastAsia="zh-CN"/>
          </w:rPr>
          <w:t>六、少儿模特项目概论</w:t>
        </w:r>
        <w:r>
          <w:tab/>
        </w:r>
        <w:r>
          <w:fldChar w:fldCharType="begin"/>
        </w:r>
        <w:r>
          <w:instrText xml:space="preserve"> PAGEREF _Toc24227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6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_Toc4446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6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_Toc25416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95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_Toc22695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_Toc31458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_Toc537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_Toc1007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_Toc21609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_Toc19386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1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_Toc11131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8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_Toc31568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62" w:history="1">
        <w:r>
          <w:rPr>
            <w:rFonts w:ascii="仿宋" w:eastAsia="仿宋" w:hAnsi="仿宋" w:cs="仿宋" w:hint="eastAsia"/>
            <w:lang w:eastAsia="zh-CN"/>
          </w:rPr>
          <w:t>八、环境保护与治理方案</w:t>
        </w:r>
        <w:r>
          <w:tab/>
        </w:r>
        <w:r>
          <w:fldChar w:fldCharType="begin"/>
        </w:r>
        <w:r>
          <w:instrText xml:space="preserve"> PAGEREF _Toc15862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9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_Toc8519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7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_Toc28797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252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_Toc26252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3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_Toc11193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8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_Toc11988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7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_Toc5007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98" w:history="1">
        <w:r>
          <w:rPr>
            <w:rFonts w:ascii="仿宋" w:eastAsia="仿宋" w:hAnsi="仿宋" w:cs="仿宋" w:hint="eastAsia"/>
            <w:lang w:eastAsia="zh-CN"/>
          </w:rPr>
          <w:t>十、安全与应急管理</w:t>
        </w:r>
        <w:r>
          <w:tab/>
        </w:r>
        <w:r>
          <w:fldChar w:fldCharType="begin"/>
        </w:r>
        <w:r>
          <w:instrText xml:space="preserve"> PAGEREF _Toc10598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6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_Toc12606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5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_Toc15695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74" w:history="1">
        <w:r>
          <w:rPr>
            <w:rFonts w:ascii="仿宋" w:eastAsia="仿宋" w:hAnsi="仿宋" w:cs="仿宋" w:hint="eastAsia"/>
            <w:lang w:eastAsia="zh-CN"/>
          </w:rPr>
          <w:t>十一、客户关系管理与市场拓展</w:t>
        </w:r>
        <w:r>
          <w:tab/>
        </w:r>
        <w:r>
          <w:fldChar w:fldCharType="begin"/>
        </w:r>
        <w:r>
          <w:instrText xml:space="preserve"> PAGEREF _Toc28474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5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_Toc21585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0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_Toc31990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83" w:history="1">
        <w:r>
          <w:rPr>
            <w:rFonts w:ascii="仿宋" w:eastAsia="仿宋" w:hAnsi="仿宋" w:cs="仿宋" w:hint="eastAsia"/>
            <w:lang w:eastAsia="zh-CN"/>
          </w:rPr>
          <w:t>十二、环境保护与绿色发展</w:t>
        </w:r>
        <w:r>
          <w:tab/>
        </w:r>
        <w:r>
          <w:fldChar w:fldCharType="begin"/>
        </w:r>
        <w:r>
          <w:instrText xml:space="preserve"> PAGEREF _Toc25083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8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_Toc8708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3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_Toc12493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0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_Toc820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9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_Toc3429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92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_Toc12692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12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_Toc26612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4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_Toc23164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_Toc1689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02" w:history="1">
        <w:r>
          <w:rPr>
            <w:rFonts w:ascii="仿宋" w:eastAsia="仿宋" w:hAnsi="仿宋" w:cs="仿宋" w:hint="eastAsia"/>
            <w:lang w:eastAsia="zh-CN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_Toc26902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4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_Toc30544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7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_Toc11517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77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_Toc9877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3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_Toc30433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8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_Toc26608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36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_Toc25436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2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_Toc26622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5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_Toc3415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5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_Toc31675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7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_Toc27827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54" w:history="1">
        <w:r>
          <w:rPr>
            <w:rFonts w:ascii="仿宋" w:eastAsia="仿宋" w:hAnsi="仿宋" w:cs="仿宋" w:hint="eastAsia"/>
            <w:lang w:eastAsia="zh-CN"/>
          </w:rPr>
          <w:t>十八、产业协同与集群发展</w:t>
        </w:r>
        <w:r>
          <w:tab/>
        </w:r>
        <w:r>
          <w:fldChar w:fldCharType="begin"/>
        </w:r>
        <w:r>
          <w:instrText xml:space="preserve"> PAGEREF _Toc7954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_Toc2829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8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_Toc17668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94" w:history="1">
        <w:r>
          <w:rPr>
            <w:rFonts w:ascii="仿宋" w:eastAsia="仿宋" w:hAnsi="仿宋" w:cs="仿宋" w:hint="eastAsia"/>
            <w:lang w:eastAsia="zh-CN"/>
          </w:rPr>
          <w:t>十九、设施与设备管理</w:t>
        </w:r>
        <w:r>
          <w:tab/>
        </w:r>
        <w:r>
          <w:fldChar w:fldCharType="begin"/>
        </w:r>
        <w:r>
          <w:instrText xml:space="preserve"> PAGEREF _Toc18394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6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_Toc28126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05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_Toc28205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6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_Toc23646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73" w:history="1">
        <w:r>
          <w:rPr>
            <w:rFonts w:ascii="仿宋" w:eastAsia="仿宋" w:hAnsi="仿宋" w:cs="仿宋" w:hint="eastAsia"/>
            <w:lang w:eastAsia="zh-CN"/>
          </w:rPr>
          <w:t>二十、质量管理与控制</w:t>
        </w:r>
        <w:r>
          <w:tab/>
        </w:r>
        <w:r>
          <w:fldChar w:fldCharType="begin"/>
        </w:r>
        <w:r>
          <w:instrText xml:space="preserve"> PAGEREF _Toc12773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9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_Toc18609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2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_Toc5912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70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228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41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少儿模特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少儿模特项目将进行详细的生态影响评估，确保不会对当地的动植物种群和自然栖息地造成负面影响。如果项目地点附近有重要的生物栖息地或生态敏感区，项目将重新考虑建设地点或采取相应的保护措施。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少儿模特项目将积极采用可持续材料，如再生塑料和生物降解材料，以减少对环境的影响。项目还将推行废物减量和回收计划，例如通过再利用工业废料或建立回收系统。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少儿模特项目还将参与当地的环保活动和计划，如资助当地的环境保护项目或与社区合作进行环保宣传活动。通过这些活动，项目不仅能够提高自身的环境表现，还能在当地社区中树立积极的环保形象。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68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少儿模特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少儿模特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少儿模特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933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少儿模特项目将采用绿色屋顶和生态墙等环境友好型建筑设计，这些设计不仅有助于改善空气质量，还能为城市野生动植物提供栖息地。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少儿模特项目将建立高效的废水处理系统，确保所有工业废水在排放前都经过适当处理，达到或超过环保标准。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少儿模特项目将致力于使用清洁能源，如太阳能和风能，减少对化石燃料的依赖。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少儿模特项目将举办环保教育研讨会，向员工和当地社区普及环保知识，提升对环境保护重要性的认识。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3089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在少儿模特项目启动前，将进行一系列深入的地质调查，包括钻探和土壤取样，以深入了解项目区域的地层结构和土壤组成。特别是对于土壤的承载能力和地下水位的深度进行详细评估。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少儿模特项目将通过地下水位监测系统定期检测水位变化，以预测和预防由高地下水位可能引起的地基问题。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少儿模特项目将进行详尽的水文和地形分析，以识别可能的洪水和泥石流风险区。基于这些分析，项目将设计防洪设施，如提高地基、构建防洪墙和排水沟。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少儿模特项目还将考虑建设排水系统，以减少地表水对土壤稳定性的影响。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完成初始的地质风险评估后，少儿模特项目将安装长期地质监测设备，如倾斜仪、裂缝计和地下水位计，以持续监测地质条件的变化。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7669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少儿模特项目将通过这些措施来适应和尊重特殊环境条件，确保项目的可持续发展，同时减少对环境的负面影响。这不仅有助于保护自然和文化遗产，还能提升项目在社会责任方面的表现和形象。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2420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788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直接收益：假设少儿模特项目的产品或服务年销售收入为XX万元。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净现值（NPV）是评估项目总收益与总成本现值的差额。假设项目预计持续XX年，每年的净收益为（年直接收益 年运营成本），折现率假定为XX%，则NPV计算为：NPV = ∑ [（年净收益） / （1 + 折现率）^年份] 初始投资成本。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https://d.book118.com/005324122201011123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少儿模特项目建设方案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少儿模特项目建设方案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少儿模特项目建设方案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少儿模特项目建设方案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少儿模特项目建设方案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少儿模特项目建设方案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少儿模特项目建设方案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少儿模特项目建设方案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少儿模特项目建设方案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少儿模特项目建设方案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少儿模特项目建设方案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少儿模特项目建设方案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60F3FBB"/>
    <w:rsid w:val="560F3FB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00532412220101112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2024-02-26T16:49:00Z</dcterms:created>
  <dcterms:modified xsi:type="dcterms:W3CDTF">2024-02-26T16:50:48Z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1660295525B34D3AA763E788630E3E0B_11</vt:lpwstr>
  </property>
  <property fmtid="{D5CDD505-2E9C-101B-9397-08002B2CF9AE}" pid="3" name="KSOProductBuildVer">
    <vt:lpwstr>2052-12.1.0.16250</vt:lpwstr>
  </property>
</Properties>
</file>