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
      <w:tblGrid>
        <w:gridCol w:w="1029"/>
        <w:gridCol w:w="410"/>
        <w:gridCol w:w="360"/>
        <w:gridCol w:w="850"/>
        <w:gridCol w:w="2172"/>
        <w:gridCol w:w="1212"/>
        <w:gridCol w:w="756"/>
        <w:gridCol w:w="411"/>
        <w:gridCol w:w="1080"/>
        <w:gridCol w:w="1080"/>
      </w:tblGrid>
      <w:tr>
        <w:tblPrEx>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7" w:type="dxa"/>
            <w:bottom w:w="0" w:type="dxa"/>
            <w:right w:w="57" w:type="dxa"/>
          </w:tblCellMar>
          <w:tblLook w:val="0000"/>
        </w:tblPrEx>
        <w:trPr>
          <w:trHeight w:val="780"/>
        </w:trPr>
        <w:tc>
          <w:tcPr>
            <w:tcW w:w="9360" w:type="dxa"/>
            <w:gridSpan w:val="10"/>
            <w:vAlign w:val="center"/>
          </w:tcPr>
          <w:p>
            <w:pPr>
              <w:spacing w:line="360" w:lineRule="auto"/>
              <w:jc w:val="center"/>
              <w:rPr>
                <w:rFonts w:hAnsi="宋体" w:hint="eastAsia"/>
                <w:sz w:val="28"/>
                <w:szCs w:val="28"/>
              </w:rPr>
            </w:pPr>
            <w:r>
              <w:rPr>
                <w:rFonts w:hAnsi="宋体" w:hint="eastAsia"/>
                <w:sz w:val="28"/>
                <w:szCs w:val="28"/>
              </w:rPr>
              <w:t>公司规章制度</w:t>
            </w:r>
          </w:p>
        </w:tc>
      </w:tr>
      <w:tr>
        <w:tblPrEx>
          <w:tblInd w:w="108" w:type="dxa"/>
          <w:tblLayout w:type="fixed"/>
          <w:tblCellMar>
            <w:top w:w="0" w:type="dxa"/>
            <w:left w:w="57" w:type="dxa"/>
            <w:bottom w:w="0" w:type="dxa"/>
            <w:right w:w="57" w:type="dxa"/>
          </w:tblCellMar>
          <w:tblLook w:val="0000"/>
        </w:tblPrEx>
        <w:trPr>
          <w:cantSplit/>
          <w:trHeight w:val="780"/>
        </w:trPr>
        <w:tc>
          <w:tcPr>
            <w:tcW w:w="1439" w:type="dxa"/>
            <w:gridSpan w:val="2"/>
            <w:vAlign w:val="center"/>
          </w:tcPr>
          <w:p>
            <w:pPr>
              <w:spacing w:line="360" w:lineRule="auto"/>
              <w:jc w:val="center"/>
              <w:rPr>
                <w:rFonts w:hAnsi="宋体" w:hint="eastAsia"/>
                <w:sz w:val="28"/>
                <w:szCs w:val="28"/>
              </w:rPr>
            </w:pPr>
            <w:r>
              <w:rPr>
                <w:rFonts w:hAnsi="宋体" w:hint="eastAsia"/>
                <w:sz w:val="28"/>
                <w:szCs w:val="28"/>
              </w:rPr>
              <w:t>制度名称</w:t>
            </w:r>
          </w:p>
        </w:tc>
        <w:tc>
          <w:tcPr>
            <w:tcW w:w="7921" w:type="dxa"/>
            <w:gridSpan w:val="8"/>
            <w:vAlign w:val="center"/>
          </w:tcPr>
          <w:p>
            <w:pPr>
              <w:spacing w:line="360" w:lineRule="auto"/>
              <w:jc w:val="center"/>
              <w:rPr>
                <w:rFonts w:hAnsi="宋体" w:hint="eastAsia"/>
                <w:sz w:val="28"/>
                <w:szCs w:val="28"/>
              </w:rPr>
            </w:pPr>
            <w:r>
              <w:rPr>
                <w:rFonts w:hAnsi="宋体" w:hint="eastAsia"/>
                <w:sz w:val="28"/>
                <w:szCs w:val="28"/>
              </w:rPr>
              <w:t>建筑材料、构配件及设备管理制度</w:t>
            </w:r>
          </w:p>
        </w:tc>
      </w:tr>
      <w:tr>
        <w:tblPrEx>
          <w:tblInd w:w="108" w:type="dxa"/>
          <w:tblLayout w:type="fixed"/>
          <w:tblCellMar>
            <w:top w:w="0" w:type="dxa"/>
            <w:left w:w="57" w:type="dxa"/>
            <w:bottom w:w="0" w:type="dxa"/>
            <w:right w:w="57" w:type="dxa"/>
          </w:tblCellMar>
          <w:tblLook w:val="0000"/>
        </w:tblPrEx>
        <w:trPr>
          <w:cantSplit/>
          <w:trHeight w:val="780"/>
        </w:trPr>
        <w:tc>
          <w:tcPr>
            <w:tcW w:w="1439" w:type="dxa"/>
            <w:gridSpan w:val="2"/>
            <w:vAlign w:val="center"/>
          </w:tcPr>
          <w:p>
            <w:pPr>
              <w:spacing w:line="360" w:lineRule="auto"/>
              <w:jc w:val="center"/>
              <w:rPr>
                <w:rFonts w:hAnsi="宋体" w:hint="eastAsia"/>
                <w:sz w:val="28"/>
                <w:szCs w:val="28"/>
              </w:rPr>
            </w:pPr>
            <w:r>
              <w:rPr>
                <w:rFonts w:hAnsi="宋体" w:hint="eastAsia"/>
                <w:sz w:val="28"/>
                <w:szCs w:val="28"/>
              </w:rPr>
              <w:t>编号</w:t>
            </w:r>
          </w:p>
        </w:tc>
        <w:tc>
          <w:tcPr>
            <w:tcW w:w="3382" w:type="dxa"/>
            <w:gridSpan w:val="3"/>
            <w:vAlign w:val="center"/>
          </w:tcPr>
          <w:p>
            <w:pPr>
              <w:spacing w:line="360" w:lineRule="auto"/>
              <w:jc w:val="center"/>
              <w:rPr>
                <w:rFonts w:hAnsi="宋体" w:hint="eastAsia"/>
                <w:kern w:val="0"/>
                <w:sz w:val="28"/>
                <w:szCs w:val="28"/>
              </w:rPr>
            </w:pPr>
            <w:r>
              <w:rPr>
                <w:rFonts w:hAnsi="宋体"/>
                <w:sz w:val="28"/>
                <w:szCs w:val="28"/>
              </w:rPr>
              <w:t>SCEG</w:t>
            </w:r>
            <w:r>
              <w:rPr>
                <w:rFonts w:hAnsi="宋体" w:hint="eastAsia"/>
                <w:sz w:val="28"/>
                <w:szCs w:val="28"/>
              </w:rPr>
              <w:t>-ZD-GC-21</w:t>
            </w:r>
          </w:p>
        </w:tc>
        <w:tc>
          <w:tcPr>
            <w:tcW w:w="1212" w:type="dxa"/>
            <w:vAlign w:val="center"/>
          </w:tcPr>
          <w:p>
            <w:pPr>
              <w:spacing w:line="360" w:lineRule="auto"/>
              <w:jc w:val="center"/>
              <w:rPr>
                <w:rFonts w:hAnsi="宋体" w:hint="eastAsia"/>
                <w:sz w:val="28"/>
                <w:szCs w:val="28"/>
              </w:rPr>
            </w:pPr>
            <w:r>
              <w:rPr>
                <w:rFonts w:hAnsi="宋体" w:hint="eastAsia"/>
                <w:sz w:val="28"/>
                <w:szCs w:val="28"/>
              </w:rPr>
              <w:t>版本号</w:t>
            </w:r>
          </w:p>
        </w:tc>
        <w:tc>
          <w:tcPr>
            <w:tcW w:w="3327" w:type="dxa"/>
            <w:gridSpan w:val="4"/>
            <w:vAlign w:val="center"/>
          </w:tcPr>
          <w:p>
            <w:pPr>
              <w:spacing w:line="360" w:lineRule="auto"/>
              <w:jc w:val="center"/>
              <w:rPr>
                <w:rFonts w:hAnsi="宋体" w:hint="eastAsia"/>
                <w:sz w:val="28"/>
                <w:szCs w:val="28"/>
              </w:rPr>
            </w:pPr>
            <w:r>
              <w:rPr>
                <w:rFonts w:hAnsi="宋体" w:hint="eastAsia"/>
                <w:sz w:val="28"/>
                <w:szCs w:val="28"/>
              </w:rPr>
              <w:t>B/1</w:t>
            </w:r>
          </w:p>
        </w:tc>
      </w:tr>
      <w:tr>
        <w:tblPrEx>
          <w:tblInd w:w="108" w:type="dxa"/>
          <w:tblLayout w:type="fixed"/>
          <w:tblCellMar>
            <w:top w:w="0" w:type="dxa"/>
            <w:left w:w="57" w:type="dxa"/>
            <w:bottom w:w="0" w:type="dxa"/>
            <w:right w:w="57" w:type="dxa"/>
          </w:tblCellMar>
          <w:tblLook w:val="0000"/>
        </w:tblPrEx>
        <w:trPr>
          <w:cantSplit/>
          <w:trHeight w:val="3991"/>
        </w:trPr>
        <w:tc>
          <w:tcPr>
            <w:tcW w:w="9360" w:type="dxa"/>
            <w:gridSpan w:val="10"/>
          </w:tcPr>
          <w:p>
            <w:pPr>
              <w:spacing w:line="360" w:lineRule="auto"/>
              <w:jc w:val="center"/>
              <w:rPr>
                <w:rFonts w:hAnsi="宋体" w:hint="eastAsia"/>
                <w:sz w:val="28"/>
                <w:szCs w:val="28"/>
              </w:rPr>
            </w:pPr>
          </w:p>
          <w:p>
            <w:pPr>
              <w:spacing w:line="360" w:lineRule="auto"/>
              <w:jc w:val="center"/>
              <w:rPr>
                <w:rFonts w:hAnsi="宋体" w:hint="eastAsia"/>
                <w:sz w:val="28"/>
                <w:szCs w:val="28"/>
              </w:rPr>
            </w:pPr>
            <w:r>
              <w:rPr>
                <w:rFonts w:hAnsi="宋体" w:hint="eastAsia"/>
                <w:sz w:val="28"/>
                <w:szCs w:val="28"/>
              </w:rPr>
              <w:t>目    录</w:t>
            </w:r>
          </w:p>
          <w:p>
            <w:pPr>
              <w:numPr>
                <w:ilvl w:val="0"/>
                <w:numId w:val="1"/>
              </w:numPr>
              <w:spacing w:line="360" w:lineRule="auto"/>
              <w:rPr>
                <w:rFonts w:hAnsi="宋体" w:hint="eastAsia"/>
                <w:sz w:val="28"/>
                <w:szCs w:val="28"/>
              </w:rPr>
            </w:pPr>
            <w:r>
              <w:rPr>
                <w:rFonts w:hAnsi="宋体" w:hint="eastAsia"/>
                <w:sz w:val="28"/>
                <w:szCs w:val="28"/>
              </w:rPr>
              <w:t>目的和适用范围</w:t>
            </w:r>
          </w:p>
          <w:p>
            <w:pPr>
              <w:numPr>
                <w:ilvl w:val="0"/>
                <w:numId w:val="1"/>
              </w:numPr>
              <w:spacing w:line="360" w:lineRule="auto"/>
              <w:rPr>
                <w:rFonts w:hAnsi="宋体" w:hint="eastAsia"/>
                <w:sz w:val="28"/>
                <w:szCs w:val="28"/>
              </w:rPr>
            </w:pPr>
            <w:r>
              <w:rPr>
                <w:rFonts w:hAnsi="宋体" w:hint="eastAsia"/>
                <w:sz w:val="28"/>
                <w:szCs w:val="28"/>
              </w:rPr>
              <w:t>管理职责与权限</w:t>
            </w:r>
          </w:p>
          <w:p>
            <w:pPr>
              <w:numPr>
                <w:ilvl w:val="0"/>
                <w:numId w:val="1"/>
              </w:numPr>
              <w:spacing w:line="360" w:lineRule="auto"/>
              <w:rPr>
                <w:rFonts w:hAnsi="宋体" w:hint="eastAsia"/>
                <w:sz w:val="28"/>
                <w:szCs w:val="28"/>
              </w:rPr>
            </w:pPr>
            <w:r>
              <w:rPr>
                <w:rFonts w:hAnsi="宋体" w:hint="eastAsia"/>
                <w:sz w:val="28"/>
                <w:szCs w:val="28"/>
              </w:rPr>
              <w:t>管理要求</w:t>
            </w:r>
          </w:p>
          <w:p>
            <w:pPr>
              <w:numPr>
                <w:ilvl w:val="0"/>
                <w:numId w:val="1"/>
              </w:numPr>
              <w:spacing w:line="360" w:lineRule="auto"/>
              <w:rPr>
                <w:rFonts w:hAnsi="宋体" w:hint="eastAsia"/>
                <w:sz w:val="28"/>
                <w:szCs w:val="28"/>
              </w:rPr>
            </w:pPr>
            <w:r>
              <w:rPr>
                <w:rFonts w:hAnsi="宋体" w:hint="eastAsia"/>
                <w:sz w:val="28"/>
                <w:szCs w:val="28"/>
              </w:rPr>
              <w:t>本制度的支持性文件</w:t>
            </w:r>
          </w:p>
          <w:p>
            <w:pPr>
              <w:numPr>
                <w:ilvl w:val="0"/>
                <w:numId w:val="1"/>
              </w:numPr>
              <w:spacing w:line="360" w:lineRule="auto"/>
              <w:rPr>
                <w:rFonts w:hAnsi="宋体" w:hint="eastAsia"/>
                <w:sz w:val="28"/>
                <w:szCs w:val="28"/>
              </w:rPr>
            </w:pPr>
            <w:r>
              <w:rPr>
                <w:rFonts w:hAnsi="宋体" w:hint="eastAsia"/>
                <w:sz w:val="28"/>
                <w:szCs w:val="28"/>
              </w:rPr>
              <w:t>记录</w:t>
            </w:r>
          </w:p>
        </w:tc>
      </w:tr>
      <w:tr>
        <w:tblPrEx>
          <w:tblInd w:w="108" w:type="dxa"/>
          <w:tblLayout w:type="fixed"/>
          <w:tblCellMar>
            <w:top w:w="0" w:type="dxa"/>
            <w:left w:w="57" w:type="dxa"/>
            <w:bottom w:w="0" w:type="dxa"/>
            <w:right w:w="57" w:type="dxa"/>
          </w:tblCellMar>
          <w:tblLook w:val="0000"/>
        </w:tblPrEx>
        <w:trPr>
          <w:trHeight w:val="815"/>
        </w:trPr>
        <w:tc>
          <w:tcPr>
            <w:tcW w:w="1029" w:type="dxa"/>
            <w:vAlign w:val="center"/>
          </w:tcPr>
          <w:p>
            <w:pPr>
              <w:spacing w:line="360" w:lineRule="auto"/>
              <w:jc w:val="center"/>
              <w:rPr>
                <w:rFonts w:hAnsi="宋体" w:hint="eastAsia"/>
                <w:snapToGrid w:val="0"/>
                <w:sz w:val="28"/>
                <w:szCs w:val="28"/>
              </w:rPr>
            </w:pPr>
            <w:r>
              <w:rPr>
                <w:rFonts w:hAnsi="宋体" w:hint="eastAsia"/>
                <w:snapToGrid w:val="0"/>
                <w:sz w:val="28"/>
                <w:szCs w:val="28"/>
              </w:rPr>
              <w:t>修改</w:t>
            </w:r>
          </w:p>
          <w:p>
            <w:pPr>
              <w:spacing w:line="360" w:lineRule="auto"/>
              <w:jc w:val="center"/>
              <w:rPr>
                <w:rFonts w:hAnsi="宋体" w:hint="eastAsia"/>
                <w:snapToGrid w:val="0"/>
                <w:sz w:val="28"/>
                <w:szCs w:val="28"/>
              </w:rPr>
            </w:pPr>
            <w:r>
              <w:rPr>
                <w:rFonts w:hAnsi="宋体" w:hint="eastAsia"/>
                <w:snapToGrid w:val="0"/>
                <w:sz w:val="28"/>
                <w:szCs w:val="28"/>
              </w:rPr>
              <w:t>时间</w:t>
            </w:r>
          </w:p>
        </w:tc>
        <w:tc>
          <w:tcPr>
            <w:tcW w:w="770" w:type="dxa"/>
            <w:gridSpan w:val="2"/>
            <w:vAlign w:val="center"/>
          </w:tcPr>
          <w:p>
            <w:pPr>
              <w:spacing w:line="360" w:lineRule="auto"/>
              <w:jc w:val="center"/>
              <w:rPr>
                <w:rFonts w:hAnsi="宋体" w:hint="eastAsia"/>
                <w:snapToGrid w:val="0"/>
                <w:sz w:val="28"/>
                <w:szCs w:val="28"/>
              </w:rPr>
            </w:pPr>
            <w:r>
              <w:rPr>
                <w:rFonts w:hAnsi="宋体" w:hint="eastAsia"/>
                <w:snapToGrid w:val="0"/>
                <w:sz w:val="28"/>
                <w:szCs w:val="28"/>
              </w:rPr>
              <w:t>修改</w:t>
            </w:r>
          </w:p>
          <w:p>
            <w:pPr>
              <w:spacing w:line="360" w:lineRule="auto"/>
              <w:jc w:val="center"/>
              <w:rPr>
                <w:rFonts w:hAnsi="宋体" w:hint="eastAsia"/>
                <w:snapToGrid w:val="0"/>
                <w:sz w:val="28"/>
                <w:szCs w:val="28"/>
              </w:rPr>
            </w:pPr>
            <w:r>
              <w:rPr>
                <w:rFonts w:hAnsi="宋体" w:hint="eastAsia"/>
                <w:snapToGrid w:val="0"/>
                <w:sz w:val="28"/>
                <w:szCs w:val="28"/>
              </w:rPr>
              <w:t>页码</w:t>
            </w:r>
          </w:p>
        </w:tc>
        <w:tc>
          <w:tcPr>
            <w:tcW w:w="5401" w:type="dxa"/>
            <w:gridSpan w:val="5"/>
            <w:vAlign w:val="center"/>
          </w:tcPr>
          <w:p>
            <w:pPr>
              <w:spacing w:line="360" w:lineRule="auto"/>
              <w:jc w:val="center"/>
              <w:rPr>
                <w:rFonts w:hAnsi="宋体" w:hint="eastAsia"/>
                <w:snapToGrid w:val="0"/>
                <w:sz w:val="28"/>
                <w:szCs w:val="28"/>
              </w:rPr>
            </w:pPr>
            <w:r>
              <w:rPr>
                <w:rFonts w:hAnsi="宋体" w:hint="eastAsia"/>
                <w:snapToGrid w:val="0"/>
                <w:sz w:val="28"/>
                <w:szCs w:val="28"/>
              </w:rPr>
              <w:t>修改内容简述</w:t>
            </w:r>
          </w:p>
        </w:tc>
        <w:tc>
          <w:tcPr>
            <w:tcW w:w="1080" w:type="dxa"/>
            <w:vAlign w:val="center"/>
          </w:tcPr>
          <w:p>
            <w:pPr>
              <w:spacing w:line="360" w:lineRule="auto"/>
              <w:jc w:val="center"/>
              <w:rPr>
                <w:rFonts w:hAnsi="宋体" w:hint="eastAsia"/>
                <w:snapToGrid w:val="0"/>
                <w:sz w:val="28"/>
                <w:szCs w:val="28"/>
              </w:rPr>
            </w:pPr>
            <w:r>
              <w:rPr>
                <w:rFonts w:hAnsi="宋体" w:hint="eastAsia"/>
                <w:snapToGrid w:val="0"/>
                <w:spacing w:val="27"/>
                <w:kern w:val="0"/>
                <w:sz w:val="28"/>
                <w:szCs w:val="28"/>
              </w:rPr>
              <w:t>修改</w:t>
            </w:r>
            <w:r>
              <w:rPr>
                <w:rFonts w:hAnsi="宋体" w:hint="eastAsia"/>
                <w:snapToGrid w:val="0"/>
                <w:spacing w:val="-1"/>
                <w:kern w:val="0"/>
                <w:sz w:val="28"/>
                <w:szCs w:val="28"/>
              </w:rPr>
              <w:t>人</w:t>
            </w:r>
          </w:p>
        </w:tc>
        <w:tc>
          <w:tcPr>
            <w:tcW w:w="1080" w:type="dxa"/>
            <w:vAlign w:val="center"/>
          </w:tcPr>
          <w:p>
            <w:pPr>
              <w:spacing w:line="360" w:lineRule="auto"/>
              <w:jc w:val="center"/>
              <w:rPr>
                <w:rFonts w:hAnsi="宋体" w:hint="eastAsia"/>
                <w:snapToGrid w:val="0"/>
                <w:sz w:val="28"/>
                <w:szCs w:val="28"/>
              </w:rPr>
            </w:pPr>
            <w:r>
              <w:rPr>
                <w:rFonts w:hAnsi="宋体" w:hint="eastAsia"/>
                <w:snapToGrid w:val="0"/>
                <w:spacing w:val="27"/>
                <w:kern w:val="0"/>
                <w:sz w:val="28"/>
                <w:szCs w:val="28"/>
              </w:rPr>
              <w:t>审核</w:t>
            </w:r>
            <w:r>
              <w:rPr>
                <w:rFonts w:hAnsi="宋体" w:hint="eastAsia"/>
                <w:snapToGrid w:val="0"/>
                <w:spacing w:val="-1"/>
                <w:kern w:val="0"/>
                <w:sz w:val="28"/>
                <w:szCs w:val="28"/>
              </w:rPr>
              <w:t>人</w:t>
            </w:r>
          </w:p>
        </w:tc>
      </w:tr>
      <w:tr>
        <w:tblPrEx>
          <w:tblInd w:w="108" w:type="dxa"/>
          <w:tblLayout w:type="fixed"/>
          <w:tblCellMar>
            <w:top w:w="0" w:type="dxa"/>
            <w:left w:w="57" w:type="dxa"/>
            <w:bottom w:w="0" w:type="dxa"/>
            <w:right w:w="57" w:type="dxa"/>
          </w:tblCellMar>
          <w:tblLook w:val="0000"/>
        </w:tblPrEx>
        <w:trPr>
          <w:trHeight w:val="540"/>
        </w:trPr>
        <w:tc>
          <w:tcPr>
            <w:tcW w:w="1029" w:type="dxa"/>
            <w:vAlign w:val="center"/>
          </w:tcPr>
          <w:p>
            <w:pPr>
              <w:spacing w:line="360" w:lineRule="auto"/>
              <w:jc w:val="center"/>
              <w:rPr>
                <w:rFonts w:hAnsi="宋体" w:hint="eastAsia"/>
                <w:sz w:val="18"/>
                <w:szCs w:val="18"/>
              </w:rPr>
            </w:pPr>
          </w:p>
        </w:tc>
        <w:tc>
          <w:tcPr>
            <w:tcW w:w="770" w:type="dxa"/>
            <w:gridSpan w:val="2"/>
            <w:vAlign w:val="center"/>
          </w:tcPr>
          <w:p>
            <w:pPr>
              <w:spacing w:line="360" w:lineRule="auto"/>
              <w:jc w:val="center"/>
              <w:rPr>
                <w:rFonts w:hAnsi="宋体" w:hint="eastAsia"/>
                <w:sz w:val="18"/>
                <w:szCs w:val="18"/>
              </w:rPr>
            </w:pPr>
          </w:p>
        </w:tc>
        <w:tc>
          <w:tcPr>
            <w:tcW w:w="5401" w:type="dxa"/>
            <w:gridSpan w:val="5"/>
          </w:tcPr>
          <w:p>
            <w:pPr>
              <w:spacing w:line="360" w:lineRule="auto"/>
              <w:rPr>
                <w:rFonts w:hAnsi="宋体" w:hint="eastAsia"/>
                <w:sz w:val="18"/>
                <w:szCs w:val="18"/>
              </w:rPr>
            </w:pPr>
            <w:r>
              <w:rPr>
                <w:rFonts w:hAnsi="宋体" w:hint="eastAsia"/>
                <w:sz w:val="18"/>
                <w:szCs w:val="18"/>
              </w:rPr>
              <w:t>原</w:t>
            </w:r>
            <w:r>
              <w:rPr>
                <w:rFonts w:hAnsi="宋体" w:hint="eastAsia"/>
                <w:sz w:val="18"/>
                <w:szCs w:val="18"/>
              </w:rPr>
              <w:t>“</w:t>
            </w:r>
            <w:r>
              <w:rPr>
                <w:rFonts w:hAnsi="宋体" w:hint="eastAsia"/>
                <w:sz w:val="18"/>
                <w:szCs w:val="18"/>
              </w:rPr>
              <w:t>资产管理部〞主要管理职能除物资统计信息资料、材料设备招标及合同管理职能划入本钱管理部外，其他职能与工程管理部职能合并。</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刘志</w:t>
            </w:r>
            <w:r>
              <w:rPr>
                <w:rFonts w:hAnsi="宋体" w:hint="eastAsia"/>
                <w:spacing w:val="-1"/>
                <w:kern w:val="0"/>
                <w:sz w:val="18"/>
                <w:szCs w:val="18"/>
              </w:rPr>
              <w:t>忠</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罗邦</w:t>
            </w:r>
            <w:r>
              <w:rPr>
                <w:rFonts w:hAnsi="宋体" w:hint="eastAsia"/>
                <w:spacing w:val="-1"/>
                <w:kern w:val="0"/>
                <w:sz w:val="18"/>
                <w:szCs w:val="18"/>
              </w:rPr>
              <w:t>明</w:t>
            </w:r>
          </w:p>
        </w:tc>
      </w:tr>
      <w:tr>
        <w:tblPrEx>
          <w:tblInd w:w="108" w:type="dxa"/>
          <w:tblLayout w:type="fixed"/>
          <w:tblCellMar>
            <w:top w:w="0" w:type="dxa"/>
            <w:left w:w="57" w:type="dxa"/>
            <w:bottom w:w="0" w:type="dxa"/>
            <w:right w:w="57" w:type="dxa"/>
          </w:tblCellMar>
          <w:tblLook w:val="0000"/>
        </w:tblPrEx>
        <w:trPr>
          <w:trHeight w:val="620"/>
        </w:trPr>
        <w:tc>
          <w:tcPr>
            <w:tcW w:w="1029" w:type="dxa"/>
            <w:vAlign w:val="center"/>
          </w:tcPr>
          <w:p>
            <w:pPr>
              <w:spacing w:line="360" w:lineRule="auto"/>
              <w:jc w:val="center"/>
              <w:rPr>
                <w:rFonts w:hAnsi="宋体" w:hint="eastAsia"/>
                <w:sz w:val="18"/>
                <w:szCs w:val="18"/>
              </w:rPr>
            </w:pPr>
          </w:p>
        </w:tc>
        <w:tc>
          <w:tcPr>
            <w:tcW w:w="770" w:type="dxa"/>
            <w:gridSpan w:val="2"/>
            <w:vAlign w:val="center"/>
          </w:tcPr>
          <w:p>
            <w:pPr>
              <w:spacing w:line="360" w:lineRule="auto"/>
              <w:jc w:val="center"/>
              <w:rPr>
                <w:rFonts w:hAnsi="宋体" w:hint="eastAsia"/>
                <w:sz w:val="18"/>
                <w:szCs w:val="18"/>
              </w:rPr>
            </w:pPr>
            <w:r>
              <w:rPr>
                <w:rFonts w:hAnsi="宋体" w:hint="eastAsia"/>
                <w:sz w:val="18"/>
                <w:szCs w:val="18"/>
              </w:rPr>
              <w:t>1</w:t>
            </w:r>
          </w:p>
        </w:tc>
        <w:tc>
          <w:tcPr>
            <w:tcW w:w="5401" w:type="dxa"/>
            <w:gridSpan w:val="5"/>
          </w:tcPr>
          <w:p>
            <w:pPr>
              <w:spacing w:line="360" w:lineRule="auto"/>
              <w:rPr>
                <w:rFonts w:hAnsi="宋体" w:hint="eastAsia"/>
                <w:sz w:val="18"/>
                <w:szCs w:val="18"/>
              </w:rPr>
            </w:pPr>
            <w:r>
              <w:rPr>
                <w:rFonts w:hAnsi="宋体" w:hint="eastAsia"/>
                <w:sz w:val="18"/>
                <w:szCs w:val="18"/>
              </w:rPr>
              <w:t>集团公司主管生产的副总裁为本制度的主管领导。</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刘志</w:t>
            </w:r>
            <w:r>
              <w:rPr>
                <w:rFonts w:hAnsi="宋体" w:hint="eastAsia"/>
                <w:spacing w:val="-1"/>
                <w:kern w:val="0"/>
                <w:sz w:val="18"/>
                <w:szCs w:val="18"/>
              </w:rPr>
              <w:t>忠</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罗邦</w:t>
            </w:r>
            <w:r>
              <w:rPr>
                <w:rFonts w:hAnsi="宋体" w:hint="eastAsia"/>
                <w:spacing w:val="-1"/>
                <w:kern w:val="0"/>
                <w:sz w:val="18"/>
                <w:szCs w:val="18"/>
              </w:rPr>
              <w:t>明</w:t>
            </w:r>
          </w:p>
        </w:tc>
      </w:tr>
      <w:tr>
        <w:tblPrEx>
          <w:tblInd w:w="108" w:type="dxa"/>
          <w:tblLayout w:type="fixed"/>
          <w:tblCellMar>
            <w:top w:w="0" w:type="dxa"/>
            <w:left w:w="57" w:type="dxa"/>
            <w:bottom w:w="0" w:type="dxa"/>
            <w:right w:w="57" w:type="dxa"/>
          </w:tblCellMar>
          <w:tblLook w:val="0000"/>
        </w:tblPrEx>
        <w:trPr>
          <w:trHeight w:val="620"/>
        </w:trPr>
        <w:tc>
          <w:tcPr>
            <w:tcW w:w="1029" w:type="dxa"/>
            <w:vAlign w:val="center"/>
          </w:tcPr>
          <w:p>
            <w:pPr>
              <w:spacing w:line="360" w:lineRule="auto"/>
              <w:jc w:val="center"/>
              <w:rPr>
                <w:rFonts w:hAnsi="宋体" w:hint="eastAsia"/>
                <w:sz w:val="18"/>
                <w:szCs w:val="18"/>
              </w:rPr>
            </w:pPr>
          </w:p>
        </w:tc>
        <w:tc>
          <w:tcPr>
            <w:tcW w:w="770" w:type="dxa"/>
            <w:gridSpan w:val="2"/>
            <w:vAlign w:val="center"/>
          </w:tcPr>
          <w:p>
            <w:pPr>
              <w:spacing w:line="360" w:lineRule="auto"/>
              <w:jc w:val="center"/>
              <w:rPr>
                <w:rFonts w:hAnsi="宋体" w:hint="eastAsia"/>
                <w:sz w:val="18"/>
                <w:szCs w:val="18"/>
              </w:rPr>
            </w:pPr>
          </w:p>
        </w:tc>
        <w:tc>
          <w:tcPr>
            <w:tcW w:w="5401" w:type="dxa"/>
            <w:gridSpan w:val="5"/>
          </w:tcPr>
          <w:p>
            <w:pPr>
              <w:spacing w:line="360" w:lineRule="auto"/>
              <w:rPr>
                <w:rFonts w:hAnsi="宋体" w:hint="eastAsia"/>
                <w:sz w:val="18"/>
                <w:szCs w:val="18"/>
              </w:rPr>
            </w:pPr>
            <w:r>
              <w:rPr>
                <w:rFonts w:hAnsi="宋体" w:hint="eastAsia"/>
                <w:sz w:val="18"/>
                <w:szCs w:val="18"/>
              </w:rPr>
              <w:t>工程管理部是本制度的主管部门。</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刘志</w:t>
            </w:r>
            <w:r>
              <w:rPr>
                <w:rFonts w:hAnsi="宋体" w:hint="eastAsia"/>
                <w:spacing w:val="-1"/>
                <w:kern w:val="0"/>
                <w:sz w:val="18"/>
                <w:szCs w:val="18"/>
              </w:rPr>
              <w:t>忠</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罗邦</w:t>
            </w:r>
            <w:r>
              <w:rPr>
                <w:rFonts w:hAnsi="宋体" w:hint="eastAsia"/>
                <w:spacing w:val="-1"/>
                <w:kern w:val="0"/>
                <w:sz w:val="18"/>
                <w:szCs w:val="18"/>
              </w:rPr>
              <w:t>明</w:t>
            </w:r>
          </w:p>
        </w:tc>
      </w:tr>
      <w:tr>
        <w:tblPrEx>
          <w:tblInd w:w="108" w:type="dxa"/>
          <w:tblLayout w:type="fixed"/>
          <w:tblCellMar>
            <w:top w:w="0" w:type="dxa"/>
            <w:left w:w="57" w:type="dxa"/>
            <w:bottom w:w="0" w:type="dxa"/>
            <w:right w:w="57" w:type="dxa"/>
          </w:tblCellMar>
          <w:tblLook w:val="0000"/>
        </w:tblPrEx>
        <w:trPr>
          <w:trHeight w:val="620"/>
        </w:trPr>
        <w:tc>
          <w:tcPr>
            <w:tcW w:w="1029" w:type="dxa"/>
            <w:vAlign w:val="center"/>
          </w:tcPr>
          <w:p>
            <w:pPr>
              <w:spacing w:line="360" w:lineRule="auto"/>
              <w:jc w:val="center"/>
              <w:rPr>
                <w:rFonts w:hAnsi="宋体" w:hint="eastAsia"/>
                <w:sz w:val="18"/>
                <w:szCs w:val="18"/>
              </w:rPr>
            </w:pPr>
          </w:p>
        </w:tc>
        <w:tc>
          <w:tcPr>
            <w:tcW w:w="770" w:type="dxa"/>
            <w:gridSpan w:val="2"/>
            <w:vAlign w:val="center"/>
          </w:tcPr>
          <w:p>
            <w:pPr>
              <w:spacing w:line="360" w:lineRule="auto"/>
              <w:jc w:val="center"/>
              <w:rPr>
                <w:rFonts w:hAnsi="宋体" w:hint="eastAsia"/>
                <w:sz w:val="18"/>
                <w:szCs w:val="18"/>
              </w:rPr>
            </w:pPr>
            <w:r>
              <w:rPr>
                <w:rFonts w:hAnsi="宋体" w:hint="eastAsia"/>
                <w:sz w:val="18"/>
                <w:szCs w:val="18"/>
              </w:rPr>
              <w:t>9</w:t>
            </w:r>
          </w:p>
        </w:tc>
        <w:tc>
          <w:tcPr>
            <w:tcW w:w="5401" w:type="dxa"/>
            <w:gridSpan w:val="5"/>
          </w:tcPr>
          <w:p>
            <w:pPr>
              <w:spacing w:line="360" w:lineRule="auto"/>
              <w:rPr>
                <w:rFonts w:hAnsi="宋体" w:hint="eastAsia"/>
                <w:sz w:val="18"/>
                <w:szCs w:val="18"/>
              </w:rPr>
            </w:pPr>
            <w:r>
              <w:rPr>
                <w:rFonts w:hAnsi="宋体" w:hint="eastAsia"/>
                <w:sz w:val="18"/>
                <w:szCs w:val="18"/>
              </w:rPr>
              <w:t>买卖双方根据《物资采购验收单》结算货款，供货方的送货单不作为结算依据〔商品砼、商品砂浆的送货单除外〕。</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刘志</w:t>
            </w:r>
            <w:r>
              <w:rPr>
                <w:rFonts w:hAnsi="宋体" w:hint="eastAsia"/>
                <w:spacing w:val="-1"/>
                <w:kern w:val="0"/>
                <w:sz w:val="18"/>
                <w:szCs w:val="18"/>
              </w:rPr>
              <w:t>忠</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罗邦</w:t>
            </w:r>
            <w:r>
              <w:rPr>
                <w:rFonts w:hAnsi="宋体" w:hint="eastAsia"/>
                <w:spacing w:val="-1"/>
                <w:kern w:val="0"/>
                <w:sz w:val="18"/>
                <w:szCs w:val="18"/>
              </w:rPr>
              <w:t>明</w:t>
            </w:r>
          </w:p>
        </w:tc>
      </w:tr>
      <w:tr>
        <w:tblPrEx>
          <w:tblInd w:w="108" w:type="dxa"/>
          <w:tblLayout w:type="fixed"/>
          <w:tblCellMar>
            <w:top w:w="0" w:type="dxa"/>
            <w:left w:w="57" w:type="dxa"/>
            <w:bottom w:w="0" w:type="dxa"/>
            <w:right w:w="57" w:type="dxa"/>
          </w:tblCellMar>
          <w:tblLook w:val="0000"/>
        </w:tblPrEx>
        <w:trPr>
          <w:trHeight w:val="620"/>
        </w:trPr>
        <w:tc>
          <w:tcPr>
            <w:tcW w:w="1029" w:type="dxa"/>
            <w:vAlign w:val="center"/>
          </w:tcPr>
          <w:p>
            <w:pPr>
              <w:spacing w:line="360" w:lineRule="auto"/>
              <w:jc w:val="center"/>
              <w:rPr>
                <w:rFonts w:hAnsi="宋体" w:hint="eastAsia"/>
                <w:sz w:val="18"/>
                <w:szCs w:val="18"/>
              </w:rPr>
            </w:pPr>
          </w:p>
        </w:tc>
        <w:tc>
          <w:tcPr>
            <w:tcW w:w="770" w:type="dxa"/>
            <w:gridSpan w:val="2"/>
            <w:vAlign w:val="center"/>
          </w:tcPr>
          <w:p>
            <w:pPr>
              <w:spacing w:line="360" w:lineRule="auto"/>
              <w:jc w:val="center"/>
              <w:rPr>
                <w:rFonts w:hAnsi="宋体" w:hint="eastAsia"/>
                <w:sz w:val="18"/>
                <w:szCs w:val="18"/>
              </w:rPr>
            </w:pPr>
            <w:r>
              <w:rPr>
                <w:rFonts w:hAnsi="宋体" w:hint="eastAsia"/>
                <w:sz w:val="18"/>
                <w:szCs w:val="18"/>
              </w:rPr>
              <w:t>11</w:t>
            </w:r>
          </w:p>
        </w:tc>
        <w:tc>
          <w:tcPr>
            <w:tcW w:w="5401" w:type="dxa"/>
            <w:gridSpan w:val="5"/>
          </w:tcPr>
          <w:p>
            <w:pPr>
              <w:spacing w:line="360" w:lineRule="auto"/>
              <w:rPr>
                <w:rFonts w:hAnsi="宋体" w:hint="eastAsia"/>
                <w:sz w:val="18"/>
                <w:szCs w:val="18"/>
              </w:rPr>
            </w:pPr>
            <w:r>
              <w:rPr>
                <w:rFonts w:hAnsi="宋体" w:hint="eastAsia"/>
                <w:sz w:val="18"/>
                <w:szCs w:val="18"/>
              </w:rPr>
              <w:t>管理优奖励2000元(含)～5000元(含)，</w:t>
            </w:r>
            <w:r>
              <w:rPr>
                <w:rFonts w:hint="eastAsia"/>
                <w:sz w:val="18"/>
                <w:szCs w:val="18"/>
              </w:rPr>
              <w:t xml:space="preserve"> 管理差</w:t>
            </w:r>
            <w:r>
              <w:rPr>
                <w:rFonts w:hAnsi="宋体" w:hint="eastAsia"/>
                <w:sz w:val="18"/>
                <w:szCs w:val="18"/>
              </w:rPr>
              <w:t>罚款5000元(含)～10000元(含)。</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刘志</w:t>
            </w:r>
            <w:r>
              <w:rPr>
                <w:rFonts w:hAnsi="宋体" w:hint="eastAsia"/>
                <w:spacing w:val="-1"/>
                <w:kern w:val="0"/>
                <w:sz w:val="18"/>
                <w:szCs w:val="18"/>
              </w:rPr>
              <w:t>忠</w:t>
            </w:r>
          </w:p>
        </w:tc>
        <w:tc>
          <w:tcPr>
            <w:tcW w:w="1080" w:type="dxa"/>
            <w:vAlign w:val="center"/>
          </w:tcPr>
          <w:p>
            <w:pPr>
              <w:spacing w:line="360" w:lineRule="auto"/>
              <w:jc w:val="center"/>
              <w:rPr>
                <w:rFonts w:hAnsi="宋体" w:hint="eastAsia"/>
                <w:sz w:val="18"/>
                <w:szCs w:val="18"/>
              </w:rPr>
            </w:pPr>
            <w:r>
              <w:rPr>
                <w:rFonts w:hAnsi="宋体" w:hint="eastAsia"/>
                <w:spacing w:val="102"/>
                <w:kern w:val="0"/>
                <w:sz w:val="18"/>
                <w:szCs w:val="18"/>
              </w:rPr>
              <w:t>罗邦</w:t>
            </w:r>
            <w:r>
              <w:rPr>
                <w:rFonts w:hAnsi="宋体" w:hint="eastAsia"/>
                <w:spacing w:val="-1"/>
                <w:kern w:val="0"/>
                <w:sz w:val="18"/>
                <w:szCs w:val="18"/>
              </w:rPr>
              <w:t>明</w:t>
            </w:r>
          </w:p>
        </w:tc>
      </w:tr>
      <w:tr>
        <w:tblPrEx>
          <w:tblInd w:w="108" w:type="dxa"/>
          <w:tblLayout w:type="fixed"/>
          <w:tblCellMar>
            <w:top w:w="0" w:type="dxa"/>
            <w:left w:w="57" w:type="dxa"/>
            <w:bottom w:w="0" w:type="dxa"/>
            <w:right w:w="57" w:type="dxa"/>
          </w:tblCellMar>
          <w:tblLook w:val="0000"/>
        </w:tblPrEx>
        <w:trPr>
          <w:trHeight w:val="600"/>
        </w:trPr>
        <w:tc>
          <w:tcPr>
            <w:tcW w:w="9360" w:type="dxa"/>
            <w:gridSpan w:val="10"/>
            <w:vAlign w:val="center"/>
          </w:tcPr>
          <w:p>
            <w:pPr>
              <w:spacing w:line="360" w:lineRule="auto"/>
              <w:rPr>
                <w:rFonts w:hAnsi="宋体" w:hint="eastAsia"/>
                <w:sz w:val="28"/>
                <w:szCs w:val="28"/>
                <w:highlight w:val="yellow"/>
              </w:rPr>
            </w:pPr>
            <w:r>
              <w:rPr>
                <w:rFonts w:hAnsi="宋体" w:hint="eastAsia"/>
                <w:sz w:val="28"/>
                <w:szCs w:val="28"/>
              </w:rPr>
              <w:t>会签：</w:t>
            </w:r>
          </w:p>
        </w:tc>
      </w:tr>
      <w:tr>
        <w:tblPrEx>
          <w:tblInd w:w="108" w:type="dxa"/>
          <w:tblLayout w:type="fixed"/>
          <w:tblCellMar>
            <w:top w:w="0" w:type="dxa"/>
            <w:left w:w="57" w:type="dxa"/>
            <w:bottom w:w="0" w:type="dxa"/>
            <w:right w:w="57" w:type="dxa"/>
          </w:tblCellMar>
          <w:tblLook w:val="0000"/>
        </w:tblPrEx>
        <w:trPr>
          <w:trHeight w:val="704"/>
        </w:trPr>
        <w:tc>
          <w:tcPr>
            <w:tcW w:w="2649" w:type="dxa"/>
            <w:gridSpan w:val="4"/>
            <w:tcBorders>
              <w:bottom w:val="single" w:sz="4" w:space="0" w:color="auto"/>
            </w:tcBorders>
            <w:vAlign w:val="center"/>
          </w:tcPr>
          <w:p>
            <w:pPr>
              <w:spacing w:line="360" w:lineRule="auto"/>
              <w:rPr>
                <w:rFonts w:hAnsi="宋体" w:hint="eastAsia"/>
                <w:sz w:val="28"/>
                <w:szCs w:val="28"/>
              </w:rPr>
            </w:pPr>
            <w:r>
              <w:rPr>
                <w:rFonts w:hAnsi="宋体" w:hint="eastAsia"/>
                <w:sz w:val="28"/>
                <w:szCs w:val="28"/>
              </w:rPr>
              <w:t>编制人：</w:t>
            </w:r>
          </w:p>
          <w:p>
            <w:pPr>
              <w:spacing w:line="360" w:lineRule="auto"/>
              <w:rPr>
                <w:rFonts w:hAnsi="宋体" w:hint="eastAsia"/>
                <w:sz w:val="28"/>
                <w:szCs w:val="28"/>
              </w:rPr>
            </w:pPr>
            <w:r>
              <w:rPr>
                <w:rFonts w:hAnsi="宋体" w:hint="eastAsia"/>
                <w:sz w:val="28"/>
                <w:szCs w:val="28"/>
              </w:rPr>
              <w:t>日期：2023-11-18</w:t>
            </w:r>
          </w:p>
        </w:tc>
        <w:tc>
          <w:tcPr>
            <w:tcW w:w="4140" w:type="dxa"/>
            <w:gridSpan w:val="3"/>
            <w:tcBorders>
              <w:bottom w:val="single" w:sz="4" w:space="0" w:color="auto"/>
            </w:tcBorders>
            <w:vAlign w:val="center"/>
          </w:tcPr>
          <w:p>
            <w:pPr>
              <w:spacing w:line="360" w:lineRule="auto"/>
              <w:rPr>
                <w:rFonts w:hAnsi="宋体" w:hint="eastAsia"/>
                <w:sz w:val="28"/>
                <w:szCs w:val="28"/>
              </w:rPr>
            </w:pPr>
            <w:r>
              <w:rPr>
                <w:rFonts w:hAnsi="宋体" w:hint="eastAsia"/>
                <w:sz w:val="28"/>
                <w:szCs w:val="28"/>
              </w:rPr>
              <w:t>审核人：</w:t>
            </w:r>
          </w:p>
          <w:p>
            <w:pPr>
              <w:spacing w:line="360" w:lineRule="auto"/>
              <w:rPr>
                <w:rFonts w:hAnsi="宋体" w:hint="eastAsia"/>
                <w:sz w:val="28"/>
                <w:szCs w:val="28"/>
              </w:rPr>
            </w:pPr>
            <w:r>
              <w:rPr>
                <w:rFonts w:hAnsi="宋体" w:hint="eastAsia"/>
                <w:sz w:val="28"/>
                <w:szCs w:val="28"/>
              </w:rPr>
              <w:t xml:space="preserve">日期：2023-  -  </w:t>
            </w:r>
          </w:p>
        </w:tc>
        <w:tc>
          <w:tcPr>
            <w:tcW w:w="2571" w:type="dxa"/>
            <w:gridSpan w:val="3"/>
            <w:tcBorders>
              <w:bottom w:val="single" w:sz="4" w:space="0" w:color="auto"/>
            </w:tcBorders>
            <w:vAlign w:val="center"/>
          </w:tcPr>
          <w:p>
            <w:pPr>
              <w:spacing w:line="360" w:lineRule="auto"/>
              <w:rPr>
                <w:rFonts w:hAnsi="宋体" w:hint="eastAsia"/>
                <w:sz w:val="28"/>
                <w:szCs w:val="28"/>
              </w:rPr>
            </w:pPr>
            <w:r>
              <w:rPr>
                <w:rFonts w:hAnsi="宋体" w:hint="eastAsia"/>
                <w:sz w:val="28"/>
                <w:szCs w:val="28"/>
              </w:rPr>
              <w:t>批准人：</w:t>
            </w:r>
          </w:p>
          <w:p>
            <w:pPr>
              <w:spacing w:line="360" w:lineRule="auto"/>
              <w:rPr>
                <w:rFonts w:hAnsi="宋体" w:hint="eastAsia"/>
                <w:sz w:val="28"/>
                <w:szCs w:val="28"/>
              </w:rPr>
            </w:pPr>
            <w:r>
              <w:rPr>
                <w:rFonts w:hAnsi="宋体" w:hint="eastAsia"/>
                <w:sz w:val="28"/>
                <w:szCs w:val="28"/>
              </w:rPr>
              <w:t xml:space="preserve">日期：2023-  -  </w:t>
            </w:r>
          </w:p>
        </w:tc>
      </w:tr>
    </w:tbl>
    <w:p>
      <w:pPr>
        <w:sectPr>
          <w:pgSz w:w="11906" w:h="16838"/>
          <w:pgMar w:top="1162" w:right="1270" w:bottom="1162" w:left="1230" w:header="851" w:footer="992" w:gutter="0"/>
          <w:pgNumType w:fmt="numberInDash" w:start="0"/>
          <w:cols w:space="708"/>
          <w:docGrid w:linePitch="312"/>
        </w:sectPr>
      </w:pPr>
    </w:p>
    <w:p>
      <w:pPr>
        <w:snapToGrid w:val="0"/>
        <w:spacing w:line="500" w:lineRule="exact"/>
        <w:jc w:val="center"/>
        <w:rPr>
          <w:rFonts w:hAnsi="宋体" w:hint="eastAsia"/>
          <w:bCs/>
          <w:sz w:val="32"/>
          <w:szCs w:val="32"/>
        </w:rPr>
      </w:pPr>
      <w:r>
        <w:rPr>
          <w:rFonts w:hAnsi="宋体" w:hint="eastAsia"/>
          <w:bCs/>
          <w:sz w:val="32"/>
          <w:szCs w:val="32"/>
        </w:rPr>
        <w:t>建筑材料、构配件及设备管理制度</w:t>
      </w:r>
    </w:p>
    <w:p>
      <w:pPr>
        <w:adjustRightInd w:val="0"/>
        <w:snapToGrid w:val="0"/>
        <w:spacing w:line="276" w:lineRule="auto"/>
        <w:ind w:firstLine="538" w:firstLineChars="192"/>
        <w:rPr>
          <w:rFonts w:hAnsi="宋体" w:hint="eastAsia"/>
          <w:b/>
          <w:snapToGrid w:val="0"/>
          <w:kern w:val="0"/>
          <w:sz w:val="28"/>
          <w:szCs w:val="28"/>
        </w:rPr>
      </w:pPr>
      <w:r>
        <w:rPr>
          <w:rFonts w:hAnsi="宋体" w:hint="eastAsia"/>
          <w:b/>
          <w:bCs/>
          <w:snapToGrid w:val="0"/>
          <w:kern w:val="0"/>
          <w:sz w:val="28"/>
          <w:szCs w:val="28"/>
        </w:rPr>
        <w:t>1目的和</w:t>
      </w:r>
      <w:r>
        <w:rPr>
          <w:rFonts w:hAnsi="宋体" w:hint="eastAsia"/>
          <w:b/>
          <w:snapToGrid w:val="0"/>
          <w:kern w:val="0"/>
          <w:sz w:val="28"/>
          <w:szCs w:val="28"/>
        </w:rPr>
        <w:t>适用范围</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hint="eastAsia"/>
          <w:snapToGrid w:val="0"/>
          <w:sz w:val="28"/>
        </w:rPr>
      </w:pPr>
      <w:r>
        <w:rPr>
          <w:rFonts w:hint="eastAsia"/>
          <w:bCs/>
          <w:snapToGrid w:val="0"/>
          <w:sz w:val="28"/>
          <w:szCs w:val="28"/>
        </w:rPr>
        <w:t>为进一步标准集团公司</w:t>
      </w:r>
      <w:r>
        <w:rPr>
          <w:rFonts w:hint="eastAsia"/>
          <w:bCs/>
          <w:sz w:val="28"/>
          <w:szCs w:val="28"/>
        </w:rPr>
        <w:t>建筑材料、构配件及设备</w:t>
      </w:r>
      <w:r>
        <w:rPr>
          <w:rFonts w:hint="eastAsia"/>
          <w:bCs/>
          <w:snapToGrid w:val="0"/>
          <w:sz w:val="28"/>
          <w:szCs w:val="28"/>
        </w:rPr>
        <w:t>〔以下简称物资〕管理工作</w:t>
      </w:r>
      <w:r>
        <w:rPr>
          <w:rFonts w:hint="eastAsia"/>
          <w:snapToGrid w:val="0"/>
          <w:sz w:val="28"/>
        </w:rPr>
        <w:t>，</w:t>
      </w:r>
      <w:r>
        <w:rPr>
          <w:rFonts w:hint="eastAsia"/>
          <w:bCs/>
          <w:snapToGrid w:val="0"/>
          <w:sz w:val="28"/>
          <w:szCs w:val="28"/>
        </w:rPr>
        <w:t>明确相关部门管理职责，</w:t>
      </w:r>
      <w:r>
        <w:rPr>
          <w:rFonts w:hint="eastAsia"/>
          <w:snapToGrid w:val="0"/>
          <w:sz w:val="28"/>
        </w:rPr>
        <w:t>保证施工生产顺利进行，有效降低工程本钱，提高经济效益，特制定本规定。</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hint="eastAsia"/>
          <w:snapToGrid w:val="0"/>
          <w:sz w:val="28"/>
          <w:szCs w:val="28"/>
        </w:rPr>
      </w:pPr>
      <w:r>
        <w:rPr>
          <w:rFonts w:hint="eastAsia"/>
          <w:snapToGrid w:val="0"/>
          <w:sz w:val="28"/>
          <w:szCs w:val="28"/>
        </w:rPr>
        <w:t>本制度适用于下属单位的建筑材料、构配件及设备的管理工作。</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hint="eastAsia"/>
          <w:snapToGrid w:val="0"/>
          <w:sz w:val="28"/>
          <w:szCs w:val="28"/>
        </w:rPr>
      </w:pPr>
      <w:r>
        <w:rPr>
          <w:rFonts w:hint="eastAsia"/>
          <w:snapToGrid w:val="0"/>
          <w:sz w:val="28"/>
          <w:szCs w:val="28"/>
        </w:rPr>
        <w:t>建筑材料主要包括：钢材、水泥、商品砼、建筑砌块等；</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hint="eastAsia"/>
          <w:snapToGrid w:val="0"/>
          <w:sz w:val="28"/>
          <w:szCs w:val="28"/>
        </w:rPr>
      </w:pPr>
      <w:r>
        <w:rPr>
          <w:rFonts w:hint="eastAsia"/>
          <w:snapToGrid w:val="0"/>
          <w:sz w:val="28"/>
          <w:szCs w:val="28"/>
        </w:rPr>
        <w:t>构配件主要包括：钢木构件及混凝土构件等；</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hint="eastAsia"/>
          <w:snapToGrid w:val="0"/>
          <w:sz w:val="28"/>
          <w:szCs w:val="28"/>
        </w:rPr>
      </w:pPr>
      <w:r>
        <w:rPr>
          <w:rFonts w:cs="Arial"/>
          <w:snapToGrid w:val="0"/>
          <w:sz w:val="28"/>
          <w:szCs w:val="28"/>
        </w:rPr>
        <w:t>建筑设备主要包括：建筑给排水</w:t>
      </w:r>
      <w:r>
        <w:rPr>
          <w:rFonts w:cs="Arial" w:hint="eastAsia"/>
          <w:snapToGrid w:val="0"/>
          <w:sz w:val="28"/>
          <w:szCs w:val="28"/>
        </w:rPr>
        <w:t>、</w:t>
      </w:r>
      <w:r>
        <w:rPr>
          <w:rFonts w:cs="Arial"/>
          <w:snapToGrid w:val="0"/>
          <w:sz w:val="28"/>
          <w:szCs w:val="28"/>
        </w:rPr>
        <w:t xml:space="preserve"> 建筑通风</w:t>
      </w:r>
      <w:r>
        <w:rPr>
          <w:rFonts w:cs="Arial" w:hint="eastAsia"/>
          <w:snapToGrid w:val="0"/>
          <w:sz w:val="28"/>
          <w:szCs w:val="28"/>
        </w:rPr>
        <w:t>、</w:t>
      </w:r>
      <w:r>
        <w:rPr>
          <w:rFonts w:cs="Arial"/>
          <w:snapToGrid w:val="0"/>
          <w:sz w:val="28"/>
          <w:szCs w:val="28"/>
        </w:rPr>
        <w:t>建筑照明</w:t>
      </w:r>
      <w:r>
        <w:rPr>
          <w:rFonts w:cs="Arial" w:hint="eastAsia"/>
          <w:snapToGrid w:val="0"/>
          <w:sz w:val="28"/>
          <w:szCs w:val="28"/>
        </w:rPr>
        <w:t>、</w:t>
      </w:r>
      <w:r>
        <w:rPr>
          <w:rFonts w:cs="Arial"/>
          <w:snapToGrid w:val="0"/>
          <w:sz w:val="28"/>
          <w:szCs w:val="28"/>
        </w:rPr>
        <w:t>采暖空调</w:t>
      </w:r>
      <w:r>
        <w:rPr>
          <w:rFonts w:cs="Arial" w:hint="eastAsia"/>
          <w:snapToGrid w:val="0"/>
          <w:sz w:val="28"/>
          <w:szCs w:val="28"/>
        </w:rPr>
        <w:t>、</w:t>
      </w:r>
      <w:r>
        <w:rPr>
          <w:rFonts w:cs="Arial"/>
          <w:snapToGrid w:val="0"/>
          <w:sz w:val="28"/>
          <w:szCs w:val="28"/>
        </w:rPr>
        <w:t>建筑电气</w:t>
      </w:r>
      <w:r>
        <w:rPr>
          <w:rFonts w:cs="Arial" w:hint="eastAsia"/>
          <w:snapToGrid w:val="0"/>
          <w:sz w:val="28"/>
          <w:szCs w:val="28"/>
        </w:rPr>
        <w:t>等系统设备、</w:t>
      </w:r>
      <w:r>
        <w:rPr>
          <w:rFonts w:cs="Arial"/>
          <w:snapToGrid w:val="0"/>
          <w:sz w:val="28"/>
          <w:szCs w:val="28"/>
        </w:rPr>
        <w:t>电梯</w:t>
      </w:r>
      <w:r>
        <w:rPr>
          <w:rFonts w:cs="Arial" w:hint="eastAsia"/>
          <w:snapToGrid w:val="0"/>
          <w:sz w:val="28"/>
          <w:szCs w:val="28"/>
        </w:rPr>
        <w:t>等安装在建筑工程上的各类设备。</w:t>
      </w:r>
    </w:p>
    <w:p>
      <w:pPr>
        <w:adjustRightInd w:val="0"/>
        <w:snapToGrid w:val="0"/>
        <w:spacing w:line="276" w:lineRule="auto"/>
        <w:ind w:firstLine="538" w:firstLineChars="192"/>
        <w:rPr>
          <w:rFonts w:hAnsi="宋体" w:hint="eastAsia"/>
          <w:b/>
          <w:bCs/>
          <w:snapToGrid w:val="0"/>
          <w:kern w:val="0"/>
          <w:sz w:val="28"/>
          <w:szCs w:val="28"/>
        </w:rPr>
      </w:pPr>
      <w:r>
        <w:rPr>
          <w:rFonts w:hAnsi="宋体" w:hint="eastAsia"/>
          <w:b/>
          <w:bCs/>
          <w:snapToGrid w:val="0"/>
          <w:kern w:val="0"/>
          <w:sz w:val="28"/>
          <w:szCs w:val="28"/>
        </w:rPr>
        <w:t>2 管理职责与权限</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38" w:firstLineChars="192"/>
        <w:rPr>
          <w:rFonts w:cs="Arial" w:hint="eastAsia"/>
          <w:snapToGrid w:val="0"/>
          <w:sz w:val="28"/>
          <w:szCs w:val="28"/>
        </w:rPr>
      </w:pPr>
      <w:r>
        <w:rPr>
          <w:rFonts w:cs="Arial" w:hint="eastAsia"/>
          <w:snapToGrid w:val="0"/>
          <w:sz w:val="28"/>
          <w:szCs w:val="28"/>
        </w:rPr>
        <w:t>2.1 集团公司主管生产的副总裁为本制度的主管领导，</w:t>
      </w:r>
      <w:r>
        <w:rPr>
          <w:rFonts w:hint="eastAsia"/>
          <w:snapToGrid w:val="0"/>
          <w:sz w:val="28"/>
          <w:szCs w:val="28"/>
        </w:rPr>
        <w:t>负责本制度的有效实施、保持和改良工作</w:t>
      </w:r>
      <w:r>
        <w:rPr>
          <w:rFonts w:cs="Arial" w:hint="eastAsia"/>
          <w:snapToGrid w:val="0"/>
          <w:sz w:val="28"/>
          <w:szCs w:val="28"/>
        </w:rPr>
        <w:t>。</w:t>
        <w:cr/>
        <w:t xml:space="preserve">    2.2 </w:t>
      </w:r>
      <w:r>
        <w:rPr>
          <w:rFonts w:hint="eastAsia"/>
          <w:snapToGrid w:val="0"/>
          <w:sz w:val="28"/>
        </w:rPr>
        <w:t>工程管理部</w:t>
      </w:r>
      <w:r>
        <w:rPr>
          <w:rFonts w:cs="Arial" w:hint="eastAsia"/>
          <w:snapToGrid w:val="0"/>
          <w:sz w:val="28"/>
          <w:szCs w:val="28"/>
        </w:rPr>
        <w:t>是本制度制定、实施、保持和改良的主管部门，负责贯彻执行国家及上级主管部门对建筑企业下发的相关法律、法规、标准、标准及文件，同时制订集团公司物资管理规章制度，并组织实施；负责审核审批、指导检查、监督考核</w:t>
      </w:r>
      <w:r>
        <w:rPr>
          <w:rFonts w:hint="eastAsia"/>
          <w:snapToGrid w:val="0"/>
          <w:sz w:val="28"/>
          <w:szCs w:val="28"/>
        </w:rPr>
        <w:t>下属单位</w:t>
      </w:r>
      <w:r>
        <w:rPr>
          <w:rFonts w:cs="Arial" w:hint="eastAsia"/>
          <w:snapToGrid w:val="0"/>
          <w:sz w:val="28"/>
          <w:szCs w:val="28"/>
        </w:rPr>
        <w:t>物资采购方案、合格供方、现场管理等项工作；负责物资质量的监管工作；负责施工现场物资管理的监督检查指导工作；负责施工现场材料、半成品质量的抽检工作；负责监督、检查建筑材料的送检工作；负责物资信息平台的搭建及管理工作；负责物资系统管理人员培训方案的制订及实施工作。</w:t>
      </w:r>
    </w:p>
    <w:p>
      <w:pPr>
        <w:pStyle w:val="HTMLPreformatted"/>
        <w:tabs>
          <w:tab w:val="left" w:pos="916"/>
          <w:tab w:val="left" w:pos="1832"/>
          <w:tab w:val="left" w:pos="2748"/>
          <w:tab w:val="left" w:pos="3664"/>
          <w:tab w:val="left" w:pos="4580"/>
          <w:tab w:val="left" w:pos="5496"/>
          <w:tab w:val="left" w:pos="6412"/>
          <w:tab w:val="left" w:pos="7328"/>
          <w:tab w:val="left" w:pos="8244"/>
          <w:tab w:val="left" w:pos="8640"/>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cs="Arial" w:hint="eastAsia"/>
          <w:snapToGrid w:val="0"/>
          <w:sz w:val="28"/>
          <w:szCs w:val="28"/>
        </w:rPr>
      </w:pPr>
      <w:r>
        <w:rPr>
          <w:rFonts w:cs="Arial" w:hint="eastAsia"/>
          <w:snapToGrid w:val="0"/>
          <w:sz w:val="28"/>
          <w:szCs w:val="28"/>
        </w:rPr>
        <w:t>2.3 本钱管理部是本制度制定、实施、保持和改良的协管部门，负责集团公司要求范围内的物资招标采购管理工作；负责物资采购合同的审核、汇签及归档工作；负责物资统计资料的收集、整理、及上报工作；负责提供工程预算及相关资料信息。</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cs="Arial" w:hint="eastAsia"/>
          <w:snapToGrid w:val="0"/>
          <w:sz w:val="28"/>
          <w:szCs w:val="28"/>
        </w:rPr>
      </w:pPr>
      <w:r>
        <w:rPr>
          <w:rFonts w:cs="Arial" w:hint="eastAsia"/>
          <w:snapToGrid w:val="0"/>
          <w:sz w:val="28"/>
          <w:szCs w:val="28"/>
        </w:rPr>
        <w:t>2.4 方案财务部负责向</w:t>
      </w:r>
      <w:r>
        <w:rPr>
          <w:rFonts w:hint="eastAsia"/>
          <w:snapToGrid w:val="0"/>
          <w:sz w:val="28"/>
          <w:szCs w:val="28"/>
        </w:rPr>
        <w:t>下属单位</w:t>
      </w:r>
      <w:r>
        <w:rPr>
          <w:rFonts w:cs="Arial" w:hint="eastAsia"/>
          <w:snapToGrid w:val="0"/>
          <w:sz w:val="28"/>
          <w:szCs w:val="28"/>
        </w:rPr>
        <w:t>拨付生产资金；监督检查</w:t>
      </w:r>
      <w:r>
        <w:rPr>
          <w:rFonts w:hint="eastAsia"/>
          <w:snapToGrid w:val="0"/>
          <w:sz w:val="28"/>
          <w:szCs w:val="28"/>
        </w:rPr>
        <w:t>下属单位</w:t>
      </w:r>
      <w:r>
        <w:rPr>
          <w:rFonts w:cs="Arial" w:hint="eastAsia"/>
          <w:snapToGrid w:val="0"/>
          <w:sz w:val="28"/>
          <w:szCs w:val="28"/>
        </w:rPr>
        <w:t>生产资金的使用情况，负责各单位物资清查核资工作。</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cs="Arial" w:hint="eastAsia"/>
          <w:snapToGrid w:val="0"/>
          <w:sz w:val="28"/>
          <w:szCs w:val="28"/>
        </w:rPr>
        <w:sectPr>
          <w:pgSz w:w="11906" w:h="16838"/>
          <w:pgMar w:top="1134" w:right="1247" w:bottom="1134" w:left="1247" w:header="851" w:footer="992" w:gutter="0"/>
          <w:pgNumType w:start="0"/>
          <w:cols w:space="708"/>
          <w:docGrid w:linePitch="312"/>
        </w:sectPr>
      </w:pPr>
      <w:r>
        <w:rPr>
          <w:rFonts w:cs="Arial" w:hint="eastAsia"/>
          <w:snapToGrid w:val="0"/>
          <w:sz w:val="28"/>
          <w:szCs w:val="28"/>
        </w:rPr>
        <w:t xml:space="preserve">2.5 </w:t>
      </w:r>
      <w:r>
        <w:rPr>
          <w:rFonts w:hint="eastAsia"/>
          <w:snapToGrid w:val="0"/>
          <w:sz w:val="28"/>
          <w:szCs w:val="28"/>
        </w:rPr>
        <w:t>下属单位</w:t>
      </w:r>
      <w:r>
        <w:rPr>
          <w:rFonts w:cs="Arial" w:hint="eastAsia"/>
          <w:snapToGrid w:val="0"/>
          <w:sz w:val="28"/>
          <w:szCs w:val="28"/>
        </w:rPr>
        <w:t>是本制度的具体实施单位，负责贯彻落实集团公司物资管理各项规章制度，制定</w:t>
      </w:r>
      <w:r>
        <w:rPr>
          <w:rFonts w:hint="eastAsia"/>
          <w:snapToGrid w:val="0"/>
          <w:sz w:val="28"/>
          <w:szCs w:val="28"/>
        </w:rPr>
        <w:t>下属单位</w:t>
      </w:r>
      <w:r>
        <w:rPr>
          <w:rFonts w:cs="Arial" w:hint="eastAsia"/>
          <w:snapToGrid w:val="0"/>
          <w:sz w:val="28"/>
          <w:szCs w:val="28"/>
        </w:rPr>
        <w:t>的物资管理规章制度并组织实施；</w:t>
      </w:r>
      <w:r>
        <w:rPr>
          <w:rFonts w:hint="eastAsia"/>
          <w:snapToGrid w:val="0"/>
          <w:sz w:val="28"/>
        </w:rPr>
        <w:t>编制材料采购或使用方案；</w:t>
      </w:r>
      <w:r>
        <w:rPr>
          <w:rFonts w:cs="Arial" w:hint="eastAsia"/>
          <w:snapToGrid w:val="0"/>
          <w:sz w:val="28"/>
          <w:szCs w:val="28"/>
        </w:rPr>
        <w:t>负责本工程部物资招标采购工作的具体落实，参与招评标全过程；</w:t>
      </w:r>
      <w:r>
        <w:rPr>
          <w:rFonts w:hint="eastAsia"/>
          <w:snapToGrid w:val="0"/>
          <w:sz w:val="28"/>
        </w:rPr>
        <w:t>签订供货〔采购、购销〕合同，并组织采购进场；</w:t>
      </w:r>
      <w:r>
        <w:rPr>
          <w:rFonts w:cs="Arial" w:hint="eastAsia"/>
          <w:snapToGrid w:val="0"/>
          <w:sz w:val="28"/>
          <w:szCs w:val="28"/>
        </w:rPr>
        <w:t>负责组织材料进场的质量验收、质量证明文件的核查及保存、材料报验；负责监督工程物资供方合同履约情况，</w:t>
      </w:r>
      <w:r>
        <w:rPr>
          <w:rFonts w:hint="eastAsia"/>
          <w:snapToGrid w:val="0"/>
          <w:sz w:val="28"/>
        </w:rPr>
        <w:t>协助工程管理部</w:t>
      </w:r>
      <w:r>
        <w:rPr>
          <w:rFonts w:hint="eastAsia"/>
          <w:bCs/>
          <w:snapToGrid w:val="0"/>
          <w:sz w:val="28"/>
          <w:szCs w:val="28"/>
        </w:rPr>
        <w:t>进行</w:t>
      </w:r>
      <w:r>
        <w:rPr>
          <w:rFonts w:hint="eastAsia"/>
          <w:snapToGrid w:val="0"/>
          <w:sz w:val="28"/>
        </w:rPr>
        <w:t>合格供给方评价</w:t>
      </w:r>
      <w:r>
        <w:rPr>
          <w:rFonts w:hint="eastAsia"/>
          <w:bCs/>
          <w:snapToGrid w:val="0"/>
          <w:sz w:val="28"/>
          <w:szCs w:val="28"/>
        </w:rPr>
        <w:t>工作</w:t>
      </w:r>
      <w:r>
        <w:rPr>
          <w:rFonts w:hint="eastAsia"/>
          <w:snapToGrid w:val="0"/>
          <w:sz w:val="28"/>
        </w:rPr>
        <w:t>、搜集相关证明资料、保存评价记录</w:t>
      </w:r>
    </w:p>
    <w:p>
      <w:pPr>
        <w:pStyle w:val="HTMLPreformatte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76" w:lineRule="auto"/>
        <w:ind w:firstLine="560" w:firstLineChars="200"/>
        <w:rPr>
          <w:rFonts w:cs="Arial" w:hint="eastAsia"/>
          <w:snapToGrid w:val="0"/>
          <w:sz w:val="28"/>
          <w:szCs w:val="28"/>
        </w:rPr>
      </w:pPr>
      <w:r>
        <w:rPr>
          <w:rFonts w:cs="Arial" w:hint="eastAsia"/>
          <w:snapToGrid w:val="0"/>
          <w:sz w:val="28"/>
          <w:szCs w:val="28"/>
        </w:rPr>
        <w:t>；负责施工现场物资的仓储保管、消耗使用、固体废弃物处置、分包方采购的及发包方提供的工程物资的管理等工作的具体实施；负责</w:t>
      </w:r>
      <w:r>
        <w:rPr>
          <w:rFonts w:hint="eastAsia"/>
          <w:snapToGrid w:val="0"/>
          <w:sz w:val="28"/>
          <w:szCs w:val="28"/>
        </w:rPr>
        <w:t>本工程</w:t>
      </w:r>
      <w:r>
        <w:rPr>
          <w:rFonts w:cs="Arial" w:hint="eastAsia"/>
          <w:snapToGrid w:val="0"/>
          <w:sz w:val="28"/>
          <w:szCs w:val="28"/>
        </w:rPr>
        <w:t>材料统计和清查核资等项工作；负责</w:t>
      </w:r>
      <w:r>
        <w:rPr>
          <w:rFonts w:hint="eastAsia"/>
          <w:snapToGrid w:val="0"/>
          <w:sz w:val="28"/>
        </w:rPr>
        <w:t>工程完工时，组织</w:t>
      </w:r>
      <w:r>
        <w:rPr>
          <w:rFonts w:cs="Arial" w:hint="eastAsia"/>
          <w:snapToGrid w:val="0"/>
          <w:sz w:val="28"/>
          <w:szCs w:val="28"/>
        </w:rPr>
        <w:t>物资的</w:t>
      </w:r>
      <w:r>
        <w:rPr>
          <w:rFonts w:hint="eastAsia"/>
          <w:snapToGrid w:val="0"/>
          <w:sz w:val="28"/>
        </w:rPr>
        <w:t>退场工作</w:t>
      </w:r>
      <w:r>
        <w:rPr>
          <w:rFonts w:cs="Arial" w:hint="eastAsia"/>
          <w:snapToGrid w:val="0"/>
          <w:sz w:val="28"/>
          <w:szCs w:val="28"/>
        </w:rPr>
        <w:t>。</w:t>
      </w:r>
    </w:p>
    <w:p>
      <w:pPr>
        <w:adjustRightInd w:val="0"/>
        <w:snapToGrid w:val="0"/>
        <w:spacing w:line="276" w:lineRule="auto"/>
        <w:ind w:firstLine="560" w:firstLineChars="200"/>
        <w:rPr>
          <w:rFonts w:hAnsi="宋体" w:hint="eastAsia"/>
          <w:b/>
          <w:bCs/>
          <w:snapToGrid w:val="0"/>
          <w:kern w:val="0"/>
          <w:sz w:val="28"/>
          <w:szCs w:val="28"/>
        </w:rPr>
      </w:pPr>
      <w:r>
        <w:rPr>
          <w:rFonts w:hAnsi="宋体" w:hint="eastAsia"/>
          <w:b/>
          <w:bCs/>
          <w:snapToGrid w:val="0"/>
          <w:kern w:val="0"/>
          <w:sz w:val="28"/>
          <w:szCs w:val="28"/>
        </w:rPr>
        <w:t>3 管理要求</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建筑材料、构配件及设备管理流程〔见附图〕</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3.1 材料方案编制</w:t>
      </w:r>
    </w:p>
    <w:p>
      <w:pPr>
        <w:adjustRightInd w:val="0"/>
        <w:snapToGrid w:val="0"/>
        <w:spacing w:line="276" w:lineRule="auto"/>
        <w:ind w:firstLine="560" w:firstLineChars="200"/>
        <w:rPr>
          <w:rFonts w:hAnsi="宋体" w:hint="eastAsia"/>
          <w:snapToGrid w:val="0"/>
          <w:kern w:val="0"/>
          <w:sz w:val="28"/>
        </w:rPr>
      </w:pPr>
      <w:r>
        <w:rPr>
          <w:rFonts w:hAnsi="宋体" w:hint="eastAsia"/>
          <w:bCs/>
          <w:snapToGrid w:val="0"/>
          <w:kern w:val="0"/>
          <w:sz w:val="28"/>
          <w:szCs w:val="28"/>
        </w:rPr>
        <w:t xml:space="preserve">3.1.1 </w:t>
      </w:r>
      <w:r>
        <w:rPr>
          <w:rFonts w:hAnsi="宋体" w:hint="eastAsia"/>
          <w:snapToGrid w:val="0"/>
          <w:kern w:val="0"/>
          <w:sz w:val="28"/>
          <w:szCs w:val="28"/>
        </w:rPr>
        <w:t>建筑公司〔工程部〕</w:t>
      </w:r>
      <w:r>
        <w:rPr>
          <w:rFonts w:hAnsi="宋体" w:hint="eastAsia"/>
          <w:snapToGrid w:val="0"/>
          <w:kern w:val="0"/>
          <w:sz w:val="28"/>
        </w:rPr>
        <w:t>应根据设计文件、技术标准、施工组织设计〔方案〕、施工合同、投标预算等相关资料，由工程经理组织相关人员及时按工程实际提出工程材料总需用方案，</w:t>
      </w:r>
      <w:r>
        <w:rPr>
          <w:rFonts w:hAnsi="宋体" w:hint="eastAsia"/>
          <w:snapToGrid w:val="0"/>
          <w:kern w:val="0"/>
          <w:sz w:val="28"/>
          <w:szCs w:val="28"/>
        </w:rPr>
        <w:t>填</w:t>
      </w:r>
      <w:r>
        <w:rPr>
          <w:rFonts w:hAnsi="宋体" w:hint="eastAsia"/>
          <w:snapToGrid w:val="0"/>
          <w:kern w:val="0"/>
          <w:sz w:val="28"/>
        </w:rPr>
        <w:t>写《物资采购总需用方案》〔见附表一〕，作为核算施工本钱及资金方案依据。</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snapToGrid w:val="0"/>
          <w:kern w:val="0"/>
          <w:sz w:val="28"/>
        </w:rPr>
        <w:t>大宗材料的总需用方案，相关责任人汇总签字后报材料设备部长，并经本单位〔工程〕经理审核后，按以下要求时间期限向</w:t>
      </w:r>
      <w:r>
        <w:rPr>
          <w:rFonts w:hAnsi="宋体" w:cs="Arial" w:hint="eastAsia"/>
          <w:snapToGrid w:val="0"/>
          <w:sz w:val="28"/>
          <w:szCs w:val="28"/>
        </w:rPr>
        <w:t>集团公司</w:t>
      </w:r>
      <w:r>
        <w:rPr>
          <w:rFonts w:hAnsi="宋体" w:hint="eastAsia"/>
          <w:snapToGrid w:val="0"/>
          <w:kern w:val="0"/>
          <w:sz w:val="28"/>
        </w:rPr>
        <w:t>招标中心报送物资招</w:t>
      </w:r>
      <w:r>
        <w:rPr>
          <w:rFonts w:hAnsi="宋体" w:hint="eastAsia"/>
          <w:bCs/>
          <w:snapToGrid w:val="0"/>
          <w:kern w:val="0"/>
          <w:sz w:val="28"/>
          <w:szCs w:val="28"/>
        </w:rPr>
        <w:t>标总方案：</w:t>
      </w:r>
    </w:p>
    <w:p>
      <w:pPr>
        <w:adjustRightInd w:val="0"/>
        <w:snapToGrid w:val="0"/>
        <w:spacing w:line="276" w:lineRule="auto"/>
        <w:ind w:left="420" w:firstLine="140" w:leftChars="200" w:firstLineChars="50"/>
        <w:rPr>
          <w:rFonts w:hAnsi="宋体" w:hint="eastAsia"/>
          <w:bCs/>
          <w:snapToGrid w:val="0"/>
          <w:kern w:val="0"/>
          <w:sz w:val="28"/>
          <w:szCs w:val="28"/>
        </w:rPr>
      </w:pPr>
      <w:r>
        <w:rPr>
          <w:rFonts w:hAnsi="宋体" w:hint="eastAsia"/>
          <w:bCs/>
          <w:snapToGrid w:val="0"/>
          <w:kern w:val="0"/>
          <w:sz w:val="28"/>
          <w:szCs w:val="28"/>
        </w:rPr>
        <w:t>1、3000万元以下工程在开工日后30天内；</w:t>
      </w:r>
    </w:p>
    <w:p>
      <w:pPr>
        <w:adjustRightInd w:val="0"/>
        <w:snapToGrid w:val="0"/>
        <w:spacing w:line="276" w:lineRule="auto"/>
        <w:ind w:left="420" w:firstLine="140" w:leftChars="200" w:firstLineChars="50"/>
        <w:rPr>
          <w:rFonts w:hAnsi="宋体" w:hint="eastAsia"/>
          <w:bCs/>
          <w:snapToGrid w:val="0"/>
          <w:kern w:val="0"/>
          <w:sz w:val="28"/>
          <w:szCs w:val="28"/>
        </w:rPr>
      </w:pPr>
      <w:r>
        <w:rPr>
          <w:rFonts w:hAnsi="宋体" w:hint="eastAsia"/>
          <w:bCs/>
          <w:snapToGrid w:val="0"/>
          <w:kern w:val="0"/>
          <w:sz w:val="28"/>
          <w:szCs w:val="28"/>
        </w:rPr>
        <w:t>2、3000万元~7000万元的工程在开工日后35天内；</w:t>
      </w:r>
    </w:p>
    <w:p>
      <w:pPr>
        <w:adjustRightInd w:val="0"/>
        <w:snapToGrid w:val="0"/>
        <w:spacing w:line="276" w:lineRule="auto"/>
        <w:ind w:left="420" w:firstLine="140" w:leftChars="200" w:firstLineChars="50"/>
        <w:rPr>
          <w:rFonts w:hAnsi="宋体" w:hint="eastAsia"/>
          <w:bCs/>
          <w:snapToGrid w:val="0"/>
          <w:kern w:val="0"/>
          <w:sz w:val="28"/>
          <w:szCs w:val="28"/>
        </w:rPr>
      </w:pPr>
      <w:r>
        <w:rPr>
          <w:rFonts w:hAnsi="宋体" w:hint="eastAsia"/>
          <w:bCs/>
          <w:snapToGrid w:val="0"/>
          <w:kern w:val="0"/>
          <w:sz w:val="28"/>
          <w:szCs w:val="28"/>
        </w:rPr>
        <w:t>3、7000万元以上工程在开工日后40天内。</w:t>
      </w:r>
    </w:p>
    <w:p>
      <w:pPr>
        <w:adjustRightInd w:val="0"/>
        <w:snapToGrid w:val="0"/>
        <w:spacing w:line="276" w:lineRule="auto"/>
        <w:ind w:firstLine="560" w:firstLineChars="200"/>
        <w:rPr>
          <w:rFonts w:hAnsi="宋体" w:hint="eastAsia"/>
          <w:snapToGrid w:val="0"/>
          <w:kern w:val="0"/>
          <w:sz w:val="28"/>
        </w:rPr>
      </w:pPr>
      <w:r>
        <w:rPr>
          <w:rFonts w:hAnsi="宋体" w:hint="eastAsia"/>
          <w:bCs/>
          <w:snapToGrid w:val="0"/>
          <w:kern w:val="0"/>
          <w:sz w:val="28"/>
          <w:szCs w:val="28"/>
        </w:rPr>
        <w:t xml:space="preserve">3.1.2 </w:t>
      </w:r>
      <w:r>
        <w:rPr>
          <w:rFonts w:hAnsi="宋体" w:hint="eastAsia"/>
          <w:snapToGrid w:val="0"/>
          <w:kern w:val="0"/>
          <w:sz w:val="28"/>
        </w:rPr>
        <w:t>施工过程中《物资采购方案》〔见附表二〕，由工程专业工程师根据施工进度方案、设计文件、施工组织设计〔方案〕及相关的资料及时提出，报送其单位或工程技术负责人及预算部门，根据工程进度组织审核后，交给单位或工程材料设备部长。由材料设备部长根据市场实际、单位是否有库存进行审核后，报送单位〔工程〕经理，根据资金状况及工程施工进度进行审核批准后组织采购。相关责任人审核后必须在采购方案上签字，并对其负责。</w:t>
      </w:r>
    </w:p>
    <w:p>
      <w:pPr>
        <w:adjustRightInd w:val="0"/>
        <w:snapToGrid w:val="0"/>
        <w:spacing w:line="276" w:lineRule="auto"/>
        <w:ind w:firstLine="560" w:firstLineChars="200"/>
        <w:rPr>
          <w:rFonts w:hAnsi="宋体"/>
          <w:snapToGrid w:val="0"/>
          <w:kern w:val="0"/>
          <w:sz w:val="28"/>
        </w:rPr>
      </w:pPr>
      <w:r>
        <w:rPr>
          <w:rFonts w:hAnsi="宋体" w:hint="eastAsia"/>
          <w:bCs/>
          <w:snapToGrid w:val="0"/>
          <w:kern w:val="0"/>
          <w:sz w:val="28"/>
          <w:szCs w:val="28"/>
        </w:rPr>
        <w:t xml:space="preserve">3.1.3 </w:t>
      </w:r>
      <w:r>
        <w:rPr>
          <w:rFonts w:hAnsi="宋体" w:hint="eastAsia"/>
          <w:snapToGrid w:val="0"/>
          <w:kern w:val="0"/>
          <w:sz w:val="28"/>
        </w:rPr>
        <w:t>工程变更、图纸修改引起</w:t>
      </w:r>
      <w:r>
        <w:rPr>
          <w:rFonts w:hAnsi="宋体" w:hint="eastAsia"/>
          <w:snapToGrid w:val="0"/>
          <w:kern w:val="0"/>
          <w:sz w:val="28"/>
          <w:szCs w:val="28"/>
        </w:rPr>
        <w:t>物资</w:t>
      </w:r>
      <w:r>
        <w:rPr>
          <w:rFonts w:hAnsi="宋体" w:hint="eastAsia"/>
          <w:snapToGrid w:val="0"/>
          <w:kern w:val="0"/>
          <w:sz w:val="28"/>
        </w:rPr>
        <w:t>采购方案的变化，由工程专业工程师根据新的设计文件对正在采购过程中的</w:t>
      </w:r>
      <w:r>
        <w:rPr>
          <w:rFonts w:hAnsi="宋体" w:hint="eastAsia"/>
          <w:snapToGrid w:val="0"/>
          <w:kern w:val="0"/>
          <w:sz w:val="28"/>
          <w:szCs w:val="28"/>
        </w:rPr>
        <w:t>物资</w:t>
      </w:r>
      <w:r>
        <w:rPr>
          <w:rFonts w:hAnsi="宋体" w:hint="eastAsia"/>
          <w:snapToGrid w:val="0"/>
          <w:kern w:val="0"/>
          <w:sz w:val="28"/>
        </w:rPr>
        <w:t>采购方案作出修正，并及时通知相关人员，防止</w:t>
      </w:r>
      <w:r>
        <w:rPr>
          <w:rFonts w:hAnsi="宋体" w:hint="eastAsia"/>
          <w:snapToGrid w:val="0"/>
          <w:kern w:val="0"/>
          <w:sz w:val="28"/>
          <w:szCs w:val="28"/>
        </w:rPr>
        <w:t>物资</w:t>
      </w:r>
      <w:r>
        <w:rPr>
          <w:rFonts w:hAnsi="宋体" w:hint="eastAsia"/>
          <w:snapToGrid w:val="0"/>
          <w:kern w:val="0"/>
          <w:sz w:val="28"/>
        </w:rPr>
        <w:t>浪费。</w:t>
      </w:r>
      <w:r>
        <w:rPr>
          <w:rFonts w:hAnsi="宋体" w:hint="eastAsia"/>
          <w:snapToGrid w:val="0"/>
          <w:kern w:val="0"/>
          <w:sz w:val="28"/>
          <w:szCs w:val="28"/>
        </w:rPr>
        <w:t>物资</w:t>
      </w:r>
      <w:r>
        <w:rPr>
          <w:rFonts w:hAnsi="宋体" w:hint="eastAsia"/>
          <w:snapToGrid w:val="0"/>
          <w:kern w:val="0"/>
          <w:sz w:val="28"/>
        </w:rPr>
        <w:t>采购方案的审核流程按3.1.1和3.1.2实施。</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3.1.4 </w:t>
      </w:r>
      <w:r>
        <w:rPr>
          <w:rFonts w:hAnsi="宋体" w:hint="eastAsia"/>
          <w:snapToGrid w:val="0"/>
          <w:kern w:val="0"/>
          <w:sz w:val="28"/>
        </w:rPr>
        <w:t>一次采购在10000元以上的应有书面的采购方案，特殊情况急用的</w:t>
      </w:r>
      <w:r>
        <w:rPr>
          <w:rFonts w:hAnsi="宋体" w:hint="eastAsia"/>
          <w:snapToGrid w:val="0"/>
          <w:kern w:val="0"/>
          <w:sz w:val="28"/>
          <w:szCs w:val="28"/>
        </w:rPr>
        <w:t>物资</w:t>
      </w:r>
      <w:r>
        <w:rPr>
          <w:rFonts w:hAnsi="宋体" w:hint="eastAsia"/>
          <w:snapToGrid w:val="0"/>
          <w:kern w:val="0"/>
          <w:sz w:val="28"/>
        </w:rPr>
        <w:t>，可按口头或   通知先采购或租赁，但应在三日内补书面采购方案。</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3.1.5 </w:t>
      </w:r>
      <w:r>
        <w:rPr>
          <w:rFonts w:hAnsi="宋体" w:hint="eastAsia"/>
          <w:snapToGrid w:val="0"/>
          <w:kern w:val="0"/>
          <w:sz w:val="28"/>
          <w:szCs w:val="28"/>
        </w:rPr>
        <w:t>建筑公司〔工程部〕</w:t>
      </w:r>
      <w:r>
        <w:rPr>
          <w:rFonts w:hAnsi="宋体" w:hint="eastAsia"/>
          <w:bCs/>
          <w:snapToGrid w:val="0"/>
          <w:kern w:val="0"/>
          <w:sz w:val="28"/>
          <w:szCs w:val="28"/>
        </w:rPr>
        <w:t>技术部门负责编制各项材料的委托加工方案，经单位(工程)经理审批后，由单位材料设备部负责方案的具体实施。</w:t>
      </w:r>
    </w:p>
    <w:p>
      <w:pPr>
        <w:adjustRightInd w:val="0"/>
        <w:snapToGrid w:val="0"/>
        <w:spacing w:line="276" w:lineRule="auto"/>
        <w:ind w:firstLine="560" w:firstLineChars="200"/>
        <w:rPr>
          <w:rFonts w:hAnsi="宋体" w:hint="eastAsia"/>
          <w:snapToGrid w:val="0"/>
          <w:kern w:val="0"/>
          <w:sz w:val="28"/>
        </w:rPr>
      </w:pPr>
      <w:r>
        <w:rPr>
          <w:rFonts w:hAnsi="宋体" w:hint="eastAsia"/>
          <w:bCs/>
          <w:snapToGrid w:val="0"/>
          <w:kern w:val="0"/>
          <w:sz w:val="28"/>
          <w:szCs w:val="28"/>
        </w:rPr>
        <w:t xml:space="preserve">3.1.6 </w:t>
      </w:r>
      <w:r>
        <w:rPr>
          <w:rFonts w:hAnsi="宋体" w:hint="eastAsia"/>
          <w:snapToGrid w:val="0"/>
          <w:kern w:val="0"/>
          <w:sz w:val="28"/>
          <w:szCs w:val="28"/>
        </w:rPr>
        <w:t>物资</w:t>
      </w:r>
      <w:r>
        <w:rPr>
          <w:rFonts w:hAnsi="宋体" w:hint="eastAsia"/>
          <w:snapToGrid w:val="0"/>
          <w:kern w:val="0"/>
          <w:sz w:val="28"/>
        </w:rPr>
        <w:t>采购方案应具有名称、品种、规格型号、单位、数量、进场时间、技术质量要求、验收标准及采购验证的具体安排等主要内容，</w:t>
      </w:r>
      <w:r>
        <w:rPr>
          <w:rFonts w:hAnsi="宋体" w:hint="eastAsia"/>
          <w:snapToGrid w:val="0"/>
          <w:kern w:val="0"/>
          <w:sz w:val="28"/>
          <w:szCs w:val="28"/>
        </w:rPr>
        <w:t>物资</w:t>
      </w:r>
      <w:r>
        <w:rPr>
          <w:rFonts w:hAnsi="宋体" w:hint="eastAsia"/>
          <w:snapToGrid w:val="0"/>
          <w:kern w:val="0"/>
          <w:sz w:val="28"/>
        </w:rPr>
        <w:t>采购方案的编制必须做到全面、准确、及时；采购方案的提出应根据供货时间适当提前，保证既能满足使用需求及送检要求，又能减少资金压力；采购方案未经批准不得用于采购。</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3.2 物资采购控制</w:t>
      </w:r>
    </w:p>
    <w:p>
      <w:pPr>
        <w:adjustRightInd w:val="0"/>
        <w:snapToGrid w:val="0"/>
        <w:spacing w:line="276" w:lineRule="auto"/>
        <w:ind w:firstLine="560" w:firstLineChars="200"/>
        <w:rPr>
          <w:rFonts w:hAnsi="宋体" w:hint="eastAsia"/>
          <w:bCs/>
          <w:snapToGrid w:val="0"/>
          <w:kern w:val="0"/>
          <w:sz w:val="28"/>
          <w:szCs w:val="28"/>
        </w:rPr>
        <w:sectPr>
          <w:type w:val="nextPage"/>
          <w:pgSz w:w="11906" w:h="16838"/>
          <w:pgMar w:top="1134" w:right="1247" w:bottom="1134" w:left="1247" w:header="851" w:footer="992" w:gutter="0"/>
          <w:pgNumType w:start="1"/>
          <w:cols w:space="708"/>
          <w:titlePg w:val="0"/>
          <w:docGrid w:linePitch="312"/>
        </w:sectPr>
      </w:pPr>
      <w:r>
        <w:rPr>
          <w:rFonts w:hAnsi="宋体" w:hint="eastAsia"/>
          <w:bCs/>
          <w:snapToGrid w:val="0"/>
          <w:kern w:val="0"/>
          <w:sz w:val="28"/>
          <w:szCs w:val="28"/>
        </w:rPr>
        <w:t>3.2.1 物资采购工作实行领导负责制，坚持</w:t>
      </w:r>
      <w:r>
        <w:rPr>
          <w:rFonts w:hAnsi="宋体" w:hint="eastAsia"/>
          <w:bCs/>
          <w:snapToGrid w:val="0"/>
          <w:kern w:val="0"/>
          <w:sz w:val="28"/>
          <w:szCs w:val="28"/>
        </w:rPr>
        <w:t>“</w:t>
      </w:r>
      <w:r>
        <w:rPr>
          <w:rFonts w:hAnsi="宋体" w:hint="eastAsia"/>
          <w:bCs/>
          <w:snapToGrid w:val="0"/>
          <w:kern w:val="0"/>
          <w:sz w:val="28"/>
          <w:szCs w:val="28"/>
        </w:rPr>
        <w:t>谁采购谁负责</w:t>
      </w:r>
      <w:r>
        <w:rPr>
          <w:rFonts w:hAnsi="宋体"/>
          <w:bCs/>
          <w:snapToGrid w:val="0"/>
          <w:kern w:val="0"/>
          <w:sz w:val="28"/>
          <w:szCs w:val="28"/>
        </w:rPr>
        <w:t>〞</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的原那么，杜绝不合格的建筑材料、构配件及设备进入施工现场。凡因</w:t>
      </w:r>
      <w:r>
        <w:rPr>
          <w:rFonts w:hAnsi="宋体" w:hint="eastAsia"/>
          <w:snapToGrid w:val="0"/>
          <w:kern w:val="0"/>
          <w:sz w:val="28"/>
          <w:szCs w:val="28"/>
        </w:rPr>
        <w:t>物资</w:t>
      </w:r>
      <w:r>
        <w:rPr>
          <w:rFonts w:hAnsi="宋体" w:hint="eastAsia"/>
          <w:bCs/>
          <w:snapToGrid w:val="0"/>
          <w:kern w:val="0"/>
          <w:sz w:val="28"/>
          <w:szCs w:val="28"/>
        </w:rPr>
        <w:t>不合格造成工程质量事故的要追究主管领导和采购人员的责任。</w:t>
      </w:r>
    </w:p>
    <w:p>
      <w:pPr>
        <w:adjustRightInd w:val="0"/>
        <w:snapToGrid w:val="0"/>
        <w:spacing w:line="276" w:lineRule="auto"/>
        <w:ind w:firstLine="560" w:firstLineChars="200"/>
        <w:rPr>
          <w:rFonts w:hAnsi="宋体" w:hint="eastAsia"/>
          <w:snapToGrid w:val="0"/>
          <w:kern w:val="0"/>
          <w:sz w:val="28"/>
        </w:rPr>
      </w:pPr>
      <w:r>
        <w:rPr>
          <w:rFonts w:hAnsi="宋体" w:hint="eastAsia"/>
          <w:bCs/>
          <w:snapToGrid w:val="0"/>
          <w:kern w:val="0"/>
          <w:sz w:val="28"/>
          <w:szCs w:val="28"/>
        </w:rPr>
        <w:t>3.2.2 物资采购招投标是实行</w:t>
      </w:r>
      <w:r>
        <w:rPr>
          <w:rFonts w:hAnsi="宋体" w:hint="eastAsia"/>
          <w:bCs/>
          <w:snapToGrid w:val="0"/>
          <w:kern w:val="0"/>
          <w:sz w:val="28"/>
          <w:szCs w:val="28"/>
        </w:rPr>
        <w:t>“</w:t>
      </w:r>
      <w:r>
        <w:rPr>
          <w:rFonts w:hAnsi="宋体" w:hint="eastAsia"/>
          <w:bCs/>
          <w:snapToGrid w:val="0"/>
          <w:kern w:val="0"/>
          <w:sz w:val="28"/>
          <w:szCs w:val="28"/>
        </w:rPr>
        <w:t>阳光采购〞的重要措施，</w:t>
      </w:r>
      <w:r>
        <w:rPr>
          <w:rFonts w:hAnsi="宋体" w:hint="eastAsia"/>
          <w:snapToGrid w:val="0"/>
          <w:kern w:val="0"/>
          <w:sz w:val="28"/>
          <w:szCs w:val="28"/>
        </w:rPr>
        <w:t>下属单位</w:t>
      </w:r>
      <w:r>
        <w:rPr>
          <w:rFonts w:hAnsi="宋体" w:hint="eastAsia"/>
          <w:bCs/>
          <w:snapToGrid w:val="0"/>
          <w:kern w:val="0"/>
          <w:sz w:val="28"/>
          <w:szCs w:val="28"/>
        </w:rPr>
        <w:t>要组织好物资采购招投标工作，落实机构、人员、工作程序，并按《招标管理规定》的通知文件实施。</w:t>
      </w:r>
      <w:r>
        <w:rPr>
          <w:rFonts w:hAnsi="宋体" w:hint="eastAsia"/>
          <w:snapToGrid w:val="0"/>
          <w:kern w:val="0"/>
          <w:sz w:val="28"/>
        </w:rPr>
        <w:t>按规定不需由</w:t>
      </w:r>
      <w:r>
        <w:rPr>
          <w:rFonts w:hAnsi="宋体" w:cs="Arial" w:hint="eastAsia"/>
          <w:snapToGrid w:val="0"/>
          <w:sz w:val="28"/>
          <w:szCs w:val="28"/>
        </w:rPr>
        <w:t>集团公司</w:t>
      </w:r>
      <w:r>
        <w:rPr>
          <w:rFonts w:hAnsi="宋体" w:hint="eastAsia"/>
          <w:snapToGrid w:val="0"/>
          <w:kern w:val="0"/>
          <w:sz w:val="28"/>
        </w:rPr>
        <w:t>招标采购的</w:t>
      </w:r>
      <w:r>
        <w:rPr>
          <w:rFonts w:hAnsi="宋体" w:hint="eastAsia"/>
          <w:snapToGrid w:val="0"/>
          <w:kern w:val="0"/>
          <w:sz w:val="28"/>
          <w:szCs w:val="28"/>
        </w:rPr>
        <w:t>物资</w:t>
      </w:r>
      <w:r>
        <w:rPr>
          <w:rFonts w:hAnsi="宋体" w:hint="eastAsia"/>
          <w:snapToGrid w:val="0"/>
          <w:kern w:val="0"/>
          <w:sz w:val="28"/>
        </w:rPr>
        <w:t>，</w:t>
      </w:r>
      <w:r>
        <w:rPr>
          <w:rFonts w:hAnsi="宋体"/>
          <w:snapToGrid w:val="0"/>
          <w:kern w:val="0"/>
          <w:sz w:val="28"/>
        </w:rPr>
        <w:t>由</w:t>
      </w:r>
      <w:r>
        <w:rPr>
          <w:rFonts w:hAnsi="宋体" w:hint="eastAsia"/>
          <w:snapToGrid w:val="0"/>
          <w:kern w:val="0"/>
          <w:sz w:val="28"/>
        </w:rPr>
        <w:t>单位</w:t>
      </w:r>
      <w:r>
        <w:rPr>
          <w:rFonts w:hAnsi="宋体"/>
          <w:snapToGrid w:val="0"/>
          <w:kern w:val="0"/>
          <w:sz w:val="28"/>
        </w:rPr>
        <w:t>材料设备部从《合格供给商</w:t>
      </w:r>
      <w:r>
        <w:rPr>
          <w:rFonts w:hAnsi="宋体" w:hint="eastAsia"/>
          <w:snapToGrid w:val="0"/>
          <w:kern w:val="0"/>
          <w:sz w:val="28"/>
        </w:rPr>
        <w:t>信息库</w:t>
      </w:r>
      <w:r>
        <w:rPr>
          <w:rFonts w:hAnsi="宋体"/>
          <w:snapToGrid w:val="0"/>
          <w:kern w:val="0"/>
          <w:sz w:val="28"/>
        </w:rPr>
        <w:t>》中选择</w:t>
      </w:r>
      <w:r>
        <w:rPr>
          <w:rFonts w:hAnsi="宋体" w:hint="eastAsia"/>
          <w:snapToGrid w:val="0"/>
          <w:kern w:val="0"/>
          <w:sz w:val="28"/>
        </w:rPr>
        <w:t>三家以上</w:t>
      </w:r>
      <w:r>
        <w:rPr>
          <w:rFonts w:hAnsi="宋体"/>
          <w:snapToGrid w:val="0"/>
          <w:kern w:val="0"/>
          <w:sz w:val="28"/>
        </w:rPr>
        <w:t>供给商</w:t>
      </w:r>
      <w:r>
        <w:rPr>
          <w:rFonts w:hAnsi="宋体" w:hint="eastAsia"/>
          <w:snapToGrid w:val="0"/>
          <w:kern w:val="0"/>
          <w:sz w:val="28"/>
        </w:rPr>
        <w:t>，通过议价或自行招标等方法进行采购。</w:t>
      </w:r>
    </w:p>
    <w:p>
      <w:pPr>
        <w:adjustRightInd w:val="0"/>
        <w:snapToGrid w:val="0"/>
        <w:spacing w:line="276" w:lineRule="auto"/>
        <w:ind w:firstLine="560" w:firstLineChars="200"/>
        <w:rPr>
          <w:rFonts w:hAnsi="宋体" w:hint="eastAsia"/>
          <w:snapToGrid w:val="0"/>
          <w:kern w:val="0"/>
          <w:sz w:val="28"/>
        </w:rPr>
      </w:pPr>
      <w:r>
        <w:rPr>
          <w:rFonts w:hAnsi="宋体" w:hint="eastAsia"/>
          <w:snapToGrid w:val="0"/>
          <w:kern w:val="0"/>
          <w:sz w:val="28"/>
        </w:rPr>
        <w:t>当</w:t>
      </w:r>
      <w:r>
        <w:rPr>
          <w:rFonts w:hAnsi="宋体"/>
          <w:snapToGrid w:val="0"/>
          <w:kern w:val="0"/>
          <w:sz w:val="28"/>
        </w:rPr>
        <w:t>拟采购的</w:t>
      </w:r>
      <w:r>
        <w:rPr>
          <w:rFonts w:hAnsi="宋体" w:hint="eastAsia"/>
          <w:snapToGrid w:val="0"/>
          <w:kern w:val="0"/>
          <w:sz w:val="28"/>
          <w:szCs w:val="28"/>
        </w:rPr>
        <w:t>物资</w:t>
      </w:r>
      <w:r>
        <w:rPr>
          <w:rFonts w:hAnsi="宋体"/>
          <w:snapToGrid w:val="0"/>
          <w:kern w:val="0"/>
          <w:sz w:val="28"/>
        </w:rPr>
        <w:t>具有特殊性或因为其它原因而必须选择新供给商时，</w:t>
      </w:r>
      <w:r>
        <w:rPr>
          <w:rFonts w:hAnsi="宋体" w:hint="eastAsia"/>
          <w:bCs/>
          <w:snapToGrid w:val="0"/>
          <w:kern w:val="0"/>
          <w:sz w:val="28"/>
          <w:szCs w:val="28"/>
        </w:rPr>
        <w:t>申请单位应在采购前对其进行考核评价，初评合格后上报</w:t>
      </w:r>
      <w:r>
        <w:rPr>
          <w:rFonts w:hAnsi="宋体" w:cs="Arial" w:hint="eastAsia"/>
          <w:snapToGrid w:val="0"/>
          <w:sz w:val="28"/>
          <w:szCs w:val="28"/>
        </w:rPr>
        <w:t>集团公司工程管理部</w:t>
      </w:r>
      <w:r>
        <w:rPr>
          <w:rFonts w:hAnsi="宋体" w:hint="eastAsia"/>
          <w:bCs/>
          <w:snapToGrid w:val="0"/>
          <w:kern w:val="0"/>
          <w:sz w:val="28"/>
          <w:szCs w:val="28"/>
        </w:rPr>
        <w:t>，经</w:t>
      </w:r>
      <w:r>
        <w:rPr>
          <w:rFonts w:hAnsi="宋体" w:cs="Arial" w:hint="eastAsia"/>
          <w:snapToGrid w:val="0"/>
          <w:sz w:val="28"/>
          <w:szCs w:val="28"/>
        </w:rPr>
        <w:t>集团公司主管领导审核</w:t>
      </w:r>
      <w:r>
        <w:rPr>
          <w:rFonts w:hAnsi="宋体" w:hint="eastAsia"/>
          <w:bCs/>
          <w:snapToGrid w:val="0"/>
          <w:kern w:val="0"/>
          <w:sz w:val="28"/>
          <w:szCs w:val="28"/>
        </w:rPr>
        <w:t>批准将其纳入合格供方名录中作为试用单位</w:t>
      </w:r>
      <w:r>
        <w:rPr>
          <w:rFonts w:hAnsi="宋体"/>
          <w:snapToGrid w:val="0"/>
          <w:kern w:val="0"/>
          <w:sz w:val="28"/>
        </w:rPr>
        <w:t>，</w:t>
      </w:r>
      <w:r>
        <w:rPr>
          <w:rFonts w:hAnsi="宋体" w:hint="eastAsia"/>
          <w:snapToGrid w:val="0"/>
          <w:kern w:val="0"/>
          <w:sz w:val="28"/>
        </w:rPr>
        <w:t>才允许按规定进行议标或招标采购。</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3.2.3 </w:t>
      </w:r>
      <w:r>
        <w:rPr>
          <w:rFonts w:hAnsi="宋体" w:hint="eastAsia"/>
          <w:snapToGrid w:val="0"/>
          <w:kern w:val="0"/>
          <w:sz w:val="28"/>
          <w:szCs w:val="28"/>
        </w:rPr>
        <w:t>下属单位</w:t>
      </w:r>
      <w:r>
        <w:rPr>
          <w:rFonts w:hAnsi="宋体" w:hint="eastAsia"/>
          <w:bCs/>
          <w:snapToGrid w:val="0"/>
          <w:kern w:val="0"/>
          <w:sz w:val="28"/>
          <w:szCs w:val="28"/>
        </w:rPr>
        <w:t>必须成立由工程经理或公司总经理为组长的采购评审小组，负责对采购物资的考察评审工作。</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3.2.4 </w:t>
      </w:r>
      <w:r>
        <w:rPr>
          <w:rFonts w:hAnsi="宋体" w:hint="eastAsia"/>
          <w:snapToGrid w:val="0"/>
          <w:kern w:val="0"/>
          <w:sz w:val="28"/>
          <w:szCs w:val="28"/>
        </w:rPr>
        <w:t>下属单位</w:t>
      </w:r>
      <w:r>
        <w:rPr>
          <w:rFonts w:hAnsi="宋体" w:hint="eastAsia"/>
          <w:bCs/>
          <w:snapToGrid w:val="0"/>
          <w:kern w:val="0"/>
          <w:sz w:val="28"/>
          <w:szCs w:val="28"/>
        </w:rPr>
        <w:t>应收集所需物资供方的信息，其中包括：营业执照〔企业经营范围〕、</w:t>
      </w:r>
      <w:r>
        <w:rPr>
          <w:rFonts w:hAnsi="宋体"/>
          <w:snapToGrid w:val="0"/>
          <w:kern w:val="0"/>
          <w:sz w:val="28"/>
        </w:rPr>
        <w:t>税务登记证</w:t>
      </w:r>
      <w:r>
        <w:rPr>
          <w:rFonts w:hAnsi="宋体" w:hint="eastAsia"/>
          <w:snapToGrid w:val="0"/>
          <w:kern w:val="0"/>
          <w:sz w:val="28"/>
        </w:rPr>
        <w:t>、</w:t>
      </w:r>
      <w:r>
        <w:rPr>
          <w:rFonts w:hAnsi="宋体" w:hint="eastAsia"/>
          <w:bCs/>
          <w:snapToGrid w:val="0"/>
          <w:kern w:val="0"/>
          <w:sz w:val="28"/>
          <w:szCs w:val="28"/>
        </w:rPr>
        <w:t>企业资质、合格证、样品、相关材质证明文件、相关技术文件等资料，对商砼等重要物资采购前，评审小组应对供方进行实地考察并留存相关影像资料；涉及到环保节能的建筑材料在评价时应关注其环保性能及节能指标；对发包方提供的物资本单位材料设备部也应保存其相关资料。</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3.2.5 对物资供方评价内容包括：</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1、经营资格和信誉；</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2、建筑材料、构配件和设备的质量状况；</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3、供货能力；</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4、建筑材料、构配件和设备的价格；</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5、售后效劳。</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评价小组将评价意见汇总后填写物资供方评价表，并由单位(工程)经理及相关人员签字给予确认。</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3.2.6 </w:t>
      </w:r>
      <w:r>
        <w:rPr>
          <w:rFonts w:hAnsi="宋体" w:hint="eastAsia"/>
          <w:snapToGrid w:val="0"/>
          <w:kern w:val="0"/>
          <w:sz w:val="28"/>
          <w:szCs w:val="28"/>
        </w:rPr>
        <w:t>下属单位</w:t>
      </w:r>
      <w:r>
        <w:rPr>
          <w:rFonts w:hAnsi="宋体" w:hint="eastAsia"/>
          <w:bCs/>
          <w:snapToGrid w:val="0"/>
          <w:kern w:val="0"/>
          <w:sz w:val="28"/>
          <w:szCs w:val="28"/>
        </w:rPr>
        <w:t>每年年初须配合集团公司工程管理部对上一年使用的物资供方进行质量、履约能力、技术更新能力等内容的再评价，对评价不合格的供方应从合格物资供方名录中删除。</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再评价内容包括：</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1、供货的质量水平及其稳定性；</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2、效劳的及时性和满意度；</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3、其他履约情况；</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4、技术更新情况；</w:t>
      </w:r>
    </w:p>
    <w:p>
      <w:pPr>
        <w:adjustRightInd w:val="0"/>
        <w:snapToGrid w:val="0"/>
        <w:spacing w:line="276" w:lineRule="auto"/>
        <w:ind w:firstLine="560" w:firstLineChars="200"/>
        <w:rPr>
          <w:rFonts w:hAnsi="宋体" w:hint="eastAsia"/>
          <w:bCs/>
          <w:snapToGrid w:val="0"/>
          <w:kern w:val="0"/>
          <w:sz w:val="28"/>
          <w:szCs w:val="28"/>
        </w:rPr>
        <w:sectPr>
          <w:type w:val="nextPage"/>
          <w:pgSz w:w="11906" w:h="16838"/>
          <w:pgMar w:top="1134" w:right="1247" w:bottom="1134" w:left="1247" w:header="851" w:footer="992" w:gutter="0"/>
          <w:pgNumType w:start="2"/>
          <w:cols w:space="708"/>
          <w:titlePg w:val="0"/>
          <w:docGrid w:linePitch="312"/>
        </w:sectPr>
      </w:pPr>
      <w:r>
        <w:rPr>
          <w:rFonts w:hAnsi="宋体" w:hint="eastAsia"/>
          <w:bCs/>
          <w:snapToGrid w:val="0"/>
          <w:kern w:val="0"/>
          <w:sz w:val="28"/>
          <w:szCs w:val="28"/>
        </w:rPr>
        <w:t>5、与质量管理体系相关的变化情况；</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6、社会信誉的保持等。</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3.2.7 </w:t>
      </w:r>
      <w:r>
        <w:rPr>
          <w:rFonts w:hAnsi="宋体" w:hint="eastAsia"/>
          <w:snapToGrid w:val="0"/>
          <w:kern w:val="0"/>
          <w:sz w:val="28"/>
          <w:szCs w:val="28"/>
        </w:rPr>
        <w:t>下属单位</w:t>
      </w:r>
      <w:r>
        <w:rPr>
          <w:rFonts w:hAnsi="宋体" w:hint="eastAsia"/>
          <w:bCs/>
          <w:snapToGrid w:val="0"/>
          <w:kern w:val="0"/>
          <w:sz w:val="28"/>
          <w:szCs w:val="28"/>
        </w:rPr>
        <w:t>应对评价合格的供方建立档案，编入合格物资供方名录，上报集团公司工程管理部作为采购依据。</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3.2.8 采购合同签订：</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与合格物资供方签订采购合同，</w:t>
      </w:r>
      <w:r>
        <w:rPr>
          <w:rFonts w:hAnsi="宋体" w:hint="eastAsia"/>
          <w:snapToGrid w:val="0"/>
          <w:kern w:val="0"/>
          <w:sz w:val="28"/>
        </w:rPr>
        <w:t>一般采用经风险控制部、本钱管理部、工程管理部组织审核认可的合同范本，如供给商提出变更时，需送</w:t>
      </w:r>
      <w:r>
        <w:rPr>
          <w:rFonts w:hAnsi="宋体" w:cs="Arial" w:hint="eastAsia"/>
          <w:snapToGrid w:val="0"/>
          <w:sz w:val="28"/>
          <w:szCs w:val="28"/>
        </w:rPr>
        <w:t>集团公司</w:t>
      </w:r>
      <w:r>
        <w:rPr>
          <w:rFonts w:hAnsi="宋体" w:hint="eastAsia"/>
          <w:snapToGrid w:val="0"/>
          <w:kern w:val="0"/>
          <w:sz w:val="28"/>
        </w:rPr>
        <w:t>风险控制部审核,方可变更。</w:t>
      </w:r>
      <w:r>
        <w:rPr>
          <w:rFonts w:hAnsi="宋体" w:hint="eastAsia"/>
          <w:bCs/>
          <w:snapToGrid w:val="0"/>
          <w:kern w:val="0"/>
          <w:sz w:val="28"/>
          <w:szCs w:val="28"/>
        </w:rPr>
        <w:t>合同内容应包括：采购时间、品名、型号、规格、单位、数量、供货单位、生产厂家、质量标准、验收标准、结算方式、违约责任、合同争议的解决方式等。</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3.2.9 </w:t>
      </w:r>
      <w:r>
        <w:rPr>
          <w:rFonts w:hAnsi="宋体" w:hint="eastAsia"/>
          <w:snapToGrid w:val="0"/>
          <w:kern w:val="0"/>
          <w:sz w:val="28"/>
          <w:szCs w:val="28"/>
        </w:rPr>
        <w:t>建筑公司〔工程部〕</w:t>
      </w:r>
      <w:r>
        <w:rPr>
          <w:rFonts w:hAnsi="宋体" w:hint="eastAsia"/>
          <w:bCs/>
          <w:snapToGrid w:val="0"/>
          <w:kern w:val="0"/>
          <w:sz w:val="28"/>
          <w:szCs w:val="28"/>
        </w:rPr>
        <w:t>在采购物资时应做到货比三家；采购油漆、稀料、涂料等有毒、有害物资时，应和供货方签订包装物回收协议。</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3.2.10 </w:t>
      </w:r>
      <w:r>
        <w:rPr>
          <w:rFonts w:hAnsi="宋体" w:hint="eastAsia"/>
          <w:snapToGrid w:val="0"/>
          <w:kern w:val="0"/>
          <w:sz w:val="28"/>
          <w:szCs w:val="28"/>
        </w:rPr>
        <w:t>下属单位</w:t>
      </w:r>
      <w:r>
        <w:rPr>
          <w:rFonts w:hAnsi="宋体" w:hint="eastAsia"/>
          <w:bCs/>
          <w:snapToGrid w:val="0"/>
          <w:kern w:val="0"/>
          <w:sz w:val="28"/>
          <w:szCs w:val="28"/>
        </w:rPr>
        <w:t>应建立健全物资采购台账。</w:t>
      </w:r>
    </w:p>
    <w:p>
      <w:pPr>
        <w:adjustRightInd w:val="0"/>
        <w:snapToGrid w:val="0"/>
        <w:spacing w:line="276" w:lineRule="auto"/>
        <w:ind w:firstLine="570"/>
        <w:rPr>
          <w:rFonts w:hAnsi="宋体" w:hint="eastAsia"/>
          <w:snapToGrid w:val="0"/>
          <w:kern w:val="0"/>
          <w:sz w:val="28"/>
        </w:rPr>
      </w:pPr>
      <w:r>
        <w:rPr>
          <w:rFonts w:hAnsi="宋体" w:hint="eastAsia"/>
          <w:bCs/>
          <w:snapToGrid w:val="0"/>
          <w:kern w:val="0"/>
          <w:sz w:val="28"/>
          <w:szCs w:val="28"/>
        </w:rPr>
        <w:t xml:space="preserve">3.2.11 </w:t>
      </w:r>
      <w:r>
        <w:rPr>
          <w:rFonts w:hAnsi="宋体"/>
          <w:snapToGrid w:val="0"/>
          <w:kern w:val="0"/>
          <w:sz w:val="28"/>
        </w:rPr>
        <w:t>对于供给商所供</w:t>
      </w:r>
      <w:r>
        <w:rPr>
          <w:rFonts w:hAnsi="宋体" w:hint="eastAsia"/>
          <w:snapToGrid w:val="0"/>
          <w:kern w:val="0"/>
          <w:sz w:val="28"/>
          <w:szCs w:val="28"/>
        </w:rPr>
        <w:t>物资</w:t>
      </w:r>
      <w:r>
        <w:rPr>
          <w:rFonts w:hAnsi="宋体"/>
          <w:snapToGrid w:val="0"/>
          <w:kern w:val="0"/>
          <w:sz w:val="28"/>
        </w:rPr>
        <w:t>的价格，</w:t>
      </w:r>
      <w:r>
        <w:rPr>
          <w:rFonts w:hAnsi="宋体" w:hint="eastAsia"/>
          <w:snapToGrid w:val="0"/>
          <w:kern w:val="0"/>
          <w:sz w:val="28"/>
        </w:rPr>
        <w:t>必须</w:t>
      </w:r>
      <w:r>
        <w:rPr>
          <w:rFonts w:hAnsi="宋体"/>
          <w:snapToGrid w:val="0"/>
          <w:kern w:val="0"/>
          <w:sz w:val="28"/>
        </w:rPr>
        <w:t>按合同执行</w:t>
      </w:r>
      <w:r>
        <w:rPr>
          <w:rFonts w:hAnsi="宋体" w:hint="eastAsia"/>
          <w:snapToGrid w:val="0"/>
          <w:kern w:val="0"/>
          <w:sz w:val="28"/>
        </w:rPr>
        <w:t>。特殊情况下需对价风格高，属大宗材料的必须提出请示报告报</w:t>
      </w:r>
      <w:r>
        <w:rPr>
          <w:rFonts w:hAnsi="宋体" w:cs="Arial" w:hint="eastAsia"/>
          <w:snapToGrid w:val="0"/>
          <w:sz w:val="28"/>
          <w:szCs w:val="28"/>
        </w:rPr>
        <w:t>集团公司</w:t>
      </w:r>
      <w:r>
        <w:rPr>
          <w:rFonts w:hAnsi="宋体" w:hint="eastAsia"/>
          <w:snapToGrid w:val="0"/>
          <w:kern w:val="0"/>
          <w:sz w:val="28"/>
        </w:rPr>
        <w:t>本钱管理部、工程管理部组织审核批准后执行，其它材料报相关单位负责人批准。</w:t>
      </w:r>
    </w:p>
    <w:p>
      <w:pPr>
        <w:adjustRightInd w:val="0"/>
        <w:snapToGrid w:val="0"/>
        <w:spacing w:line="276" w:lineRule="auto"/>
        <w:ind w:firstLine="570"/>
        <w:rPr>
          <w:rFonts w:hAnsi="宋体" w:hint="eastAsia"/>
          <w:snapToGrid w:val="0"/>
          <w:kern w:val="0"/>
          <w:sz w:val="28"/>
        </w:rPr>
      </w:pPr>
      <w:r>
        <w:rPr>
          <w:rFonts w:hAnsi="宋体" w:hint="eastAsia"/>
          <w:bCs/>
          <w:snapToGrid w:val="0"/>
          <w:kern w:val="0"/>
          <w:sz w:val="28"/>
          <w:szCs w:val="28"/>
        </w:rPr>
        <w:t xml:space="preserve">3.2.12 </w:t>
      </w:r>
      <w:r>
        <w:rPr>
          <w:rFonts w:hAnsi="宋体" w:hint="eastAsia"/>
          <w:snapToGrid w:val="0"/>
          <w:kern w:val="0"/>
          <w:sz w:val="28"/>
        </w:rPr>
        <w:t>零星采购的</w:t>
      </w:r>
      <w:r>
        <w:rPr>
          <w:rFonts w:hAnsi="宋体" w:hint="eastAsia"/>
          <w:snapToGrid w:val="0"/>
          <w:kern w:val="0"/>
          <w:sz w:val="28"/>
          <w:szCs w:val="28"/>
        </w:rPr>
        <w:t>物资</w:t>
      </w:r>
      <w:r>
        <w:rPr>
          <w:rFonts w:hAnsi="宋体"/>
          <w:snapToGrid w:val="0"/>
          <w:kern w:val="0"/>
          <w:sz w:val="28"/>
        </w:rPr>
        <w:t>由使用单位材料</w:t>
      </w:r>
      <w:r>
        <w:rPr>
          <w:rFonts w:hAnsi="宋体" w:hint="eastAsia"/>
          <w:snapToGrid w:val="0"/>
          <w:kern w:val="0"/>
          <w:sz w:val="28"/>
        </w:rPr>
        <w:t>设备部长</w:t>
      </w:r>
      <w:r>
        <w:rPr>
          <w:rFonts w:hAnsi="宋体"/>
          <w:snapToGrid w:val="0"/>
          <w:kern w:val="0"/>
          <w:sz w:val="28"/>
        </w:rPr>
        <w:t>负责与供给商在采购前谈判</w:t>
      </w:r>
      <w:r>
        <w:rPr>
          <w:rFonts w:hAnsi="宋体" w:hint="eastAsia"/>
          <w:snapToGrid w:val="0"/>
          <w:kern w:val="0"/>
          <w:sz w:val="28"/>
        </w:rPr>
        <w:t>定价</w:t>
      </w:r>
      <w:r>
        <w:rPr>
          <w:rFonts w:hAnsi="宋体"/>
          <w:snapToGrid w:val="0"/>
          <w:kern w:val="0"/>
          <w:sz w:val="28"/>
        </w:rPr>
        <w:t>，报</w:t>
      </w:r>
      <w:r>
        <w:rPr>
          <w:rFonts w:hAnsi="宋体" w:hint="eastAsia"/>
          <w:snapToGrid w:val="0"/>
          <w:kern w:val="0"/>
          <w:sz w:val="28"/>
        </w:rPr>
        <w:t>本</w:t>
      </w:r>
      <w:r>
        <w:rPr>
          <w:rFonts w:hAnsi="宋体"/>
          <w:snapToGrid w:val="0"/>
          <w:kern w:val="0"/>
          <w:sz w:val="28"/>
        </w:rPr>
        <w:t>单位</w:t>
      </w:r>
      <w:r>
        <w:rPr>
          <w:rFonts w:hAnsi="宋体" w:hint="eastAsia"/>
          <w:snapToGrid w:val="0"/>
          <w:kern w:val="0"/>
          <w:sz w:val="28"/>
        </w:rPr>
        <w:t>〔工程〕</w:t>
      </w:r>
      <w:r>
        <w:rPr>
          <w:rFonts w:hAnsi="宋体"/>
          <w:snapToGrid w:val="0"/>
          <w:kern w:val="0"/>
          <w:sz w:val="28"/>
        </w:rPr>
        <w:t>经理批准后才许采购，其他人员未经授权不准擅自与供给商谈判或确认价格。</w:t>
      </w:r>
    </w:p>
    <w:p>
      <w:pPr>
        <w:adjustRightInd w:val="0"/>
        <w:snapToGrid w:val="0"/>
        <w:spacing w:line="276" w:lineRule="auto"/>
        <w:ind w:firstLine="570"/>
        <w:rPr>
          <w:rFonts w:hAnsi="宋体" w:hint="eastAsia"/>
          <w:snapToGrid w:val="0"/>
          <w:kern w:val="0"/>
          <w:sz w:val="28"/>
        </w:rPr>
      </w:pPr>
      <w:r>
        <w:rPr>
          <w:rFonts w:hAnsi="宋体" w:hint="eastAsia"/>
          <w:bCs/>
          <w:snapToGrid w:val="0"/>
          <w:kern w:val="0"/>
          <w:sz w:val="28"/>
          <w:szCs w:val="28"/>
        </w:rPr>
        <w:t xml:space="preserve">3.2.13 </w:t>
      </w:r>
      <w:r>
        <w:rPr>
          <w:rFonts w:hAnsi="宋体" w:hint="eastAsia"/>
          <w:snapToGrid w:val="0"/>
          <w:kern w:val="0"/>
          <w:sz w:val="28"/>
          <w:szCs w:val="28"/>
        </w:rPr>
        <w:t>物资</w:t>
      </w:r>
      <w:r>
        <w:rPr>
          <w:rFonts w:hAnsi="宋体" w:hint="eastAsia"/>
          <w:snapToGrid w:val="0"/>
          <w:kern w:val="0"/>
          <w:sz w:val="28"/>
        </w:rPr>
        <w:t>采购由</w:t>
      </w:r>
      <w:r>
        <w:rPr>
          <w:rFonts w:hAnsi="宋体" w:hint="eastAsia"/>
          <w:snapToGrid w:val="0"/>
          <w:kern w:val="0"/>
          <w:sz w:val="28"/>
          <w:szCs w:val="28"/>
        </w:rPr>
        <w:t>下属单位</w:t>
      </w:r>
      <w:r>
        <w:rPr>
          <w:rFonts w:hAnsi="宋体" w:hint="eastAsia"/>
          <w:snapToGrid w:val="0"/>
          <w:kern w:val="0"/>
          <w:sz w:val="28"/>
        </w:rPr>
        <w:t>材料设备部长组织进行。采购人员应熟悉合同条款，相关</w:t>
      </w:r>
      <w:r>
        <w:rPr>
          <w:rFonts w:hAnsi="宋体" w:hint="eastAsia"/>
          <w:snapToGrid w:val="0"/>
          <w:kern w:val="0"/>
          <w:sz w:val="28"/>
          <w:szCs w:val="28"/>
        </w:rPr>
        <w:t>物资</w:t>
      </w:r>
      <w:r>
        <w:rPr>
          <w:rFonts w:hAnsi="宋体" w:hint="eastAsia"/>
          <w:snapToGrid w:val="0"/>
          <w:kern w:val="0"/>
          <w:sz w:val="28"/>
        </w:rPr>
        <w:t>的标准标准，并认真执行，确保其采购</w:t>
      </w:r>
      <w:r>
        <w:rPr>
          <w:rFonts w:hAnsi="宋体" w:hint="eastAsia"/>
          <w:snapToGrid w:val="0"/>
          <w:kern w:val="0"/>
          <w:sz w:val="28"/>
          <w:szCs w:val="28"/>
        </w:rPr>
        <w:t>物资</w:t>
      </w:r>
      <w:r>
        <w:rPr>
          <w:rFonts w:hAnsi="宋体" w:hint="eastAsia"/>
          <w:snapToGrid w:val="0"/>
          <w:kern w:val="0"/>
          <w:sz w:val="28"/>
        </w:rPr>
        <w:t>符合合同要求和相关规定。</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 xml:space="preserve">3.3 </w:t>
      </w:r>
      <w:r>
        <w:rPr>
          <w:rFonts w:hAnsi="宋体" w:hint="eastAsia"/>
          <w:snapToGrid w:val="0"/>
          <w:kern w:val="0"/>
          <w:sz w:val="28"/>
          <w:szCs w:val="28"/>
        </w:rPr>
        <w:t>物资</w:t>
      </w:r>
      <w:r>
        <w:rPr>
          <w:rFonts w:hAnsi="宋体" w:hint="eastAsia"/>
          <w:bCs/>
          <w:snapToGrid w:val="0"/>
          <w:kern w:val="0"/>
          <w:sz w:val="28"/>
          <w:szCs w:val="28"/>
        </w:rPr>
        <w:t>的进场验收</w:t>
      </w:r>
    </w:p>
    <w:p>
      <w:pPr>
        <w:adjustRightInd w:val="0"/>
        <w:snapToGrid w:val="0"/>
        <w:spacing w:line="276" w:lineRule="auto"/>
        <w:ind w:firstLine="570"/>
        <w:rPr>
          <w:rFonts w:hAnsi="宋体" w:hint="eastAsia"/>
          <w:bCs/>
          <w:snapToGrid w:val="0"/>
          <w:kern w:val="0"/>
          <w:sz w:val="28"/>
          <w:szCs w:val="28"/>
        </w:rPr>
      </w:pPr>
      <w:r>
        <w:rPr>
          <w:rFonts w:hAnsi="宋体" w:hint="eastAsia"/>
          <w:bCs/>
          <w:snapToGrid w:val="0"/>
          <w:kern w:val="0"/>
          <w:sz w:val="28"/>
          <w:szCs w:val="28"/>
        </w:rPr>
        <w:t xml:space="preserve">3.3.1 </w:t>
      </w:r>
      <w:r>
        <w:rPr>
          <w:rFonts w:hAnsi="宋体" w:hint="eastAsia"/>
          <w:snapToGrid w:val="0"/>
          <w:kern w:val="0"/>
          <w:sz w:val="28"/>
          <w:szCs w:val="28"/>
        </w:rPr>
        <w:t>建筑公司〔工程部〕</w:t>
      </w:r>
      <w:r>
        <w:rPr>
          <w:rFonts w:hAnsi="宋体" w:hint="eastAsia"/>
          <w:bCs/>
          <w:snapToGrid w:val="0"/>
          <w:kern w:val="0"/>
          <w:sz w:val="28"/>
          <w:szCs w:val="28"/>
        </w:rPr>
        <w:t>材料设备部应组织物资进场验收，对来料的品名、规格、质量标准、资质文件、合格证、数量等与</w:t>
      </w:r>
      <w:r>
        <w:rPr>
          <w:rFonts w:hAnsi="宋体" w:hint="eastAsia"/>
          <w:snapToGrid w:val="0"/>
          <w:kern w:val="0"/>
          <w:sz w:val="28"/>
          <w:szCs w:val="28"/>
        </w:rPr>
        <w:t>物资</w:t>
      </w:r>
      <w:r>
        <w:rPr>
          <w:rFonts w:hAnsi="宋体" w:hint="eastAsia"/>
          <w:bCs/>
          <w:snapToGrid w:val="0"/>
          <w:kern w:val="0"/>
          <w:sz w:val="28"/>
          <w:szCs w:val="28"/>
        </w:rPr>
        <w:t>采购方案、合同要求逐项对照核实，确认无误后，依据法定计量单位，进行检尺量方、称重，以实收数量签认，填写进场物资验收记录《物资采购验收单》(见附表三)。</w:t>
      </w:r>
    </w:p>
    <w:p>
      <w:pPr>
        <w:adjustRightInd w:val="0"/>
        <w:snapToGrid w:val="0"/>
        <w:spacing w:line="276" w:lineRule="auto"/>
        <w:ind w:firstLine="560" w:firstLineChars="200"/>
        <w:rPr>
          <w:rFonts w:hAnsi="宋体" w:hint="eastAsia"/>
          <w:snapToGrid w:val="0"/>
          <w:kern w:val="0"/>
          <w:sz w:val="28"/>
          <w:szCs w:val="28"/>
        </w:rPr>
      </w:pPr>
      <w:r>
        <w:rPr>
          <w:rFonts w:hAnsi="宋体" w:hint="eastAsia"/>
          <w:snapToGrid w:val="0"/>
          <w:kern w:val="0"/>
          <w:sz w:val="28"/>
          <w:szCs w:val="28"/>
        </w:rPr>
        <w:t>3.3.2 现场物资验收记录范围：钢材、水泥、木材、竹胶板、商砼、砂、石、加气砖、各种砌块、商品砂浆、白灰粉、电线电缆、水电管材、型材等所有进入施工现场的建筑材料设备。</w:t>
      </w:r>
    </w:p>
    <w:p>
      <w:pPr>
        <w:adjustRightInd w:val="0"/>
        <w:snapToGrid w:val="0"/>
        <w:spacing w:line="276" w:lineRule="auto"/>
        <w:ind w:firstLine="560" w:firstLineChars="200"/>
        <w:rPr>
          <w:rFonts w:hAnsi="宋体" w:hint="eastAsia"/>
          <w:snapToGrid w:val="0"/>
          <w:kern w:val="0"/>
          <w:sz w:val="28"/>
        </w:rPr>
      </w:pPr>
      <w:r>
        <w:rPr>
          <w:rFonts w:hAnsi="宋体" w:hint="eastAsia"/>
          <w:snapToGrid w:val="0"/>
          <w:kern w:val="0"/>
          <w:sz w:val="28"/>
          <w:szCs w:val="28"/>
        </w:rPr>
        <w:t>验收记录需有材料员、质检员、相关技术人员、工程经理、材料设备部长、材料使用劳务班组签字确认；其中，主材验收必须有工程经理、材料部长、材料员、材料使用劳务班组签字认可。其他材料</w:t>
      </w:r>
      <w:r>
        <w:rPr>
          <w:rFonts w:hAnsi="宋体"/>
          <w:snapToGrid w:val="0"/>
          <w:kern w:val="0"/>
          <w:sz w:val="28"/>
        </w:rPr>
        <w:t>验收过程至少两人参加，并均需在验收</w:t>
      </w:r>
      <w:r>
        <w:rPr>
          <w:rFonts w:hAnsi="宋体" w:hint="eastAsia"/>
          <w:snapToGrid w:val="0"/>
          <w:kern w:val="0"/>
          <w:sz w:val="28"/>
        </w:rPr>
        <w:t>单</w:t>
      </w:r>
      <w:r>
        <w:rPr>
          <w:rFonts w:hAnsi="宋体"/>
          <w:snapToGrid w:val="0"/>
          <w:kern w:val="0"/>
          <w:sz w:val="28"/>
        </w:rPr>
        <w:t>上签字。</w:t>
      </w:r>
    </w:p>
    <w:p>
      <w:pPr>
        <w:adjustRightInd w:val="0"/>
        <w:snapToGrid w:val="0"/>
        <w:spacing w:line="276" w:lineRule="auto"/>
        <w:ind w:firstLine="560" w:firstLineChars="200"/>
        <w:rPr>
          <w:rFonts w:hAnsi="宋体"/>
          <w:snapToGrid w:val="0"/>
          <w:kern w:val="0"/>
          <w:sz w:val="28"/>
        </w:rPr>
        <w:sectPr>
          <w:type w:val="nextPage"/>
          <w:pgSz w:w="11906" w:h="16838"/>
          <w:pgMar w:top="1134" w:right="1247" w:bottom="1134" w:left="1247" w:header="851" w:footer="992" w:gutter="0"/>
          <w:pgNumType w:start="3"/>
          <w:cols w:space="708"/>
          <w:titlePg w:val="0"/>
          <w:docGrid w:linePitch="312"/>
        </w:sectPr>
      </w:pPr>
      <w:r>
        <w:rPr>
          <w:rFonts w:hAnsi="宋体" w:hint="eastAsia"/>
          <w:snapToGrid w:val="0"/>
          <w:kern w:val="0"/>
          <w:sz w:val="28"/>
          <w:szCs w:val="28"/>
        </w:rPr>
        <w:t xml:space="preserve">3.3.3 </w:t>
      </w:r>
      <w:r>
        <w:rPr>
          <w:rFonts w:hAnsi="宋体" w:hint="eastAsia"/>
          <w:snapToGrid w:val="0"/>
          <w:kern w:val="0"/>
          <w:sz w:val="28"/>
        </w:rPr>
        <w:t>主要材料的计量验收方式，一般为〔其中过磅计量的局部，应采取必要手段复核准确性〕：</w:t>
      </w:r>
    </w:p>
    <w:p>
      <w:pPr>
        <w:adjustRightInd w:val="0"/>
        <w:snapToGrid w:val="0"/>
        <w:spacing w:line="276" w:lineRule="auto"/>
        <w:ind w:firstLine="560" w:firstLineChars="200"/>
        <w:rPr>
          <w:rFonts w:hAnsi="宋体"/>
          <w:snapToGrid w:val="0"/>
          <w:kern w:val="0"/>
          <w:sz w:val="28"/>
        </w:rPr>
      </w:pPr>
      <w:r>
        <w:rPr>
          <w:rFonts w:hAnsi="宋体"/>
          <w:snapToGrid w:val="0"/>
          <w:kern w:val="0"/>
          <w:sz w:val="28"/>
        </w:rPr>
        <w:t>1</w:t>
      </w:r>
      <w:r>
        <w:rPr>
          <w:rFonts w:hAnsi="宋体" w:hint="eastAsia"/>
          <w:snapToGrid w:val="0"/>
          <w:kern w:val="0"/>
          <w:sz w:val="28"/>
        </w:rPr>
        <w:t>、钢材：圆钢一般过磅计量，直条钢筋应点数、丈量结合理论重量计量；钢管及型钢以点条按规格测量，按其理论重量计算重量并结合过磅进行数量验收。</w:t>
      </w:r>
    </w:p>
    <w:p>
      <w:pPr>
        <w:adjustRightInd w:val="0"/>
        <w:snapToGrid w:val="0"/>
        <w:spacing w:line="276" w:lineRule="auto"/>
        <w:ind w:firstLine="560" w:firstLineChars="200"/>
        <w:rPr>
          <w:rFonts w:hAnsi="宋体" w:hint="eastAsia"/>
          <w:snapToGrid w:val="0"/>
          <w:kern w:val="0"/>
          <w:sz w:val="28"/>
        </w:rPr>
      </w:pPr>
      <w:r>
        <w:rPr>
          <w:rFonts w:hAnsi="宋体"/>
          <w:snapToGrid w:val="0"/>
          <w:kern w:val="0"/>
          <w:sz w:val="28"/>
        </w:rPr>
        <w:t>2</w:t>
      </w:r>
      <w:r>
        <w:rPr>
          <w:rFonts w:hAnsi="宋体" w:hint="eastAsia"/>
          <w:snapToGrid w:val="0"/>
          <w:kern w:val="0"/>
          <w:sz w:val="28"/>
        </w:rPr>
        <w:t>、水泥：数量验收以过磅或点数计算理论重量。</w:t>
      </w:r>
    </w:p>
    <w:p>
      <w:pPr>
        <w:adjustRightInd w:val="0"/>
        <w:snapToGrid w:val="0"/>
        <w:spacing w:line="276" w:lineRule="auto"/>
        <w:ind w:firstLine="560" w:firstLineChars="200"/>
        <w:rPr>
          <w:rFonts w:hAnsi="宋体"/>
          <w:snapToGrid w:val="0"/>
          <w:kern w:val="0"/>
          <w:sz w:val="28"/>
        </w:rPr>
      </w:pPr>
      <w:r>
        <w:rPr>
          <w:rFonts w:hAnsi="宋体"/>
          <w:snapToGrid w:val="0"/>
          <w:kern w:val="0"/>
          <w:sz w:val="28"/>
        </w:rPr>
        <w:t>3</w:t>
      </w:r>
      <w:r>
        <w:rPr>
          <w:rFonts w:hAnsi="宋体" w:hint="eastAsia"/>
          <w:snapToGrid w:val="0"/>
          <w:kern w:val="0"/>
          <w:sz w:val="28"/>
        </w:rPr>
        <w:t>、枋木：以点条计算理论数量，按长度分规格分类统计。</w:t>
      </w:r>
    </w:p>
    <w:p>
      <w:pPr>
        <w:adjustRightInd w:val="0"/>
        <w:snapToGrid w:val="0"/>
        <w:spacing w:line="276" w:lineRule="auto"/>
        <w:ind w:firstLine="560" w:firstLineChars="200"/>
        <w:rPr>
          <w:rFonts w:hAnsi="宋体"/>
          <w:snapToGrid w:val="0"/>
          <w:kern w:val="0"/>
          <w:sz w:val="28"/>
        </w:rPr>
      </w:pPr>
      <w:r>
        <w:rPr>
          <w:rFonts w:hAnsi="宋体"/>
          <w:snapToGrid w:val="0"/>
          <w:kern w:val="0"/>
          <w:sz w:val="28"/>
        </w:rPr>
        <w:t>4</w:t>
      </w:r>
      <w:r>
        <w:rPr>
          <w:rFonts w:hAnsi="宋体" w:hint="eastAsia"/>
          <w:snapToGrid w:val="0"/>
          <w:kern w:val="0"/>
          <w:sz w:val="28"/>
        </w:rPr>
        <w:t>、</w:t>
      </w:r>
      <w:r>
        <w:rPr>
          <w:rFonts w:hAnsi="宋体"/>
          <w:snapToGrid w:val="0"/>
          <w:kern w:val="0"/>
          <w:sz w:val="28"/>
        </w:rPr>
        <w:t>模板：</w:t>
      </w:r>
      <w:r>
        <w:rPr>
          <w:rFonts w:hAnsi="宋体" w:hint="eastAsia"/>
          <w:snapToGrid w:val="0"/>
          <w:kern w:val="0"/>
          <w:sz w:val="28"/>
        </w:rPr>
        <w:t>以实际丈量点数计算理论数量。</w:t>
      </w:r>
    </w:p>
    <w:p>
      <w:pPr>
        <w:adjustRightInd w:val="0"/>
        <w:snapToGrid w:val="0"/>
        <w:spacing w:line="276" w:lineRule="auto"/>
        <w:rPr>
          <w:rFonts w:hAnsi="宋体"/>
          <w:snapToGrid w:val="0"/>
          <w:kern w:val="0"/>
          <w:sz w:val="28"/>
        </w:rPr>
      </w:pPr>
      <w:r>
        <w:rPr>
          <w:rFonts w:hAnsi="宋体"/>
          <w:snapToGrid w:val="0"/>
          <w:kern w:val="0"/>
          <w:sz w:val="28"/>
        </w:rPr>
        <w:t xml:space="preserve">    5</w:t>
      </w:r>
      <w:r>
        <w:rPr>
          <w:rFonts w:hAnsi="宋体" w:hint="eastAsia"/>
          <w:snapToGrid w:val="0"/>
          <w:kern w:val="0"/>
          <w:sz w:val="28"/>
        </w:rPr>
        <w:t>、砂石：以丈量计算立方量。</w:t>
      </w:r>
    </w:p>
    <w:p>
      <w:pPr>
        <w:adjustRightInd w:val="0"/>
        <w:snapToGrid w:val="0"/>
        <w:spacing w:line="276" w:lineRule="auto"/>
        <w:rPr>
          <w:rFonts w:hAnsi="宋体" w:hint="eastAsia"/>
          <w:snapToGrid w:val="0"/>
          <w:kern w:val="0"/>
          <w:sz w:val="28"/>
        </w:rPr>
      </w:pPr>
      <w:r>
        <w:rPr>
          <w:rFonts w:hAnsi="宋体"/>
          <w:snapToGrid w:val="0"/>
          <w:kern w:val="0"/>
          <w:sz w:val="28"/>
        </w:rPr>
        <w:t xml:space="preserve">    6</w:t>
      </w:r>
      <w:r>
        <w:rPr>
          <w:rFonts w:hAnsi="宋体" w:hint="eastAsia"/>
          <w:snapToGrid w:val="0"/>
          <w:kern w:val="0"/>
          <w:sz w:val="28"/>
        </w:rPr>
        <w:t>、砌块及饰面砖：以点数计量。</w:t>
      </w:r>
    </w:p>
    <w:p>
      <w:pPr>
        <w:adjustRightInd w:val="0"/>
        <w:snapToGrid w:val="0"/>
        <w:spacing w:line="276" w:lineRule="auto"/>
        <w:ind w:firstLine="560" w:firstLineChars="200"/>
        <w:rPr>
          <w:rFonts w:hAnsi="宋体" w:hint="eastAsia"/>
          <w:snapToGrid w:val="0"/>
          <w:kern w:val="0"/>
          <w:sz w:val="28"/>
        </w:rPr>
      </w:pPr>
      <w:r>
        <w:rPr>
          <w:rFonts w:hAnsi="宋体" w:hint="eastAsia"/>
          <w:snapToGrid w:val="0"/>
          <w:kern w:val="0"/>
          <w:sz w:val="28"/>
        </w:rPr>
        <w:t>7、其它材料：按相关的标准验收，各单位可根据实际需要制定相应的验收方法。</w:t>
      </w:r>
    </w:p>
    <w:p>
      <w:pPr>
        <w:adjustRightInd w:val="0"/>
        <w:snapToGrid w:val="0"/>
        <w:spacing w:line="276" w:lineRule="auto"/>
        <w:ind w:firstLine="560" w:firstLineChars="200"/>
        <w:rPr>
          <w:rFonts w:hAnsi="宋体" w:hint="eastAsia"/>
          <w:snapToGrid w:val="0"/>
          <w:kern w:val="0"/>
          <w:sz w:val="28"/>
        </w:rPr>
      </w:pPr>
      <w:r>
        <w:rPr>
          <w:rFonts w:hAnsi="宋体" w:hint="eastAsia"/>
          <w:bCs/>
          <w:snapToGrid w:val="0"/>
          <w:kern w:val="0"/>
          <w:sz w:val="28"/>
          <w:szCs w:val="28"/>
        </w:rPr>
        <w:t>3.3.4 在验收中，如发现与材料采购合同中的质量、数量不相符时，应及时反映给采购、技术部门进行解决，通知供货单位退货或降级使用，并填写不合格品记录，</w:t>
      </w:r>
      <w:r>
        <w:rPr>
          <w:rFonts w:hAnsi="宋体"/>
          <w:snapToGrid w:val="0"/>
          <w:kern w:val="0"/>
          <w:sz w:val="28"/>
        </w:rPr>
        <w:t>退货时至少两人参加，并办理好退货签证手续</w:t>
      </w:r>
      <w:r>
        <w:rPr>
          <w:rFonts w:hAnsi="宋体" w:hint="eastAsia"/>
          <w:bCs/>
          <w:snapToGrid w:val="0"/>
          <w:kern w:val="0"/>
          <w:sz w:val="28"/>
          <w:szCs w:val="28"/>
        </w:rPr>
        <w:t>；发包方提供物资的验收方法、要求同上。</w:t>
      </w:r>
    </w:p>
    <w:p>
      <w:pPr>
        <w:adjustRightInd w:val="0"/>
        <w:snapToGrid w:val="0"/>
        <w:spacing w:line="276" w:lineRule="auto"/>
        <w:ind w:firstLine="570"/>
        <w:rPr>
          <w:rFonts w:hAnsi="宋体" w:hint="eastAsia"/>
          <w:snapToGrid w:val="0"/>
          <w:kern w:val="0"/>
          <w:sz w:val="28"/>
        </w:rPr>
      </w:pPr>
      <w:r>
        <w:rPr>
          <w:rFonts w:hAnsi="宋体" w:hint="eastAsia"/>
          <w:bCs/>
          <w:snapToGrid w:val="0"/>
          <w:kern w:val="0"/>
          <w:sz w:val="28"/>
          <w:szCs w:val="28"/>
        </w:rPr>
        <w:t xml:space="preserve">3.3.5 </w:t>
      </w:r>
      <w:r>
        <w:rPr>
          <w:rFonts w:hAnsi="宋体"/>
          <w:snapToGrid w:val="0"/>
          <w:kern w:val="0"/>
          <w:sz w:val="28"/>
        </w:rPr>
        <w:t>主要</w:t>
      </w:r>
      <w:r>
        <w:rPr>
          <w:rFonts w:hAnsi="宋体" w:hint="eastAsia"/>
          <w:snapToGrid w:val="0"/>
          <w:kern w:val="0"/>
          <w:sz w:val="28"/>
        </w:rPr>
        <w:t>验收内容为</w:t>
      </w:r>
      <w:r>
        <w:rPr>
          <w:rFonts w:hAnsi="宋体"/>
          <w:snapToGrid w:val="0"/>
          <w:kern w:val="0"/>
          <w:sz w:val="28"/>
        </w:rPr>
        <w:t>：</w:t>
      </w:r>
    </w:p>
    <w:p>
      <w:pPr>
        <w:adjustRightInd w:val="0"/>
        <w:snapToGrid w:val="0"/>
        <w:spacing w:line="276" w:lineRule="auto"/>
        <w:ind w:firstLine="570"/>
        <w:rPr>
          <w:rFonts w:hAnsi="宋体"/>
          <w:snapToGrid w:val="0"/>
          <w:kern w:val="0"/>
          <w:sz w:val="28"/>
        </w:rPr>
      </w:pPr>
      <w:r>
        <w:rPr>
          <w:rFonts w:hAnsi="宋体" w:hint="eastAsia"/>
          <w:snapToGrid w:val="0"/>
          <w:kern w:val="0"/>
          <w:sz w:val="28"/>
        </w:rPr>
        <w:t>1、</w:t>
      </w:r>
      <w:r>
        <w:rPr>
          <w:rFonts w:hAnsi="宋体"/>
          <w:snapToGrid w:val="0"/>
          <w:kern w:val="0"/>
          <w:sz w:val="28"/>
        </w:rPr>
        <w:t>产地证明书、产品合格证、产品检验证明及其他</w:t>
      </w:r>
      <w:r>
        <w:rPr>
          <w:rFonts w:hAnsi="宋体" w:hint="eastAsia"/>
          <w:snapToGrid w:val="0"/>
          <w:kern w:val="0"/>
          <w:sz w:val="28"/>
        </w:rPr>
        <w:t>必需的</w:t>
      </w:r>
      <w:r>
        <w:rPr>
          <w:rFonts w:hAnsi="宋体"/>
          <w:snapToGrid w:val="0"/>
          <w:kern w:val="0"/>
          <w:sz w:val="28"/>
        </w:rPr>
        <w:t>资料是否齐全、合格；</w:t>
      </w:r>
    </w:p>
    <w:p>
      <w:pPr>
        <w:adjustRightInd w:val="0"/>
        <w:snapToGrid w:val="0"/>
        <w:spacing w:line="276" w:lineRule="auto"/>
        <w:ind w:firstLine="570"/>
        <w:rPr>
          <w:rFonts w:hAnsi="宋体"/>
          <w:snapToGrid w:val="0"/>
          <w:kern w:val="0"/>
          <w:sz w:val="28"/>
        </w:rPr>
      </w:pPr>
      <w:r>
        <w:rPr>
          <w:rFonts w:hAnsi="宋体" w:hint="eastAsia"/>
          <w:snapToGrid w:val="0"/>
          <w:kern w:val="0"/>
          <w:sz w:val="28"/>
        </w:rPr>
        <w:t>2、</w:t>
      </w:r>
      <w:r>
        <w:rPr>
          <w:rFonts w:hAnsi="宋体"/>
          <w:snapToGrid w:val="0"/>
          <w:kern w:val="0"/>
          <w:sz w:val="28"/>
        </w:rPr>
        <w:t>材料型号、规格、数量是否与《</w:t>
      </w:r>
      <w:r>
        <w:rPr>
          <w:rFonts w:hAnsi="宋体" w:hint="eastAsia"/>
          <w:snapToGrid w:val="0"/>
          <w:kern w:val="0"/>
          <w:sz w:val="28"/>
        </w:rPr>
        <w:t>买卖</w:t>
      </w:r>
      <w:r>
        <w:rPr>
          <w:rFonts w:hAnsi="宋体"/>
          <w:snapToGrid w:val="0"/>
          <w:kern w:val="0"/>
          <w:sz w:val="28"/>
        </w:rPr>
        <w:t>合同》和《材料采购方案》相符，是否与工程现场实际需求相符；</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3、</w:t>
      </w:r>
      <w:r>
        <w:rPr>
          <w:rFonts w:hAnsi="宋体"/>
          <w:snapToGrid w:val="0"/>
          <w:kern w:val="0"/>
          <w:sz w:val="28"/>
        </w:rPr>
        <w:t>产品质量是否符合相关技术标准的要求</w:t>
      </w:r>
      <w:r>
        <w:rPr>
          <w:rFonts w:hAnsi="宋体" w:hint="eastAsia"/>
          <w:snapToGrid w:val="0"/>
          <w:kern w:val="0"/>
          <w:sz w:val="28"/>
        </w:rPr>
        <w:t>，必要时</w:t>
      </w:r>
      <w:r>
        <w:rPr>
          <w:rFonts w:hAnsi="宋体"/>
          <w:snapToGrid w:val="0"/>
          <w:kern w:val="0"/>
          <w:sz w:val="28"/>
        </w:rPr>
        <w:t>按规定送检。</w:t>
      </w:r>
    </w:p>
    <w:p>
      <w:pPr>
        <w:adjustRightInd w:val="0"/>
        <w:snapToGrid w:val="0"/>
        <w:spacing w:line="276" w:lineRule="auto"/>
        <w:ind w:firstLine="560" w:firstLineChars="200"/>
        <w:rPr>
          <w:rFonts w:hAnsi="宋体" w:hint="eastAsia"/>
          <w:snapToGrid w:val="0"/>
          <w:kern w:val="0"/>
          <w:sz w:val="28"/>
        </w:rPr>
      </w:pPr>
      <w:r>
        <w:rPr>
          <w:rFonts w:hAnsi="宋体" w:hint="eastAsia"/>
          <w:bCs/>
          <w:snapToGrid w:val="0"/>
          <w:kern w:val="0"/>
          <w:sz w:val="28"/>
          <w:szCs w:val="28"/>
        </w:rPr>
        <w:t xml:space="preserve">3.3.6 </w:t>
      </w:r>
      <w:r>
        <w:rPr>
          <w:rFonts w:hAnsi="宋体"/>
          <w:snapToGrid w:val="0"/>
          <w:kern w:val="0"/>
          <w:sz w:val="28"/>
        </w:rPr>
        <w:t>需送检的材料，工程材料员应及时通知</w:t>
      </w:r>
      <w:r>
        <w:rPr>
          <w:rFonts w:hAnsi="宋体" w:hint="eastAsia"/>
          <w:snapToGrid w:val="0"/>
          <w:kern w:val="0"/>
          <w:sz w:val="28"/>
        </w:rPr>
        <w:t>试</w:t>
      </w:r>
      <w:r>
        <w:rPr>
          <w:rFonts w:hAnsi="宋体"/>
          <w:snapToGrid w:val="0"/>
          <w:kern w:val="0"/>
          <w:sz w:val="28"/>
        </w:rPr>
        <w:t>验员办理有见证送检或监督抽检事宜。</w:t>
      </w:r>
      <w:r>
        <w:rPr>
          <w:rFonts w:hAnsi="宋体" w:hint="eastAsia"/>
          <w:snapToGrid w:val="0"/>
          <w:kern w:val="0"/>
          <w:sz w:val="28"/>
        </w:rPr>
        <w:t>需送检的材料除甲方及相关政府部门指定外，一般应送金众检测公司检验、检测，金众检测公司对检验、检测结果负责，检验、检测费用根据市场价格双方议定。未检材料</w:t>
      </w:r>
      <w:r>
        <w:rPr>
          <w:rFonts w:hAnsi="宋体"/>
          <w:snapToGrid w:val="0"/>
          <w:kern w:val="0"/>
          <w:sz w:val="28"/>
        </w:rPr>
        <w:t>做好“待检，严禁使用〞标识，以防误用。检验合格后做“检验状态〞标识。</w:t>
      </w:r>
    </w:p>
    <w:p>
      <w:pPr>
        <w:adjustRightInd w:val="0"/>
        <w:snapToGrid w:val="0"/>
        <w:spacing w:line="276" w:lineRule="auto"/>
        <w:ind w:firstLine="560" w:firstLineChars="200"/>
        <w:rPr>
          <w:rFonts w:hAnsi="宋体" w:hint="eastAsia"/>
          <w:snapToGrid w:val="0"/>
          <w:kern w:val="0"/>
          <w:sz w:val="28"/>
          <w:szCs w:val="28"/>
        </w:rPr>
      </w:pPr>
      <w:r>
        <w:rPr>
          <w:rFonts w:hAnsi="宋体" w:hint="eastAsia"/>
          <w:bCs/>
          <w:snapToGrid w:val="0"/>
          <w:kern w:val="0"/>
          <w:sz w:val="28"/>
          <w:szCs w:val="28"/>
        </w:rPr>
        <w:t xml:space="preserve">3.3.7 </w:t>
      </w:r>
      <w:r>
        <w:rPr>
          <w:rFonts w:hAnsi="宋体" w:hint="eastAsia"/>
          <w:snapToGrid w:val="0"/>
          <w:kern w:val="0"/>
          <w:sz w:val="28"/>
          <w:szCs w:val="28"/>
        </w:rPr>
        <w:t>所有进出场材料必须有相应的原始单据。原始单据按月汇总装订成册。发包方提供产品的，要单独汇总、存放、记录并标识。</w:t>
      </w:r>
    </w:p>
    <w:p>
      <w:pPr>
        <w:adjustRightInd w:val="0"/>
        <w:snapToGrid w:val="0"/>
        <w:spacing w:line="276" w:lineRule="auto"/>
        <w:rPr>
          <w:rFonts w:hAnsi="宋体" w:hint="eastAsia"/>
          <w:snapToGrid w:val="0"/>
          <w:kern w:val="0"/>
          <w:sz w:val="28"/>
          <w:szCs w:val="28"/>
        </w:rPr>
      </w:pPr>
      <w:r>
        <w:rPr>
          <w:rFonts w:hAnsi="宋体" w:hint="eastAsia"/>
          <w:snapToGrid w:val="0"/>
          <w:kern w:val="0"/>
          <w:sz w:val="28"/>
          <w:szCs w:val="28"/>
        </w:rPr>
        <w:t xml:space="preserve">    原始单据：物资采购验收单</w:t>
      </w:r>
      <w:r>
        <w:rPr>
          <w:rFonts w:hAnsi="宋体" w:hint="eastAsia"/>
          <w:bCs/>
          <w:snapToGrid w:val="0"/>
          <w:kern w:val="0"/>
          <w:sz w:val="28"/>
          <w:szCs w:val="28"/>
        </w:rPr>
        <w:t>(见附表三)、</w:t>
      </w:r>
      <w:r>
        <w:rPr>
          <w:rFonts w:hAnsi="宋体" w:hint="eastAsia"/>
          <w:snapToGrid w:val="0"/>
          <w:kern w:val="0"/>
          <w:sz w:val="28"/>
          <w:szCs w:val="28"/>
        </w:rPr>
        <w:t>入库单</w:t>
      </w:r>
      <w:r>
        <w:rPr>
          <w:rFonts w:hAnsi="宋体" w:hint="eastAsia"/>
          <w:bCs/>
          <w:snapToGrid w:val="0"/>
          <w:kern w:val="0"/>
          <w:sz w:val="28"/>
          <w:szCs w:val="28"/>
        </w:rPr>
        <w:t>(见附表五)</w:t>
      </w:r>
      <w:r>
        <w:rPr>
          <w:rFonts w:hAnsi="宋体" w:hint="eastAsia"/>
          <w:snapToGrid w:val="0"/>
          <w:kern w:val="0"/>
          <w:sz w:val="28"/>
          <w:szCs w:val="28"/>
        </w:rPr>
        <w:t>、出库单</w:t>
      </w:r>
      <w:r>
        <w:rPr>
          <w:rFonts w:hAnsi="宋体" w:hint="eastAsia"/>
          <w:bCs/>
          <w:snapToGrid w:val="0"/>
          <w:kern w:val="0"/>
          <w:sz w:val="28"/>
          <w:szCs w:val="28"/>
        </w:rPr>
        <w:t>(见附表六)</w:t>
      </w:r>
      <w:r>
        <w:rPr>
          <w:rFonts w:hAnsi="宋体" w:hint="eastAsia"/>
          <w:snapToGrid w:val="0"/>
          <w:kern w:val="0"/>
          <w:sz w:val="28"/>
          <w:szCs w:val="28"/>
        </w:rPr>
        <w:t xml:space="preserve"> 、材料领用登记表(见附表四)、砼送货单和月对账表等。</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snapToGrid w:val="0"/>
          <w:kern w:val="0"/>
          <w:sz w:val="28"/>
          <w:szCs w:val="28"/>
        </w:rPr>
        <w:t>3.4</w:t>
      </w:r>
      <w:r>
        <w:rPr>
          <w:rFonts w:hAnsi="宋体" w:hint="eastAsia"/>
          <w:bCs/>
          <w:snapToGrid w:val="0"/>
          <w:kern w:val="0"/>
          <w:sz w:val="28"/>
          <w:szCs w:val="28"/>
        </w:rPr>
        <w:t xml:space="preserve"> 建筑材料、构配件及设备的现场管理</w:t>
      </w:r>
    </w:p>
    <w:p>
      <w:pPr>
        <w:adjustRightInd w:val="0"/>
        <w:snapToGrid w:val="0"/>
        <w:spacing w:line="276" w:lineRule="auto"/>
        <w:ind w:firstLine="570"/>
        <w:rPr>
          <w:rFonts w:hAnsi="宋体" w:hint="eastAsia"/>
          <w:bCs/>
          <w:snapToGrid w:val="0"/>
          <w:kern w:val="0"/>
          <w:sz w:val="28"/>
          <w:szCs w:val="28"/>
        </w:rPr>
      </w:pPr>
      <w:r>
        <w:rPr>
          <w:rFonts w:hAnsi="宋体" w:hint="eastAsia"/>
          <w:bCs/>
          <w:snapToGrid w:val="0"/>
          <w:kern w:val="0"/>
          <w:sz w:val="28"/>
          <w:szCs w:val="28"/>
        </w:rPr>
        <w:t>3.4.1 现场物资耗用方案管理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1、施工现场材料管理人员应参与施工组织设计的编制工作，在技术部门主持下，制定工程所采用的材料技术节约措施、材料管理节约措施，确定材料节约数量目标，并组织实施。</w:t>
      </w:r>
    </w:p>
    <w:p>
      <w:pPr>
        <w:adjustRightInd w:val="0"/>
        <w:snapToGrid w:val="0"/>
        <w:spacing w:line="276" w:lineRule="auto"/>
        <w:ind w:firstLine="570"/>
        <w:rPr>
          <w:rFonts w:hAnsi="宋体" w:hint="eastAsia"/>
          <w:snapToGrid w:val="0"/>
          <w:kern w:val="0"/>
          <w:sz w:val="28"/>
        </w:rPr>
        <w:sectPr>
          <w:type w:val="nextPage"/>
          <w:pgSz w:w="11906" w:h="16838"/>
          <w:pgMar w:top="1134" w:right="1247" w:bottom="1134" w:left="1247" w:header="851" w:footer="992" w:gutter="0"/>
          <w:pgNumType w:start="4"/>
          <w:cols w:space="708"/>
          <w:titlePg w:val="0"/>
          <w:docGrid w:linePitch="312"/>
        </w:sectPr>
      </w:pPr>
      <w:r>
        <w:rPr>
          <w:rFonts w:hAnsi="宋体" w:hint="eastAsia"/>
          <w:snapToGrid w:val="0"/>
          <w:kern w:val="0"/>
          <w:sz w:val="28"/>
        </w:rPr>
        <w:t>2、</w:t>
      </w:r>
      <w:r>
        <w:rPr>
          <w:rFonts w:hAnsi="宋体" w:hint="eastAsia"/>
          <w:snapToGrid w:val="0"/>
          <w:kern w:val="0"/>
          <w:sz w:val="28"/>
          <w:szCs w:val="28"/>
        </w:rPr>
        <w:t>建筑公司〔工程部〕</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应建立材料加工订货的审批控制管理，完善技术、生产、预算部门三算比照制度，不断提高加工订货的准确性。</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3、</w:t>
      </w:r>
      <w:r>
        <w:rPr>
          <w:rFonts w:hAnsi="宋体" w:hint="eastAsia"/>
          <w:snapToGrid w:val="0"/>
          <w:kern w:val="0"/>
          <w:sz w:val="28"/>
          <w:szCs w:val="28"/>
        </w:rPr>
        <w:t>建筑公司〔工程部〕</w:t>
      </w:r>
      <w:r>
        <w:rPr>
          <w:rFonts w:hAnsi="宋体" w:hint="eastAsia"/>
          <w:snapToGrid w:val="0"/>
          <w:kern w:val="0"/>
          <w:sz w:val="28"/>
        </w:rPr>
        <w:t>材料管理部门应对钢材、商砼、水泥等材料建立健全月材料消耗台帐；分栋号、按照材料品种〔钢材、商砼、水泥等〕和施工部位划分〔根底、结构、装修〕建立收入与实耗台帐，对于出现的节约与超耗情况应进行原因分析。</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4、</w:t>
      </w:r>
      <w:r>
        <w:rPr>
          <w:rFonts w:hAnsi="宋体" w:hint="eastAsia"/>
          <w:snapToGrid w:val="0"/>
          <w:kern w:val="0"/>
          <w:sz w:val="28"/>
          <w:szCs w:val="28"/>
        </w:rPr>
        <w:t>建筑公司〔工程部〕</w:t>
      </w:r>
      <w:r>
        <w:rPr>
          <w:rFonts w:hAnsi="宋体" w:hint="eastAsia"/>
          <w:snapToGrid w:val="0"/>
          <w:kern w:val="0"/>
          <w:sz w:val="28"/>
        </w:rPr>
        <w:t>应针对设计变更、洽商、投标漏项等各类施工材料变化，及时调整施工应用材料品种、数量，办理相关手续，妥善保管证据资料，为材料消耗管理和工程结算提供根底依据。</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5、</w:t>
      </w:r>
      <w:r>
        <w:rPr>
          <w:rFonts w:hAnsi="宋体" w:hint="eastAsia"/>
          <w:snapToGrid w:val="0"/>
          <w:kern w:val="0"/>
          <w:sz w:val="28"/>
          <w:szCs w:val="28"/>
        </w:rPr>
        <w:t>建筑公司〔工程部〕</w:t>
      </w:r>
      <w:r>
        <w:rPr>
          <w:rFonts w:hAnsi="宋体" w:hint="eastAsia"/>
          <w:snapToGrid w:val="0"/>
          <w:kern w:val="0"/>
          <w:sz w:val="28"/>
        </w:rPr>
        <w:t>材料设备部是物资消耗管理的执行部门，负责办理入、出库等全部环节的管理工作，必须严格控制物资的发放、使用、结算等工作。</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6、单位工程或分部、分项工程材料应耗量的测算是材料控制使用的最根底的工作，不管是材料全额承包使用、材料数量承包使用、还是</w:t>
      </w:r>
      <w:r>
        <w:rPr>
          <w:rFonts w:hAnsi="宋体" w:hint="eastAsia"/>
          <w:snapToGrid w:val="0"/>
          <w:kern w:val="0"/>
          <w:sz w:val="28"/>
          <w:szCs w:val="28"/>
        </w:rPr>
        <w:t>建筑公司〔工程部〕</w:t>
      </w:r>
      <w:r>
        <w:rPr>
          <w:rFonts w:hAnsi="宋体" w:hint="eastAsia"/>
          <w:snapToGrid w:val="0"/>
          <w:kern w:val="0"/>
          <w:sz w:val="28"/>
        </w:rPr>
        <w:t>自己发料控制使用，都必须按施工预算先行测算单位工程、分部、分项工程材料应耗数量，作为材料控制使用依据，不管选用哪种使用方案，都必须与材料使用单位签订材料使用协议，明确双方责任，制定节奖、超罚标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A.钢筋应耗量：可选用钢筋翻样量加损耗作为钢筋控制用量，损耗率应不超过3%，或选用钢筋加工出材率，出材率应大于97%。</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B.混凝土应耗量：应以图纸几何尺寸扣除钢筋量作为应耗量，加损耗率作为控制用量，损耗率底板砼不超过1%，结构砼不超过1.5%。</w:t>
      </w:r>
    </w:p>
    <w:p>
      <w:pPr>
        <w:adjustRightInd w:val="0"/>
        <w:snapToGrid w:val="0"/>
        <w:spacing w:line="276" w:lineRule="auto"/>
        <w:ind w:firstLine="560" w:firstLineChars="200"/>
        <w:rPr>
          <w:rFonts w:hAnsi="宋体" w:hint="eastAsia"/>
          <w:snapToGrid w:val="0"/>
          <w:kern w:val="0"/>
          <w:sz w:val="28"/>
          <w:szCs w:val="28"/>
        </w:rPr>
      </w:pPr>
      <w:r>
        <w:rPr>
          <w:rFonts w:hAnsi="宋体" w:hint="eastAsia"/>
          <w:snapToGrid w:val="0"/>
          <w:kern w:val="0"/>
          <w:sz w:val="28"/>
          <w:szCs w:val="28"/>
        </w:rPr>
        <w:t>3.4.2 物资堆放贮存的管理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施工现场要根据不同的施工阶段绘制材料存放平面布置图，合理选择堆放场地，并按平面布置图指定位置存放材料，分品种规格码放整齐、稳固，做到一头齐一条线，防止因施工工序交叉而造成材料变质〔变形〕、损坏。</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2、施工现场要做到整齐干净，无废弃材料，材料存放场地的零散碎料、钢筋头、垃圾、渣土要及时清理、分类存放；露天存放材料无扬尘，采用分区、分段、划分责任区、责任人的方法，并设标识，做到管理有序。</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3、施工现场、建筑物内外、材料堆放区、大型工具堆放区、材料加工区，要保持无渣土、无废弃物、无杂草、无积水，设专人随时清理；建筑作业面要做到活完料净脚下清。</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4、施工现场循环道路应坚实硬化，两侧设有排水沟，保证雨季材料进出场运输。材料存放场地、仓库，应选择地势较高，远离水源、高压线，做到平整坚实，有排水措施。</w:t>
      </w:r>
    </w:p>
    <w:p>
      <w:pPr>
        <w:adjustRightInd w:val="0"/>
        <w:snapToGrid w:val="0"/>
        <w:spacing w:line="276" w:lineRule="auto"/>
        <w:ind w:firstLine="570"/>
        <w:rPr>
          <w:rFonts w:hAnsi="宋体" w:hint="eastAsia"/>
          <w:snapToGrid w:val="0"/>
          <w:kern w:val="0"/>
          <w:sz w:val="28"/>
        </w:rPr>
        <w:sectPr>
          <w:type w:val="nextPage"/>
          <w:pgSz w:w="11906" w:h="16838"/>
          <w:pgMar w:top="1134" w:right="1247" w:bottom="1134" w:left="1247" w:header="851" w:footer="992" w:gutter="0"/>
          <w:pgNumType w:start="5"/>
          <w:cols w:space="708"/>
          <w:titlePg w:val="0"/>
          <w:docGrid w:linePitch="312"/>
        </w:sectPr>
      </w:pP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5、大型材料贮存区域应考虑起重机械设备的吊装覆盖范围，防止二次搬运及重复劳动。施工现场材料码放距建筑物不小于2.5米，脚手架近旁、首层平安网下严禁堆放材料；根底工程施工阶段距坑槽1米外方可堆放材料。</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6、水泥、白灰粉等易飞扬材料要入库保存，水泥库应设在地势较高处，或垫高夯实，周围应设有排水沟。水泥库应设两个门，做到先进先出，库门要严密牢固有锁，库内地面要做防潮处理，内墙做1.5米高防水砂浆，码放应距墙0.15米以上，码放高度不得超过10袋，应按不同品种、标号、生产厂家及出厂日期分别码放，并设标识牌，库内外散灰要及时清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7、钢材料场要有良好的排水措施，场地平整无杂草、无杂物，各种钢材码放垫底高度不得低于0.25米，无垂落于地。应分品种、规格码放，不得混放，做到一头齐有标识。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8、木材堆放垛不应过大，垛距间隔合理，并根据消防要求配备合格消防器材，按规格码放，码放高度不超过1.5米，远离易燃、易爆品仓库、高压线。</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9、砖、砌块应成丁、成行，码放高度不得超过1.5米，砂、石料场要平整夯实有围挡、苫盖，不得混放，随用随清不留料底。</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10、施工现场材料保管要根据材料的性质，采取必要的防雨、防潮、防腐、防晒、防冻、防火、防爆、防虫、防损坏、防污染措施，贵重物品、易燃易爆或有毒物品要及时入库，专库、专管，油料仓库必须有防止泄露和防止污染措施，并设明显标志。</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11、外埠工程在允许的情况下如需现场搅拌砂浆、混凝土时，应采用集中搅拌的形式，搅拌机与拖式泵周围、施工现场、建筑物内，不应有废弃砂浆与混凝土，场内道路与操作面落地灰应及时清理，运输浇注应有有效的防散落措施。</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12、施工现场必须设密闭垃圾站，生产、生活垃圾必须分开存放。施工剩余材料、包装容器应及时回收、集中堆放并及时清运，钢材废料要集中单独存放。建筑垃圾废料应请有资质的单位清运，符合环保要求。</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13、建筑物内原那么上不允许存放材料，如确属现场狭小，必须经</w:t>
      </w:r>
      <w:r>
        <w:rPr>
          <w:rFonts w:hAnsi="宋体" w:cs="Arial" w:hint="eastAsia"/>
          <w:snapToGrid w:val="0"/>
          <w:sz w:val="28"/>
          <w:szCs w:val="28"/>
        </w:rPr>
        <w:t>集团公司</w:t>
      </w:r>
      <w:r>
        <w:rPr>
          <w:rFonts w:hAnsi="宋体" w:hint="eastAsia"/>
          <w:snapToGrid w:val="0"/>
          <w:kern w:val="0"/>
          <w:sz w:val="28"/>
        </w:rPr>
        <w:t>工程管理部批准，建筑物内严禁存放易燃易爆物。</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14、施工现场要做好节约能源工作，杜绝长明灯、长流水现象。</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15、</w:t>
      </w:r>
      <w:r>
        <w:rPr>
          <w:rFonts w:hAnsi="宋体" w:hint="eastAsia"/>
          <w:snapToGrid w:val="0"/>
          <w:kern w:val="0"/>
          <w:sz w:val="28"/>
          <w:szCs w:val="28"/>
        </w:rPr>
        <w:t>建筑公司〔工程部〕</w:t>
      </w:r>
      <w:r>
        <w:rPr>
          <w:rFonts w:hAnsi="宋体" w:hint="eastAsia"/>
          <w:snapToGrid w:val="0"/>
          <w:kern w:val="0"/>
          <w:sz w:val="28"/>
        </w:rPr>
        <w:t>材料部门每月一次对现场进行自检自查，并填写《工程部自行检查和整改记录》(见附表八)。</w:t>
      </w:r>
    </w:p>
    <w:p>
      <w:pPr>
        <w:adjustRightInd w:val="0"/>
        <w:snapToGrid w:val="0"/>
        <w:spacing w:line="276" w:lineRule="auto"/>
        <w:ind w:firstLine="560" w:firstLineChars="200"/>
        <w:rPr>
          <w:rFonts w:hAnsi="宋体" w:hint="eastAsia"/>
          <w:snapToGrid w:val="0"/>
          <w:kern w:val="0"/>
          <w:sz w:val="28"/>
          <w:szCs w:val="28"/>
        </w:rPr>
      </w:pPr>
      <w:r>
        <w:rPr>
          <w:rFonts w:hAnsi="宋体" w:hint="eastAsia"/>
          <w:snapToGrid w:val="0"/>
          <w:kern w:val="0"/>
          <w:sz w:val="28"/>
          <w:szCs w:val="28"/>
        </w:rPr>
        <w:t>3.4.3 仓库管理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1、仓库应按施工组织设计平面布置图规定的位置进行搭建，库房有消防措施及警示语，仓库管理制度应悬挂在明显处。</w:t>
      </w:r>
    </w:p>
    <w:p>
      <w:pPr>
        <w:adjustRightInd w:val="0"/>
        <w:snapToGrid w:val="0"/>
        <w:spacing w:line="276" w:lineRule="auto"/>
        <w:ind w:firstLine="570"/>
        <w:rPr>
          <w:rFonts w:hAnsi="宋体" w:hint="eastAsia"/>
          <w:snapToGrid w:val="0"/>
          <w:kern w:val="0"/>
          <w:sz w:val="28"/>
        </w:rPr>
        <w:sectPr>
          <w:type w:val="nextPage"/>
          <w:pgSz w:w="11906" w:h="16838"/>
          <w:pgMar w:top="1134" w:right="1247" w:bottom="1134" w:left="1247" w:header="851" w:footer="992" w:gutter="0"/>
          <w:pgNumType w:start="6"/>
          <w:cols w:space="708"/>
          <w:titlePg w:val="0"/>
          <w:docGrid w:linePitch="312"/>
        </w:sectPr>
      </w:pPr>
      <w:r>
        <w:rPr>
          <w:rFonts w:hAnsi="宋体" w:hint="eastAsia"/>
          <w:snapToGrid w:val="0"/>
          <w:kern w:val="0"/>
          <w:sz w:val="28"/>
        </w:rPr>
        <w:t>2、仓库应尽量选择地势较高、有排水措施、远离高压线的地方，做到平整坚实；材料仓库应分区、分类码放，悬挂标识；有特殊要求的物资应专库存放，专人保管，严格收发手续。</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各种仓库应根据不同物资要求具有枯燥、通风、防冻、防晒、防火、防潮、防淋、防高温等相应功能。</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3、物资入库前首先应核对相关供料凭证〔收料单、货运单、磅单〕及质量证明〔合格证、材质证明、产品说明书、资质证号等〕是否真实有效，核对无误方可办理入库手续，与工程无关的物资不能入库；在保证正常施工情况下应尽量减少库存量。</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入库时</w:t>
      </w:r>
      <w:r>
        <w:rPr>
          <w:rFonts w:hAnsi="宋体"/>
          <w:snapToGrid w:val="0"/>
          <w:kern w:val="0"/>
          <w:sz w:val="28"/>
        </w:rPr>
        <w:t>工程材料</w:t>
      </w:r>
      <w:r>
        <w:rPr>
          <w:rFonts w:hAnsi="宋体" w:hint="eastAsia"/>
          <w:snapToGrid w:val="0"/>
          <w:kern w:val="0"/>
          <w:sz w:val="28"/>
        </w:rPr>
        <w:t>员必须</w:t>
      </w:r>
      <w:r>
        <w:rPr>
          <w:rFonts w:hAnsi="宋体"/>
          <w:snapToGrid w:val="0"/>
          <w:kern w:val="0"/>
          <w:sz w:val="28"/>
        </w:rPr>
        <w:t>及时做好标识</w:t>
      </w:r>
      <w:r>
        <w:rPr>
          <w:rFonts w:hAnsi="宋体" w:hint="eastAsia"/>
          <w:snapToGrid w:val="0"/>
          <w:kern w:val="0"/>
          <w:sz w:val="28"/>
        </w:rPr>
        <w:t>卡</w:t>
      </w:r>
      <w:r>
        <w:rPr>
          <w:rFonts w:hAnsi="宋体"/>
          <w:snapToGrid w:val="0"/>
          <w:kern w:val="0"/>
          <w:sz w:val="28"/>
        </w:rPr>
        <w:t>，标识内容一般包括名称、规格型号、检验状态、进场日期等</w:t>
      </w:r>
      <w:r>
        <w:rPr>
          <w:rFonts w:hAnsi="宋体" w:hint="eastAsia"/>
          <w:snapToGrid w:val="0"/>
          <w:kern w:val="0"/>
          <w:sz w:val="28"/>
        </w:rPr>
        <w:t>；</w:t>
      </w:r>
      <w:r>
        <w:rPr>
          <w:rFonts w:hAnsi="宋体"/>
          <w:snapToGrid w:val="0"/>
          <w:kern w:val="0"/>
          <w:sz w:val="28"/>
        </w:rPr>
        <w:t>对于某些外观差异很小但类别、型号、性能相差很大的材料，应加以明显标识〔可以标牌、分区堆放等方式标识〕，如钢筋、水泥、砌块</w:t>
      </w:r>
      <w:r>
        <w:rPr>
          <w:rFonts w:hAnsi="宋体" w:hint="eastAsia"/>
          <w:snapToGrid w:val="0"/>
          <w:kern w:val="0"/>
          <w:sz w:val="28"/>
        </w:rPr>
        <w:t>等，标识内容除前述外，应增加使用部位、检验报告编号等内容。不同种类的材料须分开堆放，对容易混淆者应加以标识。同种材料应按规格不同、入库时间不同分开堆放，做好标识。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4、库管物资必须按控制使用措施的规定及《物资领用登记表》(见附表四)规定的品种、规格、型号、数量发放，领用班组长或经办人必须认真复核，确认签字</w:t>
      </w:r>
      <w:r>
        <w:rPr>
          <w:rFonts w:hAnsi="宋体"/>
          <w:snapToGrid w:val="0"/>
          <w:kern w:val="0"/>
          <w:sz w:val="28"/>
        </w:rPr>
        <w:t>。</w:t>
      </w:r>
      <w:r>
        <w:rPr>
          <w:rFonts w:hAnsi="宋体" w:hint="eastAsia"/>
          <w:snapToGrid w:val="0"/>
          <w:kern w:val="0"/>
          <w:sz w:val="28"/>
        </w:rPr>
        <w:t>无正式领用手续库管员可拒绝发料。物资发放应坚持先进先出的原那么，日清月结，做到帐物相符，记账清楚、数字准确；各种单据凭证装订成册，妥善保管。</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5、易燃、易爆材料的仓库要远离火源，有明显的标志，设消防器材和灭火材料；油漆、稀料、油料必须单独设库，库房照明用防爆灯；库内不得有电源插座及明火，并安装通风装置。</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6、各类材料办理出库时，都必须</w:t>
      </w:r>
      <w:r>
        <w:rPr>
          <w:rFonts w:hAnsi="宋体"/>
          <w:snapToGrid w:val="0"/>
          <w:kern w:val="0"/>
          <w:sz w:val="28"/>
        </w:rPr>
        <w:t>填写</w:t>
      </w:r>
      <w:r>
        <w:rPr>
          <w:rFonts w:hAnsi="宋体" w:hint="eastAsia"/>
          <w:snapToGrid w:val="0"/>
          <w:kern w:val="0"/>
          <w:sz w:val="28"/>
        </w:rPr>
        <w:t>《物资出库单》(见附表六)</w:t>
      </w:r>
      <w:r>
        <w:rPr>
          <w:rFonts w:hAnsi="宋体"/>
          <w:snapToGrid w:val="0"/>
          <w:kern w:val="0"/>
          <w:sz w:val="28"/>
        </w:rPr>
        <w:t>。</w:t>
      </w:r>
    </w:p>
    <w:p>
      <w:pPr>
        <w:adjustRightInd w:val="0"/>
        <w:snapToGrid w:val="0"/>
        <w:spacing w:line="276" w:lineRule="auto"/>
        <w:ind w:firstLine="560" w:firstLineChars="200"/>
        <w:rPr>
          <w:rFonts w:hAnsi="宋体" w:hint="eastAsia"/>
          <w:bCs/>
          <w:snapToGrid w:val="0"/>
          <w:kern w:val="0"/>
          <w:sz w:val="28"/>
          <w:szCs w:val="28"/>
        </w:rPr>
      </w:pPr>
      <w:r>
        <w:rPr>
          <w:rFonts w:hAnsi="宋体" w:hint="eastAsia"/>
          <w:bCs/>
          <w:snapToGrid w:val="0"/>
          <w:kern w:val="0"/>
          <w:sz w:val="28"/>
          <w:szCs w:val="28"/>
        </w:rPr>
        <w:t>3.4.4 材料标识与可追溯管理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1、物资的标识采用标牌、标签等形式。</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2、现场物资标牌：按</w:t>
      </w:r>
      <w:r>
        <w:rPr>
          <w:rFonts w:hAnsi="宋体" w:cs="Arial" w:hint="eastAsia"/>
          <w:snapToGrid w:val="0"/>
          <w:sz w:val="28"/>
          <w:szCs w:val="28"/>
        </w:rPr>
        <w:t>集团公司</w:t>
      </w:r>
      <w:r>
        <w:rPr>
          <w:rFonts w:hAnsi="宋体" w:hint="eastAsia"/>
          <w:snapToGrid w:val="0"/>
          <w:kern w:val="0"/>
          <w:sz w:val="28"/>
        </w:rPr>
        <w:t>统一要求的标准制作。</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3、标识牌按不同材料注明名称、规格、状态、生产日期等内容，如果是发包方提供的物资应注明。所有物资要保存物资原出厂的标识，并标明进场日期。</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4、结构用钢筋、商砼等重要物资应保存其进场记录、检测报告及出厂记录等资料，以满足实现可追溯的要求。</w:t>
      </w:r>
    </w:p>
    <w:p>
      <w:pPr>
        <w:adjustRightInd w:val="0"/>
        <w:snapToGrid w:val="0"/>
        <w:spacing w:line="276" w:lineRule="auto"/>
        <w:ind w:firstLine="560" w:firstLineChars="200"/>
        <w:rPr>
          <w:rFonts w:hAnsi="宋体" w:hint="eastAsia"/>
          <w:snapToGrid w:val="0"/>
          <w:kern w:val="0"/>
          <w:sz w:val="28"/>
          <w:szCs w:val="28"/>
        </w:rPr>
      </w:pPr>
      <w:r>
        <w:rPr>
          <w:rFonts w:hAnsi="宋体" w:hint="eastAsia"/>
          <w:snapToGrid w:val="0"/>
          <w:kern w:val="0"/>
          <w:sz w:val="28"/>
          <w:szCs w:val="28"/>
        </w:rPr>
        <w:t>3.4.5 施工现场固体废弃物的管理</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1、</w:t>
      </w:r>
      <w:r>
        <w:rPr>
          <w:rFonts w:hAnsi="宋体" w:hint="eastAsia"/>
          <w:snapToGrid w:val="0"/>
          <w:kern w:val="0"/>
          <w:sz w:val="28"/>
          <w:szCs w:val="28"/>
        </w:rPr>
        <w:t>建筑公司〔工程部〕</w:t>
      </w:r>
      <w:r>
        <w:rPr>
          <w:rFonts w:hAnsi="宋体" w:hint="eastAsia"/>
          <w:snapToGrid w:val="0"/>
          <w:kern w:val="0"/>
          <w:sz w:val="28"/>
        </w:rPr>
        <w:t>负责本单位施工现场固体废弃物管理，施工现场建立密封式垃圾站，存放建筑施工垃圾。施工现场废钢材堆料场设置围挡，并设立标识，明确责任人。施工中的渣土集中堆放，要有遮盖，不得扬洒，及时分拣清运。</w:t>
      </w:r>
    </w:p>
    <w:p>
      <w:pPr>
        <w:adjustRightInd w:val="0"/>
        <w:snapToGrid w:val="0"/>
        <w:spacing w:line="276" w:lineRule="auto"/>
        <w:ind w:firstLine="570"/>
        <w:rPr>
          <w:rFonts w:hAnsi="宋体" w:hint="eastAsia"/>
          <w:snapToGrid w:val="0"/>
          <w:kern w:val="0"/>
          <w:sz w:val="28"/>
        </w:rPr>
      </w:pPr>
      <w:r>
        <w:rPr>
          <w:rFonts w:hAnsi="宋体" w:hint="eastAsia"/>
          <w:snapToGrid w:val="0"/>
          <w:kern w:val="0"/>
          <w:sz w:val="28"/>
        </w:rPr>
        <w:t>2、根据有关规定，</w:t>
      </w:r>
      <w:r>
        <w:rPr>
          <w:rFonts w:hAnsi="宋体" w:hint="eastAsia"/>
          <w:snapToGrid w:val="0"/>
          <w:kern w:val="0"/>
          <w:sz w:val="28"/>
          <w:szCs w:val="28"/>
        </w:rPr>
        <w:t>建筑公司〔工程部〕</w:t>
      </w:r>
      <w:r>
        <w:rPr>
          <w:rFonts w:hAnsi="宋体" w:hint="eastAsia"/>
          <w:snapToGrid w:val="0"/>
          <w:kern w:val="0"/>
          <w:sz w:val="28"/>
        </w:rPr>
        <w:br/>
      </w:r>
      <w:r>
        <w:rPr>
          <w:rFonts w:hAnsi="宋体" w:hint="eastAsia"/>
          <w:snapToGrid w:val="0"/>
          <w:kern w:val="0"/>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https://d.book118.com/006013000122010042</w:t>
        </w:r>
      </w:hyperlink>
    </w:p>
    <w:p>
      <w:pPr>
        <w:adjustRightInd w:val="0"/>
        <w:snapToGrid w:val="0"/>
        <w:spacing w:line="276" w:lineRule="auto"/>
        <w:ind w:firstLine="570"/>
        <w:rPr>
          <w:rFonts w:hAnsi="宋体" w:hint="eastAsia"/>
          <w:snapToGrid w:val="0"/>
          <w:kern w:val="0"/>
          <w:sz w:val="28"/>
        </w:rPr>
      </w:pPr>
    </w:p>
    <w:sectPr>
      <w:type w:val="nextPage"/>
      <w:pgSz w:w="11906" w:h="16838"/>
      <w:pgMar w:top="1134" w:right="1247" w:bottom="1134" w:left="1247" w:header="851" w:footer="992" w:gutter="0"/>
      <w:pgNumType w:start="7"/>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swiss"/>
    <w:pitch w:val="default"/>
    <w:sig w:usb0="61007A87" w:usb1="80000000" w:usb2="00000008" w:usb3="00000000" w:csb0="200101FF" w:csb1="20280000"/>
  </w:font>
  <w:font w:name="Verdana">
    <w:panose1 w:val="020B0604030504040204"/>
    <w:charset w:val="00"/>
    <w:family w:val="swiss"/>
    <w:pitch w:val="default"/>
    <w:sig w:usb0="00000287" w:usb1="00000000"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1"/>
    <w:family w:val="swiss"/>
    <w:pitch w:val="default"/>
    <w:sig w:usb0="00007A87" w:usb1="80000000" w:usb2="00000008" w:usb3="00000000"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DA24C1"/>
    <w:multiLevelType w:val="multilevel"/>
    <w:tmpl w:val="40DA24C1"/>
    <w:lvl w:ilvl="0">
      <w:start w:val="1"/>
      <w:numFmt w:val="decimal"/>
      <w:lvlText w:val="%1"/>
      <w:lvlJc w:val="left"/>
      <w:pPr>
        <w:tabs>
          <w:tab w:val="num" w:pos="715"/>
        </w:tabs>
        <w:ind w:left="715" w:hanging="435"/>
      </w:pPr>
      <w:rPr>
        <w:rFonts w:hint="default"/>
      </w:rPr>
    </w:lvl>
    <w:lvl w:ilvl="1">
      <w:start w:val="1"/>
      <w:numFmt w:val="lowerLetter"/>
      <w:lvlText w:val="%2)"/>
      <w:lvlJc w:val="left"/>
      <w:pPr>
        <w:tabs>
          <w:tab w:val="num" w:pos="1120"/>
        </w:tabs>
        <w:ind w:left="1120" w:hanging="420"/>
      </w:pPr>
    </w:lvl>
    <w:lvl w:ilvl="2">
      <w:start w:val="1"/>
      <w:numFmt w:val="lowerRoman"/>
      <w:lvlText w:val="%3."/>
      <w:lvlJc w:val="right"/>
      <w:pPr>
        <w:tabs>
          <w:tab w:val="num" w:pos="1540"/>
        </w:tabs>
        <w:ind w:left="1540" w:hanging="420"/>
      </w:pPr>
    </w:lvl>
    <w:lvl w:ilvl="3">
      <w:start w:val="1"/>
      <w:numFmt w:val="decimal"/>
      <w:lvlText w:val="%4."/>
      <w:lvlJc w:val="left"/>
      <w:pPr>
        <w:tabs>
          <w:tab w:val="num" w:pos="1960"/>
        </w:tabs>
        <w:ind w:left="1960" w:hanging="420"/>
      </w:pPr>
    </w:lvl>
    <w:lvl w:ilvl="4">
      <w:start w:val="1"/>
      <w:numFmt w:val="lowerLetter"/>
      <w:lvlText w:val="%5)"/>
      <w:lvlJc w:val="left"/>
      <w:pPr>
        <w:tabs>
          <w:tab w:val="num" w:pos="2380"/>
        </w:tabs>
        <w:ind w:left="2380" w:hanging="420"/>
      </w:pPr>
    </w:lvl>
    <w:lvl w:ilvl="5">
      <w:start w:val="1"/>
      <w:numFmt w:val="lowerRoman"/>
      <w:lvlText w:val="%6."/>
      <w:lvlJc w:val="right"/>
      <w:pPr>
        <w:tabs>
          <w:tab w:val="num" w:pos="2800"/>
        </w:tabs>
        <w:ind w:left="2800" w:hanging="420"/>
      </w:pPr>
    </w:lvl>
    <w:lvl w:ilvl="6">
      <w:start w:val="1"/>
      <w:numFmt w:val="decimal"/>
      <w:lvlText w:val="%7."/>
      <w:lvlJc w:val="left"/>
      <w:pPr>
        <w:tabs>
          <w:tab w:val="num" w:pos="3220"/>
        </w:tabs>
        <w:ind w:left="3220" w:hanging="420"/>
      </w:pPr>
    </w:lvl>
    <w:lvl w:ilvl="7">
      <w:start w:val="1"/>
      <w:numFmt w:val="lowerLetter"/>
      <w:lvlText w:val="%8)"/>
      <w:lvlJc w:val="left"/>
      <w:pPr>
        <w:tabs>
          <w:tab w:val="num" w:pos="3640"/>
        </w:tabs>
        <w:ind w:left="3640" w:hanging="420"/>
      </w:pPr>
    </w:lvl>
    <w:lvl w:ilvl="8">
      <w:start w:val="1"/>
      <w:numFmt w:val="lowerRoman"/>
      <w:lvlText w:val="%9."/>
      <w:lvlJc w:val="right"/>
      <w:pPr>
        <w:tabs>
          <w:tab w:val="num" w:pos="4060"/>
        </w:tabs>
        <w:ind w:left="40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0474"/>
    <w:rsid w:val="000014CC"/>
    <w:rsid w:val="00001DD8"/>
    <w:rsid w:val="00004297"/>
    <w:rsid w:val="00005DF4"/>
    <w:rsid w:val="00006448"/>
    <w:rsid w:val="0001589A"/>
    <w:rsid w:val="00020AE1"/>
    <w:rsid w:val="00021EB0"/>
    <w:rsid w:val="00026EE7"/>
    <w:rsid w:val="00027810"/>
    <w:rsid w:val="00031B1D"/>
    <w:rsid w:val="00031CA8"/>
    <w:rsid w:val="0003654C"/>
    <w:rsid w:val="00036CFF"/>
    <w:rsid w:val="00037236"/>
    <w:rsid w:val="00041231"/>
    <w:rsid w:val="00042CD8"/>
    <w:rsid w:val="00043973"/>
    <w:rsid w:val="00043B73"/>
    <w:rsid w:val="0004431D"/>
    <w:rsid w:val="00045690"/>
    <w:rsid w:val="00045C2E"/>
    <w:rsid w:val="00047587"/>
    <w:rsid w:val="00050FE6"/>
    <w:rsid w:val="00052582"/>
    <w:rsid w:val="00054680"/>
    <w:rsid w:val="00054FCA"/>
    <w:rsid w:val="00056ED5"/>
    <w:rsid w:val="0006110B"/>
    <w:rsid w:val="000626B8"/>
    <w:rsid w:val="00065AA1"/>
    <w:rsid w:val="00067AC6"/>
    <w:rsid w:val="00070FBC"/>
    <w:rsid w:val="00072CB8"/>
    <w:rsid w:val="0007446D"/>
    <w:rsid w:val="00077105"/>
    <w:rsid w:val="00082024"/>
    <w:rsid w:val="00085454"/>
    <w:rsid w:val="000950B0"/>
    <w:rsid w:val="00095CB3"/>
    <w:rsid w:val="000975E7"/>
    <w:rsid w:val="000A24FD"/>
    <w:rsid w:val="000B23BD"/>
    <w:rsid w:val="000B4E8D"/>
    <w:rsid w:val="000C0025"/>
    <w:rsid w:val="000C1027"/>
    <w:rsid w:val="000C3D50"/>
    <w:rsid w:val="000C7B8C"/>
    <w:rsid w:val="000D1B45"/>
    <w:rsid w:val="000D33CA"/>
    <w:rsid w:val="000E1FA7"/>
    <w:rsid w:val="000E3BF8"/>
    <w:rsid w:val="000E59AD"/>
    <w:rsid w:val="000E6AF0"/>
    <w:rsid w:val="000E6EB7"/>
    <w:rsid w:val="000F1539"/>
    <w:rsid w:val="000F35EC"/>
    <w:rsid w:val="000F3622"/>
    <w:rsid w:val="000F4323"/>
    <w:rsid w:val="000F5316"/>
    <w:rsid w:val="000F57AA"/>
    <w:rsid w:val="000F75B8"/>
    <w:rsid w:val="00101898"/>
    <w:rsid w:val="0010224F"/>
    <w:rsid w:val="00103754"/>
    <w:rsid w:val="00104F06"/>
    <w:rsid w:val="0010734E"/>
    <w:rsid w:val="00111566"/>
    <w:rsid w:val="001149D4"/>
    <w:rsid w:val="00115C50"/>
    <w:rsid w:val="001176A7"/>
    <w:rsid w:val="00122732"/>
    <w:rsid w:val="00123256"/>
    <w:rsid w:val="00123840"/>
    <w:rsid w:val="00123F03"/>
    <w:rsid w:val="001270B9"/>
    <w:rsid w:val="00132B98"/>
    <w:rsid w:val="00133423"/>
    <w:rsid w:val="001405D2"/>
    <w:rsid w:val="00144140"/>
    <w:rsid w:val="00154836"/>
    <w:rsid w:val="00155548"/>
    <w:rsid w:val="00155894"/>
    <w:rsid w:val="00160409"/>
    <w:rsid w:val="001605C7"/>
    <w:rsid w:val="00165DD8"/>
    <w:rsid w:val="0016649B"/>
    <w:rsid w:val="00166F8A"/>
    <w:rsid w:val="00170BD2"/>
    <w:rsid w:val="00174A29"/>
    <w:rsid w:val="00175760"/>
    <w:rsid w:val="0017688E"/>
    <w:rsid w:val="00177DF7"/>
    <w:rsid w:val="00180BA9"/>
    <w:rsid w:val="0018137F"/>
    <w:rsid w:val="00182A07"/>
    <w:rsid w:val="00182E7A"/>
    <w:rsid w:val="00185B95"/>
    <w:rsid w:val="00195182"/>
    <w:rsid w:val="001A03F6"/>
    <w:rsid w:val="001A1139"/>
    <w:rsid w:val="001A1F75"/>
    <w:rsid w:val="001A2CBF"/>
    <w:rsid w:val="001A544A"/>
    <w:rsid w:val="001A5F9A"/>
    <w:rsid w:val="001A6D03"/>
    <w:rsid w:val="001B10F0"/>
    <w:rsid w:val="001B11B4"/>
    <w:rsid w:val="001B11D5"/>
    <w:rsid w:val="001B225A"/>
    <w:rsid w:val="001B3A05"/>
    <w:rsid w:val="001C2160"/>
    <w:rsid w:val="001C4F08"/>
    <w:rsid w:val="001C7858"/>
    <w:rsid w:val="001D40A7"/>
    <w:rsid w:val="001D4BC5"/>
    <w:rsid w:val="001D4FE4"/>
    <w:rsid w:val="001D67C1"/>
    <w:rsid w:val="001E05CE"/>
    <w:rsid w:val="001E2BC5"/>
    <w:rsid w:val="001E7639"/>
    <w:rsid w:val="001F0559"/>
    <w:rsid w:val="001F7560"/>
    <w:rsid w:val="00204EFE"/>
    <w:rsid w:val="00205940"/>
    <w:rsid w:val="00216074"/>
    <w:rsid w:val="00221327"/>
    <w:rsid w:val="00221AC1"/>
    <w:rsid w:val="00221AC5"/>
    <w:rsid w:val="00224A9D"/>
    <w:rsid w:val="00225E1C"/>
    <w:rsid w:val="002264A5"/>
    <w:rsid w:val="0023192C"/>
    <w:rsid w:val="00234A5B"/>
    <w:rsid w:val="002362D7"/>
    <w:rsid w:val="00244068"/>
    <w:rsid w:val="00244B31"/>
    <w:rsid w:val="00244F7D"/>
    <w:rsid w:val="0024569F"/>
    <w:rsid w:val="00245EE7"/>
    <w:rsid w:val="00247DD8"/>
    <w:rsid w:val="002506DA"/>
    <w:rsid w:val="0025387C"/>
    <w:rsid w:val="00253F7D"/>
    <w:rsid w:val="00255960"/>
    <w:rsid w:val="00256C42"/>
    <w:rsid w:val="00260CD3"/>
    <w:rsid w:val="00260DE0"/>
    <w:rsid w:val="00266BFD"/>
    <w:rsid w:val="00273003"/>
    <w:rsid w:val="0027533C"/>
    <w:rsid w:val="00283FB3"/>
    <w:rsid w:val="0028699A"/>
    <w:rsid w:val="00287A9E"/>
    <w:rsid w:val="0029320F"/>
    <w:rsid w:val="002942CD"/>
    <w:rsid w:val="002975B2"/>
    <w:rsid w:val="002A0869"/>
    <w:rsid w:val="002A1D4B"/>
    <w:rsid w:val="002A5703"/>
    <w:rsid w:val="002A6C56"/>
    <w:rsid w:val="002A7D37"/>
    <w:rsid w:val="002B0A03"/>
    <w:rsid w:val="002B11B4"/>
    <w:rsid w:val="002B370D"/>
    <w:rsid w:val="002B592E"/>
    <w:rsid w:val="002B707A"/>
    <w:rsid w:val="002C0887"/>
    <w:rsid w:val="002C10D2"/>
    <w:rsid w:val="002C41EC"/>
    <w:rsid w:val="002C4DAD"/>
    <w:rsid w:val="002C6E1E"/>
    <w:rsid w:val="002D0802"/>
    <w:rsid w:val="002D1C47"/>
    <w:rsid w:val="002D5BFB"/>
    <w:rsid w:val="002D6065"/>
    <w:rsid w:val="002E021B"/>
    <w:rsid w:val="002E773A"/>
    <w:rsid w:val="002F2B02"/>
    <w:rsid w:val="0030375D"/>
    <w:rsid w:val="00303AC2"/>
    <w:rsid w:val="00304618"/>
    <w:rsid w:val="00305EEE"/>
    <w:rsid w:val="003111B0"/>
    <w:rsid w:val="003119E2"/>
    <w:rsid w:val="003138B9"/>
    <w:rsid w:val="003139BC"/>
    <w:rsid w:val="00315CF0"/>
    <w:rsid w:val="003235F9"/>
    <w:rsid w:val="003249CB"/>
    <w:rsid w:val="003251C5"/>
    <w:rsid w:val="003271C7"/>
    <w:rsid w:val="00327919"/>
    <w:rsid w:val="00331E9E"/>
    <w:rsid w:val="00333FE5"/>
    <w:rsid w:val="00341509"/>
    <w:rsid w:val="00344787"/>
    <w:rsid w:val="00350F90"/>
    <w:rsid w:val="00351B1C"/>
    <w:rsid w:val="003521E5"/>
    <w:rsid w:val="00355E62"/>
    <w:rsid w:val="0036376D"/>
    <w:rsid w:val="00370B1F"/>
    <w:rsid w:val="003710D4"/>
    <w:rsid w:val="003733B5"/>
    <w:rsid w:val="00376340"/>
    <w:rsid w:val="0038035F"/>
    <w:rsid w:val="00385096"/>
    <w:rsid w:val="00385CC7"/>
    <w:rsid w:val="003931BF"/>
    <w:rsid w:val="003956F2"/>
    <w:rsid w:val="003957E6"/>
    <w:rsid w:val="00395E5A"/>
    <w:rsid w:val="003963FE"/>
    <w:rsid w:val="003A0A0A"/>
    <w:rsid w:val="003A1FF8"/>
    <w:rsid w:val="003A31CF"/>
    <w:rsid w:val="003A6BE7"/>
    <w:rsid w:val="003A7E51"/>
    <w:rsid w:val="003B4A0B"/>
    <w:rsid w:val="003B6E02"/>
    <w:rsid w:val="003B7254"/>
    <w:rsid w:val="003C1066"/>
    <w:rsid w:val="003C699A"/>
    <w:rsid w:val="003D5DB1"/>
    <w:rsid w:val="003D770A"/>
    <w:rsid w:val="003D7AF3"/>
    <w:rsid w:val="003E0C49"/>
    <w:rsid w:val="003E16B8"/>
    <w:rsid w:val="003E1CB1"/>
    <w:rsid w:val="003E4888"/>
    <w:rsid w:val="003E6F35"/>
    <w:rsid w:val="003E7C0C"/>
    <w:rsid w:val="003F1897"/>
    <w:rsid w:val="003F4E60"/>
    <w:rsid w:val="003F5547"/>
    <w:rsid w:val="003F7D72"/>
    <w:rsid w:val="00400AD1"/>
    <w:rsid w:val="00401981"/>
    <w:rsid w:val="00401AF2"/>
    <w:rsid w:val="00401B28"/>
    <w:rsid w:val="0042141E"/>
    <w:rsid w:val="0042645A"/>
    <w:rsid w:val="0042681E"/>
    <w:rsid w:val="00426C54"/>
    <w:rsid w:val="00430BD0"/>
    <w:rsid w:val="004318DD"/>
    <w:rsid w:val="00433FEA"/>
    <w:rsid w:val="00435928"/>
    <w:rsid w:val="00437E51"/>
    <w:rsid w:val="00441DE8"/>
    <w:rsid w:val="00443EFA"/>
    <w:rsid w:val="004474E6"/>
    <w:rsid w:val="00453025"/>
    <w:rsid w:val="00453E99"/>
    <w:rsid w:val="00461623"/>
    <w:rsid w:val="004620C8"/>
    <w:rsid w:val="00470B8E"/>
    <w:rsid w:val="00471AB6"/>
    <w:rsid w:val="00476174"/>
    <w:rsid w:val="00480093"/>
    <w:rsid w:val="00481D06"/>
    <w:rsid w:val="00484BFB"/>
    <w:rsid w:val="0048540C"/>
    <w:rsid w:val="00486595"/>
    <w:rsid w:val="004922A5"/>
    <w:rsid w:val="00492472"/>
    <w:rsid w:val="0049342C"/>
    <w:rsid w:val="00493862"/>
    <w:rsid w:val="00494486"/>
    <w:rsid w:val="00494551"/>
    <w:rsid w:val="004969F6"/>
    <w:rsid w:val="004A1609"/>
    <w:rsid w:val="004A4BC4"/>
    <w:rsid w:val="004B0946"/>
    <w:rsid w:val="004B2CC6"/>
    <w:rsid w:val="004B4ED3"/>
    <w:rsid w:val="004B5661"/>
    <w:rsid w:val="004B614A"/>
    <w:rsid w:val="004B6F12"/>
    <w:rsid w:val="004C2198"/>
    <w:rsid w:val="004C2772"/>
    <w:rsid w:val="004C374B"/>
    <w:rsid w:val="004C43D2"/>
    <w:rsid w:val="004D00DF"/>
    <w:rsid w:val="004D0BD1"/>
    <w:rsid w:val="004D300C"/>
    <w:rsid w:val="004D3546"/>
    <w:rsid w:val="004E5CEB"/>
    <w:rsid w:val="004F0418"/>
    <w:rsid w:val="004F2760"/>
    <w:rsid w:val="004F474B"/>
    <w:rsid w:val="004F6D58"/>
    <w:rsid w:val="004F71D0"/>
    <w:rsid w:val="005008BB"/>
    <w:rsid w:val="00501E04"/>
    <w:rsid w:val="0050204C"/>
    <w:rsid w:val="00502A4D"/>
    <w:rsid w:val="00504A8C"/>
    <w:rsid w:val="00504E13"/>
    <w:rsid w:val="005065B0"/>
    <w:rsid w:val="005106D1"/>
    <w:rsid w:val="00510C47"/>
    <w:rsid w:val="0051498A"/>
    <w:rsid w:val="00515438"/>
    <w:rsid w:val="00516F29"/>
    <w:rsid w:val="00522C17"/>
    <w:rsid w:val="00523065"/>
    <w:rsid w:val="00523CAA"/>
    <w:rsid w:val="00532772"/>
    <w:rsid w:val="00533302"/>
    <w:rsid w:val="00534D36"/>
    <w:rsid w:val="0053786C"/>
    <w:rsid w:val="005429AA"/>
    <w:rsid w:val="00543BC5"/>
    <w:rsid w:val="005441EA"/>
    <w:rsid w:val="00545124"/>
    <w:rsid w:val="00546617"/>
    <w:rsid w:val="00546CAB"/>
    <w:rsid w:val="00552E3C"/>
    <w:rsid w:val="005533BA"/>
    <w:rsid w:val="00553451"/>
    <w:rsid w:val="00554B94"/>
    <w:rsid w:val="00557059"/>
    <w:rsid w:val="0057431F"/>
    <w:rsid w:val="0057741F"/>
    <w:rsid w:val="005808FC"/>
    <w:rsid w:val="00580CF9"/>
    <w:rsid w:val="005860DA"/>
    <w:rsid w:val="0058616D"/>
    <w:rsid w:val="00586AB6"/>
    <w:rsid w:val="00587230"/>
    <w:rsid w:val="00593B6A"/>
    <w:rsid w:val="00595167"/>
    <w:rsid w:val="00596C44"/>
    <w:rsid w:val="005B0474"/>
    <w:rsid w:val="005B0CA6"/>
    <w:rsid w:val="005B3BC2"/>
    <w:rsid w:val="005B4262"/>
    <w:rsid w:val="005B5748"/>
    <w:rsid w:val="005C2198"/>
    <w:rsid w:val="005C5DC3"/>
    <w:rsid w:val="005C61E4"/>
    <w:rsid w:val="005D65D8"/>
    <w:rsid w:val="005D78F8"/>
    <w:rsid w:val="005D7A4B"/>
    <w:rsid w:val="005E4A7C"/>
    <w:rsid w:val="005E749C"/>
    <w:rsid w:val="005E7D34"/>
    <w:rsid w:val="005F0AFA"/>
    <w:rsid w:val="005F49FB"/>
    <w:rsid w:val="005F7218"/>
    <w:rsid w:val="005F7254"/>
    <w:rsid w:val="00600E3B"/>
    <w:rsid w:val="00601177"/>
    <w:rsid w:val="00601882"/>
    <w:rsid w:val="00601D4B"/>
    <w:rsid w:val="0060355A"/>
    <w:rsid w:val="00603893"/>
    <w:rsid w:val="006068BD"/>
    <w:rsid w:val="0060782C"/>
    <w:rsid w:val="006078D0"/>
    <w:rsid w:val="00615624"/>
    <w:rsid w:val="00622D29"/>
    <w:rsid w:val="00633B22"/>
    <w:rsid w:val="00636601"/>
    <w:rsid w:val="00642582"/>
    <w:rsid w:val="00642D03"/>
    <w:rsid w:val="00642F4A"/>
    <w:rsid w:val="006470C9"/>
    <w:rsid w:val="00647CE7"/>
    <w:rsid w:val="006515B7"/>
    <w:rsid w:val="00651CBB"/>
    <w:rsid w:val="00655345"/>
    <w:rsid w:val="00656FD4"/>
    <w:rsid w:val="00657958"/>
    <w:rsid w:val="006605AE"/>
    <w:rsid w:val="00673989"/>
    <w:rsid w:val="006749D5"/>
    <w:rsid w:val="0068028A"/>
    <w:rsid w:val="00681F59"/>
    <w:rsid w:val="00682E9E"/>
    <w:rsid w:val="00683394"/>
    <w:rsid w:val="00686AB1"/>
    <w:rsid w:val="00691FBB"/>
    <w:rsid w:val="00692D4B"/>
    <w:rsid w:val="00694340"/>
    <w:rsid w:val="006945FD"/>
    <w:rsid w:val="00694785"/>
    <w:rsid w:val="006947F9"/>
    <w:rsid w:val="0069799D"/>
    <w:rsid w:val="006A2388"/>
    <w:rsid w:val="006A4847"/>
    <w:rsid w:val="006A5881"/>
    <w:rsid w:val="006B11E8"/>
    <w:rsid w:val="006B12C9"/>
    <w:rsid w:val="006B1711"/>
    <w:rsid w:val="006B3F3E"/>
    <w:rsid w:val="006B3F65"/>
    <w:rsid w:val="006B470B"/>
    <w:rsid w:val="006C0CB5"/>
    <w:rsid w:val="006C2B3F"/>
    <w:rsid w:val="006C3E50"/>
    <w:rsid w:val="006C5627"/>
    <w:rsid w:val="006D1E51"/>
    <w:rsid w:val="006D32ED"/>
    <w:rsid w:val="006D3434"/>
    <w:rsid w:val="006D3EA7"/>
    <w:rsid w:val="006D7CBE"/>
    <w:rsid w:val="006E141C"/>
    <w:rsid w:val="006E17E2"/>
    <w:rsid w:val="006E192F"/>
    <w:rsid w:val="006E62C4"/>
    <w:rsid w:val="006E6F32"/>
    <w:rsid w:val="006F3C9D"/>
    <w:rsid w:val="006F5D12"/>
    <w:rsid w:val="006F7D9D"/>
    <w:rsid w:val="007038B4"/>
    <w:rsid w:val="00710D6F"/>
    <w:rsid w:val="00710F84"/>
    <w:rsid w:val="007125A8"/>
    <w:rsid w:val="0071573D"/>
    <w:rsid w:val="007170C3"/>
    <w:rsid w:val="0072480E"/>
    <w:rsid w:val="0073324C"/>
    <w:rsid w:val="007347B4"/>
    <w:rsid w:val="00734D20"/>
    <w:rsid w:val="0073720B"/>
    <w:rsid w:val="00737489"/>
    <w:rsid w:val="0074135B"/>
    <w:rsid w:val="007500BB"/>
    <w:rsid w:val="00755165"/>
    <w:rsid w:val="00755C50"/>
    <w:rsid w:val="007571A7"/>
    <w:rsid w:val="00765ADF"/>
    <w:rsid w:val="00766A54"/>
    <w:rsid w:val="00770607"/>
    <w:rsid w:val="00770B0D"/>
    <w:rsid w:val="00770D2C"/>
    <w:rsid w:val="0077456D"/>
    <w:rsid w:val="0078047F"/>
    <w:rsid w:val="00781EDA"/>
    <w:rsid w:val="00782DFE"/>
    <w:rsid w:val="007834BD"/>
    <w:rsid w:val="007834FD"/>
    <w:rsid w:val="00785891"/>
    <w:rsid w:val="00787B3C"/>
    <w:rsid w:val="007922D2"/>
    <w:rsid w:val="007925C1"/>
    <w:rsid w:val="007928C5"/>
    <w:rsid w:val="00796ECC"/>
    <w:rsid w:val="00797D88"/>
    <w:rsid w:val="007A007D"/>
    <w:rsid w:val="007A0B53"/>
    <w:rsid w:val="007A14B6"/>
    <w:rsid w:val="007A3C40"/>
    <w:rsid w:val="007A3DE8"/>
    <w:rsid w:val="007A4378"/>
    <w:rsid w:val="007A4B7B"/>
    <w:rsid w:val="007A67D5"/>
    <w:rsid w:val="007A7342"/>
    <w:rsid w:val="007B1391"/>
    <w:rsid w:val="007B2B86"/>
    <w:rsid w:val="007B3652"/>
    <w:rsid w:val="007B410C"/>
    <w:rsid w:val="007B4D06"/>
    <w:rsid w:val="007B79DE"/>
    <w:rsid w:val="007B7DC1"/>
    <w:rsid w:val="007C0195"/>
    <w:rsid w:val="007C19C7"/>
    <w:rsid w:val="007C1CAA"/>
    <w:rsid w:val="007C6CF7"/>
    <w:rsid w:val="007D2109"/>
    <w:rsid w:val="007D3DF7"/>
    <w:rsid w:val="007E4F4A"/>
    <w:rsid w:val="007F1CEB"/>
    <w:rsid w:val="007F6D99"/>
    <w:rsid w:val="007F753E"/>
    <w:rsid w:val="007F7CF6"/>
    <w:rsid w:val="00803E04"/>
    <w:rsid w:val="0080434C"/>
    <w:rsid w:val="008062E9"/>
    <w:rsid w:val="008149FB"/>
    <w:rsid w:val="00814E35"/>
    <w:rsid w:val="00816975"/>
    <w:rsid w:val="0081701D"/>
    <w:rsid w:val="00817AC3"/>
    <w:rsid w:val="00820201"/>
    <w:rsid w:val="00820B30"/>
    <w:rsid w:val="00823854"/>
    <w:rsid w:val="00823D7C"/>
    <w:rsid w:val="0082513C"/>
    <w:rsid w:val="008253CE"/>
    <w:rsid w:val="008303BD"/>
    <w:rsid w:val="00831822"/>
    <w:rsid w:val="00831FFE"/>
    <w:rsid w:val="00833BD3"/>
    <w:rsid w:val="00833CD4"/>
    <w:rsid w:val="0083625C"/>
    <w:rsid w:val="0083734E"/>
    <w:rsid w:val="0084046A"/>
    <w:rsid w:val="0084391E"/>
    <w:rsid w:val="008459B7"/>
    <w:rsid w:val="00847136"/>
    <w:rsid w:val="008471E8"/>
    <w:rsid w:val="008531FD"/>
    <w:rsid w:val="008533D7"/>
    <w:rsid w:val="00856EE3"/>
    <w:rsid w:val="00857205"/>
    <w:rsid w:val="00865AC4"/>
    <w:rsid w:val="00865CC5"/>
    <w:rsid w:val="00871DA3"/>
    <w:rsid w:val="00875539"/>
    <w:rsid w:val="00880D7E"/>
    <w:rsid w:val="0088316D"/>
    <w:rsid w:val="00884B61"/>
    <w:rsid w:val="008905D0"/>
    <w:rsid w:val="00891258"/>
    <w:rsid w:val="0089143B"/>
    <w:rsid w:val="008920F3"/>
    <w:rsid w:val="00892129"/>
    <w:rsid w:val="008921A5"/>
    <w:rsid w:val="00892243"/>
    <w:rsid w:val="00894487"/>
    <w:rsid w:val="00894D50"/>
    <w:rsid w:val="00895DC9"/>
    <w:rsid w:val="008A1342"/>
    <w:rsid w:val="008A1395"/>
    <w:rsid w:val="008A13DA"/>
    <w:rsid w:val="008A2C4C"/>
    <w:rsid w:val="008B1C62"/>
    <w:rsid w:val="008B63AC"/>
    <w:rsid w:val="008B7D1A"/>
    <w:rsid w:val="008C07C2"/>
    <w:rsid w:val="008C62E5"/>
    <w:rsid w:val="008C66D9"/>
    <w:rsid w:val="008C68A4"/>
    <w:rsid w:val="008C7D83"/>
    <w:rsid w:val="008D7F12"/>
    <w:rsid w:val="008E0631"/>
    <w:rsid w:val="008E729C"/>
    <w:rsid w:val="008E7A81"/>
    <w:rsid w:val="008F04B3"/>
    <w:rsid w:val="008F21C6"/>
    <w:rsid w:val="008F2650"/>
    <w:rsid w:val="009000B2"/>
    <w:rsid w:val="009008EB"/>
    <w:rsid w:val="00900A4D"/>
    <w:rsid w:val="009024BC"/>
    <w:rsid w:val="0091306B"/>
    <w:rsid w:val="00913CC6"/>
    <w:rsid w:val="0091548D"/>
    <w:rsid w:val="009156E2"/>
    <w:rsid w:val="00915EC9"/>
    <w:rsid w:val="00920A3E"/>
    <w:rsid w:val="00922133"/>
    <w:rsid w:val="0092340D"/>
    <w:rsid w:val="00923759"/>
    <w:rsid w:val="0092406D"/>
    <w:rsid w:val="00924141"/>
    <w:rsid w:val="009249E7"/>
    <w:rsid w:val="00926795"/>
    <w:rsid w:val="00926B30"/>
    <w:rsid w:val="009312E4"/>
    <w:rsid w:val="0093137B"/>
    <w:rsid w:val="009326DA"/>
    <w:rsid w:val="0093438A"/>
    <w:rsid w:val="009375AC"/>
    <w:rsid w:val="009439D0"/>
    <w:rsid w:val="00953C38"/>
    <w:rsid w:val="009540F8"/>
    <w:rsid w:val="0095430C"/>
    <w:rsid w:val="009579A6"/>
    <w:rsid w:val="00957D09"/>
    <w:rsid w:val="00964A26"/>
    <w:rsid w:val="00965CF7"/>
    <w:rsid w:val="00971DDC"/>
    <w:rsid w:val="0097291F"/>
    <w:rsid w:val="00973B74"/>
    <w:rsid w:val="00980483"/>
    <w:rsid w:val="009830B0"/>
    <w:rsid w:val="00983B08"/>
    <w:rsid w:val="00984028"/>
    <w:rsid w:val="0098574C"/>
    <w:rsid w:val="00987AF0"/>
    <w:rsid w:val="00991305"/>
    <w:rsid w:val="009951F4"/>
    <w:rsid w:val="00996132"/>
    <w:rsid w:val="009A13C1"/>
    <w:rsid w:val="009A29E4"/>
    <w:rsid w:val="009A3A33"/>
    <w:rsid w:val="009B1A46"/>
    <w:rsid w:val="009B4725"/>
    <w:rsid w:val="009C2F6B"/>
    <w:rsid w:val="009C59A7"/>
    <w:rsid w:val="009D0C66"/>
    <w:rsid w:val="009D1C80"/>
    <w:rsid w:val="009D29F7"/>
    <w:rsid w:val="009D609F"/>
    <w:rsid w:val="009D790C"/>
    <w:rsid w:val="009E22F4"/>
    <w:rsid w:val="009E462E"/>
    <w:rsid w:val="009E6495"/>
    <w:rsid w:val="009E77AC"/>
    <w:rsid w:val="009F1B0F"/>
    <w:rsid w:val="009F402A"/>
    <w:rsid w:val="009F4B63"/>
    <w:rsid w:val="009F72D5"/>
    <w:rsid w:val="009F7CB7"/>
    <w:rsid w:val="00A0323B"/>
    <w:rsid w:val="00A033BA"/>
    <w:rsid w:val="00A06726"/>
    <w:rsid w:val="00A119B7"/>
    <w:rsid w:val="00A11B9F"/>
    <w:rsid w:val="00A21CDB"/>
    <w:rsid w:val="00A2368D"/>
    <w:rsid w:val="00A243EB"/>
    <w:rsid w:val="00A24533"/>
    <w:rsid w:val="00A26C54"/>
    <w:rsid w:val="00A32F66"/>
    <w:rsid w:val="00A35B23"/>
    <w:rsid w:val="00A379EB"/>
    <w:rsid w:val="00A37FAE"/>
    <w:rsid w:val="00A417D8"/>
    <w:rsid w:val="00A42AEC"/>
    <w:rsid w:val="00A42D6A"/>
    <w:rsid w:val="00A461D5"/>
    <w:rsid w:val="00A526F1"/>
    <w:rsid w:val="00A55124"/>
    <w:rsid w:val="00A55609"/>
    <w:rsid w:val="00A55C1B"/>
    <w:rsid w:val="00A56D36"/>
    <w:rsid w:val="00A5736D"/>
    <w:rsid w:val="00A62B15"/>
    <w:rsid w:val="00A62FC6"/>
    <w:rsid w:val="00A6589A"/>
    <w:rsid w:val="00A672DA"/>
    <w:rsid w:val="00A7204B"/>
    <w:rsid w:val="00A7250C"/>
    <w:rsid w:val="00A72F38"/>
    <w:rsid w:val="00A744E9"/>
    <w:rsid w:val="00A760C0"/>
    <w:rsid w:val="00A76F74"/>
    <w:rsid w:val="00A809BA"/>
    <w:rsid w:val="00A83728"/>
    <w:rsid w:val="00A8586C"/>
    <w:rsid w:val="00A878C5"/>
    <w:rsid w:val="00A92B7B"/>
    <w:rsid w:val="00A93066"/>
    <w:rsid w:val="00A94BCD"/>
    <w:rsid w:val="00AA459F"/>
    <w:rsid w:val="00AA6D7F"/>
    <w:rsid w:val="00AA7136"/>
    <w:rsid w:val="00AB0348"/>
    <w:rsid w:val="00AB034C"/>
    <w:rsid w:val="00AB4CD3"/>
    <w:rsid w:val="00AC2137"/>
    <w:rsid w:val="00AD28B3"/>
    <w:rsid w:val="00AD4C0B"/>
    <w:rsid w:val="00AD5200"/>
    <w:rsid w:val="00AD5F8E"/>
    <w:rsid w:val="00AD71E2"/>
    <w:rsid w:val="00AD760C"/>
    <w:rsid w:val="00AE1AE1"/>
    <w:rsid w:val="00AE1B17"/>
    <w:rsid w:val="00AE4538"/>
    <w:rsid w:val="00AF065D"/>
    <w:rsid w:val="00AF3253"/>
    <w:rsid w:val="00AF377E"/>
    <w:rsid w:val="00AF6B27"/>
    <w:rsid w:val="00AF7DB2"/>
    <w:rsid w:val="00B00B3E"/>
    <w:rsid w:val="00B01E73"/>
    <w:rsid w:val="00B06087"/>
    <w:rsid w:val="00B06A64"/>
    <w:rsid w:val="00B10C61"/>
    <w:rsid w:val="00B11ED7"/>
    <w:rsid w:val="00B14533"/>
    <w:rsid w:val="00B15881"/>
    <w:rsid w:val="00B15A9C"/>
    <w:rsid w:val="00B15C89"/>
    <w:rsid w:val="00B16D97"/>
    <w:rsid w:val="00B20ABC"/>
    <w:rsid w:val="00B20C34"/>
    <w:rsid w:val="00B20E34"/>
    <w:rsid w:val="00B20F6F"/>
    <w:rsid w:val="00B22277"/>
    <w:rsid w:val="00B23D34"/>
    <w:rsid w:val="00B269B3"/>
    <w:rsid w:val="00B35957"/>
    <w:rsid w:val="00B35CF2"/>
    <w:rsid w:val="00B40EF4"/>
    <w:rsid w:val="00B424EE"/>
    <w:rsid w:val="00B435CB"/>
    <w:rsid w:val="00B4367F"/>
    <w:rsid w:val="00B441B8"/>
    <w:rsid w:val="00B5391E"/>
    <w:rsid w:val="00B65839"/>
    <w:rsid w:val="00B718E8"/>
    <w:rsid w:val="00B72BE9"/>
    <w:rsid w:val="00B7504D"/>
    <w:rsid w:val="00B7734F"/>
    <w:rsid w:val="00B77EAB"/>
    <w:rsid w:val="00B82AC8"/>
    <w:rsid w:val="00B8721F"/>
    <w:rsid w:val="00B9131E"/>
    <w:rsid w:val="00B917F3"/>
    <w:rsid w:val="00B92078"/>
    <w:rsid w:val="00B9570D"/>
    <w:rsid w:val="00B95D0A"/>
    <w:rsid w:val="00BA1773"/>
    <w:rsid w:val="00BA750E"/>
    <w:rsid w:val="00BB070A"/>
    <w:rsid w:val="00BB4184"/>
    <w:rsid w:val="00BB4DAC"/>
    <w:rsid w:val="00BB59BE"/>
    <w:rsid w:val="00BB6940"/>
    <w:rsid w:val="00BB7CD2"/>
    <w:rsid w:val="00BC0552"/>
    <w:rsid w:val="00BC32DD"/>
    <w:rsid w:val="00BC6ED8"/>
    <w:rsid w:val="00BC7CBE"/>
    <w:rsid w:val="00BC7E97"/>
    <w:rsid w:val="00BD1C03"/>
    <w:rsid w:val="00BE2886"/>
    <w:rsid w:val="00BE451D"/>
    <w:rsid w:val="00BE66A6"/>
    <w:rsid w:val="00BF2381"/>
    <w:rsid w:val="00C02F11"/>
    <w:rsid w:val="00C043FF"/>
    <w:rsid w:val="00C05C81"/>
    <w:rsid w:val="00C05F51"/>
    <w:rsid w:val="00C13182"/>
    <w:rsid w:val="00C138B4"/>
    <w:rsid w:val="00C14AFE"/>
    <w:rsid w:val="00C15511"/>
    <w:rsid w:val="00C15967"/>
    <w:rsid w:val="00C206B9"/>
    <w:rsid w:val="00C20B56"/>
    <w:rsid w:val="00C231BF"/>
    <w:rsid w:val="00C23FA6"/>
    <w:rsid w:val="00C26264"/>
    <w:rsid w:val="00C264C1"/>
    <w:rsid w:val="00C267B8"/>
    <w:rsid w:val="00C314D5"/>
    <w:rsid w:val="00C31FB2"/>
    <w:rsid w:val="00C33E59"/>
    <w:rsid w:val="00C358BE"/>
    <w:rsid w:val="00C365D0"/>
    <w:rsid w:val="00C36DD0"/>
    <w:rsid w:val="00C37263"/>
    <w:rsid w:val="00C37EBB"/>
    <w:rsid w:val="00C4281D"/>
    <w:rsid w:val="00C42F65"/>
    <w:rsid w:val="00C52095"/>
    <w:rsid w:val="00C52D04"/>
    <w:rsid w:val="00C5461B"/>
    <w:rsid w:val="00C55A5B"/>
    <w:rsid w:val="00C57612"/>
    <w:rsid w:val="00C57EFE"/>
    <w:rsid w:val="00C60456"/>
    <w:rsid w:val="00C64251"/>
    <w:rsid w:val="00C663B7"/>
    <w:rsid w:val="00C71F95"/>
    <w:rsid w:val="00C74B03"/>
    <w:rsid w:val="00C74B77"/>
    <w:rsid w:val="00C75B87"/>
    <w:rsid w:val="00C77ACD"/>
    <w:rsid w:val="00C81463"/>
    <w:rsid w:val="00C82F7C"/>
    <w:rsid w:val="00C9015E"/>
    <w:rsid w:val="00C93317"/>
    <w:rsid w:val="00C94CDE"/>
    <w:rsid w:val="00C94D6B"/>
    <w:rsid w:val="00CA28AE"/>
    <w:rsid w:val="00CA367C"/>
    <w:rsid w:val="00CA3D2B"/>
    <w:rsid w:val="00CB15EF"/>
    <w:rsid w:val="00CB3BA4"/>
    <w:rsid w:val="00CB4984"/>
    <w:rsid w:val="00CC0891"/>
    <w:rsid w:val="00CC11AC"/>
    <w:rsid w:val="00CC5C3C"/>
    <w:rsid w:val="00CC7539"/>
    <w:rsid w:val="00CD120C"/>
    <w:rsid w:val="00CD1807"/>
    <w:rsid w:val="00CD2093"/>
    <w:rsid w:val="00CD23A5"/>
    <w:rsid w:val="00CE176F"/>
    <w:rsid w:val="00CE4BA6"/>
    <w:rsid w:val="00CE641A"/>
    <w:rsid w:val="00CE656D"/>
    <w:rsid w:val="00CE71CD"/>
    <w:rsid w:val="00CE74D1"/>
    <w:rsid w:val="00CE7A11"/>
    <w:rsid w:val="00CE7A1D"/>
    <w:rsid w:val="00CF0D70"/>
    <w:rsid w:val="00CF16A9"/>
    <w:rsid w:val="00CF51FD"/>
    <w:rsid w:val="00D00D19"/>
    <w:rsid w:val="00D01F89"/>
    <w:rsid w:val="00D10CF3"/>
    <w:rsid w:val="00D12143"/>
    <w:rsid w:val="00D12F19"/>
    <w:rsid w:val="00D158A5"/>
    <w:rsid w:val="00D15B67"/>
    <w:rsid w:val="00D15D6E"/>
    <w:rsid w:val="00D2157C"/>
    <w:rsid w:val="00D22A17"/>
    <w:rsid w:val="00D23DC4"/>
    <w:rsid w:val="00D25A44"/>
    <w:rsid w:val="00D30BEF"/>
    <w:rsid w:val="00D316F5"/>
    <w:rsid w:val="00D32E4F"/>
    <w:rsid w:val="00D354C2"/>
    <w:rsid w:val="00D35F3E"/>
    <w:rsid w:val="00D36731"/>
    <w:rsid w:val="00D37D2C"/>
    <w:rsid w:val="00D41CCD"/>
    <w:rsid w:val="00D501B1"/>
    <w:rsid w:val="00D54EBA"/>
    <w:rsid w:val="00D573EF"/>
    <w:rsid w:val="00D610CA"/>
    <w:rsid w:val="00D6194A"/>
    <w:rsid w:val="00D66416"/>
    <w:rsid w:val="00D7255F"/>
    <w:rsid w:val="00D84BAF"/>
    <w:rsid w:val="00D85A0C"/>
    <w:rsid w:val="00D867FA"/>
    <w:rsid w:val="00D924E2"/>
    <w:rsid w:val="00D92E0C"/>
    <w:rsid w:val="00D94181"/>
    <w:rsid w:val="00DA076F"/>
    <w:rsid w:val="00DB5E03"/>
    <w:rsid w:val="00DB7912"/>
    <w:rsid w:val="00DC20A9"/>
    <w:rsid w:val="00DC39BA"/>
    <w:rsid w:val="00DC5C6A"/>
    <w:rsid w:val="00DC5FA0"/>
    <w:rsid w:val="00DC7B3F"/>
    <w:rsid w:val="00DC7D00"/>
    <w:rsid w:val="00DD0BCA"/>
    <w:rsid w:val="00DD0F13"/>
    <w:rsid w:val="00DD244A"/>
    <w:rsid w:val="00DD37EA"/>
    <w:rsid w:val="00DD4F27"/>
    <w:rsid w:val="00DD5A13"/>
    <w:rsid w:val="00DD5E6C"/>
    <w:rsid w:val="00DF5707"/>
    <w:rsid w:val="00DF5FB4"/>
    <w:rsid w:val="00DF6E7F"/>
    <w:rsid w:val="00DF6F9D"/>
    <w:rsid w:val="00E016CB"/>
    <w:rsid w:val="00E04981"/>
    <w:rsid w:val="00E05B76"/>
    <w:rsid w:val="00E167B1"/>
    <w:rsid w:val="00E20049"/>
    <w:rsid w:val="00E20147"/>
    <w:rsid w:val="00E20B39"/>
    <w:rsid w:val="00E219B9"/>
    <w:rsid w:val="00E257C5"/>
    <w:rsid w:val="00E26ABF"/>
    <w:rsid w:val="00E27B2B"/>
    <w:rsid w:val="00E32900"/>
    <w:rsid w:val="00E3372E"/>
    <w:rsid w:val="00E403DA"/>
    <w:rsid w:val="00E413F8"/>
    <w:rsid w:val="00E41502"/>
    <w:rsid w:val="00E4211F"/>
    <w:rsid w:val="00E46610"/>
    <w:rsid w:val="00E516BF"/>
    <w:rsid w:val="00E53777"/>
    <w:rsid w:val="00E5574C"/>
    <w:rsid w:val="00E5706A"/>
    <w:rsid w:val="00E6093A"/>
    <w:rsid w:val="00E61347"/>
    <w:rsid w:val="00E63962"/>
    <w:rsid w:val="00E65442"/>
    <w:rsid w:val="00E6583B"/>
    <w:rsid w:val="00E66136"/>
    <w:rsid w:val="00E66A44"/>
    <w:rsid w:val="00E67A13"/>
    <w:rsid w:val="00E719F8"/>
    <w:rsid w:val="00E71E6F"/>
    <w:rsid w:val="00E7211D"/>
    <w:rsid w:val="00E80274"/>
    <w:rsid w:val="00E806A5"/>
    <w:rsid w:val="00E80777"/>
    <w:rsid w:val="00E81203"/>
    <w:rsid w:val="00E83DE5"/>
    <w:rsid w:val="00E844F1"/>
    <w:rsid w:val="00E84A48"/>
    <w:rsid w:val="00E86B22"/>
    <w:rsid w:val="00E92D6F"/>
    <w:rsid w:val="00E9403A"/>
    <w:rsid w:val="00E975B7"/>
    <w:rsid w:val="00E97DF1"/>
    <w:rsid w:val="00EB0957"/>
    <w:rsid w:val="00EB1F00"/>
    <w:rsid w:val="00EB43CC"/>
    <w:rsid w:val="00EB4CE5"/>
    <w:rsid w:val="00EB5CCC"/>
    <w:rsid w:val="00EB5F76"/>
    <w:rsid w:val="00EB7981"/>
    <w:rsid w:val="00EC1DDB"/>
    <w:rsid w:val="00ED46D6"/>
    <w:rsid w:val="00EE2161"/>
    <w:rsid w:val="00EE36A7"/>
    <w:rsid w:val="00EE3DF7"/>
    <w:rsid w:val="00EE4C55"/>
    <w:rsid w:val="00EE6754"/>
    <w:rsid w:val="00EF06B7"/>
    <w:rsid w:val="00EF09D4"/>
    <w:rsid w:val="00EF5CA9"/>
    <w:rsid w:val="00EF663B"/>
    <w:rsid w:val="00EF67D1"/>
    <w:rsid w:val="00EF7DA1"/>
    <w:rsid w:val="00F00439"/>
    <w:rsid w:val="00F0263C"/>
    <w:rsid w:val="00F07DE0"/>
    <w:rsid w:val="00F15213"/>
    <w:rsid w:val="00F1579F"/>
    <w:rsid w:val="00F17A2C"/>
    <w:rsid w:val="00F17C7F"/>
    <w:rsid w:val="00F207F5"/>
    <w:rsid w:val="00F23F56"/>
    <w:rsid w:val="00F24974"/>
    <w:rsid w:val="00F25ADE"/>
    <w:rsid w:val="00F25CA5"/>
    <w:rsid w:val="00F2676A"/>
    <w:rsid w:val="00F27E25"/>
    <w:rsid w:val="00F32A68"/>
    <w:rsid w:val="00F33718"/>
    <w:rsid w:val="00F44873"/>
    <w:rsid w:val="00F44F53"/>
    <w:rsid w:val="00F4648A"/>
    <w:rsid w:val="00F5207D"/>
    <w:rsid w:val="00F528D1"/>
    <w:rsid w:val="00F548B7"/>
    <w:rsid w:val="00F55DE2"/>
    <w:rsid w:val="00F57512"/>
    <w:rsid w:val="00F67F30"/>
    <w:rsid w:val="00F80937"/>
    <w:rsid w:val="00F837F0"/>
    <w:rsid w:val="00F84057"/>
    <w:rsid w:val="00F841FC"/>
    <w:rsid w:val="00F84E0C"/>
    <w:rsid w:val="00F862AF"/>
    <w:rsid w:val="00F86582"/>
    <w:rsid w:val="00F90B8B"/>
    <w:rsid w:val="00F95457"/>
    <w:rsid w:val="00F9663F"/>
    <w:rsid w:val="00F9728B"/>
    <w:rsid w:val="00F97D52"/>
    <w:rsid w:val="00FA0AEC"/>
    <w:rsid w:val="00FA1A7F"/>
    <w:rsid w:val="00FA30C2"/>
    <w:rsid w:val="00FA3355"/>
    <w:rsid w:val="00FA3F9C"/>
    <w:rsid w:val="00FA5F2F"/>
    <w:rsid w:val="00FB08E1"/>
    <w:rsid w:val="00FB0CC1"/>
    <w:rsid w:val="00FB0DD8"/>
    <w:rsid w:val="00FB154E"/>
    <w:rsid w:val="00FB319A"/>
    <w:rsid w:val="00FB4E2D"/>
    <w:rsid w:val="00FB6A2D"/>
    <w:rsid w:val="00FB6AC1"/>
    <w:rsid w:val="00FB7E0C"/>
    <w:rsid w:val="00FC2914"/>
    <w:rsid w:val="00FC6447"/>
    <w:rsid w:val="00FC795F"/>
    <w:rsid w:val="00FC7B3A"/>
    <w:rsid w:val="00FC7C80"/>
    <w:rsid w:val="00FC7F4F"/>
    <w:rsid w:val="00FD014A"/>
    <w:rsid w:val="00FD3A03"/>
    <w:rsid w:val="00FD79F1"/>
    <w:rsid w:val="00FD7DE1"/>
    <w:rsid w:val="00FE405E"/>
    <w:rsid w:val="00FE67FF"/>
    <w:rsid w:val="78CE465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宋体"/>
      <w:kern w:val="144"/>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character" w:styleId="CommentReference">
    <w:name w:val="annotation reference"/>
    <w:basedOn w:val="DefaultParagraphFont"/>
    <w:semiHidden/>
    <w:rPr>
      <w:sz w:val="21"/>
      <w:szCs w:val="21"/>
    </w:rPr>
  </w:style>
  <w:style w:type="paragraph" w:styleId="CommentText">
    <w:name w:val="annotation text"/>
    <w:basedOn w:val="Normal"/>
    <w:semiHidden/>
    <w:pPr>
      <w:jc w:val="left"/>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cs="宋体"/>
      <w:kern w:val="0"/>
      <w:sz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semiHidden/>
    <w:pPr>
      <w:shd w:val="clear" w:color="auto" w:fill="000080"/>
    </w:p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rPr>
      <w:b/>
      <w:bCs/>
    </w:rPr>
  </w:style>
  <w:style w:type="paragraph" w:styleId="Footer">
    <w:name w:val="footer"/>
    <w:basedOn w:val="Normal"/>
    <w:pPr>
      <w:tabs>
        <w:tab w:val="center" w:pos="4153"/>
        <w:tab w:val="right" w:pos="8306"/>
      </w:tabs>
      <w:snapToGrid w:val="0"/>
      <w:jc w:val="left"/>
    </w:pPr>
    <w:rPr>
      <w:sz w:val="18"/>
      <w:szCs w:val="18"/>
    </w:rPr>
  </w:style>
  <w:style w:type="paragraph" w:customStyle="1" w:styleId="Char">
    <w:name w:val=" Char"/>
    <w:basedOn w:val="DocumentMap"/>
    <w:pPr>
      <w:adjustRightInd w:val="0"/>
      <w:spacing w:line="436" w:lineRule="exact"/>
      <w:ind w:left="357"/>
      <w:jc w:val="left"/>
      <w:outlineLvl w:val="3"/>
    </w:pPr>
    <w:rPr>
      <w:rFonts w:ascii="Tahoma" w:hAnsi="Tahoma"/>
      <w:b/>
      <w:sz w:val="24"/>
    </w:rPr>
  </w:style>
  <w:style w:type="paragraph" w:customStyle="1" w:styleId="CharCharCharCharCharCharChar">
    <w:name w:val=" Char Char Char Char Char Char Char"/>
    <w:basedOn w:val="Normal"/>
    <w:pPr>
      <w:widowControl/>
      <w:spacing w:after="160" w:line="240" w:lineRule="exact"/>
      <w:jc w:val="left"/>
    </w:pPr>
    <w:rPr>
      <w:rFonts w:ascii="Verdana" w:eastAsia="仿宋_GB2312" w:hAnsi="Verdana"/>
      <w:kern w:val="0"/>
      <w:sz w:val="24"/>
      <w:szCs w:val="20"/>
      <w:lang w:eastAsia="en-U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06013000122010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2168</Words>
  <Characters>12361</Characters>
  <Application>Microsoft Office Word</Application>
  <DocSecurity>0</DocSecurity>
  <Lines>103</Lines>
  <Paragraphs>28</Paragraphs>
  <ScaleCrop>false</ScaleCrop>
  <Company>MC SYSTEM</Company>
  <LinksUpToDate>false</LinksUpToDate>
  <CharactersWithSpaces>14501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深圳市建工集团股份有限公司规章制度</dc:title>
  <dc:creator>王书文</dc:creator>
  <cp:lastModifiedBy>Administrator</cp:lastModifiedBy>
  <cp:revision>26</cp:revision>
  <cp:lastPrinted>2013-11-08T00:54:00Z</cp:lastPrinted>
  <dcterms:created xsi:type="dcterms:W3CDTF">2013-11-08T00:34:00Z</dcterms:created>
  <dcterms:modified xsi:type="dcterms:W3CDTF">2015-03-24T06:21:04Z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