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配电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柜项目可行性研究报告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568034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)、配电柜项目技术工艺分析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(三)、配电柜项目技术流程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四、配电柜项目选址说明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、配电柜项目选址原则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二)、配电柜项目选址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五、配电柜项目建设背景及必要性分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配电柜项目风险分析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(二)、配电柜项目风险对策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658504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299927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)、社会责任配电柜项目与计划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、配电柜项目管理与团队协作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配电柜项目管理方法论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二)、配电柜项目计划与进度管理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)、配电柜项目风险管理与应对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36989413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项目商业计划书旨在全面介绍和规划一个创新性的配电柜项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案的目的是为了提供配电柜项目的全面概览，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配电</w:t>
      </w:r>
      <w:r>
        <w:rPr>
          <w:rFonts w:ascii="FangSong" w:eastAsia="FangSong" w:hAnsi="FangSong" w:cs="FangSong"/>
          <w:spacing w:val="-11"/>
          <w:sz w:val="28"/>
          <w:szCs w:val="28"/>
        </w:rPr>
        <w:t>柜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2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3" w:right="5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发展，配电柜行业在技术上取得了显著的突破。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**配电柜行业**是一片充满活力的领域，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95" w:firstLine="56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配电柜行业市场规模庞大，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发展，配电柜行业在技术上取得了显著的突破。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3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(二)、配电柜项目技术工艺分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1" w:right="56" w:firstLine="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提供优质产品和服务。保障工艺流程能够满足配电柜项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配电柜项目建设贯彻“三同时”的原则，注重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配电柜项目拟采用国内成熟的生产工艺，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3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配</w:t>
      </w:r>
      <w:r>
        <w:rPr>
          <w:rFonts w:ascii="FangSong" w:eastAsia="FangSong" w:hAnsi="FangSong" w:cs="FangSong"/>
          <w:spacing w:val="-6"/>
          <w:sz w:val="28"/>
          <w:szCs w:val="28"/>
        </w:rPr>
        <w:t>电</w:t>
      </w:r>
      <w:r>
        <w:rPr>
          <w:rFonts w:ascii="FangSong" w:eastAsia="FangSong" w:hAnsi="FangSong" w:cs="FangSong"/>
          <w:spacing w:val="-4"/>
          <w:sz w:val="28"/>
          <w:szCs w:val="28"/>
        </w:rPr>
        <w:t>柜项目的技术保障措施从设计、施工、试运行到投产、销售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以确保配电柜项目在技术开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保配电柜项目的可持续发展和高效运营。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、配电柜项目技术流程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在配电柜项目运营中，进行技术持续改进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析工具监测和分析配电柜项目各环节数据。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3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共同构建了高效、稳定的配电柜项目技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术实施框架，确保配电柜项目顺利推进。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选用的设备能够满足配电柜项目的技术要求，例如：</w:t>
      </w:r>
    </w:p>
    <w:p>
      <w:pPr>
        <w:spacing w:before="290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设备与配电柜项目工艺流程相匹配，例如：</w:t>
      </w:r>
    </w:p>
    <w:p>
      <w:pPr>
        <w:spacing w:before="290" w:line="416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生产能力是否符合配电柜项目的产能需求。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电柜项目选址说明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一)、配电柜项目选址原则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配电柜项目选址必须与城乡建设总体规划保持一致，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确保配电</w:t>
      </w:r>
      <w:r>
        <w:rPr>
          <w:rFonts w:ascii="FangSong" w:eastAsia="FangSong" w:hAnsi="FangSong" w:cs="FangSong"/>
          <w:spacing w:val="-6"/>
          <w:sz w:val="28"/>
          <w:szCs w:val="28"/>
        </w:rPr>
        <w:t>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柜项目有望更好地融入城市发展大局，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越的交通条件是配电柜项目成功的关键因素之一。选址地应该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8" w:hanging="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11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49" w:right="140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配电柜项目建设阶段，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电柜项目建设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配</w:t>
      </w:r>
      <w:r>
        <w:rPr>
          <w:rFonts w:ascii="FangSong" w:eastAsia="FangSong" w:hAnsi="FangSong" w:cs="FangSong"/>
          <w:spacing w:val="-6"/>
          <w:sz w:val="28"/>
          <w:szCs w:val="28"/>
        </w:rPr>
        <w:t>电</w:t>
      </w:r>
      <w:r>
        <w:rPr>
          <w:rFonts w:ascii="FangSong" w:eastAsia="FangSong" w:hAnsi="FangSong" w:cs="FangSong"/>
          <w:spacing w:val="-4"/>
          <w:sz w:val="28"/>
          <w:szCs w:val="28"/>
        </w:rPr>
        <w:t>柜项目选址应与当地大气污染防治、水资源利用以及自然生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态环境保护政策相一致。我们将致力于在配电柜项目建设和运营过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确保配电柜项目的可持续发展，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我们将有效平衡配电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柜项目的需求与用地法规的要求，避免可能出现的法律和环境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在配电柜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3" w:line="415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配</w:t>
      </w:r>
      <w:r>
        <w:rPr>
          <w:rFonts w:ascii="FangSong" w:eastAsia="FangSong" w:hAnsi="FangSong" w:cs="FangSong"/>
          <w:spacing w:val="-2"/>
          <w:sz w:val="28"/>
          <w:szCs w:val="28"/>
        </w:rPr>
        <w:t>电柜项目的长期成功和对社会的积极贡献。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二)、配电柜项目选址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选择配电柜项目的地理位置时，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，为配电柜项目的顺利推进提供了有力支持。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优惠等方面的支持。这将显著减轻配电柜项目的财务压力，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善的产业链，为配电柜项目提供了丰富的合作机会，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4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配</w:t>
      </w:r>
      <w:r>
        <w:rPr>
          <w:rFonts w:ascii="FangSong" w:eastAsia="FangSong" w:hAnsi="FangSong" w:cs="FangSong"/>
          <w:sz w:val="28"/>
          <w:szCs w:val="28"/>
        </w:rPr>
        <w:t>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柜项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6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术开发区被视为未来经济发展的重要增长点。配电柜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为配电柜项目在长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5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来奠定坚实基础。</w:t>
      </w:r>
    </w:p>
    <w:p>
      <w:pPr>
        <w:spacing w:before="289" w:line="414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确保配电柜项目的建设与运营与当地发展规划相协调，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电</w:t>
      </w:r>
      <w:r>
        <w:rPr>
          <w:rFonts w:ascii="FangSong" w:eastAsia="FangSong" w:hAnsi="FangSong" w:cs="FangSong"/>
          <w:spacing w:val="-4"/>
          <w:sz w:val="28"/>
          <w:szCs w:val="28"/>
        </w:rPr>
        <w:t>柜项目的成功提供全方位的支持。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配电柜项目的成功实施不仅依赖于选址的地理位置，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pacing w:val="-6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为配电柜项目的建设提供了必要的基础支持，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确保配电柜项目选址符合当地的用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规划要求。这有助于配电柜项目在合规范围内进行建设，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7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配</w:t>
      </w:r>
      <w:r>
        <w:rPr>
          <w:rFonts w:ascii="FangSong" w:eastAsia="FangSong" w:hAnsi="FangSong" w:cs="FangSong"/>
          <w:spacing w:val="-10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柜项目的用工提供了充足的保障，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括税收、用地等方面的优惠政策。这为配电柜项目创造了更加宽松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配电柜项目的过程中，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确保配电柜项目在不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配电柜项目所在区域的安全设施完备，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pacing w:val="-6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系统。这为配电柜项目的安全运行提供了可靠的支持，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配</w:t>
      </w:r>
      <w:r>
        <w:rPr>
          <w:rFonts w:ascii="FangSong" w:eastAsia="FangSong" w:hAnsi="FangSong" w:cs="FangSong"/>
          <w:spacing w:val="-8"/>
          <w:sz w:val="28"/>
          <w:szCs w:val="28"/>
        </w:rPr>
        <w:t>电柜项目提供了明确的建设方向，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确保用地符合工业配电柜项目的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配电柜项目所在地区容积率和建筑密度都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标。我们将确保配电柜项目建设在合理的容积率和建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筑密度范围内，以充分利用土地资源，提高配电柜项目效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途划分是用地控制的核心之一。根据配电柜项目的性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保持配电柜项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。我们将严格按照规定的利用年限进行配电柜项目建设和运营，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配电柜项目建设完成后，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然环境，减小配</w:t>
      </w:r>
      <w:r>
        <w:rPr>
          <w:rFonts w:ascii="FangSong" w:eastAsia="FangSong" w:hAnsi="FangSong" w:cs="FangSong"/>
          <w:spacing w:val="-2"/>
          <w:sz w:val="28"/>
          <w:szCs w:val="28"/>
        </w:rPr>
        <w:t>电柜项目对周边土地的影响。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我们将确保配电柜项目在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62" w:right="56" w:hanging="2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。这为配电柜项目提供了便捷的物流通道，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4"/>
          <w:sz w:val="28"/>
          <w:szCs w:val="28"/>
        </w:rPr>
        <w:t>售，提高了配电柜项目的市场竞争力。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自然条件适宜。配电柜项目建设将充分利用这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设施。配电柜项目将充分利用这些配套设施，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助于配电柜项目的稳定运营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总体要求中还包括对环境的保护要求。配电柜项目将遵循当地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于建设绿色、可持续的工业配电柜项目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8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配电</w:t>
      </w:r>
      <w:r>
        <w:rPr>
          <w:rFonts w:ascii="FangSong" w:eastAsia="FangSong" w:hAnsi="FangSong" w:cs="FangSong"/>
          <w:spacing w:val="-3"/>
          <w:sz w:val="28"/>
          <w:szCs w:val="28"/>
        </w:rPr>
        <w:t>柜</w:t>
      </w:r>
      <w:r>
        <w:rPr>
          <w:rFonts w:ascii="FangSong" w:eastAsia="FangSong" w:hAnsi="FangSong" w:cs="FangSong"/>
          <w:spacing w:val="-2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促进配电柜项目与当地社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2" w:line="416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配电柜项目将在选址的基础上更好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在配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柜项目选址的初步规划中，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我们计划通过多功能空间规划来优化土地利用。在配电柜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高建筑的垂直利用率。这一措施有助于减小配电柜项目的占地面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配电柜项目还将注重环境友好设计，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pacing w:val="-6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还有助于提高配电柜项目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1" w:line="415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共设施也是我们的设计理念之一。在配电柜项目内部建设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28"/>
          <w:cols w:space="708"/>
        </w:sectPr>
      </w:pPr>
    </w:p>
    <w:p>
      <w:pPr>
        <w:spacing w:before="184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过这些具体措施，我们致力于实现配电柜项目用地的经济高效利用，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在配</w:t>
      </w:r>
      <w:r>
        <w:rPr>
          <w:rFonts w:ascii="FangSong" w:eastAsia="FangSong" w:hAnsi="FangSong" w:cs="FangSong"/>
          <w:spacing w:val="-10"/>
          <w:sz w:val="28"/>
          <w:szCs w:val="28"/>
        </w:rPr>
        <w:t>电</w:t>
      </w:r>
      <w:r>
        <w:rPr>
          <w:rFonts w:ascii="FangSong" w:eastAsia="FangSong" w:hAnsi="FangSong" w:cs="FangSong"/>
          <w:spacing w:val="-7"/>
          <w:sz w:val="28"/>
          <w:szCs w:val="28"/>
        </w:rPr>
        <w:t>柜项目整体布置中，我们将主体功能区划分为生产区、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产品出货；办公区域靠近配电柜项目核心区，方便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；休闲区和绿化区域分布在配电柜项目的角落，为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确保了配电柜项目内外的车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配电柜项目区域内设置了一系列公共设施，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220" w:lineRule="auto"/>
        <w:ind w:right="18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配电柜项目总图中，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pacing w:val="-13"/>
          <w:sz w:val="28"/>
          <w:szCs w:val="28"/>
        </w:rPr>
        <w:t>集</w:t>
      </w:r>
    </w:p>
    <w:p>
      <w:pPr>
        <w:sectPr>
          <w:pgSz w:w="11906" w:h="16839"/>
          <w:pgMar w:top="1431" w:right="1610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3" w:right="14" w:firstLine="3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0"/>
          <w:sz w:val="28"/>
          <w:szCs w:val="28"/>
        </w:rPr>
        <w:t>处</w:t>
      </w:r>
      <w:r>
        <w:rPr>
          <w:rFonts w:ascii="FangSong" w:eastAsia="FangSong" w:hAnsi="FangSong" w:cs="FangSong"/>
          <w:spacing w:val="-9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生产与办公是配电柜项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输和产品的高效配送。办公区则位于配电柜项目核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管理层对整个配电柜项目的监控与决策。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在配电柜项目区域内分布绿化带和休闲区，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也为配电柜项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我们将环境保护区域规划在配电柜项目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确保了配电柜项目整体的美观性。这一举措符合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使配电柜项目在生产的同时也能够实现对环境的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这八个设计要点共同构成了配电柜项目总图布置方案的核心，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了配电柜项目在各个方面都能够取得良好的平衡，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该配电柜项目选址位于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电柜项目的顺利启动和运营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销售和员工的通勤。这为配电柜项目提供了便捷的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配电柜项目选址规划中特别考虑了环保区域，用于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>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有效减少对周边环境的负面影响。这表明了配电柜项目对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配电柜项目选址的用地控制指标与相关规划相一致</w:t>
      </w:r>
      <w:r>
        <w:rPr>
          <w:rFonts w:ascii="FangSong" w:eastAsia="FangSong" w:hAnsi="FangSong" w:cs="FangSong"/>
          <w:sz w:val="28"/>
          <w:szCs w:val="28"/>
        </w:rPr>
        <w:t>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也兼顾了用地的合理利用。这有助于配电柜项目获得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7" w:right="176" w:firstLine="977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1"/>
          <w:sz w:val="28"/>
          <w:szCs w:val="28"/>
        </w:rPr>
        <w:t>在配电柜项目选址周边进行了社区和周边环境的调查，确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配</w:t>
      </w:r>
      <w:r>
        <w:rPr>
          <w:rFonts w:ascii="FangSong" w:eastAsia="FangSong" w:hAnsi="FangSong" w:cs="FangSong"/>
          <w:spacing w:val="-10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柜项目建设不会对周边社区造成过大的影响，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配电柜项目选址时，我们充分考虑了当地的政策和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>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配电柜项目的合法性和稳健性。对政府支持政策和法规的遵从，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于配电柜项目在当地获得更多支持。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综合考虑配电柜项目选址的各项因素，我们认为该选址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为配电柜项目带来更多的发展机遇。与周边的产业和社会环境相结合，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配电柜项目实现可持续发展。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我们可以得出该配电柜项目选址的合理性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性，为配电柜项目的后续规划和实施提供了坚实的基础。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五、配电柜项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8" w:line="415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一)、配电柜项目风险分析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受市场变化和竞争压力的影响，配电柜项目面临市</w:t>
      </w:r>
    </w:p>
    <w:p>
      <w:pPr>
        <w:sectPr>
          <w:pgSz w:w="11906" w:h="16839"/>
          <w:pgMar w:top="1431" w:right="1697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3" w:right="82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影响配电柜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目的盈利能力。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技术方面的不确定性可能导致配电柜项目进度延</w:t>
      </w:r>
      <w:r>
        <w:rPr>
          <w:rFonts w:ascii="FangSong" w:eastAsia="FangSong" w:hAnsi="FangSong" w:cs="FangSong"/>
          <w:spacing w:val="-2"/>
          <w:sz w:val="28"/>
          <w:szCs w:val="28"/>
        </w:rPr>
        <w:t>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或成本增加。新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术的引入或技术问题的发生可能对配电柜项目的顺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利进行产生负面影响。</w:t>
      </w:r>
    </w:p>
    <w:p>
      <w:pPr>
        <w:spacing w:before="1" w:line="411" w:lineRule="auto"/>
        <w:ind w:left="37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政府政策和法规的变化可能对配电柜项目产</w:t>
      </w:r>
      <w:r>
        <w:rPr>
          <w:rFonts w:ascii="FangSong" w:eastAsia="FangSong" w:hAnsi="FangSong" w:cs="FangSong"/>
          <w:spacing w:val="-2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重大影响。不符合环保、安全等法规要求可能导致配电柜项目的停</w:t>
      </w:r>
      <w:r>
        <w:rPr>
          <w:rFonts w:ascii="FangSong" w:eastAsia="FangSong" w:hAnsi="FangSong" w:cs="FangSong"/>
          <w:spacing w:val="-2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或罚款，增加经济成本。</w:t>
      </w:r>
    </w:p>
    <w:p>
      <w:pPr>
        <w:spacing w:before="2" w:line="411" w:lineRule="auto"/>
        <w:ind w:left="32" w:right="82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资金紧张或融资渠道受限可能导致配电柜项目无法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按计划进行。汇</w:t>
      </w:r>
      <w:r>
        <w:rPr>
          <w:rFonts w:ascii="FangSong" w:eastAsia="FangSong" w:hAnsi="FangSong" w:cs="FangSong"/>
          <w:spacing w:val="-5"/>
          <w:sz w:val="28"/>
          <w:szCs w:val="28"/>
        </w:rPr>
        <w:t>率</w:t>
      </w:r>
      <w:r>
        <w:rPr>
          <w:rFonts w:ascii="FangSong" w:eastAsia="FangSong" w:hAnsi="FangSong" w:cs="FangSong"/>
          <w:spacing w:val="-3"/>
          <w:sz w:val="28"/>
          <w:szCs w:val="28"/>
        </w:rPr>
        <w:t>波动和利率上升也可能对配电柜项目的资金需求和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成</w:t>
      </w:r>
      <w:r>
        <w:rPr>
          <w:rFonts w:ascii="FangSong" w:eastAsia="FangSong" w:hAnsi="FangSong" w:cs="FangSong"/>
          <w:spacing w:val="-5"/>
          <w:sz w:val="28"/>
          <w:szCs w:val="28"/>
        </w:rPr>
        <w:t>本造成不利影响。</w:t>
      </w:r>
    </w:p>
    <w:p>
      <w:pPr>
        <w:spacing w:before="3" w:line="415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地震、洪水等自然灾害可能对配电柜项目区域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产生负面影响，损坏设施、影响生产，增加恢复和修复的成本。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、配电柜项目风险对策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9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我们旨在最大程度地降低配电柜项目面</w:t>
      </w:r>
      <w:r>
        <w:rPr>
          <w:rFonts w:ascii="FangSong" w:eastAsia="FangSong" w:hAnsi="FangSong" w:cs="FangSong"/>
          <w:spacing w:val="-7"/>
          <w:sz w:val="28"/>
          <w:szCs w:val="28"/>
        </w:rPr>
        <w:t>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的各种风险，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确保配电柜项目能够在复杂多变的环境中稳健前行。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4" w:lineRule="auto"/>
        <w:ind w:left="34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在配电柜项目开始前进行充分的技术可行性</w:t>
      </w:r>
      <w:r>
        <w:rPr>
          <w:rFonts w:ascii="FangSong" w:eastAsia="FangSong" w:hAnsi="FangSong" w:cs="FangSong"/>
          <w:spacing w:val="-2"/>
          <w:sz w:val="28"/>
          <w:szCs w:val="28"/>
        </w:rPr>
        <w:t>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究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确保配电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柜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目按计划进行。</w:t>
      </w:r>
    </w:p>
    <w:p>
      <w:pPr>
        <w:sectPr>
          <w:pgSz w:w="11906" w:h="16839"/>
          <w:pgMar w:top="1431" w:right="1718" w:bottom="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降低法规变更对配电柜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2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配电柜项目因不可抗力而受到的损失，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确保配电柜项目的可持续运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营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3" w:right="2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资源配置是确保配电柜项目成功实施的核心要素之一。在岗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我们根据配电柜项目规模和复杂性制定了合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4" w:line="414" w:lineRule="auto"/>
        <w:ind w:left="35" w:right="4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</w:p>
    <w:p>
      <w:pPr>
        <w:sectPr>
          <w:pgSz w:w="11906" w:h="16839"/>
          <w:pgMar w:top="1431" w:right="1718" w:bottom="0" w:left="1785" w:header="0" w:footer="0" w:gutter="0"/>
          <w:pgNumType w:start="36"/>
          <w:cols w:space="708"/>
        </w:sectPr>
      </w:pPr>
    </w:p>
    <w:p>
      <w:pPr>
        <w:spacing w:before="180" w:line="414" w:lineRule="auto"/>
        <w:ind w:left="34" w:firstLine="5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</w:rPr>
        <w:t>关注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具备应对配电柜项目挑战的能力。通过这些人力资源配置策略，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为配电柜项目的顺利实施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确保配电柜项目团队的协调运作和高效执行，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分为不同层面，并采用灵活的策略来满足配电柜项目需求。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招募到最适合配电柜项目的人才。</w:t>
      </w:r>
    </w:p>
    <w:p>
      <w:pPr>
        <w:spacing w:before="1" w:line="411" w:lineRule="auto"/>
        <w:ind w:left="51" w:right="5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岗位分工：明确配电柜项目各个岗位的职责和任务，根据团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队成员</w:t>
      </w:r>
      <w:r>
        <w:rPr>
          <w:rFonts w:ascii="FangSong" w:eastAsia="FangSong" w:hAnsi="FangSong" w:cs="FangSong"/>
          <w:spacing w:val="-4"/>
          <w:sz w:val="28"/>
          <w:szCs w:val="28"/>
        </w:rPr>
        <w:t>的专业特长和兴趣分配适当的工作职责。充分发挥每位团队成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员的专业优势，提高工作效率和执行力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展目标，并提供培训和资源支持，助力其在配电柜项目中不断成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4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ectPr>
          <w:pgSz w:w="11906" w:h="16839"/>
          <w:pgMar w:top="1431" w:right="1743" w:bottom="0" w:left="1785" w:header="0" w:footer="0" w:gutter="0"/>
          <w:pgNumType w:start="37"/>
          <w:cols w:space="708"/>
        </w:sectPr>
      </w:pPr>
    </w:p>
    <w:p>
      <w:pPr>
        <w:spacing w:before="185" w:line="411" w:lineRule="auto"/>
        <w:ind w:left="34" w:right="59" w:firstLine="554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1" w:lineRule="auto"/>
        <w:ind w:left="38" w:right="4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63" w:right="95" w:firstLine="5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电</w:t>
      </w:r>
      <w:r>
        <w:rPr>
          <w:rFonts w:ascii="FangSong" w:eastAsia="FangSong" w:hAnsi="FangSong" w:cs="FangSong"/>
          <w:spacing w:val="-3"/>
          <w:sz w:val="28"/>
          <w:szCs w:val="28"/>
        </w:rPr>
        <w:t>柜项目、角色扮演等方式，提高团队成员的协同工作能力。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</w:p>
    <w:p>
      <w:pPr>
        <w:sectPr>
          <w:pgSz w:w="11906" w:h="16839"/>
          <w:pgMar w:top="1431" w:right="1704" w:bottom="0" w:left="1785" w:header="0" w:footer="0" w:gutter="0"/>
          <w:pgNumType w:start="38"/>
          <w:cols w:space="708"/>
        </w:sectPr>
      </w:pPr>
    </w:p>
    <w:p>
      <w:pPr>
        <w:spacing w:before="184" w:line="411" w:lineRule="auto"/>
        <w:ind w:left="62" w:right="56" w:hanging="22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6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ectPr>
          <w:pgSz w:w="11906" w:h="16839"/>
          <w:pgMar w:top="1431" w:right="1743" w:bottom="0" w:left="1785" w:header="0" w:footer="0" w:gutter="0"/>
          <w:pgNumType w:start="39"/>
          <w:cols w:space="708"/>
        </w:sectPr>
      </w:pPr>
    </w:p>
    <w:p>
      <w:pPr>
        <w:spacing w:before="184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https://d.book118.com/006013152224010101</w:t>
        </w:r>
      </w:hyperlink>
    </w:p>
    <w:p/>
    <w:sectPr>
      <w:pgSz w:w="11906" w:h="16839"/>
      <w:pgMar w:top="1431" w:right="1603" w:bottom="0" w:left="1785" w:header="0" w:footer="0" w:gutter="0"/>
      <w:pgNumType w:start="4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06013152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2024-03-14T10:43:33Z</vt:filetime>
  </property>
  <property fmtid="{D5CDD505-2E9C-101B-9397-08002B2CF9AE}" pid="3" name="CRO">
    <vt:lpwstr>wqlLaW5nc29mdCBQREYgdG8gV1BTIDgw</vt:lpwstr>
  </property>
</Properties>
</file>