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2024年河南对外经济贸易职业学院高职单招（英语／数学／语文）笔试历年真题摘选含答案解析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《长亭送别》中，表现莺莺对现实不满的最为强烈的曲词是（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A.有梦也难寻觅。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B.但得一个并头莲，煞强如状元及第。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C.前暮私情，昨夜成亲，今日别离。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D.蜗角虚名，蝇头微利，拆鸳鸯在两下里。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ja-JP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2.</w:t>
      </w:r>
      <w:r>
        <w:rPr>
          <w:rFonts w:ascii="黑体" w:eastAsia="黑体" w:hAnsi="黑体" w:cs="Times New Roman"/>
          <w:sz w:val="24"/>
          <w:lang w:val="en-US" w:eastAsia="ja-JP" w:bidi="ar-SA"/>
        </w:rPr>
        <w:t>小说《风波》的线索是（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A.九斤老太的八十大寿事件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B.辫子事件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C.张勋复辟事件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2024年河南对外经济贸易职业学院高职单招（英语／数学／语文）笔试历年真题摘选含答案解析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《长亭送别》中，表现莺莺对现实不满的最为强烈的曲词是（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A.有梦也难寻觅。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B.但得一个并头莲，煞强如状元及第。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C.前暮私情，昨夜成亲，今日别离。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D.蜗角虚名，蝇头微利，拆鸳鸯在两下里。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2.</w:t>
      </w:r>
      <w:r>
        <w:rPr>
          <w:rFonts w:ascii="黑体" w:eastAsia="黑体" w:hAnsi="黑体" w:cs="Times New Roman"/>
          <w:sz w:val="24"/>
          <w:lang w:val="en-US" w:eastAsia="ja-JP" w:bidi="ar-SA"/>
        </w:rPr>
        <w:t>小说《风波》的线索是（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A.九斤老太的八十大寿事件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B.辫子事件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C.张勋复辟事件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 w:rsidRPr="00730BBD">
        <w:rPr>
          <w:rFonts w:ascii="黑体" w:eastAsia="黑体" w:hAnsi="黑体"/>
          <w:sz w:val="24"/>
          <w:lang w:val="en-US" w:eastAsia="ja-JP" w:bidi="ar-SA"/>
        </w:rPr>
        <w:br/>
      </w:r>
      <w:r w:rsidRPr="00730BBD">
        <w:rPr>
          <w:rFonts w:ascii="黑体" w:eastAsia="黑体" w:hAnsi="黑体"/>
          <w:sz w:val="24"/>
          <w:lang w:val="en-US" w:eastAsia="ja-JP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https://d.book118.com/006031141134010101</w:t>
        </w:r>
      </w:hyperlink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ja-JP" w:bidi="ar-SA"/>
        </w:rPr>
      </w:pPr>
    </w:p>
    <w:sectPr>
      <w:headerReference w:type="default" r:id="rId7"/>
      <w:type w:val="continuous"/>
      <w:pgSz w:w="11906" w:h="16838"/>
      <w:pgMar w:top="720" w:right="720" w:bottom="720" w:left="720" w:header="0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006031141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