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19"/>
        </w:rPr>
      </w:pPr>
    </w:p>
    <w:p>
      <w:pPr>
        <w:pStyle w:val="Title"/>
        <w:spacing w:line="252" w:lineRule="auto"/>
      </w:pPr>
      <w:r>
        <w:rPr>
          <w:spacing w:val="-20"/>
        </w:rPr>
        <w:t>SGT5-4000F（9）</w:t>
      </w:r>
      <w:r>
        <w:rPr>
          <w:spacing w:val="-3"/>
        </w:rPr>
        <w:t>型燃气-蒸汽联合循环机组启动操作规范</w:t>
      </w:r>
    </w:p>
    <w:p>
      <w:pPr>
        <w:spacing w:after="0" w:line="252" w:lineRule="auto"/>
        <w:sectPr>
          <w:type w:val="continuous"/>
          <w:pgSz w:w="11910" w:h="16840"/>
          <w:pgMar w:top="1580" w:right="660" w:bottom="280" w:left="1200" w:header="708" w:footer="708"/>
          <w:cols w:space="708"/>
        </w:sectPr>
      </w:pPr>
    </w:p>
    <w:p>
      <w:pPr>
        <w:pStyle w:val="BodyText"/>
        <w:ind w:left="0"/>
        <w:rPr>
          <w:rFonts w:ascii="黑体"/>
          <w:sz w:val="20"/>
        </w:rPr>
      </w:pPr>
    </w:p>
    <w:p>
      <w:pPr>
        <w:pStyle w:val="BodyText"/>
        <w:ind w:left="0"/>
        <w:rPr>
          <w:rFonts w:ascii="黑体"/>
          <w:sz w:val="20"/>
        </w:rPr>
      </w:pPr>
    </w:p>
    <w:p>
      <w:pPr>
        <w:pStyle w:val="BodyText"/>
        <w:spacing w:before="1"/>
        <w:ind w:left="0"/>
        <w:rPr>
          <w:rFonts w:ascii="黑体"/>
          <w:sz w:val="19"/>
        </w:rPr>
      </w:pPr>
    </w:p>
    <w:p>
      <w:pPr>
        <w:pStyle w:val="Heading1"/>
        <w:tabs>
          <w:tab w:val="left" w:pos="959"/>
        </w:tabs>
        <w:spacing w:before="55"/>
        <w:ind w:right="254"/>
        <w:jc w:val="center"/>
      </w:pPr>
      <w:r>
        <w:t>目</w:t>
        <w:tab/>
        <w:t>次</w:t>
      </w:r>
    </w:p>
    <w:p>
      <w:pPr>
        <w:pStyle w:val="ListParagraph"/>
        <w:numPr>
          <w:ilvl w:val="0"/>
          <w:numId w:val="57"/>
        </w:numPr>
        <w:tabs>
          <w:tab w:val="left" w:pos="532"/>
          <w:tab w:val="left" w:pos="533"/>
          <w:tab w:val="right" w:leader="dot" w:pos="9560"/>
        </w:tabs>
        <w:spacing w:before="873" w:after="0" w:line="240" w:lineRule="auto"/>
        <w:ind w:left="532" w:right="0" w:hanging="315"/>
        <w:jc w:val="left"/>
        <w:rPr>
          <w:sz w:val="21"/>
        </w:rPr>
      </w:pPr>
      <w:hyperlink w:anchor="_bookmark0" w:history="1">
        <w:r>
          <w:rPr>
            <w:sz w:val="21"/>
          </w:rPr>
          <w:t>范围</w:t>
          <w:tab/>
          <w:t>1</w:t>
        </w:r>
      </w:hyperlink>
    </w:p>
    <w:p>
      <w:pPr>
        <w:pStyle w:val="ListParagraph"/>
        <w:numPr>
          <w:ilvl w:val="0"/>
          <w:numId w:val="57"/>
        </w:numPr>
        <w:tabs>
          <w:tab w:val="left" w:pos="532"/>
          <w:tab w:val="left" w:pos="533"/>
          <w:tab w:val="right" w:leader="dot" w:pos="9560"/>
        </w:tabs>
        <w:spacing w:before="130" w:after="0" w:line="240" w:lineRule="auto"/>
        <w:ind w:left="532" w:right="0" w:hanging="315"/>
        <w:jc w:val="left"/>
        <w:rPr>
          <w:sz w:val="21"/>
        </w:rPr>
      </w:pPr>
      <w:hyperlink w:anchor="_bookmark1" w:history="1">
        <w:r>
          <w:rPr>
            <w:sz w:val="21"/>
          </w:rPr>
          <w:t>规范性引用文件</w:t>
          <w:tab/>
          <w:t>1</w:t>
        </w:r>
      </w:hyperlink>
    </w:p>
    <w:p>
      <w:pPr>
        <w:pStyle w:val="ListParagraph"/>
        <w:numPr>
          <w:ilvl w:val="0"/>
          <w:numId w:val="57"/>
        </w:numPr>
        <w:tabs>
          <w:tab w:val="left" w:pos="532"/>
          <w:tab w:val="left" w:pos="533"/>
          <w:tab w:val="right" w:leader="dot" w:pos="9560"/>
        </w:tabs>
        <w:spacing w:before="131" w:after="0" w:line="240" w:lineRule="auto"/>
        <w:ind w:left="532" w:right="0" w:hanging="315"/>
        <w:jc w:val="left"/>
        <w:rPr>
          <w:sz w:val="21"/>
        </w:rPr>
      </w:pPr>
      <w:hyperlink w:anchor="_bookmark2" w:history="1">
        <w:r>
          <w:rPr>
            <w:sz w:val="21"/>
          </w:rPr>
          <w:t>术语和定义</w:t>
          <w:tab/>
          <w:t>1</w:t>
        </w:r>
      </w:hyperlink>
    </w:p>
    <w:p>
      <w:pPr>
        <w:pStyle w:val="ListParagraph"/>
        <w:numPr>
          <w:ilvl w:val="0"/>
          <w:numId w:val="57"/>
        </w:numPr>
        <w:tabs>
          <w:tab w:val="left" w:pos="532"/>
          <w:tab w:val="left" w:pos="533"/>
          <w:tab w:val="right" w:leader="dot" w:pos="9560"/>
        </w:tabs>
        <w:spacing w:before="132" w:after="0" w:line="240" w:lineRule="auto"/>
        <w:ind w:left="532" w:right="0" w:hanging="315"/>
        <w:jc w:val="left"/>
        <w:rPr>
          <w:sz w:val="21"/>
        </w:rPr>
      </w:pPr>
      <w:hyperlink w:anchor="_bookmark3" w:history="1">
        <w:r>
          <w:rPr>
            <w:sz w:val="21"/>
          </w:rPr>
          <w:t>总体要求</w:t>
          <w:tab/>
          <w:t>3</w:t>
        </w:r>
      </w:hyperlink>
    </w:p>
    <w:p>
      <w:pPr>
        <w:pStyle w:val="ListParagraph"/>
        <w:numPr>
          <w:ilvl w:val="0"/>
          <w:numId w:val="57"/>
        </w:numPr>
        <w:tabs>
          <w:tab w:val="left" w:pos="532"/>
          <w:tab w:val="left" w:pos="533"/>
          <w:tab w:val="right" w:leader="dot" w:pos="9560"/>
        </w:tabs>
        <w:spacing w:before="129" w:after="0" w:line="240" w:lineRule="auto"/>
        <w:ind w:left="532" w:right="0" w:hanging="315"/>
        <w:jc w:val="left"/>
        <w:rPr>
          <w:sz w:val="21"/>
        </w:rPr>
      </w:pPr>
      <w:hyperlink w:anchor="_bookmark4" w:history="1">
        <w:r>
          <w:rPr>
            <w:sz w:val="21"/>
          </w:rPr>
          <w:t>机组启动准备与启动条件要求</w:t>
          <w:tab/>
          <w:t>3</w:t>
        </w:r>
      </w:hyperlink>
    </w:p>
    <w:p>
      <w:pPr>
        <w:pStyle w:val="ListParagraph"/>
        <w:numPr>
          <w:ilvl w:val="0"/>
          <w:numId w:val="57"/>
        </w:numPr>
        <w:tabs>
          <w:tab w:val="left" w:pos="532"/>
          <w:tab w:val="left" w:pos="533"/>
          <w:tab w:val="right" w:leader="dot" w:pos="9560"/>
        </w:tabs>
        <w:spacing w:before="132" w:after="0" w:line="240" w:lineRule="auto"/>
        <w:ind w:left="532" w:right="0" w:hanging="315"/>
        <w:jc w:val="left"/>
        <w:rPr>
          <w:sz w:val="21"/>
        </w:rPr>
      </w:pPr>
      <w:hyperlink w:anchor="_bookmark5" w:history="1">
        <w:r>
          <w:rPr>
            <w:sz w:val="21"/>
          </w:rPr>
          <w:t>机组启动操作程序</w:t>
          <w:tab/>
          <w:t>7</w:t>
        </w:r>
      </w:hyperlink>
    </w:p>
    <w:p>
      <w:pPr>
        <w:pStyle w:val="ListParagraph"/>
        <w:numPr>
          <w:ilvl w:val="0"/>
          <w:numId w:val="57"/>
        </w:numPr>
        <w:tabs>
          <w:tab w:val="left" w:pos="532"/>
          <w:tab w:val="left" w:pos="533"/>
          <w:tab w:val="right" w:leader="dot" w:pos="9562"/>
        </w:tabs>
        <w:spacing w:before="132" w:after="0" w:line="240" w:lineRule="auto"/>
        <w:ind w:left="532" w:right="0" w:hanging="315"/>
        <w:jc w:val="left"/>
        <w:rPr>
          <w:sz w:val="21"/>
        </w:rPr>
      </w:pPr>
      <w:hyperlink w:anchor="_bookmark6" w:history="1">
        <w:r>
          <w:rPr>
            <w:sz w:val="21"/>
          </w:rPr>
          <w:t>应急处理</w:t>
          <w:tab/>
          <w:t>11</w:t>
        </w:r>
      </w:hyperlink>
    </w:p>
    <w:p>
      <w:pPr>
        <w:pStyle w:val="BodyText"/>
        <w:tabs>
          <w:tab w:val="left" w:pos="2054"/>
          <w:tab w:val="right" w:leader="dot" w:pos="9562"/>
        </w:tabs>
        <w:spacing w:before="129"/>
        <w:ind w:left="218"/>
      </w:pPr>
      <w:hyperlink w:anchor="_bookmark7" w:history="1">
        <w:r>
          <w:t>附录</w:t>
        </w:r>
        <w:r>
          <w:rPr>
            <w:spacing w:val="-55"/>
          </w:rPr>
          <w:t xml:space="preserve"> </w:t>
        </w:r>
        <w:r>
          <w:t>A（规范性）</w:t>
          <w:tab/>
          <w:t>燃气轮机启动步程序</w:t>
          <w:tab/>
          <w:t>14</w:t>
        </w:r>
      </w:hyperlink>
    </w:p>
    <w:p>
      <w:pPr>
        <w:pStyle w:val="BodyText"/>
        <w:tabs>
          <w:tab w:val="left" w:pos="2054"/>
          <w:tab w:val="right" w:leader="dot" w:pos="9562"/>
        </w:tabs>
        <w:spacing w:before="132"/>
        <w:ind w:left="218"/>
      </w:pPr>
      <w:hyperlink w:anchor="_bookmark8" w:history="1">
        <w:r>
          <w:t>附录</w:t>
        </w:r>
        <w:r>
          <w:rPr>
            <w:spacing w:val="-55"/>
          </w:rPr>
          <w:t xml:space="preserve"> </w:t>
        </w:r>
        <w:r>
          <w:t>B（规范性）</w:t>
          <w:tab/>
          <w:t>汽轮机启动步程序</w:t>
          <w:tab/>
          <w:t>17</w:t>
        </w:r>
      </w:hyperlink>
    </w:p>
    <w:p>
      <w:pPr>
        <w:pStyle w:val="BodyText"/>
        <w:tabs>
          <w:tab w:val="left" w:pos="2054"/>
          <w:tab w:val="right" w:leader="dot" w:pos="9562"/>
        </w:tabs>
        <w:spacing w:before="132"/>
        <w:ind w:left="218"/>
      </w:pPr>
      <w:hyperlink w:anchor="_bookmark9" w:history="1">
        <w:r>
          <w:t>附录</w:t>
        </w:r>
        <w:r>
          <w:rPr>
            <w:spacing w:val="-55"/>
          </w:rPr>
          <w:t xml:space="preserve"> </w:t>
        </w:r>
        <w:r>
          <w:t>C（规范性）</w:t>
          <w:tab/>
          <w:t>汽轮机启动期间</w:t>
        </w:r>
        <w:r>
          <w:rPr>
            <w:spacing w:val="-50"/>
          </w:rPr>
          <w:t xml:space="preserve"> </w:t>
        </w:r>
        <w:r>
          <w:t>TAB</w:t>
        </w:r>
        <w:r>
          <w:rPr>
            <w:spacing w:val="-54"/>
          </w:rPr>
          <w:t xml:space="preserve"> </w:t>
        </w:r>
        <w:r>
          <w:t>值</w:t>
          <w:tab/>
          <w:t>22</w:t>
        </w:r>
      </w:hyperlink>
    </w:p>
    <w:p>
      <w:pPr>
        <w:spacing w:after="0"/>
        <w:sectPr>
          <w:footerReference w:type="default" r:id="rId4"/>
          <w:pgSz w:w="11910" w:h="16840"/>
          <w:pgMar w:top="1580" w:right="660" w:bottom="1340" w:left="1200" w:header="0" w:footer="1141"/>
          <w:pgNumType w:start="2"/>
          <w:cols w:space="708"/>
        </w:sectPr>
      </w:pPr>
    </w:p>
    <w:p>
      <w:pPr>
        <w:pStyle w:val="BodyText"/>
        <w:spacing w:before="8"/>
        <w:ind w:left="0"/>
        <w:rPr>
          <w:sz w:val="47"/>
        </w:rPr>
      </w:pPr>
    </w:p>
    <w:p>
      <w:pPr>
        <w:spacing w:before="0"/>
        <w:ind w:left="895" w:right="0" w:firstLine="0"/>
        <w:jc w:val="left"/>
        <w:rPr>
          <w:rFonts w:ascii="黑体" w:eastAsia="黑体" w:hint="eastAsia"/>
          <w:sz w:val="32"/>
        </w:rPr>
      </w:pPr>
      <w:r>
        <w:rPr>
          <w:rFonts w:ascii="黑体" w:eastAsia="黑体" w:hint="eastAsia"/>
          <w:sz w:val="32"/>
        </w:rPr>
        <w:t>SGT5-4000F（9）型燃气-蒸汽联合循环机组启动操作规范</w:t>
      </w:r>
    </w:p>
    <w:p>
      <w:pPr>
        <w:pStyle w:val="BodyText"/>
        <w:spacing w:before="5"/>
        <w:ind w:left="0"/>
        <w:rPr>
          <w:rFonts w:ascii="黑体"/>
          <w:sz w:val="40"/>
        </w:rPr>
      </w:pPr>
    </w:p>
    <w:p>
      <w:pPr>
        <w:pStyle w:val="ListParagraph"/>
        <w:numPr>
          <w:ilvl w:val="0"/>
          <w:numId w:val="55"/>
        </w:numPr>
        <w:tabs>
          <w:tab w:val="left" w:pos="532"/>
          <w:tab w:val="left" w:pos="533"/>
        </w:tabs>
        <w:spacing w:before="1" w:after="0" w:line="240" w:lineRule="auto"/>
        <w:ind w:left="532" w:right="0" w:hanging="315"/>
        <w:jc w:val="left"/>
        <w:rPr>
          <w:rFonts w:ascii="黑体" w:eastAsia="黑体" w:hint="eastAsia"/>
          <w:sz w:val="21"/>
        </w:rPr>
      </w:pPr>
      <w:bookmarkStart w:id="0" w:name="1　范围"/>
      <w:bookmarkEnd w:id="0"/>
      <w:bookmarkStart w:id="1" w:name="_bookmark0"/>
      <w:bookmarkEnd w:id="1"/>
      <w:r>
        <w:rPr>
          <w:rFonts w:ascii="黑体" w:eastAsia="黑体" w:hint="eastAsia"/>
          <w:sz w:val="21"/>
        </w:rPr>
        <w:t>范围</w:t>
      </w:r>
    </w:p>
    <w:p>
      <w:pPr>
        <w:pStyle w:val="BodyText"/>
        <w:spacing w:before="11"/>
        <w:ind w:left="0"/>
        <w:rPr>
          <w:rFonts w:ascii="黑体"/>
          <w:sz w:val="18"/>
        </w:rPr>
      </w:pPr>
    </w:p>
    <w:p>
      <w:pPr>
        <w:pStyle w:val="BodyText"/>
        <w:spacing w:line="244" w:lineRule="auto"/>
        <w:ind w:left="218" w:right="472" w:firstLine="420"/>
      </w:pPr>
      <w:r>
        <w:rPr>
          <w:w w:val="95"/>
        </w:rPr>
        <w:t>本标准规定了西门子</w:t>
      </w:r>
      <w:r>
        <w:rPr>
          <w:spacing w:val="-5"/>
          <w:w w:val="95"/>
        </w:rPr>
        <w:t>SGT5-4000F（9）</w:t>
      </w:r>
      <w:r>
        <w:rPr>
          <w:spacing w:val="-2"/>
          <w:w w:val="95"/>
        </w:rPr>
        <w:t xml:space="preserve">型燃气-蒸汽联合循环机组的启动准备、启动条件和启动操作   </w:t>
      </w:r>
      <w:r>
        <w:rPr>
          <w:spacing w:val="-2"/>
        </w:rPr>
        <w:t>步骤。</w:t>
      </w:r>
    </w:p>
    <w:p>
      <w:pPr>
        <w:pStyle w:val="BodyText"/>
        <w:spacing w:line="267" w:lineRule="exact"/>
        <w:ind w:left="638"/>
      </w:pPr>
      <w:r>
        <w:t>本标准适用于西门子SGT5-4000F（9）型燃气-蒸汽联合循环机组。</w:t>
      </w:r>
    </w:p>
    <w:p>
      <w:pPr>
        <w:pStyle w:val="BodyText"/>
        <w:spacing w:before="11"/>
        <w:ind w:left="0"/>
        <w:rPr>
          <w:sz w:val="18"/>
        </w:rPr>
      </w:pPr>
    </w:p>
    <w:p>
      <w:pPr>
        <w:pStyle w:val="ListParagraph"/>
        <w:numPr>
          <w:ilvl w:val="0"/>
          <w:numId w:val="55"/>
        </w:numPr>
        <w:tabs>
          <w:tab w:val="left" w:pos="532"/>
          <w:tab w:val="left" w:pos="533"/>
        </w:tabs>
        <w:spacing w:before="1" w:after="0" w:line="240" w:lineRule="auto"/>
        <w:ind w:left="532" w:right="0" w:hanging="315"/>
        <w:jc w:val="left"/>
        <w:rPr>
          <w:rFonts w:ascii="黑体" w:eastAsia="黑体" w:hint="eastAsia"/>
          <w:sz w:val="21"/>
        </w:rPr>
      </w:pPr>
      <w:bookmarkStart w:id="2" w:name="2　规范性引用文件"/>
      <w:bookmarkEnd w:id="2"/>
      <w:bookmarkStart w:id="3" w:name="_bookmark1"/>
      <w:bookmarkEnd w:id="3"/>
      <w:r>
        <w:rPr>
          <w:rFonts w:ascii="黑体" w:eastAsia="黑体" w:hint="eastAsia"/>
          <w:sz w:val="21"/>
        </w:rPr>
        <w:t>规范性引用文件</w:t>
      </w:r>
    </w:p>
    <w:p>
      <w:pPr>
        <w:pStyle w:val="BodyText"/>
        <w:spacing w:before="11"/>
        <w:ind w:left="0"/>
        <w:rPr>
          <w:rFonts w:ascii="黑体"/>
          <w:sz w:val="18"/>
        </w:rPr>
      </w:pPr>
    </w:p>
    <w:p>
      <w:pPr>
        <w:pStyle w:val="BodyText"/>
        <w:spacing w:line="242" w:lineRule="auto"/>
        <w:ind w:left="218" w:right="367"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spacing w:before="3"/>
        <w:ind w:left="638"/>
      </w:pPr>
      <w:r>
        <w:t>GB/T 26863-2011 火电站监控系统术语</w:t>
      </w:r>
    </w:p>
    <w:p>
      <w:pPr>
        <w:pStyle w:val="BodyText"/>
        <w:spacing w:before="2"/>
        <w:ind w:left="638"/>
      </w:pPr>
      <w:r>
        <w:t>DL/T 1835-2018 燃气轮机及联合循环机组启动调试导则</w:t>
      </w:r>
    </w:p>
    <w:p>
      <w:pPr>
        <w:pStyle w:val="BodyText"/>
        <w:spacing w:before="5"/>
        <w:ind w:left="638"/>
      </w:pPr>
      <w:r>
        <w:t>DL/T 863 汽轮机启动调试导则</w:t>
      </w:r>
    </w:p>
    <w:p>
      <w:pPr>
        <w:pStyle w:val="BodyText"/>
        <w:spacing w:before="2"/>
        <w:ind w:left="638"/>
      </w:pPr>
      <w:r>
        <w:t>GB/T 15135-2018 燃气轮机词汇</w:t>
      </w:r>
    </w:p>
    <w:p>
      <w:pPr>
        <w:pStyle w:val="BodyText"/>
        <w:spacing w:before="5"/>
        <w:ind w:left="638"/>
      </w:pPr>
      <w:r>
        <w:t>GB/T 15736-2016 燃气轮机辅助设备通用技术要求</w:t>
      </w:r>
    </w:p>
    <w:p>
      <w:pPr>
        <w:pStyle w:val="BodyText"/>
        <w:spacing w:before="2"/>
        <w:ind w:left="638"/>
      </w:pPr>
      <w:r>
        <w:t>GB 13223-2011 火电厂大气污染物排放标准</w:t>
      </w:r>
    </w:p>
    <w:p>
      <w:pPr>
        <w:pStyle w:val="BodyText"/>
        <w:spacing w:before="2" w:after="35"/>
        <w:ind w:left="638"/>
      </w:pPr>
      <w:r>
        <w:t>DL/T 561-2013 火力发电厂水汽化学监督导则</w:t>
      </w:r>
    </w:p>
    <w:tbl>
      <w:tblPr>
        <w:tblStyle w:val="TableNormal0"/>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3"/>
        <w:gridCol w:w="1154"/>
        <w:gridCol w:w="3565"/>
      </w:tblGrid>
      <w:tr>
        <w:tblPrEx>
          <w:tblW w:w="0" w:type="auto"/>
          <w:jc w:val="left"/>
          <w:tblInd w:w="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41"/>
          <w:jc w:val="left"/>
        </w:trPr>
        <w:tc>
          <w:tcPr>
            <w:tcW w:w="523" w:type="dxa"/>
          </w:tcPr>
          <w:p>
            <w:pPr>
              <w:pStyle w:val="TableParagraph"/>
              <w:spacing w:line="221" w:lineRule="exact"/>
              <w:ind w:left="31" w:right="32"/>
              <w:jc w:val="center"/>
              <w:rPr>
                <w:sz w:val="21"/>
              </w:rPr>
            </w:pPr>
            <w:r>
              <w:rPr>
                <w:sz w:val="21"/>
              </w:rPr>
              <w:t>GB/T</w:t>
            </w:r>
          </w:p>
        </w:tc>
        <w:tc>
          <w:tcPr>
            <w:tcW w:w="1154" w:type="dxa"/>
          </w:tcPr>
          <w:p>
            <w:pPr>
              <w:pStyle w:val="TableParagraph"/>
              <w:spacing w:line="221" w:lineRule="exact"/>
              <w:ind w:right="49"/>
              <w:jc w:val="right"/>
              <w:rPr>
                <w:sz w:val="21"/>
              </w:rPr>
            </w:pPr>
            <w:r>
              <w:rPr>
                <w:w w:val="95"/>
                <w:sz w:val="21"/>
              </w:rPr>
              <w:t>34576-2017</w:t>
            </w:r>
          </w:p>
        </w:tc>
        <w:tc>
          <w:tcPr>
            <w:tcW w:w="3565" w:type="dxa"/>
          </w:tcPr>
          <w:p>
            <w:pPr>
              <w:pStyle w:val="TableParagraph"/>
              <w:spacing w:line="221" w:lineRule="exact"/>
              <w:ind w:left="53"/>
              <w:rPr>
                <w:sz w:val="21"/>
              </w:rPr>
            </w:pPr>
            <w:r>
              <w:rPr>
                <w:sz w:val="21"/>
              </w:rPr>
              <w:t>燃气-蒸汽联合循环用汽轮机规范</w:t>
            </w:r>
          </w:p>
        </w:tc>
      </w:tr>
      <w:tr>
        <w:tblPrEx>
          <w:tblW w:w="0" w:type="auto"/>
          <w:jc w:val="left"/>
          <w:tblInd w:w="595" w:type="dxa"/>
          <w:tblLayout w:type="fixed"/>
          <w:tblCellMar>
            <w:top w:w="0" w:type="dxa"/>
            <w:left w:w="0" w:type="dxa"/>
            <w:bottom w:w="0" w:type="dxa"/>
            <w:right w:w="0" w:type="dxa"/>
          </w:tblCellMar>
          <w:tblLook w:val="01E0"/>
        </w:tblPrEx>
        <w:trPr>
          <w:trHeight w:val="272"/>
          <w:jc w:val="left"/>
        </w:trPr>
        <w:tc>
          <w:tcPr>
            <w:tcW w:w="523" w:type="dxa"/>
          </w:tcPr>
          <w:p>
            <w:pPr>
              <w:pStyle w:val="TableParagraph"/>
              <w:spacing w:before="2" w:line="251" w:lineRule="exact"/>
              <w:ind w:left="31" w:right="32"/>
              <w:jc w:val="center"/>
              <w:rPr>
                <w:sz w:val="21"/>
              </w:rPr>
            </w:pPr>
            <w:r>
              <w:rPr>
                <w:sz w:val="21"/>
              </w:rPr>
              <w:t>GB/T</w:t>
            </w:r>
          </w:p>
        </w:tc>
        <w:tc>
          <w:tcPr>
            <w:tcW w:w="1154" w:type="dxa"/>
          </w:tcPr>
          <w:p>
            <w:pPr>
              <w:pStyle w:val="TableParagraph"/>
              <w:spacing w:before="2" w:line="251" w:lineRule="exact"/>
              <w:ind w:right="49"/>
              <w:jc w:val="right"/>
              <w:rPr>
                <w:sz w:val="21"/>
              </w:rPr>
            </w:pPr>
            <w:r>
              <w:rPr>
                <w:w w:val="95"/>
                <w:sz w:val="21"/>
              </w:rPr>
              <w:t>30577-2014</w:t>
            </w:r>
          </w:p>
        </w:tc>
        <w:tc>
          <w:tcPr>
            <w:tcW w:w="3565" w:type="dxa"/>
          </w:tcPr>
          <w:p>
            <w:pPr>
              <w:pStyle w:val="TableParagraph"/>
              <w:spacing w:before="2" w:line="251" w:lineRule="exact"/>
              <w:ind w:left="53"/>
              <w:rPr>
                <w:sz w:val="21"/>
              </w:rPr>
            </w:pPr>
            <w:r>
              <w:rPr>
                <w:sz w:val="21"/>
              </w:rPr>
              <w:t>燃气-蒸汽联合循环余热锅炉技术条件</w:t>
            </w:r>
          </w:p>
        </w:tc>
      </w:tr>
      <w:tr>
        <w:tblPrEx>
          <w:tblW w:w="0" w:type="auto"/>
          <w:jc w:val="left"/>
          <w:tblInd w:w="595" w:type="dxa"/>
          <w:tblLayout w:type="fixed"/>
          <w:tblCellMar>
            <w:top w:w="0" w:type="dxa"/>
            <w:left w:w="0" w:type="dxa"/>
            <w:bottom w:w="0" w:type="dxa"/>
            <w:right w:w="0" w:type="dxa"/>
          </w:tblCellMar>
          <w:tblLook w:val="01E0"/>
        </w:tblPrEx>
        <w:trPr>
          <w:trHeight w:val="271"/>
          <w:jc w:val="left"/>
        </w:trPr>
        <w:tc>
          <w:tcPr>
            <w:tcW w:w="523" w:type="dxa"/>
          </w:tcPr>
          <w:p>
            <w:pPr>
              <w:pStyle w:val="TableParagraph"/>
              <w:spacing w:before="1" w:line="251" w:lineRule="exact"/>
              <w:ind w:left="31" w:right="32"/>
              <w:jc w:val="center"/>
              <w:rPr>
                <w:sz w:val="21"/>
              </w:rPr>
            </w:pPr>
            <w:r>
              <w:rPr>
                <w:sz w:val="21"/>
              </w:rPr>
              <w:t>GB/T</w:t>
            </w:r>
          </w:p>
        </w:tc>
        <w:tc>
          <w:tcPr>
            <w:tcW w:w="1154" w:type="dxa"/>
          </w:tcPr>
          <w:p>
            <w:pPr>
              <w:pStyle w:val="TableParagraph"/>
              <w:spacing w:before="1" w:line="251" w:lineRule="exact"/>
              <w:ind w:right="49"/>
              <w:jc w:val="right"/>
              <w:rPr>
                <w:sz w:val="21"/>
              </w:rPr>
            </w:pPr>
            <w:r>
              <w:rPr>
                <w:w w:val="95"/>
                <w:sz w:val="21"/>
              </w:rPr>
              <w:t>15736-2016</w:t>
            </w:r>
          </w:p>
        </w:tc>
        <w:tc>
          <w:tcPr>
            <w:tcW w:w="3565" w:type="dxa"/>
          </w:tcPr>
          <w:p>
            <w:pPr>
              <w:pStyle w:val="TableParagraph"/>
              <w:spacing w:before="1" w:line="251" w:lineRule="exact"/>
              <w:ind w:left="53"/>
              <w:rPr>
                <w:sz w:val="21"/>
              </w:rPr>
            </w:pPr>
            <w:r>
              <w:rPr>
                <w:sz w:val="21"/>
              </w:rPr>
              <w:t>燃气轮机辅助设备通用技术要求</w:t>
            </w:r>
          </w:p>
        </w:tc>
      </w:tr>
      <w:tr>
        <w:tblPrEx>
          <w:tblW w:w="0" w:type="auto"/>
          <w:jc w:val="left"/>
          <w:tblInd w:w="595" w:type="dxa"/>
          <w:tblLayout w:type="fixed"/>
          <w:tblCellMar>
            <w:top w:w="0" w:type="dxa"/>
            <w:left w:w="0" w:type="dxa"/>
            <w:bottom w:w="0" w:type="dxa"/>
            <w:right w:w="0" w:type="dxa"/>
          </w:tblCellMar>
          <w:tblLook w:val="01E0"/>
        </w:tblPrEx>
        <w:trPr>
          <w:trHeight w:val="271"/>
          <w:jc w:val="left"/>
        </w:trPr>
        <w:tc>
          <w:tcPr>
            <w:tcW w:w="523" w:type="dxa"/>
          </w:tcPr>
          <w:p>
            <w:pPr>
              <w:pStyle w:val="TableParagraph"/>
              <w:spacing w:before="1" w:line="251" w:lineRule="exact"/>
              <w:ind w:left="31" w:right="32"/>
              <w:jc w:val="center"/>
              <w:rPr>
                <w:sz w:val="21"/>
              </w:rPr>
            </w:pPr>
            <w:r>
              <w:rPr>
                <w:sz w:val="21"/>
              </w:rPr>
              <w:t>GB/T</w:t>
            </w:r>
          </w:p>
        </w:tc>
        <w:tc>
          <w:tcPr>
            <w:tcW w:w="1154" w:type="dxa"/>
          </w:tcPr>
          <w:p>
            <w:pPr>
              <w:pStyle w:val="TableParagraph"/>
              <w:spacing w:before="1" w:line="251" w:lineRule="exact"/>
              <w:ind w:right="49"/>
              <w:jc w:val="right"/>
              <w:rPr>
                <w:sz w:val="21"/>
              </w:rPr>
            </w:pPr>
            <w:r>
              <w:rPr>
                <w:w w:val="95"/>
                <w:sz w:val="21"/>
              </w:rPr>
              <w:t>38179-2019</w:t>
            </w:r>
          </w:p>
        </w:tc>
        <w:tc>
          <w:tcPr>
            <w:tcW w:w="3565" w:type="dxa"/>
          </w:tcPr>
          <w:p>
            <w:pPr>
              <w:pStyle w:val="TableParagraph"/>
              <w:spacing w:before="1" w:line="251" w:lineRule="exact"/>
              <w:ind w:left="53"/>
              <w:rPr>
                <w:sz w:val="21"/>
              </w:rPr>
            </w:pPr>
            <w:r>
              <w:rPr>
                <w:sz w:val="21"/>
              </w:rPr>
              <w:t>燃气轮机应用用于发电设备的要求</w:t>
            </w:r>
          </w:p>
        </w:tc>
      </w:tr>
      <w:tr>
        <w:tblPrEx>
          <w:tblW w:w="0" w:type="auto"/>
          <w:jc w:val="left"/>
          <w:tblInd w:w="595" w:type="dxa"/>
          <w:tblLayout w:type="fixed"/>
          <w:tblCellMar>
            <w:top w:w="0" w:type="dxa"/>
            <w:left w:w="0" w:type="dxa"/>
            <w:bottom w:w="0" w:type="dxa"/>
            <w:right w:w="0" w:type="dxa"/>
          </w:tblCellMar>
          <w:tblLook w:val="01E0"/>
        </w:tblPrEx>
        <w:trPr>
          <w:trHeight w:val="271"/>
          <w:jc w:val="left"/>
        </w:trPr>
        <w:tc>
          <w:tcPr>
            <w:tcW w:w="523" w:type="dxa"/>
          </w:tcPr>
          <w:p>
            <w:pPr>
              <w:pStyle w:val="TableParagraph"/>
              <w:spacing w:before="1" w:line="250" w:lineRule="exact"/>
              <w:ind w:left="31" w:right="32"/>
              <w:jc w:val="center"/>
              <w:rPr>
                <w:sz w:val="21"/>
              </w:rPr>
            </w:pPr>
            <w:r>
              <w:rPr>
                <w:sz w:val="21"/>
              </w:rPr>
              <w:t>GB/T</w:t>
            </w:r>
          </w:p>
        </w:tc>
        <w:tc>
          <w:tcPr>
            <w:tcW w:w="1154" w:type="dxa"/>
          </w:tcPr>
          <w:p>
            <w:pPr>
              <w:pStyle w:val="TableParagraph"/>
              <w:spacing w:before="1" w:line="250" w:lineRule="exact"/>
              <w:ind w:right="49"/>
              <w:jc w:val="right"/>
              <w:rPr>
                <w:sz w:val="21"/>
              </w:rPr>
            </w:pPr>
            <w:r>
              <w:rPr>
                <w:w w:val="95"/>
                <w:sz w:val="21"/>
              </w:rPr>
              <w:t>32821-2016</w:t>
            </w:r>
          </w:p>
        </w:tc>
        <w:tc>
          <w:tcPr>
            <w:tcW w:w="3565" w:type="dxa"/>
          </w:tcPr>
          <w:p>
            <w:pPr>
              <w:pStyle w:val="TableParagraph"/>
              <w:spacing w:before="1" w:line="250" w:lineRule="exact"/>
              <w:ind w:left="53"/>
              <w:rPr>
                <w:sz w:val="21"/>
              </w:rPr>
            </w:pPr>
            <w:r>
              <w:rPr>
                <w:sz w:val="21"/>
              </w:rPr>
              <w:t>燃气轮机应用安全</w:t>
            </w:r>
          </w:p>
        </w:tc>
      </w:tr>
      <w:tr>
        <w:tblPrEx>
          <w:tblW w:w="0" w:type="auto"/>
          <w:jc w:val="left"/>
          <w:tblInd w:w="595" w:type="dxa"/>
          <w:tblLayout w:type="fixed"/>
          <w:tblCellMar>
            <w:top w:w="0" w:type="dxa"/>
            <w:left w:w="0" w:type="dxa"/>
            <w:bottom w:w="0" w:type="dxa"/>
            <w:right w:w="0" w:type="dxa"/>
          </w:tblCellMar>
          <w:tblLook w:val="01E0"/>
        </w:tblPrEx>
        <w:trPr>
          <w:trHeight w:val="240"/>
          <w:jc w:val="left"/>
        </w:trPr>
        <w:tc>
          <w:tcPr>
            <w:tcW w:w="523" w:type="dxa"/>
          </w:tcPr>
          <w:p>
            <w:pPr>
              <w:pStyle w:val="TableParagraph"/>
              <w:spacing w:line="219" w:lineRule="exact"/>
              <w:ind w:left="31" w:right="32"/>
              <w:jc w:val="center"/>
              <w:rPr>
                <w:sz w:val="21"/>
              </w:rPr>
            </w:pPr>
            <w:r>
              <w:rPr>
                <w:sz w:val="21"/>
              </w:rPr>
              <w:t>GB/T</w:t>
            </w:r>
          </w:p>
        </w:tc>
        <w:tc>
          <w:tcPr>
            <w:tcW w:w="1154" w:type="dxa"/>
          </w:tcPr>
          <w:p>
            <w:pPr>
              <w:pStyle w:val="TableParagraph"/>
              <w:spacing w:line="219" w:lineRule="exact"/>
              <w:ind w:right="49"/>
              <w:jc w:val="right"/>
              <w:rPr>
                <w:sz w:val="21"/>
              </w:rPr>
            </w:pPr>
            <w:r>
              <w:rPr>
                <w:w w:val="95"/>
                <w:sz w:val="21"/>
              </w:rPr>
              <w:t>28686-2012</w:t>
            </w:r>
          </w:p>
        </w:tc>
        <w:tc>
          <w:tcPr>
            <w:tcW w:w="3565" w:type="dxa"/>
          </w:tcPr>
          <w:p>
            <w:pPr>
              <w:pStyle w:val="TableParagraph"/>
              <w:spacing w:line="219" w:lineRule="exact"/>
              <w:ind w:left="53"/>
              <w:rPr>
                <w:sz w:val="21"/>
              </w:rPr>
            </w:pPr>
            <w:r>
              <w:rPr>
                <w:sz w:val="21"/>
              </w:rPr>
              <w:t>燃气轮机热力性能试验</w:t>
            </w:r>
          </w:p>
        </w:tc>
      </w:tr>
    </w:tbl>
    <w:p>
      <w:pPr>
        <w:pStyle w:val="BodyText"/>
        <w:spacing w:before="5"/>
        <w:ind w:left="0"/>
      </w:pPr>
    </w:p>
    <w:p>
      <w:pPr>
        <w:pStyle w:val="ListParagraph"/>
        <w:numPr>
          <w:ilvl w:val="0"/>
          <w:numId w:val="55"/>
        </w:numPr>
        <w:tabs>
          <w:tab w:val="left" w:pos="532"/>
          <w:tab w:val="left" w:pos="533"/>
        </w:tabs>
        <w:spacing w:before="0" w:after="0" w:line="240" w:lineRule="auto"/>
        <w:ind w:left="532" w:right="0" w:hanging="315"/>
        <w:jc w:val="left"/>
        <w:rPr>
          <w:rFonts w:ascii="黑体" w:eastAsia="黑体" w:hint="eastAsia"/>
          <w:sz w:val="21"/>
        </w:rPr>
      </w:pPr>
      <w:bookmarkStart w:id="4" w:name="3　术语和定义"/>
      <w:bookmarkEnd w:id="4"/>
      <w:bookmarkStart w:id="5" w:name="_bookmark2"/>
      <w:bookmarkEnd w:id="5"/>
      <w:r>
        <w:rPr>
          <w:rFonts w:ascii="黑体" w:eastAsia="黑体" w:hint="eastAsia"/>
          <w:sz w:val="21"/>
        </w:rPr>
        <w:t>术语和定义</w:t>
      </w:r>
    </w:p>
    <w:p>
      <w:pPr>
        <w:pStyle w:val="BodyText"/>
        <w:spacing w:before="11"/>
        <w:ind w:left="0"/>
        <w:rPr>
          <w:rFonts w:ascii="黑体"/>
          <w:sz w:val="18"/>
        </w:rPr>
      </w:pPr>
    </w:p>
    <w:p>
      <w:pPr>
        <w:pStyle w:val="BodyText"/>
        <w:spacing w:line="244" w:lineRule="auto"/>
        <w:ind w:left="218" w:right="475" w:firstLine="420"/>
      </w:pPr>
      <w:r>
        <w:drawing>
          <wp:anchor distT="0" distB="0" distL="0" distR="0" simplePos="0" relativeHeight="251658240" behindDoc="0" locked="0" layoutInCell="1" allowOverlap="1">
            <wp:simplePos x="0" y="0"/>
            <wp:positionH relativeFrom="page">
              <wp:posOffset>886345</wp:posOffset>
            </wp:positionH>
            <wp:positionV relativeFrom="paragraph">
              <wp:posOffset>371843</wp:posOffset>
            </wp:positionV>
            <wp:extent cx="195146" cy="12192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195146" cy="121920"/>
                    </a:xfrm>
                    <a:prstGeom prst="rect">
                      <a:avLst/>
                    </a:prstGeom>
                  </pic:spPr>
                </pic:pic>
              </a:graphicData>
            </a:graphic>
          </wp:anchor>
        </w:drawing>
      </w:r>
      <w:r>
        <w:t>GB/T</w:t>
      </w:r>
      <w:r>
        <w:rPr>
          <w:spacing w:val="-58"/>
        </w:rPr>
        <w:t xml:space="preserve"> </w:t>
      </w:r>
      <w:r>
        <w:t>26863-2011、GB/T</w:t>
      </w:r>
      <w:r>
        <w:rPr>
          <w:spacing w:val="-58"/>
        </w:rPr>
        <w:t xml:space="preserve"> </w:t>
      </w:r>
      <w:r>
        <w:t>15135-2018界定的以及下列术语和定义适用于本文件。为了便于使用，以下重复列出了GB/T 26863-2011、GB/T 15135-2018中的某些术语和定义。</w:t>
      </w:r>
    </w:p>
    <w:p>
      <w:pPr>
        <w:pStyle w:val="BodyText"/>
        <w:spacing w:before="12"/>
        <w:ind w:left="638"/>
        <w:rPr>
          <w:rFonts w:ascii="黑体" w:eastAsia="黑体" w:hint="eastAsia"/>
        </w:rPr>
      </w:pPr>
      <w:r>
        <w:rPr>
          <w:rFonts w:ascii="黑体" w:eastAsia="黑体" w:hint="eastAsia"/>
        </w:rPr>
        <w:t>燃气轮机 gas turbine</w:t>
      </w:r>
    </w:p>
    <w:p>
      <w:pPr>
        <w:pStyle w:val="BodyText"/>
        <w:spacing w:before="2" w:line="244" w:lineRule="auto"/>
        <w:ind w:left="218" w:right="472" w:firstLine="420"/>
      </w:pPr>
      <w:r>
        <w:drawing>
          <wp:anchor distT="0" distB="0" distL="0" distR="0" simplePos="0" relativeHeight="251659264" behindDoc="0" locked="0" layoutInCell="1" allowOverlap="1">
            <wp:simplePos x="0" y="0"/>
            <wp:positionH relativeFrom="page">
              <wp:posOffset>886345</wp:posOffset>
            </wp:positionH>
            <wp:positionV relativeFrom="paragraph">
              <wp:posOffset>372275</wp:posOffset>
            </wp:positionV>
            <wp:extent cx="218826" cy="121919"/>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6" cstate="print"/>
                    <a:stretch>
                      <a:fillRect/>
                    </a:stretch>
                  </pic:blipFill>
                  <pic:spPr>
                    <a:xfrm>
                      <a:off x="0" y="0"/>
                      <a:ext cx="218826" cy="121919"/>
                    </a:xfrm>
                    <a:prstGeom prst="rect">
                      <a:avLst/>
                    </a:prstGeom>
                  </pic:spPr>
                </pic:pic>
              </a:graphicData>
            </a:graphic>
          </wp:anchor>
        </w:drawing>
      </w:r>
      <w:r>
        <w:rPr>
          <w:spacing w:val="-3"/>
          <w:w w:val="95"/>
        </w:rPr>
        <w:t>把热能转换为机械功的旋转机械，包括压气机、加热工质的设备</w:t>
      </w:r>
      <w:r>
        <w:rPr>
          <w:w w:val="95"/>
        </w:rPr>
        <w:t>（如燃烧室</w:t>
      </w:r>
      <w:r>
        <w:rPr>
          <w:spacing w:val="-15"/>
          <w:w w:val="95"/>
        </w:rPr>
        <w:t>）</w:t>
      </w:r>
      <w:r>
        <w:rPr>
          <w:spacing w:val="-6"/>
          <w:w w:val="95"/>
        </w:rPr>
        <w:t xml:space="preserve">、透平、控制系统和   </w:t>
      </w:r>
      <w:r>
        <w:rPr>
          <w:spacing w:val="-6"/>
        </w:rPr>
        <w:t>辅助设备。</w:t>
      </w:r>
    </w:p>
    <w:p>
      <w:pPr>
        <w:pStyle w:val="BodyText"/>
        <w:spacing w:before="13"/>
        <w:ind w:left="638"/>
        <w:rPr>
          <w:rFonts w:ascii="黑体" w:eastAsia="黑体" w:hint="eastAsia"/>
        </w:rPr>
      </w:pPr>
      <w:r>
        <w:rPr>
          <w:rFonts w:ascii="黑体" w:eastAsia="黑体" w:hint="eastAsia"/>
        </w:rPr>
        <w:t>联合循环 combined cycle</w:t>
      </w:r>
    </w:p>
    <w:p>
      <w:pPr>
        <w:pStyle w:val="BodyText"/>
        <w:spacing w:before="2"/>
        <w:ind w:left="638"/>
      </w:pPr>
      <w:r>
        <w:drawing>
          <wp:anchor distT="0" distB="0" distL="0" distR="0" simplePos="0" relativeHeight="251660288" behindDoc="0" locked="0" layoutInCell="1" allowOverlap="1">
            <wp:simplePos x="0" y="0"/>
            <wp:positionH relativeFrom="page">
              <wp:posOffset>886345</wp:posOffset>
            </wp:positionH>
            <wp:positionV relativeFrom="paragraph">
              <wp:posOffset>199631</wp:posOffset>
            </wp:positionV>
            <wp:extent cx="219667" cy="12191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7" cstate="print"/>
                    <a:stretch>
                      <a:fillRect/>
                    </a:stretch>
                  </pic:blipFill>
                  <pic:spPr>
                    <a:xfrm>
                      <a:off x="0" y="0"/>
                      <a:ext cx="219667" cy="121919"/>
                    </a:xfrm>
                    <a:prstGeom prst="rect">
                      <a:avLst/>
                    </a:prstGeom>
                  </pic:spPr>
                </pic:pic>
              </a:graphicData>
            </a:graphic>
          </wp:anchor>
        </w:drawing>
      </w:r>
      <w:r>
        <w:t>燃气轮机循环与蒸汽或其他流体的朗肯循环相联合的热力循环。</w:t>
      </w:r>
    </w:p>
    <w:p>
      <w:pPr>
        <w:pStyle w:val="BodyText"/>
        <w:spacing w:before="11"/>
        <w:ind w:left="638"/>
        <w:rPr>
          <w:rFonts w:ascii="黑体" w:eastAsia="黑体" w:hint="eastAsia"/>
        </w:rPr>
      </w:pPr>
      <w:r>
        <w:rPr>
          <w:rFonts w:ascii="黑体" w:eastAsia="黑体" w:hint="eastAsia"/>
        </w:rPr>
        <w:t>透平 turbine</w:t>
      </w:r>
    </w:p>
    <w:p>
      <w:pPr>
        <w:pStyle w:val="BodyText"/>
        <w:spacing w:before="5"/>
        <w:ind w:left="638"/>
      </w:pPr>
      <w:r>
        <w:drawing>
          <wp:anchor distT="0" distB="0" distL="0" distR="0" simplePos="0" relativeHeight="251661312" behindDoc="0" locked="0" layoutInCell="1" allowOverlap="1">
            <wp:simplePos x="0" y="0"/>
            <wp:positionH relativeFrom="page">
              <wp:posOffset>886345</wp:posOffset>
            </wp:positionH>
            <wp:positionV relativeFrom="paragraph">
              <wp:posOffset>200634</wp:posOffset>
            </wp:positionV>
            <wp:extent cx="218518" cy="121919"/>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8" cstate="print"/>
                    <a:stretch>
                      <a:fillRect/>
                    </a:stretch>
                  </pic:blipFill>
                  <pic:spPr>
                    <a:xfrm>
                      <a:off x="0" y="0"/>
                      <a:ext cx="218518" cy="121919"/>
                    </a:xfrm>
                    <a:prstGeom prst="rect">
                      <a:avLst/>
                    </a:prstGeom>
                  </pic:spPr>
                </pic:pic>
              </a:graphicData>
            </a:graphic>
          </wp:anchor>
        </w:drawing>
      </w:r>
      <w:r>
        <w:t>利用工质的膨胀产生机械动力的燃气轮机部件。</w:t>
      </w:r>
    </w:p>
    <w:p>
      <w:pPr>
        <w:pStyle w:val="BodyText"/>
        <w:spacing w:before="13"/>
        <w:ind w:left="638"/>
        <w:rPr>
          <w:rFonts w:ascii="黑体" w:eastAsia="黑体" w:hint="eastAsia"/>
        </w:rPr>
      </w:pPr>
      <w:r>
        <w:rPr>
          <w:rFonts w:ascii="黑体" w:eastAsia="黑体" w:hint="eastAsia"/>
        </w:rPr>
        <w:t>压气机 compressor</w:t>
      </w:r>
    </w:p>
    <w:p>
      <w:pPr>
        <w:pStyle w:val="BodyText"/>
        <w:spacing w:before="2"/>
        <w:ind w:left="638"/>
      </w:pPr>
      <w:r>
        <w:drawing>
          <wp:anchor distT="0" distB="0" distL="0" distR="0" simplePos="0" relativeHeight="251662336" behindDoc="0" locked="0" layoutInCell="1" allowOverlap="1">
            <wp:simplePos x="0" y="0"/>
            <wp:positionH relativeFrom="page">
              <wp:posOffset>886345</wp:posOffset>
            </wp:positionH>
            <wp:positionV relativeFrom="paragraph">
              <wp:posOffset>199377</wp:posOffset>
            </wp:positionV>
            <wp:extent cx="219298" cy="121919"/>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9" cstate="print"/>
                    <a:stretch>
                      <a:fillRect/>
                    </a:stretch>
                  </pic:blipFill>
                  <pic:spPr>
                    <a:xfrm>
                      <a:off x="0" y="0"/>
                      <a:ext cx="219298" cy="121919"/>
                    </a:xfrm>
                    <a:prstGeom prst="rect">
                      <a:avLst/>
                    </a:prstGeom>
                  </pic:spPr>
                </pic:pic>
              </a:graphicData>
            </a:graphic>
          </wp:anchor>
        </w:drawing>
      </w:r>
      <w:r>
        <w:t>利用机械动力增加工质的压力，并伴有温度升高的燃气轮机部件。</w:t>
      </w:r>
    </w:p>
    <w:p>
      <w:pPr>
        <w:pStyle w:val="BodyText"/>
        <w:spacing w:before="12"/>
        <w:ind w:left="638"/>
        <w:rPr>
          <w:rFonts w:ascii="黑体" w:eastAsia="黑体" w:hint="eastAsia"/>
        </w:rPr>
      </w:pPr>
      <w:r>
        <w:rPr>
          <w:rFonts w:ascii="黑体" w:eastAsia="黑体" w:hint="eastAsia"/>
        </w:rPr>
        <w:t>燃烧室 combustion chamber</w:t>
      </w:r>
    </w:p>
    <w:p>
      <w:pPr>
        <w:pStyle w:val="BodyText"/>
        <w:spacing w:before="4"/>
        <w:ind w:left="638"/>
      </w:pPr>
      <w:r>
        <w:t>燃料（热源）与工质发生化学反应，增加工质温度的燃气轮机部件。</w:t>
      </w:r>
    </w:p>
    <w:p>
      <w:pPr>
        <w:spacing w:after="0"/>
        <w:sectPr>
          <w:footerReference w:type="default" r:id="rId10"/>
          <w:pgSz w:w="11910" w:h="16840"/>
          <w:pgMar w:top="1580" w:right="660" w:bottom="1260" w:left="1200" w:header="0" w:footer="1061"/>
          <w:pgNumType w:start="1"/>
          <w:cols w:space="708"/>
        </w:sectPr>
      </w:pPr>
    </w:p>
    <w:p>
      <w:pPr>
        <w:pStyle w:val="BodyText"/>
        <w:spacing w:before="11" w:after="1"/>
        <w:ind w:left="0"/>
        <w:rPr>
          <w:sz w:val="28"/>
        </w:rPr>
      </w:pPr>
    </w:p>
    <w:p>
      <w:pPr>
        <w:pStyle w:val="BodyText"/>
        <w:spacing w:line="192" w:lineRule="exact"/>
        <w:ind w:left="195"/>
        <w:rPr>
          <w:sz w:val="19"/>
        </w:rPr>
      </w:pPr>
      <w:r>
        <w:rPr>
          <w:position w:val="-3"/>
          <w:sz w:val="19"/>
        </w:rPr>
        <w:drawing>
          <wp:inline distT="0" distB="0" distL="0" distR="0">
            <wp:extent cx="220316" cy="121920"/>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1" cstate="print"/>
                    <a:stretch>
                      <a:fillRect/>
                    </a:stretch>
                  </pic:blipFill>
                  <pic:spPr>
                    <a:xfrm>
                      <a:off x="0" y="0"/>
                      <a:ext cx="220316" cy="121920"/>
                    </a:xfrm>
                    <a:prstGeom prst="rect">
                      <a:avLst/>
                    </a:prstGeom>
                  </pic:spPr>
                </pic:pic>
              </a:graphicData>
            </a:graphic>
          </wp:inline>
        </w:drawing>
      </w:r>
    </w:p>
    <w:p>
      <w:pPr>
        <w:pStyle w:val="BodyText"/>
        <w:spacing w:before="40"/>
        <w:ind w:left="638"/>
        <w:rPr>
          <w:rFonts w:ascii="黑体" w:eastAsia="黑体" w:hint="eastAsia"/>
        </w:rPr>
      </w:pPr>
      <w:r>
        <w:rPr>
          <w:rFonts w:ascii="黑体" w:eastAsia="黑体" w:hint="eastAsia"/>
        </w:rPr>
        <w:t>盘车装置 turning device</w:t>
      </w:r>
    </w:p>
    <w:p>
      <w:pPr>
        <w:pStyle w:val="BodyText"/>
        <w:spacing w:before="2" w:line="244" w:lineRule="auto"/>
        <w:ind w:left="218" w:right="472" w:firstLine="420"/>
      </w:pPr>
      <w:r>
        <w:drawing>
          <wp:anchor distT="0" distB="0" distL="0" distR="0" simplePos="0" relativeHeight="251663360" behindDoc="0" locked="0" layoutInCell="1" allowOverlap="1">
            <wp:simplePos x="0" y="0"/>
            <wp:positionH relativeFrom="page">
              <wp:posOffset>886345</wp:posOffset>
            </wp:positionH>
            <wp:positionV relativeFrom="paragraph">
              <wp:posOffset>373227</wp:posOffset>
            </wp:positionV>
            <wp:extent cx="219060" cy="12192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2" cstate="print"/>
                    <a:stretch>
                      <a:fillRect/>
                    </a:stretch>
                  </pic:blipFill>
                  <pic:spPr>
                    <a:xfrm>
                      <a:off x="0" y="0"/>
                      <a:ext cx="219060" cy="121920"/>
                    </a:xfrm>
                    <a:prstGeom prst="rect">
                      <a:avLst/>
                    </a:prstGeom>
                  </pic:spPr>
                </pic:pic>
              </a:graphicData>
            </a:graphic>
          </wp:anchor>
        </w:drawing>
      </w:r>
      <w:r>
        <w:rPr>
          <w:spacing w:val="-7"/>
          <w:w w:val="95"/>
        </w:rPr>
        <w:t xml:space="preserve">在热运行停机后，利用动力装置，在非常低的转速下使主转子组件旋转，以防止冷却不均匀而造成   </w:t>
      </w:r>
      <w:r>
        <w:rPr>
          <w:spacing w:val="-7"/>
        </w:rPr>
        <w:t>转子的弯曲与不平衡的驱动组件。</w:t>
      </w:r>
    </w:p>
    <w:p>
      <w:pPr>
        <w:pStyle w:val="BodyText"/>
        <w:spacing w:before="11"/>
        <w:ind w:left="638"/>
        <w:rPr>
          <w:rFonts w:ascii="黑体" w:eastAsia="黑体" w:hint="eastAsia"/>
        </w:rPr>
      </w:pPr>
      <w:r>
        <w:rPr>
          <w:rFonts w:ascii="黑体" w:eastAsia="黑体" w:hint="eastAsia"/>
        </w:rPr>
        <w:t>润滑油系统 lubrication system</w:t>
      </w:r>
    </w:p>
    <w:p>
      <w:pPr>
        <w:pStyle w:val="BodyText"/>
        <w:spacing w:before="5"/>
        <w:ind w:left="638"/>
      </w:pPr>
      <w:r>
        <w:t>调节并供应润滑油给轴承和其他使用润滑油的设备的总系统。</w:t>
      </w:r>
    </w:p>
    <w:p>
      <w:pPr>
        <w:spacing w:before="3"/>
        <w:ind w:left="580" w:right="0" w:firstLine="0"/>
        <w:jc w:val="left"/>
        <w:rPr>
          <w:sz w:val="18"/>
        </w:rPr>
      </w:pPr>
      <w:r>
        <w:drawing>
          <wp:anchor distT="0" distB="0" distL="0" distR="0" simplePos="0" relativeHeight="251664384" behindDoc="0" locked="0" layoutInCell="1" allowOverlap="1">
            <wp:simplePos x="0" y="0"/>
            <wp:positionH relativeFrom="page">
              <wp:posOffset>886345</wp:posOffset>
            </wp:positionH>
            <wp:positionV relativeFrom="paragraph">
              <wp:posOffset>174231</wp:posOffset>
            </wp:positionV>
            <wp:extent cx="220169" cy="12192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3" cstate="print"/>
                    <a:stretch>
                      <a:fillRect/>
                    </a:stretch>
                  </pic:blipFill>
                  <pic:spPr>
                    <a:xfrm>
                      <a:off x="0" y="0"/>
                      <a:ext cx="220169" cy="121920"/>
                    </a:xfrm>
                    <a:prstGeom prst="rect">
                      <a:avLst/>
                    </a:prstGeom>
                  </pic:spPr>
                </pic:pic>
              </a:graphicData>
            </a:graphic>
          </wp:anchor>
        </w:drawing>
      </w:r>
      <w:r>
        <w:rPr>
          <w:rFonts w:ascii="黑体" w:eastAsia="黑体" w:hint="eastAsia"/>
          <w:sz w:val="18"/>
        </w:rPr>
        <w:t>注：</w:t>
      </w:r>
      <w:r>
        <w:rPr>
          <w:sz w:val="18"/>
        </w:rPr>
        <w:t>此系统包括泵、过滤器、压力控制装置、流量控制装置、温度控制装置等。</w:t>
      </w:r>
    </w:p>
    <w:p>
      <w:pPr>
        <w:pStyle w:val="BodyText"/>
        <w:spacing w:before="13"/>
        <w:ind w:left="638"/>
        <w:rPr>
          <w:rFonts w:ascii="黑体" w:eastAsia="黑体" w:hint="eastAsia"/>
        </w:rPr>
      </w:pPr>
      <w:r>
        <w:rPr>
          <w:rFonts w:ascii="黑体" w:eastAsia="黑体" w:hint="eastAsia"/>
        </w:rPr>
        <w:t>液压油系统 actuating oil system</w:t>
      </w:r>
    </w:p>
    <w:p>
      <w:pPr>
        <w:pStyle w:val="BodyText"/>
        <w:spacing w:before="2"/>
        <w:ind w:left="638"/>
      </w:pPr>
      <w:r>
        <w:t>向调节装置、控制系统以及盘车装置等设备/系统的液压执行机构提供所用液压油的供油系统。</w:t>
      </w:r>
    </w:p>
    <w:p>
      <w:pPr>
        <w:spacing w:before="3"/>
        <w:ind w:left="580" w:right="0" w:firstLine="0"/>
        <w:jc w:val="left"/>
        <w:rPr>
          <w:sz w:val="18"/>
        </w:rPr>
      </w:pPr>
      <w:r>
        <w:drawing>
          <wp:anchor distT="0" distB="0" distL="0" distR="0" simplePos="0" relativeHeight="251665408" behindDoc="0" locked="0" layoutInCell="1" allowOverlap="1">
            <wp:simplePos x="0" y="0"/>
            <wp:positionH relativeFrom="page">
              <wp:posOffset>886345</wp:posOffset>
            </wp:positionH>
            <wp:positionV relativeFrom="paragraph">
              <wp:posOffset>175361</wp:posOffset>
            </wp:positionV>
            <wp:extent cx="218715" cy="121920"/>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4" cstate="print"/>
                    <a:stretch>
                      <a:fillRect/>
                    </a:stretch>
                  </pic:blipFill>
                  <pic:spPr>
                    <a:xfrm>
                      <a:off x="0" y="0"/>
                      <a:ext cx="218715" cy="121920"/>
                    </a:xfrm>
                    <a:prstGeom prst="rect">
                      <a:avLst/>
                    </a:prstGeom>
                  </pic:spPr>
                </pic:pic>
              </a:graphicData>
            </a:graphic>
          </wp:anchor>
        </w:drawing>
      </w:r>
      <w:r>
        <w:rPr>
          <w:rFonts w:ascii="黑体" w:eastAsia="黑体" w:hint="eastAsia"/>
          <w:sz w:val="18"/>
        </w:rPr>
        <w:t>注：</w:t>
      </w:r>
      <w:r>
        <w:rPr>
          <w:sz w:val="18"/>
        </w:rPr>
        <w:t>此系统包括油泵、油滤、阀门和管道等部件。</w:t>
      </w:r>
    </w:p>
    <w:p>
      <w:pPr>
        <w:pStyle w:val="BodyText"/>
        <w:spacing w:before="11"/>
        <w:ind w:left="638"/>
        <w:rPr>
          <w:rFonts w:ascii="黑体" w:eastAsia="黑体" w:hint="eastAsia"/>
        </w:rPr>
      </w:pPr>
      <w:r>
        <w:rPr>
          <w:rFonts w:ascii="黑体" w:eastAsia="黑体" w:hint="eastAsia"/>
        </w:rPr>
        <w:t>余热锅炉 heat recovery steam generator；HRSG</w:t>
      </w:r>
    </w:p>
    <w:p>
      <w:pPr>
        <w:pStyle w:val="BodyText"/>
        <w:spacing w:before="4"/>
        <w:ind w:left="638"/>
      </w:pPr>
      <w:r>
        <w:drawing>
          <wp:anchor distT="0" distB="0" distL="0" distR="0" simplePos="0" relativeHeight="251666432" behindDoc="0" locked="0" layoutInCell="1" allowOverlap="1">
            <wp:simplePos x="0" y="0"/>
            <wp:positionH relativeFrom="page">
              <wp:posOffset>886345</wp:posOffset>
            </wp:positionH>
            <wp:positionV relativeFrom="paragraph">
              <wp:posOffset>200253</wp:posOffset>
            </wp:positionV>
            <wp:extent cx="288994" cy="121920"/>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5" cstate="print"/>
                    <a:stretch>
                      <a:fillRect/>
                    </a:stretch>
                  </pic:blipFill>
                  <pic:spPr>
                    <a:xfrm>
                      <a:off x="0" y="0"/>
                      <a:ext cx="288994" cy="121920"/>
                    </a:xfrm>
                    <a:prstGeom prst="rect">
                      <a:avLst/>
                    </a:prstGeom>
                  </pic:spPr>
                </pic:pic>
              </a:graphicData>
            </a:graphic>
          </wp:anchor>
        </w:drawing>
      </w:r>
      <w:r>
        <w:t>为有效利用较多的具有相当温度的燃气轮机的排气的热量而专门设计的蒸汽发生器。</w:t>
      </w:r>
    </w:p>
    <w:p>
      <w:pPr>
        <w:pStyle w:val="BodyText"/>
        <w:spacing w:before="12"/>
        <w:ind w:left="638"/>
        <w:rPr>
          <w:rFonts w:ascii="黑体" w:eastAsia="黑体" w:hint="eastAsia"/>
        </w:rPr>
      </w:pPr>
      <w:r>
        <w:rPr>
          <w:rFonts w:ascii="黑体" w:eastAsia="黑体" w:hint="eastAsia"/>
        </w:rPr>
        <w:t>分散控制系统 distributed control system；DCS</w:t>
      </w:r>
    </w:p>
    <w:p>
      <w:pPr>
        <w:pStyle w:val="BodyText"/>
        <w:spacing w:before="2" w:line="242" w:lineRule="auto"/>
        <w:ind w:left="218" w:right="475" w:firstLine="420"/>
        <w:jc w:val="both"/>
      </w:pPr>
      <w:r>
        <w:drawing>
          <wp:anchor distT="0" distB="0" distL="0" distR="0" simplePos="0" relativeHeight="251667456" behindDoc="0" locked="0" layoutInCell="1" allowOverlap="1">
            <wp:simplePos x="0" y="0"/>
            <wp:positionH relativeFrom="page">
              <wp:posOffset>886345</wp:posOffset>
            </wp:positionH>
            <wp:positionV relativeFrom="paragraph">
              <wp:posOffset>545947</wp:posOffset>
            </wp:positionV>
            <wp:extent cx="267958" cy="121920"/>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6" cstate="print"/>
                    <a:stretch>
                      <a:fillRect/>
                    </a:stretch>
                  </pic:blipFill>
                  <pic:spPr>
                    <a:xfrm>
                      <a:off x="0" y="0"/>
                      <a:ext cx="267958" cy="121920"/>
                    </a:xfrm>
                    <a:prstGeom prst="rect">
                      <a:avLst/>
                    </a:prstGeom>
                  </pic:spPr>
                </pic:pic>
              </a:graphicData>
            </a:graphic>
          </wp:anchor>
        </w:drawing>
      </w:r>
      <w:r>
        <w:rPr>
          <w:spacing w:val="-8"/>
          <w:w w:val="95"/>
        </w:rPr>
        <w:t xml:space="preserve">采用计算机、通信和屏幕显示技术，实现对生产过程的数据采集、控制和保护功能，利用通信技术   </w:t>
      </w:r>
      <w:r>
        <w:rPr>
          <w:spacing w:val="-12"/>
          <w:w w:val="95"/>
        </w:rPr>
        <w:t xml:space="preserve">实现数据共享的多计算机监控系统。其主要特点是功能分散、操作显示集中、数据共享。根据具体情况   </w:t>
      </w:r>
      <w:r>
        <w:rPr>
          <w:spacing w:val="-12"/>
        </w:rPr>
        <w:t>也可以是硬件布置上的分散。</w:t>
      </w:r>
    </w:p>
    <w:p>
      <w:pPr>
        <w:pStyle w:val="BodyText"/>
        <w:spacing w:before="11"/>
        <w:ind w:left="638"/>
        <w:rPr>
          <w:rFonts w:ascii="黑体" w:eastAsia="黑体" w:hint="eastAsia"/>
        </w:rPr>
      </w:pPr>
      <w:r>
        <w:rPr>
          <w:rFonts w:ascii="黑体" w:eastAsia="黑体" w:hint="eastAsia"/>
        </w:rPr>
        <w:t>数字电液控制系统 digital electro-hydraulic control system；DEH</w:t>
      </w:r>
    </w:p>
    <w:p>
      <w:pPr>
        <w:pStyle w:val="BodyText"/>
        <w:spacing w:before="4" w:line="242" w:lineRule="auto"/>
        <w:ind w:left="218" w:right="472" w:firstLine="420"/>
      </w:pPr>
      <w:r>
        <w:drawing>
          <wp:anchor distT="0" distB="0" distL="0" distR="0" simplePos="0" relativeHeight="251668480" behindDoc="0" locked="0" layoutInCell="1" allowOverlap="1">
            <wp:simplePos x="0" y="0"/>
            <wp:positionH relativeFrom="page">
              <wp:posOffset>886345</wp:posOffset>
            </wp:positionH>
            <wp:positionV relativeFrom="paragraph">
              <wp:posOffset>372656</wp:posOffset>
            </wp:positionV>
            <wp:extent cx="288338" cy="121920"/>
            <wp:effectExtent l="0" t="0" r="0" b="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pic:nvPicPr>
                  <pic:blipFill>
                    <a:blip xmlns:r="http://schemas.openxmlformats.org/officeDocument/2006/relationships" r:embed="rId17" cstate="print"/>
                    <a:stretch>
                      <a:fillRect/>
                    </a:stretch>
                  </pic:blipFill>
                  <pic:spPr>
                    <a:xfrm>
                      <a:off x="0" y="0"/>
                      <a:ext cx="288338" cy="121920"/>
                    </a:xfrm>
                    <a:prstGeom prst="rect">
                      <a:avLst/>
                    </a:prstGeom>
                  </pic:spPr>
                </pic:pic>
              </a:graphicData>
            </a:graphic>
          </wp:anchor>
        </w:drawing>
      </w:r>
      <w:r>
        <w:t>由电气原理组成的敏感元件、数字电路（计算机），由电气/液压原理组成的放大元件和液压原理组成的伺服机构所组成的汽轮机控制系统。</w:t>
      </w:r>
    </w:p>
    <w:p>
      <w:pPr>
        <w:pStyle w:val="BodyText"/>
        <w:spacing w:before="12"/>
        <w:ind w:left="638"/>
        <w:rPr>
          <w:rFonts w:ascii="黑体" w:eastAsia="黑体" w:hint="eastAsia"/>
        </w:rPr>
      </w:pPr>
      <w:r>
        <w:rPr>
          <w:rFonts w:ascii="黑体" w:eastAsia="黑体" w:hint="eastAsia"/>
        </w:rPr>
        <w:t>自动发电控制 automatic generation control；AGC</w:t>
      </w:r>
    </w:p>
    <w:p>
      <w:pPr>
        <w:pStyle w:val="BodyText"/>
        <w:spacing w:before="4"/>
        <w:ind w:left="638"/>
      </w:pPr>
      <w:r>
        <w:drawing>
          <wp:anchor distT="0" distB="0" distL="0" distR="0" simplePos="0" relativeHeight="251669504" behindDoc="0" locked="0" layoutInCell="1" allowOverlap="1">
            <wp:simplePos x="0" y="0"/>
            <wp:positionH relativeFrom="page">
              <wp:posOffset>886345</wp:posOffset>
            </wp:positionH>
            <wp:positionV relativeFrom="paragraph">
              <wp:posOffset>199999</wp:posOffset>
            </wp:positionV>
            <wp:extent cx="289427" cy="121920"/>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pic:nvPicPr>
                  <pic:blipFill>
                    <a:blip xmlns:r="http://schemas.openxmlformats.org/officeDocument/2006/relationships" r:embed="rId18" cstate="print"/>
                    <a:stretch>
                      <a:fillRect/>
                    </a:stretch>
                  </pic:blipFill>
                  <pic:spPr>
                    <a:xfrm>
                      <a:off x="0" y="0"/>
                      <a:ext cx="289427" cy="121920"/>
                    </a:xfrm>
                    <a:prstGeom prst="rect">
                      <a:avLst/>
                    </a:prstGeom>
                  </pic:spPr>
                </pic:pic>
              </a:graphicData>
            </a:graphic>
          </wp:anchor>
        </w:drawing>
      </w:r>
      <w:r>
        <w:t>根据电网负荷指令控制发电功率的自动控制。</w:t>
      </w:r>
    </w:p>
    <w:p>
      <w:pPr>
        <w:pStyle w:val="BodyText"/>
        <w:spacing w:before="10"/>
        <w:ind w:left="638"/>
        <w:rPr>
          <w:rFonts w:ascii="黑体" w:eastAsia="黑体" w:hint="eastAsia"/>
        </w:rPr>
      </w:pPr>
      <w:r>
        <w:rPr>
          <w:rFonts w:ascii="黑体" w:eastAsia="黑体" w:hint="eastAsia"/>
        </w:rPr>
        <w:t>顺序控制系统 sequence control system；SCS</w:t>
      </w:r>
    </w:p>
    <w:p>
      <w:pPr>
        <w:pStyle w:val="BodyText"/>
        <w:spacing w:before="5" w:line="242" w:lineRule="auto"/>
        <w:ind w:left="218" w:right="376" w:firstLine="420"/>
      </w:pPr>
      <w:r>
        <w:drawing>
          <wp:anchor distT="0" distB="0" distL="0" distR="0" simplePos="0" relativeHeight="251670528" behindDoc="0" locked="0" layoutInCell="1" allowOverlap="1">
            <wp:simplePos x="0" y="0"/>
            <wp:positionH relativeFrom="page">
              <wp:posOffset>886345</wp:posOffset>
            </wp:positionH>
            <wp:positionV relativeFrom="paragraph">
              <wp:posOffset>373989</wp:posOffset>
            </wp:positionV>
            <wp:extent cx="291298" cy="121920"/>
            <wp:effectExtent l="0" t="0" r="0" b="0"/>
            <wp:wrapTopAndBottom/>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pic:nvPicPr>
                  <pic:blipFill>
                    <a:blip xmlns:r="http://schemas.openxmlformats.org/officeDocument/2006/relationships" r:embed="rId19" cstate="print"/>
                    <a:stretch>
                      <a:fillRect/>
                    </a:stretch>
                  </pic:blipFill>
                  <pic:spPr>
                    <a:xfrm>
                      <a:off x="0" y="0"/>
                      <a:ext cx="291298" cy="121920"/>
                    </a:xfrm>
                    <a:prstGeom prst="rect">
                      <a:avLst/>
                    </a:prstGeom>
                  </pic:spPr>
                </pic:pic>
              </a:graphicData>
            </a:graphic>
          </wp:anchor>
        </w:drawing>
      </w:r>
      <w:r>
        <w:rPr>
          <w:w w:val="95"/>
        </w:rPr>
        <w:t xml:space="preserve">对机组的主机或某一工艺系统或主要辅机按一定规律（输入信号条件顺序、动作顺序或时间顺序）   </w:t>
      </w:r>
      <w:r>
        <w:t>进行控制的控制系统。又称两位式控制系统或开关量控制系统。</w:t>
      </w:r>
    </w:p>
    <w:p>
      <w:pPr>
        <w:pStyle w:val="BodyText"/>
        <w:spacing w:before="13"/>
        <w:ind w:left="638"/>
        <w:rPr>
          <w:rFonts w:ascii="黑体" w:eastAsia="黑体" w:hint="eastAsia"/>
        </w:rPr>
      </w:pPr>
      <w:r>
        <w:rPr>
          <w:rFonts w:ascii="黑体" w:eastAsia="黑体" w:hint="eastAsia"/>
        </w:rPr>
        <w:t>不间断电源 uninterruptible power supply；UPS</w:t>
      </w:r>
    </w:p>
    <w:p>
      <w:pPr>
        <w:pStyle w:val="BodyText"/>
        <w:spacing w:before="2"/>
        <w:ind w:left="638"/>
      </w:pPr>
      <w:r>
        <w:t>一种含有储能装置的不间断电源。主要用于给部分对电源稳定性要求较高的设备，提供不间断的电</w:t>
      </w:r>
    </w:p>
    <w:p>
      <w:pPr>
        <w:pStyle w:val="BodyText"/>
        <w:spacing w:before="2"/>
        <w:ind w:left="218"/>
      </w:pPr>
      <w:r>
        <w:drawing>
          <wp:anchor distT="0" distB="0" distL="0" distR="0" simplePos="0" relativeHeight="251671552" behindDoc="0" locked="0" layoutInCell="1" allowOverlap="1">
            <wp:simplePos x="0" y="0"/>
            <wp:positionH relativeFrom="page">
              <wp:posOffset>886345</wp:posOffset>
            </wp:positionH>
            <wp:positionV relativeFrom="paragraph">
              <wp:posOffset>200152</wp:posOffset>
            </wp:positionV>
            <wp:extent cx="288883" cy="121920"/>
            <wp:effectExtent l="0" t="0" r="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pic:nvPicPr>
                  <pic:blipFill>
                    <a:blip xmlns:r="http://schemas.openxmlformats.org/officeDocument/2006/relationships" r:embed="rId20" cstate="print"/>
                    <a:stretch>
                      <a:fillRect/>
                    </a:stretch>
                  </pic:blipFill>
                  <pic:spPr>
                    <a:xfrm>
                      <a:off x="0" y="0"/>
                      <a:ext cx="288883" cy="121920"/>
                    </a:xfrm>
                    <a:prstGeom prst="rect">
                      <a:avLst/>
                    </a:prstGeom>
                  </pic:spPr>
                </pic:pic>
              </a:graphicData>
            </a:graphic>
          </wp:anchor>
        </w:drawing>
      </w:r>
      <w:r>
        <w:t>源。</w:t>
      </w:r>
    </w:p>
    <w:p>
      <w:pPr>
        <w:pStyle w:val="BodyText"/>
        <w:spacing w:before="10"/>
        <w:ind w:left="638"/>
        <w:rPr>
          <w:rFonts w:ascii="黑体" w:eastAsia="黑体" w:hint="eastAsia"/>
        </w:rPr>
      </w:pPr>
      <w:r>
        <w:rPr>
          <w:rFonts w:ascii="黑体" w:eastAsia="黑体" w:hint="eastAsia"/>
        </w:rPr>
        <w:t>自动电压控制 automatic voltage control；AVC</w:t>
      </w:r>
    </w:p>
    <w:p>
      <w:pPr>
        <w:pStyle w:val="BodyText"/>
        <w:spacing w:before="5" w:line="242" w:lineRule="auto"/>
        <w:ind w:left="218" w:right="472" w:firstLine="420"/>
      </w:pPr>
      <w:r>
        <w:drawing>
          <wp:anchor distT="0" distB="0" distL="0" distR="0" simplePos="0" relativeHeight="251672576" behindDoc="0" locked="0" layoutInCell="1" allowOverlap="1">
            <wp:simplePos x="0" y="0"/>
            <wp:positionH relativeFrom="page">
              <wp:posOffset>886345</wp:posOffset>
            </wp:positionH>
            <wp:positionV relativeFrom="paragraph">
              <wp:posOffset>373875</wp:posOffset>
            </wp:positionV>
            <wp:extent cx="293016" cy="121919"/>
            <wp:effectExtent l="0" t="0" r="0" b="0"/>
            <wp:wrapTopAndBottom/>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pic:nvPicPr>
                  <pic:blipFill>
                    <a:blip xmlns:r="http://schemas.openxmlformats.org/officeDocument/2006/relationships" r:embed="rId21" cstate="print"/>
                    <a:stretch>
                      <a:fillRect/>
                    </a:stretch>
                  </pic:blipFill>
                  <pic:spPr>
                    <a:xfrm>
                      <a:off x="0" y="0"/>
                      <a:ext cx="293016" cy="121919"/>
                    </a:xfrm>
                    <a:prstGeom prst="rect">
                      <a:avLst/>
                    </a:prstGeom>
                  </pic:spPr>
                </pic:pic>
              </a:graphicData>
            </a:graphic>
          </wp:anchor>
        </w:drawing>
      </w:r>
      <w:r>
        <w:rPr>
          <w:spacing w:val="-3"/>
          <w:w w:val="95"/>
        </w:rPr>
        <w:t xml:space="preserve">发电厂和变电站通过集中的电压无功调整装置自动调整无功功率和变压器分接头，使注入电网的无   </w:t>
      </w:r>
      <w:r>
        <w:rPr>
          <w:spacing w:val="-3"/>
        </w:rPr>
        <w:t>功值为电网要求的优化值，从而使全网（含跨区电网联络线）的无功潮流和电压都达到要求。</w:t>
      </w:r>
    </w:p>
    <w:p>
      <w:pPr>
        <w:pStyle w:val="BodyText"/>
        <w:spacing w:before="11"/>
        <w:ind w:left="638"/>
        <w:rPr>
          <w:rFonts w:ascii="黑体" w:eastAsia="黑体" w:hint="eastAsia"/>
        </w:rPr>
      </w:pPr>
      <w:r>
        <w:rPr>
          <w:rFonts w:ascii="黑体" w:eastAsia="黑体" w:hint="eastAsia"/>
        </w:rPr>
        <w:t>可调进口导叶 inlet guide vanes；IGV</w:t>
      </w:r>
    </w:p>
    <w:p>
      <w:pPr>
        <w:pStyle w:val="BodyText"/>
        <w:spacing w:before="4"/>
        <w:ind w:left="638"/>
      </w:pPr>
      <w:r>
        <w:drawing>
          <wp:anchor distT="0" distB="0" distL="0" distR="0" simplePos="0" relativeHeight="251673600" behindDoc="0" locked="0" layoutInCell="1" allowOverlap="1">
            <wp:simplePos x="0" y="0"/>
            <wp:positionH relativeFrom="page">
              <wp:posOffset>886345</wp:posOffset>
            </wp:positionH>
            <wp:positionV relativeFrom="paragraph">
              <wp:posOffset>200126</wp:posOffset>
            </wp:positionV>
            <wp:extent cx="291854" cy="121919"/>
            <wp:effectExtent l="0" t="0" r="0" b="0"/>
            <wp:wrapTopAndBottom/>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pic:nvPicPr>
                  <pic:blipFill>
                    <a:blip xmlns:r="http://schemas.openxmlformats.org/officeDocument/2006/relationships" r:embed="rId22" cstate="print"/>
                    <a:stretch>
                      <a:fillRect/>
                    </a:stretch>
                  </pic:blipFill>
                  <pic:spPr>
                    <a:xfrm>
                      <a:off x="0" y="0"/>
                      <a:ext cx="291854" cy="121919"/>
                    </a:xfrm>
                    <a:prstGeom prst="rect">
                      <a:avLst/>
                    </a:prstGeom>
                  </pic:spPr>
                </pic:pic>
              </a:graphicData>
            </a:graphic>
          </wp:anchor>
        </w:drawing>
      </w:r>
      <w:r>
        <w:t>安装在压气机第1级动叶前，用来控制进入第1级动叶前气流方向和流量的导叶控制阀。</w:t>
      </w:r>
    </w:p>
    <w:p>
      <w:pPr>
        <w:pStyle w:val="BodyText"/>
        <w:spacing w:before="10"/>
        <w:ind w:left="638"/>
        <w:rPr>
          <w:rFonts w:ascii="黑体" w:eastAsia="黑体" w:hint="eastAsia"/>
        </w:rPr>
      </w:pPr>
      <w:r>
        <w:rPr>
          <w:rFonts w:ascii="黑体" w:eastAsia="黑体" w:hint="eastAsia"/>
        </w:rPr>
        <w:t>液压间隙优化系统 Hydraulic Clearance Optimization；HCO</w:t>
      </w:r>
    </w:p>
    <w:p>
      <w:pPr>
        <w:pStyle w:val="BodyText"/>
        <w:spacing w:before="4" w:line="244" w:lineRule="auto"/>
        <w:ind w:left="218" w:right="476" w:firstLine="420"/>
      </w:pPr>
      <w:r>
        <w:drawing>
          <wp:anchor distT="0" distB="0" distL="0" distR="0" simplePos="0" relativeHeight="251674624" behindDoc="0" locked="0" layoutInCell="1" allowOverlap="1">
            <wp:simplePos x="0" y="0"/>
            <wp:positionH relativeFrom="page">
              <wp:posOffset>886345</wp:posOffset>
            </wp:positionH>
            <wp:positionV relativeFrom="paragraph">
              <wp:posOffset>374142</wp:posOffset>
            </wp:positionV>
            <wp:extent cx="289808" cy="121919"/>
            <wp:effectExtent l="0" t="0" r="0" b="0"/>
            <wp:wrapTopAndBottom/>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pic:cNvPicPr/>
                  </pic:nvPicPr>
                  <pic:blipFill>
                    <a:blip xmlns:r="http://schemas.openxmlformats.org/officeDocument/2006/relationships" r:embed="rId23" cstate="print"/>
                    <a:stretch>
                      <a:fillRect/>
                    </a:stretch>
                  </pic:blipFill>
                  <pic:spPr>
                    <a:xfrm>
                      <a:off x="0" y="0"/>
                      <a:ext cx="289808" cy="121919"/>
                    </a:xfrm>
                    <a:prstGeom prst="rect">
                      <a:avLst/>
                    </a:prstGeom>
                  </pic:spPr>
                </pic:pic>
              </a:graphicData>
            </a:graphic>
          </wp:anchor>
        </w:drawing>
      </w:r>
      <w:r>
        <w:rPr>
          <w:spacing w:val="-6"/>
          <w:w w:val="95"/>
        </w:rPr>
        <w:t xml:space="preserve">在燃气轮机完全预热后，将燃机转子逆气流流动方向移动，减小涡轮叶片和机壳之间的间隙，从而   </w:t>
      </w:r>
      <w:r>
        <w:rPr>
          <w:spacing w:val="-6"/>
        </w:rPr>
        <w:t>提高透平做功效率的装置。</w:t>
      </w:r>
    </w:p>
    <w:p>
      <w:pPr>
        <w:pStyle w:val="BodyText"/>
        <w:spacing w:before="12"/>
        <w:ind w:left="638"/>
        <w:rPr>
          <w:rFonts w:ascii="黑体" w:eastAsia="黑体" w:hint="eastAsia"/>
        </w:rPr>
      </w:pPr>
      <w:r>
        <w:rPr>
          <w:rFonts w:ascii="黑体" w:eastAsia="黑体" w:hint="eastAsia"/>
        </w:rPr>
        <w:t>气紧急关断阀 emergency stop valve；ESV</w:t>
      </w:r>
    </w:p>
    <w:p>
      <w:pPr>
        <w:pStyle w:val="BodyText"/>
        <w:spacing w:before="2"/>
        <w:ind w:left="638"/>
      </w:pPr>
      <w:r>
        <w:t>一种专用于在检测到危险事件时，阻止有害液体或气体的流动的阀门。</w:t>
      </w:r>
    </w:p>
    <w:p>
      <w:pPr>
        <w:spacing w:after="0"/>
        <w:sectPr>
          <w:footerReference w:type="default" r:id="rId24"/>
          <w:pgSz w:w="11910" w:h="16840"/>
          <w:pgMar w:top="1580" w:right="660" w:bottom="1340" w:left="1200" w:header="0" w:footer="1061"/>
          <w:pgNumType w:start="2"/>
          <w:cols w:space="708"/>
        </w:sectPr>
      </w:pPr>
    </w:p>
    <w:p>
      <w:pPr>
        <w:pStyle w:val="BodyText"/>
        <w:spacing w:before="11"/>
        <w:ind w:left="0"/>
        <w:rPr>
          <w:sz w:val="28"/>
        </w:rPr>
      </w:pPr>
    </w:p>
    <w:p>
      <w:pPr>
        <w:pStyle w:val="BodyText"/>
        <w:spacing w:line="192" w:lineRule="exact"/>
        <w:ind w:left="195"/>
        <w:rPr>
          <w:sz w:val="19"/>
        </w:rPr>
      </w:pPr>
      <w:r>
        <w:rPr>
          <w:position w:val="-3"/>
          <w:sz w:val="19"/>
        </w:rPr>
        <w:drawing>
          <wp:inline distT="0" distB="0" distL="0" distR="0">
            <wp:extent cx="288192" cy="121920"/>
            <wp:effectExtent l="0" t="0" r="0" b="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jpeg"/>
                    <pic:cNvPicPr/>
                  </pic:nvPicPr>
                  <pic:blipFill>
                    <a:blip xmlns:r="http://schemas.openxmlformats.org/officeDocument/2006/relationships" r:embed="rId25" cstate="print"/>
                    <a:stretch>
                      <a:fillRect/>
                    </a:stretch>
                  </pic:blipFill>
                  <pic:spPr>
                    <a:xfrm>
                      <a:off x="0" y="0"/>
                      <a:ext cx="288192" cy="121920"/>
                    </a:xfrm>
                    <a:prstGeom prst="rect">
                      <a:avLst/>
                    </a:prstGeom>
                  </pic:spPr>
                </pic:pic>
              </a:graphicData>
            </a:graphic>
          </wp:inline>
        </w:drawing>
      </w:r>
    </w:p>
    <w:p>
      <w:pPr>
        <w:pStyle w:val="BodyText"/>
        <w:spacing w:before="40"/>
        <w:ind w:left="638"/>
        <w:rPr>
          <w:rFonts w:ascii="黑体" w:eastAsia="黑体" w:hint="eastAsia"/>
        </w:rPr>
      </w:pPr>
      <w:r>
        <w:rPr>
          <w:rFonts w:ascii="黑体" w:eastAsia="黑体" w:hint="eastAsia"/>
        </w:rPr>
        <w:t>跳闸保护系统 emergency trip system ；ETS</w:t>
      </w:r>
    </w:p>
    <w:p>
      <w:pPr>
        <w:pStyle w:val="BodyText"/>
        <w:spacing w:before="2" w:line="244" w:lineRule="auto"/>
        <w:ind w:left="218" w:right="475" w:firstLine="420"/>
      </w:pPr>
      <w:r>
        <w:drawing>
          <wp:anchor distT="0" distB="0" distL="0" distR="0" simplePos="0" relativeHeight="251675648" behindDoc="0" locked="0" layoutInCell="1" allowOverlap="1">
            <wp:simplePos x="0" y="0"/>
            <wp:positionH relativeFrom="page">
              <wp:posOffset>886345</wp:posOffset>
            </wp:positionH>
            <wp:positionV relativeFrom="paragraph">
              <wp:posOffset>372783</wp:posOffset>
            </wp:positionV>
            <wp:extent cx="288556" cy="121920"/>
            <wp:effectExtent l="0" t="0" r="0" b="0"/>
            <wp:wrapTopAndBottom/>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jpeg"/>
                    <pic:cNvPicPr/>
                  </pic:nvPicPr>
                  <pic:blipFill>
                    <a:blip xmlns:r="http://schemas.openxmlformats.org/officeDocument/2006/relationships" r:embed="rId26" cstate="print"/>
                    <a:stretch>
                      <a:fillRect/>
                    </a:stretch>
                  </pic:blipFill>
                  <pic:spPr>
                    <a:xfrm>
                      <a:off x="0" y="0"/>
                      <a:ext cx="288556" cy="121920"/>
                    </a:xfrm>
                    <a:prstGeom prst="rect">
                      <a:avLst/>
                    </a:prstGeom>
                  </pic:spPr>
                </pic:pic>
              </a:graphicData>
            </a:graphic>
          </wp:anchor>
        </w:drawing>
      </w:r>
      <w:r>
        <w:rPr>
          <w:spacing w:val="-8"/>
          <w:w w:val="95"/>
        </w:rPr>
        <w:t xml:space="preserve">当汽轮机运行异常，发电机控制系统无法控制气轮机系统正常运行时，该系统关闭汽轮机的所有进   </w:t>
      </w:r>
      <w:r>
        <w:rPr>
          <w:spacing w:val="-8"/>
        </w:rPr>
        <w:t>汽阀。</w:t>
      </w:r>
    </w:p>
    <w:p>
      <w:pPr>
        <w:pStyle w:val="BodyText"/>
        <w:spacing w:before="12"/>
        <w:ind w:left="638"/>
        <w:rPr>
          <w:rFonts w:ascii="黑体" w:eastAsia="黑体" w:hint="eastAsia"/>
        </w:rPr>
      </w:pPr>
      <w:r>
        <w:rPr>
          <w:rFonts w:ascii="黑体" w:eastAsia="黑体" w:hint="eastAsia"/>
        </w:rPr>
        <w:t>汽轮机安全监视系统 turbine supervisory instruments；TSI</w:t>
      </w:r>
    </w:p>
    <w:p>
      <w:pPr>
        <w:pStyle w:val="BodyText"/>
        <w:spacing w:before="5" w:line="242" w:lineRule="auto"/>
        <w:ind w:left="218" w:right="476" w:firstLine="420"/>
      </w:pPr>
      <w:r>
        <w:drawing>
          <wp:anchor distT="0" distB="0" distL="0" distR="0" simplePos="0" relativeHeight="251676672" behindDoc="0" locked="0" layoutInCell="1" allowOverlap="1">
            <wp:simplePos x="0" y="0"/>
            <wp:positionH relativeFrom="page">
              <wp:posOffset>886345</wp:posOffset>
            </wp:positionH>
            <wp:positionV relativeFrom="paragraph">
              <wp:posOffset>372783</wp:posOffset>
            </wp:positionV>
            <wp:extent cx="267008" cy="121920"/>
            <wp:effectExtent l="0" t="0" r="0" b="0"/>
            <wp:wrapTopAndBottom/>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jpeg"/>
                    <pic:cNvPicPr/>
                  </pic:nvPicPr>
                  <pic:blipFill>
                    <a:blip xmlns:r="http://schemas.openxmlformats.org/officeDocument/2006/relationships" r:embed="rId27" cstate="print"/>
                    <a:stretch>
                      <a:fillRect/>
                    </a:stretch>
                  </pic:blipFill>
                  <pic:spPr>
                    <a:xfrm>
                      <a:off x="0" y="0"/>
                      <a:ext cx="267008" cy="121920"/>
                    </a:xfrm>
                    <a:prstGeom prst="rect">
                      <a:avLst/>
                    </a:prstGeom>
                  </pic:spPr>
                </pic:pic>
              </a:graphicData>
            </a:graphic>
          </wp:anchor>
        </w:drawing>
      </w:r>
      <w:r>
        <w:rPr>
          <w:spacing w:val="-8"/>
          <w:w w:val="95"/>
        </w:rPr>
        <w:t xml:space="preserve">连续测量汽轮机的转速、振动、膨胀、位移等机械参数，并将测量结果送入控制、保护系统，一方   </w:t>
      </w:r>
      <w:r>
        <w:rPr>
          <w:spacing w:val="-8"/>
        </w:rPr>
        <w:t>面供运行人员监视、分析旋转机械的运转情况，同时在参数越限时执行报警和保护功能。</w:t>
      </w:r>
    </w:p>
    <w:p>
      <w:pPr>
        <w:pStyle w:val="BodyText"/>
        <w:spacing w:before="13"/>
        <w:ind w:left="638"/>
        <w:rPr>
          <w:rFonts w:ascii="黑体" w:eastAsia="黑体" w:hint="eastAsia"/>
        </w:rPr>
      </w:pPr>
      <w:r>
        <w:rPr>
          <w:rFonts w:ascii="黑体" w:eastAsia="黑体" w:hint="eastAsia"/>
        </w:rPr>
        <w:t>发电机断路器 Generator Circuit-Breaker；GCB</w:t>
      </w:r>
    </w:p>
    <w:p>
      <w:pPr>
        <w:pStyle w:val="BodyText"/>
        <w:spacing w:before="2"/>
        <w:ind w:left="638"/>
      </w:pPr>
      <w:r>
        <w:t>安装于发电机和变压器端子之间的断路器，主要用于发电机的控制和保护。</w:t>
      </w:r>
    </w:p>
    <w:p>
      <w:pPr>
        <w:pStyle w:val="BodyText"/>
        <w:spacing w:before="1"/>
        <w:ind w:left="0"/>
        <w:rPr>
          <w:sz w:val="19"/>
        </w:rPr>
      </w:pPr>
    </w:p>
    <w:p>
      <w:pPr>
        <w:pStyle w:val="ListParagraph"/>
        <w:numPr>
          <w:ilvl w:val="0"/>
          <w:numId w:val="55"/>
        </w:numPr>
        <w:tabs>
          <w:tab w:val="left" w:pos="532"/>
          <w:tab w:val="left" w:pos="533"/>
        </w:tabs>
        <w:spacing w:before="0" w:after="0" w:line="240" w:lineRule="auto"/>
        <w:ind w:left="532" w:right="0" w:hanging="315"/>
        <w:jc w:val="left"/>
        <w:rPr>
          <w:rFonts w:ascii="黑体" w:eastAsia="黑体" w:hint="eastAsia"/>
          <w:sz w:val="21"/>
        </w:rPr>
      </w:pPr>
      <w:bookmarkStart w:id="6" w:name="4　总体要求"/>
      <w:bookmarkEnd w:id="6"/>
      <w:bookmarkStart w:id="7" w:name="_bookmark3"/>
      <w:bookmarkEnd w:id="7"/>
      <w:r>
        <w:rPr>
          <w:rFonts w:ascii="黑体" w:eastAsia="黑体" w:hint="eastAsia"/>
          <w:sz w:val="21"/>
        </w:rPr>
        <w:t>总体要求</w:t>
      </w:r>
    </w:p>
    <w:p>
      <w:pPr>
        <w:pStyle w:val="BodyText"/>
        <w:spacing w:before="11"/>
        <w:ind w:left="0"/>
        <w:rPr>
          <w:rFonts w:ascii="黑体"/>
          <w:sz w:val="18"/>
        </w:rPr>
      </w:pPr>
    </w:p>
    <w:p>
      <w:pPr>
        <w:pStyle w:val="BodyText"/>
        <w:spacing w:line="244" w:lineRule="auto"/>
        <w:ind w:left="218" w:right="475" w:firstLine="420"/>
      </w:pPr>
      <w:r>
        <w:rPr>
          <w:spacing w:val="-8"/>
        </w:rPr>
        <w:t>SGT5-4000F（9）</w:t>
      </w:r>
      <w:r>
        <w:t>型燃气-蒸汽联合循环机组启动操作规范由负责机组运行的技术人员制定并组织实施，根据现场实际运行情况定期修订。</w:t>
      </w:r>
    </w:p>
    <w:p>
      <w:pPr>
        <w:pStyle w:val="BodyText"/>
        <w:spacing w:before="5"/>
        <w:ind w:left="0"/>
        <w:rPr>
          <w:sz w:val="18"/>
        </w:rPr>
      </w:pPr>
    </w:p>
    <w:p>
      <w:pPr>
        <w:pStyle w:val="ListParagraph"/>
        <w:numPr>
          <w:ilvl w:val="0"/>
          <w:numId w:val="55"/>
        </w:numPr>
        <w:tabs>
          <w:tab w:val="left" w:pos="638"/>
          <w:tab w:val="left" w:pos="639"/>
        </w:tabs>
        <w:spacing w:before="1" w:after="0" w:line="240" w:lineRule="auto"/>
        <w:ind w:left="638" w:right="0" w:hanging="421"/>
        <w:jc w:val="left"/>
        <w:rPr>
          <w:rFonts w:ascii="黑体" w:eastAsia="黑体" w:hint="eastAsia"/>
          <w:sz w:val="21"/>
        </w:rPr>
      </w:pPr>
      <w:bookmarkStart w:id="8" w:name="5　机组启动准备与启动条件要求"/>
      <w:bookmarkEnd w:id="8"/>
      <w:bookmarkStart w:id="9" w:name="_bookmark4"/>
      <w:bookmarkEnd w:id="9"/>
      <w:r>
        <w:rPr>
          <w:rFonts w:ascii="黑体" w:eastAsia="黑体" w:hint="eastAsia"/>
          <w:sz w:val="21"/>
        </w:rPr>
        <w:t>机组启动准备与启动条件要求</w:t>
      </w:r>
    </w:p>
    <w:p>
      <w:pPr>
        <w:pStyle w:val="BodyText"/>
        <w:spacing w:before="8"/>
        <w:ind w:left="0"/>
        <w:rPr>
          <w:rFonts w:ascii="黑体"/>
          <w:sz w:val="13"/>
        </w:rPr>
      </w:pPr>
    </w:p>
    <w:p>
      <w:pPr>
        <w:spacing w:before="70"/>
        <w:ind w:left="191" w:right="0" w:firstLine="0"/>
        <w:jc w:val="left"/>
        <w:rPr>
          <w:rFonts w:ascii="黑体" w:eastAsia="黑体" w:hint="eastAsia"/>
          <w:sz w:val="21"/>
        </w:rPr>
      </w:pPr>
      <w:r>
        <w:rPr>
          <w:position w:val="-1"/>
        </w:rPr>
        <w:drawing>
          <wp:inline distT="0" distB="0" distL="0" distR="0">
            <wp:extent cx="194976" cy="121944"/>
            <wp:effectExtent l="0" t="0" r="0" b="0"/>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jpeg"/>
                    <pic:cNvPicPr/>
                  </pic:nvPicPr>
                  <pic:blipFill>
                    <a:blip xmlns:r="http://schemas.openxmlformats.org/officeDocument/2006/relationships" r:embed="rId28" cstate="print"/>
                    <a:stretch>
                      <a:fillRect/>
                    </a:stretch>
                  </pic:blipFill>
                  <pic:spPr>
                    <a:xfrm>
                      <a:off x="0" y="0"/>
                      <a:ext cx="194976"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bookmarkStart w:id="10" w:name="5.1　总体部分"/>
      <w:bookmarkEnd w:id="10"/>
      <w:r>
        <w:rPr>
          <w:rFonts w:ascii="黑体" w:eastAsia="黑体" w:hint="eastAsia"/>
          <w:sz w:val="21"/>
        </w:rPr>
        <w:t>总体部分</w:t>
      </w:r>
    </w:p>
    <w:p>
      <w:pPr>
        <w:pStyle w:val="BodyText"/>
        <w:spacing w:before="122" w:line="244" w:lineRule="auto"/>
        <w:ind w:left="218" w:right="475" w:firstLine="420"/>
      </w:pPr>
      <w:r>
        <w:rPr>
          <w:spacing w:val="-9"/>
          <w:w w:val="95"/>
        </w:rPr>
        <w:t xml:space="preserve">现场的防冻、采暖、通风、照明、降温设施能够投运，厂房和设备间封闭完整，所有控制室和电子   </w:t>
      </w:r>
      <w:r>
        <w:rPr>
          <w:spacing w:val="-9"/>
        </w:rPr>
        <w:t>间温度可控。</w:t>
      </w:r>
    </w:p>
    <w:p>
      <w:pPr>
        <w:pStyle w:val="BodyText"/>
        <w:spacing w:line="244" w:lineRule="auto"/>
        <w:ind w:left="638" w:right="4576"/>
      </w:pPr>
      <w:r>
        <w:t>消防验收合格，临时消防器材准备充足且摆放到位。电缆和盘柜防火封堵合格。</w:t>
      </w:r>
    </w:p>
    <w:p>
      <w:pPr>
        <w:pStyle w:val="BodyText"/>
        <w:spacing w:line="265" w:lineRule="exact"/>
        <w:ind w:left="638"/>
      </w:pPr>
      <w:r>
        <w:t>现场通信设备通信正常。</w:t>
      </w:r>
    </w:p>
    <w:p>
      <w:pPr>
        <w:pStyle w:val="BodyText"/>
        <w:spacing w:line="242" w:lineRule="auto"/>
        <w:ind w:left="638" w:right="2268"/>
      </w:pPr>
      <w:r>
        <w:rPr>
          <w:w w:val="95"/>
        </w:rPr>
        <w:t xml:space="preserve">生产现场及设备完整清洁，周围无影响安全运行及妨碍运行人员工作的杂物。  </w:t>
      </w:r>
      <w:r>
        <w:t>设备、管道、阀门、开关、保护压板、安全标识牌等标识齐全。</w:t>
      </w:r>
    </w:p>
    <w:p>
      <w:pPr>
        <w:pStyle w:val="BodyText"/>
        <w:spacing w:line="244" w:lineRule="auto"/>
        <w:ind w:left="638" w:right="4156"/>
      </w:pPr>
      <w:r>
        <w:rPr>
          <w:w w:val="95"/>
        </w:rPr>
        <w:t xml:space="preserve">各通道畅通，无杂物，走廊和楼梯栏杆完整，照明良好。 </w:t>
      </w:r>
      <w:r>
        <w:t>各管道支架完整，保温良好，膨胀节无破损现象。</w:t>
      </w:r>
    </w:p>
    <w:p>
      <w:pPr>
        <w:pStyle w:val="BodyText"/>
        <w:spacing w:line="244" w:lineRule="auto"/>
        <w:ind w:left="218" w:right="472" w:firstLine="420"/>
      </w:pPr>
      <w:r>
        <w:rPr>
          <w:spacing w:val="-8"/>
          <w:w w:val="95"/>
        </w:rPr>
        <w:t xml:space="preserve">运行必需的规程、制度、操作票、工作票、专用工具、安全工器具、记录表格和值班用具、备品配   </w:t>
      </w:r>
      <w:r>
        <w:rPr>
          <w:spacing w:val="-8"/>
        </w:rPr>
        <w:t>件等已配齐，并在主控室有完整放置。</w:t>
      </w:r>
    </w:p>
    <w:p>
      <w:pPr>
        <w:pStyle w:val="BodyText"/>
        <w:spacing w:line="242" w:lineRule="auto"/>
        <w:ind w:left="638" w:right="1848"/>
      </w:pPr>
      <w:r>
        <w:rPr>
          <w:w w:val="95"/>
        </w:rPr>
        <w:t xml:space="preserve">有关检修工作已结束，影响启动的工作票全部终结，临时搭设的安全设施已拆除。  </w:t>
      </w:r>
      <w:r>
        <w:t>电动、气动阀门，及各风门、挡板开关校验正常。</w:t>
      </w:r>
    </w:p>
    <w:p>
      <w:pPr>
        <w:pStyle w:val="BodyText"/>
        <w:spacing w:line="244" w:lineRule="auto"/>
        <w:ind w:left="638" w:right="4996"/>
      </w:pPr>
      <w:r>
        <w:t>机组大联锁保护校验正常，辅机联锁校验正常。厂用电系统运行方式，备合闸校验正常。</w:t>
      </w:r>
    </w:p>
    <w:p>
      <w:pPr>
        <w:pStyle w:val="BodyText"/>
        <w:spacing w:line="265" w:lineRule="exact"/>
        <w:ind w:left="638"/>
      </w:pPr>
      <w:r>
        <w:t>所有的表计、监测装置、I/O柜完整齐全，投入正常，仪表指示正确。</w:t>
      </w:r>
    </w:p>
    <w:p>
      <w:pPr>
        <w:pStyle w:val="BodyText"/>
        <w:spacing w:line="242" w:lineRule="auto"/>
        <w:ind w:left="218" w:right="476" w:firstLine="420"/>
      </w:pPr>
      <w:r>
        <w:rPr>
          <w:spacing w:val="-6"/>
          <w:w w:val="95"/>
        </w:rPr>
        <w:t xml:space="preserve">各辅机及电动机基础牢固、地脚螺丝无松动现象，接地线良好，靠背轮联接良好，盘动正常，防护   </w:t>
      </w:r>
      <w:r>
        <w:rPr>
          <w:spacing w:val="-6"/>
        </w:rPr>
        <w:t>罩完好，各轴承油量充足，油镜清晰，冷却水畅通、充足。</w:t>
      </w:r>
    </w:p>
    <w:p>
      <w:pPr>
        <w:pStyle w:val="BodyText"/>
        <w:ind w:left="638"/>
      </w:pPr>
      <w:r>
        <w:t>所属辅助设备电动机绝缘合格，电源已送上。</w:t>
      </w:r>
    </w:p>
    <w:p>
      <w:pPr>
        <w:pStyle w:val="BodyText"/>
        <w:ind w:left="638"/>
      </w:pPr>
      <w:r>
        <w:t>所有的保护系统电源已送上，有关保护按要求已投入。</w:t>
      </w:r>
    </w:p>
    <w:p>
      <w:pPr>
        <w:pStyle w:val="BodyText"/>
        <w:spacing w:before="5"/>
        <w:ind w:left="638"/>
      </w:pPr>
      <w:r>
        <w:t>报警ASD画面上所有的信息已复归，无妨碍启动操作的报警信号。</w:t>
      </w:r>
    </w:p>
    <w:p>
      <w:pPr>
        <w:pStyle w:val="BodyText"/>
        <w:spacing w:before="2" w:line="244" w:lineRule="auto"/>
        <w:ind w:left="218" w:right="476" w:firstLine="420"/>
      </w:pPr>
      <w:r>
        <w:rPr>
          <w:spacing w:val="-5"/>
          <w:w w:val="95"/>
        </w:rPr>
        <w:t xml:space="preserve">各专业辅助系统启动前必须按“阀门检查卡”进行全面检查，以确认机组具备开机条件，并填写启   </w:t>
      </w:r>
      <w:r>
        <w:rPr>
          <w:spacing w:val="-5"/>
        </w:rPr>
        <w:t>动操作票。</w:t>
      </w:r>
    </w:p>
    <w:p>
      <w:pPr>
        <w:pStyle w:val="BodyText"/>
        <w:spacing w:line="244" w:lineRule="auto"/>
        <w:ind w:left="638" w:right="376"/>
      </w:pPr>
      <w:r>
        <w:rPr>
          <w:w w:val="95"/>
        </w:rPr>
        <w:t>各辅机设备及转动机械检查正常、各手动阀门灵活性检查正常、各调节阀和电动阀动作检查正常。   各受压容器均经过水压测试合格，安全阀动作性能良好，各有关的汽、水、油管路均己冲洗干净，</w:t>
      </w:r>
    </w:p>
    <w:p>
      <w:pPr>
        <w:pStyle w:val="BodyText"/>
        <w:spacing w:line="265" w:lineRule="exact"/>
        <w:ind w:left="218"/>
      </w:pPr>
      <w:r>
        <w:t>油系统和油质检查正常，符合机组的启动要求。</w:t>
      </w:r>
    </w:p>
    <w:p>
      <w:pPr>
        <w:pStyle w:val="BodyText"/>
        <w:spacing w:line="242" w:lineRule="auto"/>
        <w:ind w:left="638" w:right="3736"/>
      </w:pPr>
      <w:r>
        <w:rPr>
          <w:w w:val="95"/>
        </w:rPr>
        <w:t xml:space="preserve">厂用压缩空气系统检查正常，空压机出口母管压力符合要求。 </w:t>
      </w:r>
      <w:r>
        <w:t>主厂房消防水系统检查正常，具备投运条件。</w:t>
      </w:r>
    </w:p>
    <w:p>
      <w:pPr>
        <w:spacing w:before="122"/>
        <w:ind w:left="191" w:right="0" w:firstLine="0"/>
        <w:jc w:val="left"/>
        <w:rPr>
          <w:rFonts w:ascii="黑体" w:eastAsia="黑体" w:hint="eastAsia"/>
          <w:sz w:val="21"/>
        </w:rPr>
      </w:pPr>
      <w:r>
        <w:rPr>
          <w:position w:val="-1"/>
        </w:rPr>
        <w:drawing>
          <wp:inline distT="0" distB="0" distL="0" distR="0">
            <wp:extent cx="219431" cy="122613"/>
            <wp:effectExtent l="0" t="0" r="0" b="0"/>
            <wp:docPr id="4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jpeg"/>
                    <pic:cNvPicPr/>
                  </pic:nvPicPr>
                  <pic:blipFill>
                    <a:blip xmlns:r="http://schemas.openxmlformats.org/officeDocument/2006/relationships" r:embed="rId29" cstate="print"/>
                    <a:stretch>
                      <a:fillRect/>
                    </a:stretch>
                  </pic:blipFill>
                  <pic:spPr>
                    <a:xfrm>
                      <a:off x="0" y="0"/>
                      <a:ext cx="219431" cy="12261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11" w:name="5.2　燃气轮机部分"/>
      <w:bookmarkEnd w:id="11"/>
      <w:r>
        <w:rPr>
          <w:rFonts w:ascii="黑体" w:eastAsia="黑体" w:hint="eastAsia"/>
          <w:sz w:val="21"/>
        </w:rPr>
        <w:t>燃气轮机部分</w:t>
      </w:r>
    </w:p>
    <w:p>
      <w:pPr>
        <w:spacing w:after="0"/>
        <w:jc w:val="left"/>
        <w:rPr>
          <w:rFonts w:ascii="黑体" w:eastAsia="黑体" w:hint="eastAsia"/>
          <w:sz w:val="21"/>
        </w:rPr>
        <w:sectPr>
          <w:footerReference w:type="default" r:id="rId30"/>
          <w:pgSz w:w="11910" w:h="16840"/>
          <w:pgMar w:top="1580" w:right="660" w:bottom="1340" w:left="1200" w:header="0" w:footer="1061"/>
          <w:pgNumType w:start="3"/>
          <w:cols w:space="708"/>
        </w:sectPr>
      </w:pPr>
    </w:p>
    <w:p>
      <w:pPr>
        <w:pStyle w:val="BodyText"/>
        <w:spacing w:before="5"/>
        <w:ind w:left="0"/>
        <w:rPr>
          <w:rFonts w:ascii="黑体"/>
          <w:sz w:val="20"/>
        </w:rPr>
      </w:pPr>
    </w:p>
    <w:p>
      <w:pPr>
        <w:pStyle w:val="BodyText"/>
        <w:spacing w:before="70" w:line="242" w:lineRule="auto"/>
        <w:ind w:left="638" w:right="796"/>
      </w:pPr>
      <w:r>
        <w:rPr>
          <w:w w:val="95"/>
        </w:rPr>
        <w:t xml:space="preserve">天然气调压站已投运，天然气压力、温度、品质符合要求，过滤、计量、加热装置正常投运。   </w:t>
      </w:r>
      <w:r>
        <w:t>天然气前置模块检查正常，并已正常投运。过滤装置、性能加热器、流量计正常投运。</w:t>
      </w:r>
    </w:p>
    <w:p>
      <w:pPr>
        <w:pStyle w:val="BodyText"/>
        <w:spacing w:line="244" w:lineRule="auto"/>
        <w:ind w:left="638" w:right="3736"/>
      </w:pPr>
      <w:r>
        <w:rPr>
          <w:w w:val="95"/>
        </w:rPr>
        <w:t>可燃气体的泄漏监测与火灾保护系统运行正常，无报警信号。</w:t>
      </w:r>
      <w:r>
        <w:t>HCO处于副推位置，系统运行正常。</w:t>
      </w:r>
    </w:p>
    <w:p>
      <w:pPr>
        <w:pStyle w:val="BodyText"/>
        <w:spacing w:line="242" w:lineRule="auto"/>
        <w:ind w:left="638" w:right="368"/>
      </w:pPr>
      <w:r>
        <w:rPr>
          <w:spacing w:val="-1"/>
          <w:w w:val="95"/>
        </w:rPr>
        <w:t>天然气控制阀组无故障信号，</w:t>
      </w:r>
      <w:r>
        <w:rPr>
          <w:spacing w:val="-13"/>
          <w:w w:val="95"/>
        </w:rPr>
        <w:t>ESV</w:t>
      </w:r>
      <w:r>
        <w:rPr>
          <w:spacing w:val="-12"/>
          <w:w w:val="95"/>
        </w:rPr>
        <w:t>阀、预混、值班气调节阀在关闭状态，ESV</w:t>
      </w:r>
      <w:r>
        <w:rPr>
          <w:w w:val="95"/>
        </w:rPr>
        <w:t xml:space="preserve">阀后放散阀在开启状态。   </w:t>
      </w:r>
      <w:r>
        <w:rPr>
          <w:spacing w:val="-6"/>
        </w:rPr>
        <w:t>燃气轮机进气系统检查正常，无报警信号。进气室及进气通道内干净无杂物，压气机进气小室各门</w:t>
      </w:r>
    </w:p>
    <w:p>
      <w:pPr>
        <w:pStyle w:val="BodyText"/>
        <w:ind w:left="218"/>
      </w:pPr>
      <w:r>
        <w:t>关闭，人孔门封闭。进气过滤系统投运正常。</w:t>
      </w:r>
    </w:p>
    <w:p>
      <w:pPr>
        <w:pStyle w:val="BodyText"/>
        <w:spacing w:line="242" w:lineRule="auto"/>
        <w:ind w:left="638" w:right="796"/>
      </w:pPr>
      <w:r>
        <w:t xml:space="preserve">入口可调导叶（IGV）系统检查正常，具备投运条件。IGV阀位正确、反馈准确、动作可靠。 </w:t>
      </w:r>
      <w:r>
        <w:rPr>
          <w:w w:val="95"/>
        </w:rPr>
        <w:t xml:space="preserve">压气机防喘放气系统检查正常，具备投运条件。防喘放气阀阀位正确、反馈准确、动作可靠。   </w:t>
      </w:r>
      <w:r>
        <w:t>清洗系统检查正常，清洗系统各阀门位置状态正确，具备投运条件。</w:t>
      </w:r>
    </w:p>
    <w:p>
      <w:pPr>
        <w:pStyle w:val="BodyText"/>
        <w:spacing w:before="1"/>
        <w:ind w:left="638"/>
      </w:pPr>
      <w:r>
        <w:t>燃烧室及排气扩散段人孔门已关闭。</w:t>
      </w:r>
    </w:p>
    <w:p>
      <w:pPr>
        <w:pStyle w:val="BodyText"/>
        <w:spacing w:before="5" w:line="242" w:lineRule="auto"/>
        <w:ind w:left="218" w:right="472" w:firstLine="420"/>
      </w:pPr>
      <w:r>
        <w:rPr>
          <w:spacing w:val="-5"/>
          <w:w w:val="95"/>
        </w:rPr>
        <w:t xml:space="preserve">燃气轮机罩壳通风系统检查正常，具备投运条件。罩壳通风风道通畅，出风口无堵塞，吸风口正常   </w:t>
      </w:r>
      <w:r>
        <w:rPr>
          <w:spacing w:val="-5"/>
        </w:rPr>
        <w:t>开启。通风风机正常运行，风量符合要求。罩壳巡检门全部关闭，操作员站状态显示与就地一致。</w:t>
      </w:r>
    </w:p>
    <w:p>
      <w:pPr>
        <w:pStyle w:val="BodyText"/>
        <w:spacing w:before="1" w:line="242" w:lineRule="auto"/>
        <w:ind w:left="638" w:right="4367"/>
      </w:pPr>
      <w:r>
        <w:t xml:space="preserve">燃气轮机冷却与密封系统检查正常，具备投运条件。 </w:t>
      </w:r>
      <w:r>
        <w:rPr>
          <w:w w:val="95"/>
        </w:rPr>
        <w:t>燃气轮机二氧化碳消防系统检查正常，具备投运条件。</w:t>
      </w:r>
    </w:p>
    <w:p>
      <w:pPr>
        <w:pStyle w:val="BodyText"/>
        <w:spacing w:before="1"/>
        <w:ind w:left="638"/>
      </w:pPr>
      <w:r>
        <w:t>燃气轮机点火及火检系统检查正常。点火装置试打火正常，点火失败保护功能正常。</w:t>
      </w:r>
    </w:p>
    <w:p>
      <w:pPr>
        <w:pStyle w:val="BodyText"/>
        <w:spacing w:before="2" w:line="244" w:lineRule="auto"/>
        <w:ind w:left="218" w:right="472" w:firstLine="420"/>
      </w:pPr>
      <w:r>
        <w:rPr>
          <w:spacing w:val="-7"/>
          <w:w w:val="95"/>
        </w:rPr>
        <w:t xml:space="preserve">燃气轮机的润滑油、顶轴油系统、控制油系统、盘车装置检查正常，具备投运条件。油箱油位、油   </w:t>
      </w:r>
      <w:r>
        <w:rPr>
          <w:spacing w:val="-7"/>
        </w:rPr>
        <w:t>质、油压、油温符合要求。</w:t>
      </w:r>
    </w:p>
    <w:p>
      <w:pPr>
        <w:pStyle w:val="BodyText"/>
        <w:spacing w:line="244" w:lineRule="auto"/>
        <w:ind w:left="638" w:right="2688"/>
      </w:pPr>
      <w:r>
        <w:rPr>
          <w:w w:val="95"/>
        </w:rPr>
        <w:t xml:space="preserve">燃气轮机的调节保安系统检查正常，保护动作正确可靠，报警显示正确。  </w:t>
      </w:r>
      <w:r>
        <w:t>燃气轮机的DEH、ETS、TSI均检查正常。</w:t>
      </w:r>
    </w:p>
    <w:p>
      <w:pPr>
        <w:pStyle w:val="BodyText"/>
        <w:spacing w:line="265" w:lineRule="exact"/>
        <w:ind w:left="638"/>
      </w:pPr>
      <w:r>
        <w:t>静态变频启动装置、SSS离合器检查正常。</w:t>
      </w:r>
    </w:p>
    <w:p>
      <w:pPr>
        <w:pStyle w:val="BodyText"/>
        <w:spacing w:before="1"/>
        <w:ind w:left="638"/>
      </w:pPr>
      <w:r>
        <w:t>燃气轮机转子偏心度、轴向位移、缸温、瓦温、振动等参数指示正常。</w:t>
      </w:r>
    </w:p>
    <w:p>
      <w:pPr>
        <w:pStyle w:val="BodyText"/>
        <w:spacing w:before="2"/>
        <w:ind w:left="638"/>
      </w:pPr>
      <w:r>
        <w:t>燃气轮机组启动、停机及运行过程中，交、直流润滑油泵联锁能够可靠投入。</w:t>
      </w:r>
    </w:p>
    <w:p>
      <w:pPr>
        <w:pStyle w:val="BodyText"/>
        <w:spacing w:before="2" w:line="244" w:lineRule="auto"/>
        <w:ind w:left="218" w:right="472" w:firstLine="420"/>
      </w:pPr>
      <w:r>
        <w:rPr>
          <w:spacing w:val="-5"/>
          <w:w w:val="95"/>
        </w:rPr>
        <w:t xml:space="preserve">在燃气轮机启动前按规定完成各项试验，如机组手动紧急停机试验、直流润滑油泵和直流密封油泵   </w:t>
      </w:r>
      <w:r>
        <w:rPr>
          <w:spacing w:val="-5"/>
        </w:rPr>
        <w:t>启动试验、跳闸装置试验。</w:t>
      </w:r>
    </w:p>
    <w:p>
      <w:pPr>
        <w:pStyle w:val="BodyText"/>
        <w:spacing w:line="244" w:lineRule="auto"/>
        <w:ind w:left="638" w:right="376"/>
      </w:pPr>
      <w:r>
        <w:rPr>
          <w:w w:val="95"/>
        </w:rPr>
        <w:t xml:space="preserve">燃气轮机启动前按启动检查卡检查，调整各系统阀门至所需位置，并确认各阀门气源、电源已送。   </w:t>
      </w:r>
      <w:r>
        <w:t>发电机充氢压力、纯度合格，密封油系统运行正常。</w:t>
      </w:r>
    </w:p>
    <w:p>
      <w:pPr>
        <w:spacing w:before="114"/>
        <w:ind w:left="191" w:right="0" w:firstLine="0"/>
        <w:jc w:val="left"/>
        <w:rPr>
          <w:rFonts w:ascii="黑体" w:eastAsia="黑体" w:hint="eastAsia"/>
          <w:sz w:val="21"/>
        </w:rPr>
      </w:pPr>
      <w:r>
        <w:rPr>
          <w:position w:val="-1"/>
        </w:rPr>
        <w:drawing>
          <wp:inline distT="0" distB="0" distL="0" distR="0">
            <wp:extent cx="219493" cy="122167"/>
            <wp:effectExtent l="0" t="0" r="0" b="0"/>
            <wp:docPr id="4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jpeg"/>
                    <pic:cNvPicPr/>
                  </pic:nvPicPr>
                  <pic:blipFill>
                    <a:blip xmlns:r="http://schemas.openxmlformats.org/officeDocument/2006/relationships" r:embed="rId31" cstate="print"/>
                    <a:stretch>
                      <a:fillRect/>
                    </a:stretch>
                  </pic:blipFill>
                  <pic:spPr>
                    <a:xfrm>
                      <a:off x="0" y="0"/>
                      <a:ext cx="219493" cy="12216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12" w:name="5.3　汽轮机部分"/>
      <w:bookmarkEnd w:id="12"/>
      <w:r>
        <w:rPr>
          <w:rFonts w:ascii="黑体" w:eastAsia="黑体" w:hint="eastAsia"/>
          <w:sz w:val="21"/>
        </w:rPr>
        <w:t>汽轮机部分</w:t>
      </w:r>
    </w:p>
    <w:p>
      <w:pPr>
        <w:pStyle w:val="BodyText"/>
        <w:spacing w:before="123" w:line="242" w:lineRule="auto"/>
        <w:ind w:left="218" w:right="369" w:firstLine="420"/>
      </w:pPr>
      <w:r>
        <w:rPr>
          <w:spacing w:val="-12"/>
          <w:w w:val="95"/>
        </w:rPr>
        <w:t xml:space="preserve">汽轮机的润滑油系统、顶轴油系统、密封油系统、盘车装置、控制油系统检查正常，具备投运条件。   </w:t>
      </w:r>
      <w:r>
        <w:rPr>
          <w:spacing w:val="-12"/>
        </w:rPr>
        <w:t>油箱油位、油质、油压、油温符合要求。</w:t>
      </w:r>
    </w:p>
    <w:p>
      <w:pPr>
        <w:pStyle w:val="BodyText"/>
        <w:spacing w:before="1"/>
        <w:ind w:left="638"/>
      </w:pPr>
      <w:r>
        <w:t>EH油油质合格，系统已投运。</w:t>
      </w:r>
    </w:p>
    <w:p>
      <w:pPr>
        <w:pStyle w:val="BodyText"/>
        <w:spacing w:before="2" w:line="244" w:lineRule="auto"/>
        <w:ind w:left="638" w:right="2896"/>
      </w:pPr>
      <w:r>
        <w:rPr>
          <w:w w:val="95"/>
        </w:rPr>
        <w:t xml:space="preserve">汽轮机的调节保安系统检查正常，保护动作正确可靠，报警显示正确。  </w:t>
      </w:r>
      <w:r>
        <w:t>汽轮机的DEH、ETS、TSI均检查正常。</w:t>
      </w:r>
    </w:p>
    <w:p>
      <w:pPr>
        <w:pStyle w:val="BodyText"/>
        <w:spacing w:line="265" w:lineRule="exact"/>
        <w:ind w:left="638"/>
      </w:pPr>
      <w:r>
        <w:t>机组旁路系统检查正常，满足机组启动及事故备用的需要。</w:t>
      </w:r>
    </w:p>
    <w:p>
      <w:pPr>
        <w:pStyle w:val="BodyText"/>
        <w:spacing w:before="5" w:line="242" w:lineRule="auto"/>
        <w:ind w:left="638" w:right="2476"/>
      </w:pPr>
      <w:r>
        <w:rPr>
          <w:w w:val="95"/>
        </w:rPr>
        <w:t xml:space="preserve">辅助蒸汽系统检查正常，轴封蒸汽进汽调节阀前压力和温度满足投运条件。  </w:t>
      </w:r>
      <w:r>
        <w:t>汽轮机轴封系统检查正常，具备投运条件。</w:t>
      </w:r>
    </w:p>
    <w:p>
      <w:pPr>
        <w:pStyle w:val="BodyText"/>
        <w:spacing w:before="1"/>
        <w:ind w:left="638"/>
      </w:pPr>
      <w:r>
        <w:t>汽轮机真空泵及真空系统检查正常，能够提供机组启动需要的凝汽器真空条件。</w:t>
      </w:r>
    </w:p>
    <w:p>
      <w:pPr>
        <w:pStyle w:val="BodyText"/>
        <w:spacing w:before="2" w:line="244" w:lineRule="auto"/>
        <w:ind w:left="638" w:right="1428"/>
      </w:pPr>
      <w:r>
        <w:rPr>
          <w:w w:val="95"/>
        </w:rPr>
        <w:t xml:space="preserve">凝结水系统、除盐水系统检查正常，具备投运条件。除盐水箱水位、凝汽器水位正常。  </w:t>
      </w:r>
      <w:r>
        <w:t>循环水、开闭式冷却水系统检查正常，具备投运条件。压力、水质符合要求。</w:t>
      </w:r>
    </w:p>
    <w:p>
      <w:pPr>
        <w:pStyle w:val="BodyText"/>
        <w:spacing w:line="265" w:lineRule="exact"/>
        <w:ind w:left="638"/>
      </w:pPr>
      <w:r>
        <w:t>汽轮机控制器无故障报警。</w:t>
      </w:r>
    </w:p>
    <w:p>
      <w:pPr>
        <w:pStyle w:val="BodyText"/>
        <w:spacing w:before="4" w:line="242" w:lineRule="auto"/>
        <w:ind w:left="638" w:right="376"/>
      </w:pPr>
      <w:r>
        <w:t>在汽轮机启动前按规定完成各项试验，如机组手动紧急停机试验、阀门ATT试验、跳闸装置试验。</w:t>
      </w:r>
      <w:r>
        <w:rPr>
          <w:w w:val="95"/>
        </w:rPr>
        <w:t>汽轮机启动前应按启动检查卡检查，调整各系统阀门至所需位置，并确认各阀门气源、电源已送。</w:t>
      </w:r>
    </w:p>
    <w:p>
      <w:pPr>
        <w:spacing w:before="122"/>
        <w:ind w:left="191" w:right="0" w:firstLine="0"/>
        <w:jc w:val="left"/>
        <w:rPr>
          <w:rFonts w:ascii="黑体" w:eastAsia="黑体" w:hint="eastAsia"/>
          <w:sz w:val="21"/>
        </w:rPr>
      </w:pPr>
      <w:r>
        <w:rPr>
          <w:position w:val="-1"/>
        </w:rPr>
        <w:drawing>
          <wp:inline distT="0" distB="0" distL="0" distR="0">
            <wp:extent cx="218349" cy="121944"/>
            <wp:effectExtent l="0" t="0" r="0" b="0"/>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jpeg"/>
                    <pic:cNvPicPr/>
                  </pic:nvPicPr>
                  <pic:blipFill>
                    <a:blip xmlns:r="http://schemas.openxmlformats.org/officeDocument/2006/relationships" r:embed="rId32" cstate="print"/>
                    <a:stretch>
                      <a:fillRect/>
                    </a:stretch>
                  </pic:blipFill>
                  <pic:spPr>
                    <a:xfrm>
                      <a:off x="0" y="0"/>
                      <a:ext cx="218349"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9"/>
          <w:sz w:val="20"/>
        </w:rPr>
        <w:t xml:space="preserve"> </w:t>
      </w:r>
      <w:bookmarkStart w:id="13" w:name="5.4　余热锅炉部分"/>
      <w:bookmarkEnd w:id="13"/>
      <w:r>
        <w:rPr>
          <w:rFonts w:ascii="黑体" w:eastAsia="黑体" w:hint="eastAsia"/>
          <w:sz w:val="21"/>
        </w:rPr>
        <w:t>余热锅炉部分</w:t>
      </w:r>
    </w:p>
    <w:p>
      <w:pPr>
        <w:pStyle w:val="BodyText"/>
        <w:spacing w:before="122"/>
        <w:ind w:left="638"/>
      </w:pPr>
      <w:r>
        <w:t>锅炉各人孔门关闭，锅炉烟囱挡板处于开启状态。</w:t>
      </w:r>
    </w:p>
    <w:p>
      <w:pPr>
        <w:pStyle w:val="BodyText"/>
        <w:spacing w:before="4" w:line="242" w:lineRule="auto"/>
        <w:ind w:left="638" w:right="1848"/>
      </w:pPr>
      <w:r>
        <w:rPr>
          <w:w w:val="95"/>
        </w:rPr>
        <w:t xml:space="preserve">高压汽包、中压汽包、低压汽包、过热器、再热器、给水系统各安全阀检查正常。  </w:t>
      </w:r>
      <w:r>
        <w:t>汽包就地水位计清晰，照明充足，水位工业电视系统检查正常。</w:t>
      </w:r>
    </w:p>
    <w:p>
      <w:pPr>
        <w:pStyle w:val="BodyText"/>
        <w:spacing w:line="268" w:lineRule="exact"/>
        <w:ind w:left="638"/>
      </w:pPr>
      <w:r>
        <w:t>汽包水位变送器与就地水位计比对正常，联锁试验正常。</w:t>
      </w:r>
    </w:p>
    <w:p>
      <w:pPr>
        <w:spacing w:after="0" w:line="268" w:lineRule="exact"/>
        <w:sectPr>
          <w:footerReference w:type="default" r:id="rId33"/>
          <w:pgSz w:w="11910" w:h="16840"/>
          <w:pgMar w:top="1580" w:right="660" w:bottom="1340" w:left="1200" w:header="0" w:footer="1061"/>
          <w:pgNumType w:start="4"/>
          <w:cols w:space="708"/>
        </w:sectPr>
      </w:pPr>
    </w:p>
    <w:p>
      <w:pPr>
        <w:pStyle w:val="BodyText"/>
        <w:spacing w:before="5"/>
        <w:ind w:left="0"/>
        <w:rPr>
          <w:sz w:val="20"/>
        </w:rPr>
      </w:pPr>
    </w:p>
    <w:p>
      <w:pPr>
        <w:pStyle w:val="BodyText"/>
        <w:spacing w:before="70"/>
        <w:ind w:left="638"/>
      </w:pPr>
      <w:r>
        <w:t>各部膨胀指示器完整，刻度清晰，并指示正常。</w:t>
      </w:r>
    </w:p>
    <w:p>
      <w:pPr>
        <w:pStyle w:val="BodyText"/>
        <w:spacing w:before="2" w:line="242" w:lineRule="auto"/>
        <w:ind w:left="638" w:right="4367"/>
      </w:pPr>
      <w:r>
        <w:rPr>
          <w:w w:val="95"/>
        </w:rPr>
        <w:t xml:space="preserve">高压、中压、低压旁路系统检查正常，具备投运条件。 </w:t>
      </w:r>
      <w:r>
        <w:t>给水系统检查正常，具备投运条件。</w:t>
      </w:r>
    </w:p>
    <w:p>
      <w:pPr>
        <w:pStyle w:val="BodyText"/>
        <w:spacing w:before="1" w:line="242" w:lineRule="auto"/>
        <w:ind w:left="638" w:right="5836"/>
      </w:pPr>
      <w:r>
        <w:t>脱硝系统检查正常，具备投运条件。 定排扩容器检查正常，具备投运条件。连排扩容器检查正常，具备投运条件。</w:t>
      </w:r>
    </w:p>
    <w:p>
      <w:pPr>
        <w:pStyle w:val="BodyText"/>
        <w:spacing w:before="3" w:line="242" w:lineRule="auto"/>
        <w:ind w:left="638" w:right="5207"/>
      </w:pPr>
      <w:r>
        <w:rPr>
          <w:w w:val="95"/>
        </w:rPr>
        <w:t xml:space="preserve">汽水取样分析装置检查正常，具备投运条件。 </w:t>
      </w:r>
      <w:r>
        <w:t>炉水加药系统检查正常，具备投运条件。</w:t>
      </w:r>
    </w:p>
    <w:p>
      <w:pPr>
        <w:pStyle w:val="BodyText"/>
        <w:spacing w:line="268" w:lineRule="exact"/>
        <w:ind w:left="638"/>
      </w:pPr>
      <w:r>
        <w:t>DCS控制界面上所有的报警信号已复归，锅炉启动允许信号已释放。</w:t>
      </w:r>
    </w:p>
    <w:p>
      <w:pPr>
        <w:pStyle w:val="BodyText"/>
        <w:spacing w:before="5" w:line="242" w:lineRule="auto"/>
        <w:ind w:left="638" w:right="368"/>
      </w:pPr>
      <w:r>
        <w:rPr>
          <w:spacing w:val="-14"/>
          <w:w w:val="95"/>
        </w:rPr>
        <w:t xml:space="preserve">若炉内原有水，应通知化学人员化验水质。如水质不合格，应将炉水全部放掉，重新进水直至合格。   </w:t>
      </w:r>
      <w:r>
        <w:rPr>
          <w:spacing w:val="-14"/>
        </w:rPr>
        <w:t>辅助蒸汽系统检查正常，具备投运条件。辅汽母管压力和温度符合要求。</w:t>
      </w:r>
    </w:p>
    <w:p>
      <w:pPr>
        <w:pStyle w:val="BodyText"/>
        <w:spacing w:before="1" w:line="242" w:lineRule="auto"/>
        <w:ind w:left="638" w:right="475"/>
      </w:pPr>
      <w:r>
        <w:t>补给水系统具备连续制水能力，除盐水箱贮水充足，具备向机组连续补水条件，水量符合要求。</w:t>
      </w:r>
      <w:r>
        <w:rPr>
          <w:w w:val="95"/>
        </w:rPr>
        <w:t>汽水分析室具备化学分析条件，分析所需的药品、仪器、记录报表等均己准备就绪，表计校正定位</w:t>
      </w:r>
    </w:p>
    <w:p>
      <w:pPr>
        <w:pStyle w:val="BodyText"/>
        <w:spacing w:before="2"/>
        <w:ind w:left="218"/>
      </w:pPr>
      <w:r>
        <w:t>完毕。</w:t>
      </w:r>
    </w:p>
    <w:p>
      <w:pPr>
        <w:pStyle w:val="BodyText"/>
        <w:spacing w:before="2" w:line="244" w:lineRule="auto"/>
        <w:ind w:left="638" w:right="2476"/>
      </w:pPr>
      <w:r>
        <w:rPr>
          <w:w w:val="95"/>
        </w:rPr>
        <w:t xml:space="preserve">取样装置己调整，具备投用条件。取样一次门均已开启，取样冷却水畅通。  </w:t>
      </w:r>
      <w:r>
        <w:t>炉水处理和给水处理的药品备齐。</w:t>
      </w:r>
    </w:p>
    <w:p>
      <w:pPr>
        <w:pStyle w:val="BodyText"/>
        <w:spacing w:line="244" w:lineRule="auto"/>
        <w:ind w:left="638" w:right="2896"/>
      </w:pPr>
      <w:r>
        <w:rPr>
          <w:w w:val="95"/>
        </w:rPr>
        <w:t xml:space="preserve">化学加药系统试转、冲洗、水压结束，药量配好备足，具备投用条件。  </w:t>
      </w:r>
      <w:r>
        <w:t>机组各类化学仪表校验合格，具备投用条件。</w:t>
      </w:r>
    </w:p>
    <w:p>
      <w:pPr>
        <w:pStyle w:val="BodyText"/>
        <w:spacing w:line="244" w:lineRule="auto"/>
        <w:ind w:left="638" w:right="5627"/>
      </w:pPr>
      <w:r>
        <w:rPr>
          <w:w w:val="95"/>
        </w:rPr>
        <w:t>炉内加药系统检查正常，具备投用条件。废水处理系统检查正常，具备投用条件。</w:t>
      </w:r>
    </w:p>
    <w:p>
      <w:pPr>
        <w:spacing w:before="107"/>
        <w:ind w:left="191" w:right="0" w:firstLine="0"/>
        <w:jc w:val="left"/>
        <w:rPr>
          <w:rFonts w:ascii="黑体" w:eastAsia="黑体" w:hint="eastAsia"/>
          <w:sz w:val="21"/>
        </w:rPr>
      </w:pPr>
      <w:r>
        <w:rPr>
          <w:position w:val="-1"/>
        </w:rPr>
        <w:drawing>
          <wp:inline distT="0" distB="0" distL="0" distR="0">
            <wp:extent cx="219666" cy="120495"/>
            <wp:effectExtent l="0" t="0" r="0" b="0"/>
            <wp:docPr id="5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jpeg"/>
                    <pic:cNvPicPr/>
                  </pic:nvPicPr>
                  <pic:blipFill>
                    <a:blip xmlns:r="http://schemas.openxmlformats.org/officeDocument/2006/relationships" r:embed="rId34" cstate="print"/>
                    <a:stretch>
                      <a:fillRect/>
                    </a:stretch>
                  </pic:blipFill>
                  <pic:spPr>
                    <a:xfrm>
                      <a:off x="0" y="0"/>
                      <a:ext cx="219666" cy="120495"/>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14" w:name="5.5　电气部分"/>
      <w:bookmarkEnd w:id="14"/>
      <w:r>
        <w:rPr>
          <w:rFonts w:ascii="黑体" w:eastAsia="黑体" w:hint="eastAsia"/>
          <w:sz w:val="21"/>
        </w:rPr>
        <w:t>电气部分</w:t>
      </w:r>
    </w:p>
    <w:p>
      <w:pPr>
        <w:pStyle w:val="BodyText"/>
        <w:spacing w:before="125" w:line="242" w:lineRule="auto"/>
        <w:ind w:left="638" w:right="4787"/>
      </w:pPr>
      <w:r>
        <w:rPr>
          <w:w w:val="95"/>
        </w:rPr>
        <w:t xml:space="preserve">发电机氢气系统、密封油系统检查正常并已投运。 </w:t>
      </w:r>
      <w:r>
        <w:t>主变及其厂用电系统检查正常。</w:t>
      </w:r>
    </w:p>
    <w:p>
      <w:pPr>
        <w:pStyle w:val="BodyText"/>
        <w:spacing w:line="242" w:lineRule="auto"/>
        <w:ind w:left="638" w:right="6151"/>
        <w:jc w:val="both"/>
      </w:pPr>
      <w:r>
        <w:t>直流系统、UPS</w:t>
      </w:r>
      <w:r>
        <w:rPr>
          <w:spacing w:val="-2"/>
        </w:rPr>
        <w:t>电源系统检查正常。</w:t>
      </w:r>
      <w:r>
        <w:t>220kV</w:t>
      </w:r>
      <w:r>
        <w:rPr>
          <w:spacing w:val="-1"/>
        </w:rPr>
        <w:t>输、变电配电装置检查正常。</w:t>
      </w:r>
      <w:r>
        <w:t>接地和防雷保护装置检查正常。</w:t>
      </w:r>
    </w:p>
    <w:p>
      <w:pPr>
        <w:pStyle w:val="BodyText"/>
        <w:spacing w:before="2" w:line="244" w:lineRule="auto"/>
        <w:ind w:left="638" w:right="5313"/>
      </w:pPr>
      <w:r>
        <w:rPr>
          <w:w w:val="95"/>
        </w:rPr>
        <w:t>发电机-主变压器保护装置及系统检查正常。</w:t>
      </w:r>
      <w:r>
        <w:t>发电机同期装置及系统检查正常。</w:t>
      </w:r>
    </w:p>
    <w:p>
      <w:pPr>
        <w:pStyle w:val="BodyText"/>
        <w:spacing w:line="265" w:lineRule="exact"/>
        <w:ind w:left="638"/>
      </w:pPr>
      <w:r>
        <w:rPr>
          <w:w w:val="95"/>
        </w:rPr>
        <w:t>发电机励磁装置及系统检查正常。</w:t>
      </w:r>
    </w:p>
    <w:p>
      <w:pPr>
        <w:pStyle w:val="BodyText"/>
        <w:spacing w:before="2" w:line="244" w:lineRule="auto"/>
        <w:ind w:left="638" w:right="1216"/>
      </w:pPr>
      <w:r>
        <w:rPr>
          <w:w w:val="95"/>
        </w:rPr>
        <w:t xml:space="preserve">发电机、主变、发电机故障录波器等电气设备的控制、保护、测量和信号装置检查正常。   </w:t>
      </w:r>
      <w:r>
        <w:t>远动装置检查正常。</w:t>
      </w:r>
    </w:p>
    <w:p>
      <w:pPr>
        <w:pStyle w:val="BodyText"/>
        <w:spacing w:line="244" w:lineRule="auto"/>
        <w:ind w:left="638" w:right="3529"/>
      </w:pPr>
      <w:r>
        <w:rPr>
          <w:w w:val="95"/>
        </w:rPr>
        <w:t xml:space="preserve">保护己按整定值整定，变压器分接头位置己按运行要求调整。。 </w:t>
      </w:r>
      <w:r>
        <w:t>声光信号、报警装置投入使用。</w:t>
      </w:r>
    </w:p>
    <w:p>
      <w:pPr>
        <w:pStyle w:val="BodyText"/>
        <w:spacing w:line="244" w:lineRule="auto"/>
        <w:ind w:left="638" w:right="4367"/>
      </w:pPr>
      <w:r>
        <w:rPr>
          <w:w w:val="95"/>
        </w:rPr>
        <w:t xml:space="preserve">所有电气设备在热备用状态并有适当的安全保护措施。 </w:t>
      </w:r>
      <w:r>
        <w:t>所有电气设备外壳可靠接地。</w:t>
      </w:r>
    </w:p>
    <w:p>
      <w:pPr>
        <w:pStyle w:val="BodyText"/>
        <w:spacing w:line="244" w:lineRule="auto"/>
        <w:ind w:left="638" w:right="4787"/>
      </w:pPr>
      <w:r>
        <w:rPr>
          <w:w w:val="95"/>
        </w:rPr>
        <w:t xml:space="preserve">所有一次设备上的临时接地线及短路线均己拆除。 </w:t>
      </w:r>
      <w:r>
        <w:t>发电机、220kV升压站及断路器检查正常。</w:t>
      </w:r>
    </w:p>
    <w:p>
      <w:pPr>
        <w:pStyle w:val="BodyText"/>
        <w:spacing w:line="265" w:lineRule="exact"/>
        <w:ind w:left="638"/>
      </w:pPr>
      <w:r>
        <w:t>发电机、主变压器及系统绝缘测量合格。</w:t>
      </w:r>
    </w:p>
    <w:p>
      <w:pPr>
        <w:pStyle w:val="BodyText"/>
        <w:spacing w:line="242" w:lineRule="auto"/>
        <w:ind w:left="218" w:right="472" w:firstLine="420"/>
      </w:pPr>
      <w:r>
        <w:rPr>
          <w:spacing w:val="-5"/>
          <w:w w:val="95"/>
        </w:rPr>
        <w:t xml:space="preserve">己满足电网调度提出的各项并网要求，己向电网调度部门提交机组并网申请，机组启动运计划己上   </w:t>
      </w:r>
      <w:r>
        <w:rPr>
          <w:spacing w:val="-5"/>
        </w:rPr>
        <w:t>报调度并获得同意。与电网有关的设备、装置及并网条件检查已完成。</w:t>
      </w:r>
    </w:p>
    <w:p>
      <w:pPr>
        <w:spacing w:before="114"/>
        <w:ind w:left="191" w:right="0" w:firstLine="0"/>
        <w:jc w:val="left"/>
        <w:rPr>
          <w:rFonts w:ascii="黑体" w:eastAsia="黑体" w:hint="eastAsia"/>
          <w:sz w:val="21"/>
        </w:rPr>
      </w:pPr>
      <w:r>
        <w:rPr>
          <w:position w:val="-1"/>
        </w:rPr>
        <w:drawing>
          <wp:inline distT="0" distB="0" distL="0" distR="0">
            <wp:extent cx="220553" cy="121944"/>
            <wp:effectExtent l="0" t="0" r="0" b="0"/>
            <wp:docPr id="5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jpeg"/>
                    <pic:cNvPicPr/>
                  </pic:nvPicPr>
                  <pic:blipFill>
                    <a:blip xmlns:r="http://schemas.openxmlformats.org/officeDocument/2006/relationships" r:embed="rId35" cstate="print"/>
                    <a:stretch>
                      <a:fillRect/>
                    </a:stretch>
                  </pic:blipFill>
                  <pic:spPr>
                    <a:xfrm>
                      <a:off x="0" y="0"/>
                      <a:ext cx="220553"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bookmarkStart w:id="15" w:name="5.6　热控部分"/>
      <w:bookmarkEnd w:id="15"/>
      <w:r>
        <w:rPr>
          <w:rFonts w:ascii="黑体" w:eastAsia="黑体" w:hint="eastAsia"/>
          <w:sz w:val="21"/>
        </w:rPr>
        <w:t>热控部分</w:t>
      </w:r>
    </w:p>
    <w:p>
      <w:pPr>
        <w:pStyle w:val="BodyText"/>
        <w:spacing w:before="122" w:line="242" w:lineRule="auto"/>
        <w:ind w:left="638" w:right="3213"/>
      </w:pPr>
      <w:r>
        <w:rPr>
          <w:w w:val="95"/>
        </w:rPr>
        <w:t xml:space="preserve">DAS测点校对完毕，测点显示、趋势记录、报警及打印可正常投用。 </w:t>
      </w:r>
      <w:r>
        <w:t>SCS系统信号及回路校验、联锁及保护检查正常，可正常投用。  SOE回路检查正常，即时打印正常。</w:t>
      </w:r>
    </w:p>
    <w:p>
      <w:pPr>
        <w:pStyle w:val="BodyText"/>
        <w:spacing w:before="3"/>
        <w:ind w:left="638"/>
      </w:pPr>
      <w:r>
        <w:t>MCS执行机构检查正常。</w:t>
      </w:r>
    </w:p>
    <w:p>
      <w:pPr>
        <w:pStyle w:val="BodyText"/>
        <w:spacing w:before="2" w:line="242" w:lineRule="auto"/>
        <w:ind w:left="638" w:right="4159"/>
      </w:pPr>
      <w:r>
        <w:t xml:space="preserve">燃气轮机控制系统信号及回路校验完成，可正常投用。 </w:t>
      </w:r>
      <w:r>
        <w:rPr>
          <w:w w:val="95"/>
        </w:rPr>
        <w:t>汽轮机DEH、ETS系统信号及回路校验完成，可正常投用。</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https://d.book118.com/006223232125010051</w:t>
        </w:r>
      </w:hyperlink>
    </w:p>
    <w:p>
      <w:pPr>
        <w:spacing w:after="0" w:line="242" w:lineRule="auto"/>
      </w:pPr>
    </w:p>
    <w:sectPr>
      <w:footerReference w:type="default" r:id="rId37"/>
      <w:pgSz w:w="11910" w:h="16840"/>
      <w:pgMar w:top="1580" w:right="660" w:bottom="1340" w:left="1200" w:header="0" w:footer="1061"/>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6.5pt;height:11pt;margin-top:773.83pt;margin-left:521.72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2"/>
      </w:rPr>
    </w:pPr>
    <w:r>
      <w:pict>
        <v:shapetype id="_x0000_t202" coordsize="21600,21600" o:spt="202" path="m,l,21600r21600,l21600,xe">
          <v:stroke joinstyle="miter"/>
          <v:path gradientshapeok="t" o:connecttype="rect"/>
        </v:shapetype>
        <v:shape id="_x0000_s2050" type="#_x0000_t202" style="width:15.1pt;height:11pt;margin-top:773.83pt;margin-left:515.28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2"/>
      </w:rPr>
    </w:pPr>
    <w:r>
      <w:pict>
        <v:shapetype id="_x0000_t202" coordsize="21600,21600" o:spt="202" path="m,l,21600r21600,l21600,xe">
          <v:stroke joinstyle="miter"/>
          <v:path gradientshapeok="t" o:connecttype="rect"/>
        </v:shapetype>
        <v:shape id="_x0000_s2051" type="#_x0000_t202" style="width:15.1pt;height:11pt;margin-top:773.83pt;margin-left:515.28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2"/>
      </w:rPr>
    </w:pPr>
    <w:r>
      <w:pict>
        <v:shapetype id="_x0000_t202" coordsize="21600,21600" o:spt="202" path="m,l,21600r21600,l21600,xe">
          <v:stroke joinstyle="miter"/>
          <v:path gradientshapeok="t" o:connecttype="rect"/>
        </v:shapetype>
        <v:shape id="_x0000_s2052" type="#_x0000_t202" style="width:15.1pt;height:11pt;margin-top:773.83pt;margin-left:515.28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2"/>
      </w:rPr>
    </w:pPr>
    <w:r>
      <w:pict>
        <v:shapetype id="_x0000_t202" coordsize="21600,21600" o:spt="202" path="m,l,21600r21600,l21600,xe">
          <v:stroke joinstyle="miter"/>
          <v:path gradientshapeok="t" o:connecttype="rect"/>
        </v:shapetype>
        <v:shape id="_x0000_s2053" type="#_x0000_t202" style="width:15.1pt;height:11pt;margin-top:773.83pt;margin-left:515.28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2"/>
      </w:rPr>
    </w:pPr>
    <w:r>
      <w:pict>
        <v:shapetype id="_x0000_t202" coordsize="21600,21600" o:spt="202" path="m,l,21600r21600,l21600,xe">
          <v:stroke joinstyle="miter"/>
          <v:path gradientshapeok="t" o:connecttype="rect"/>
        </v:shapetype>
        <v:shape id="_x0000_s2054" type="#_x0000_t202" style="width:15.1pt;height:11pt;margin-top:773.83pt;margin-left:515.28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A61F"/>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1">
    <w:nsid w:val="03D91F0E"/>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2">
    <w:nsid w:val="0E9EE575"/>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3">
    <w:nsid w:val="11AB8439"/>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4">
    <w:nsid w:val="1232AACB"/>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5">
    <w:nsid w:val="1289CF04"/>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6">
    <w:nsid w:val="12A11823"/>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7">
    <w:nsid w:val="15A699C2"/>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8">
    <w:nsid w:val="17872275"/>
    <w:multiLevelType w:val="hybridMultilevel"/>
    <w:tmpl w:val="00000000"/>
    <w:lvl w:ilvl="0">
      <w:start w:val="1"/>
      <w:numFmt w:val="decimal"/>
      <w:lvlText w:val="%1)"/>
      <w:lvlJc w:val="left"/>
      <w:pPr>
        <w:ind w:left="138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94" w:hanging="442"/>
      </w:pPr>
      <w:rPr>
        <w:rFonts w:hint="default"/>
        <w:lang w:val="zh-CN" w:eastAsia="zh-CN" w:bidi="zh-CN"/>
      </w:rPr>
    </w:lvl>
    <w:lvl w:ilvl="2">
      <w:start w:val="0"/>
      <w:numFmt w:val="bullet"/>
      <w:lvlText w:val="•"/>
      <w:lvlJc w:val="left"/>
      <w:pPr>
        <w:ind w:left="2009" w:hanging="442"/>
      </w:pPr>
      <w:rPr>
        <w:rFonts w:hint="default"/>
        <w:lang w:val="zh-CN" w:eastAsia="zh-CN" w:bidi="zh-CN"/>
      </w:rPr>
    </w:lvl>
    <w:lvl w:ilvl="3">
      <w:start w:val="0"/>
      <w:numFmt w:val="bullet"/>
      <w:lvlText w:val="•"/>
      <w:lvlJc w:val="left"/>
      <w:pPr>
        <w:ind w:left="2323" w:hanging="442"/>
      </w:pPr>
      <w:rPr>
        <w:rFonts w:hint="default"/>
        <w:lang w:val="zh-CN" w:eastAsia="zh-CN" w:bidi="zh-CN"/>
      </w:rPr>
    </w:lvl>
    <w:lvl w:ilvl="4">
      <w:start w:val="0"/>
      <w:numFmt w:val="bullet"/>
      <w:lvlText w:val="•"/>
      <w:lvlJc w:val="left"/>
      <w:pPr>
        <w:ind w:left="2638" w:hanging="442"/>
      </w:pPr>
      <w:rPr>
        <w:rFonts w:hint="default"/>
        <w:lang w:val="zh-CN" w:eastAsia="zh-CN" w:bidi="zh-CN"/>
      </w:rPr>
    </w:lvl>
    <w:lvl w:ilvl="5">
      <w:start w:val="0"/>
      <w:numFmt w:val="bullet"/>
      <w:lvlText w:val="•"/>
      <w:lvlJc w:val="left"/>
      <w:pPr>
        <w:ind w:left="2952" w:hanging="442"/>
      </w:pPr>
      <w:rPr>
        <w:rFonts w:hint="default"/>
        <w:lang w:val="zh-CN" w:eastAsia="zh-CN" w:bidi="zh-CN"/>
      </w:rPr>
    </w:lvl>
    <w:lvl w:ilvl="6">
      <w:start w:val="0"/>
      <w:numFmt w:val="bullet"/>
      <w:lvlText w:val="•"/>
      <w:lvlJc w:val="left"/>
      <w:pPr>
        <w:ind w:left="3267" w:hanging="442"/>
      </w:pPr>
      <w:rPr>
        <w:rFonts w:hint="default"/>
        <w:lang w:val="zh-CN" w:eastAsia="zh-CN" w:bidi="zh-CN"/>
      </w:rPr>
    </w:lvl>
    <w:lvl w:ilvl="7">
      <w:start w:val="0"/>
      <w:numFmt w:val="bullet"/>
      <w:lvlText w:val="•"/>
      <w:lvlJc w:val="left"/>
      <w:pPr>
        <w:ind w:left="3581" w:hanging="442"/>
      </w:pPr>
      <w:rPr>
        <w:rFonts w:hint="default"/>
        <w:lang w:val="zh-CN" w:eastAsia="zh-CN" w:bidi="zh-CN"/>
      </w:rPr>
    </w:lvl>
    <w:lvl w:ilvl="8">
      <w:start w:val="0"/>
      <w:numFmt w:val="bullet"/>
      <w:lvlText w:val="•"/>
      <w:lvlJc w:val="left"/>
      <w:pPr>
        <w:ind w:left="3896" w:hanging="442"/>
      </w:pPr>
      <w:rPr>
        <w:rFonts w:hint="default"/>
        <w:lang w:val="zh-CN" w:eastAsia="zh-CN" w:bidi="zh-CN"/>
      </w:rPr>
    </w:lvl>
  </w:abstractNum>
  <w:abstractNum w:abstractNumId="9">
    <w:nsid w:val="1D686DAC"/>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10">
    <w:nsid w:val="20EA39B3"/>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11">
    <w:nsid w:val="2379F0F4"/>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12">
    <w:nsid w:val="2476BE97"/>
    <w:multiLevelType w:val="hybridMultilevel"/>
    <w:tmpl w:val="00000000"/>
    <w:lvl w:ilvl="0">
      <w:start w:val="1"/>
      <w:numFmt w:val="lowerLetter"/>
      <w:lvlText w:val="%1)"/>
      <w:lvlJc w:val="left"/>
      <w:pPr>
        <w:ind w:left="1068" w:hanging="425"/>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49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449" w:hanging="425"/>
      </w:pPr>
      <w:rPr>
        <w:rFonts w:hint="default"/>
        <w:lang w:val="zh-CN" w:eastAsia="zh-CN" w:bidi="zh-CN"/>
      </w:rPr>
    </w:lvl>
    <w:lvl w:ilvl="3">
      <w:start w:val="0"/>
      <w:numFmt w:val="bullet"/>
      <w:lvlText w:val="•"/>
      <w:lvlJc w:val="left"/>
      <w:pPr>
        <w:ind w:left="3399" w:hanging="425"/>
      </w:pPr>
      <w:rPr>
        <w:rFonts w:hint="default"/>
        <w:lang w:val="zh-CN" w:eastAsia="zh-CN" w:bidi="zh-CN"/>
      </w:rPr>
    </w:lvl>
    <w:lvl w:ilvl="4">
      <w:start w:val="0"/>
      <w:numFmt w:val="bullet"/>
      <w:lvlText w:val="•"/>
      <w:lvlJc w:val="left"/>
      <w:pPr>
        <w:ind w:left="4348" w:hanging="425"/>
      </w:pPr>
      <w:rPr>
        <w:rFonts w:hint="default"/>
        <w:lang w:val="zh-CN" w:eastAsia="zh-CN" w:bidi="zh-CN"/>
      </w:rPr>
    </w:lvl>
    <w:lvl w:ilvl="5">
      <w:start w:val="0"/>
      <w:numFmt w:val="bullet"/>
      <w:lvlText w:val="•"/>
      <w:lvlJc w:val="left"/>
      <w:pPr>
        <w:ind w:left="5298" w:hanging="425"/>
      </w:pPr>
      <w:rPr>
        <w:rFonts w:hint="default"/>
        <w:lang w:val="zh-CN" w:eastAsia="zh-CN" w:bidi="zh-CN"/>
      </w:rPr>
    </w:lvl>
    <w:lvl w:ilvl="6">
      <w:start w:val="0"/>
      <w:numFmt w:val="bullet"/>
      <w:lvlText w:val="•"/>
      <w:lvlJc w:val="left"/>
      <w:pPr>
        <w:ind w:left="6247" w:hanging="425"/>
      </w:pPr>
      <w:rPr>
        <w:rFonts w:hint="default"/>
        <w:lang w:val="zh-CN" w:eastAsia="zh-CN" w:bidi="zh-CN"/>
      </w:rPr>
    </w:lvl>
    <w:lvl w:ilvl="7">
      <w:start w:val="0"/>
      <w:numFmt w:val="bullet"/>
      <w:lvlText w:val="•"/>
      <w:lvlJc w:val="left"/>
      <w:pPr>
        <w:ind w:left="7197" w:hanging="425"/>
      </w:pPr>
      <w:rPr>
        <w:rFonts w:hint="default"/>
        <w:lang w:val="zh-CN" w:eastAsia="zh-CN" w:bidi="zh-CN"/>
      </w:rPr>
    </w:lvl>
    <w:lvl w:ilvl="8">
      <w:start w:val="0"/>
      <w:numFmt w:val="bullet"/>
      <w:lvlText w:val="•"/>
      <w:lvlJc w:val="left"/>
      <w:pPr>
        <w:ind w:left="8146" w:hanging="425"/>
      </w:pPr>
      <w:rPr>
        <w:rFonts w:hint="default"/>
        <w:lang w:val="zh-CN" w:eastAsia="zh-CN" w:bidi="zh-CN"/>
      </w:rPr>
    </w:lvl>
  </w:abstractNum>
  <w:abstractNum w:abstractNumId="13">
    <w:nsid w:val="26C06F92"/>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16" w:hanging="442"/>
      </w:pPr>
      <w:rPr>
        <w:rFonts w:hint="default"/>
        <w:lang w:val="zh-CN" w:eastAsia="zh-CN" w:bidi="zh-CN"/>
      </w:rPr>
    </w:lvl>
    <w:lvl w:ilvl="2">
      <w:start w:val="0"/>
      <w:numFmt w:val="bullet"/>
      <w:lvlText w:val="•"/>
      <w:lvlJc w:val="left"/>
      <w:pPr>
        <w:ind w:left="1673" w:hanging="442"/>
      </w:pPr>
      <w:rPr>
        <w:rFonts w:hint="default"/>
        <w:lang w:val="zh-CN" w:eastAsia="zh-CN" w:bidi="zh-CN"/>
      </w:rPr>
    </w:lvl>
    <w:lvl w:ilvl="3">
      <w:start w:val="0"/>
      <w:numFmt w:val="bullet"/>
      <w:lvlText w:val="•"/>
      <w:lvlJc w:val="left"/>
      <w:pPr>
        <w:ind w:left="2029" w:hanging="442"/>
      </w:pPr>
      <w:rPr>
        <w:rFonts w:hint="default"/>
        <w:lang w:val="zh-CN" w:eastAsia="zh-CN" w:bidi="zh-CN"/>
      </w:rPr>
    </w:lvl>
    <w:lvl w:ilvl="4">
      <w:start w:val="0"/>
      <w:numFmt w:val="bullet"/>
      <w:lvlText w:val="•"/>
      <w:lvlJc w:val="left"/>
      <w:pPr>
        <w:ind w:left="2386" w:hanging="442"/>
      </w:pPr>
      <w:rPr>
        <w:rFonts w:hint="default"/>
        <w:lang w:val="zh-CN" w:eastAsia="zh-CN" w:bidi="zh-CN"/>
      </w:rPr>
    </w:lvl>
    <w:lvl w:ilvl="5">
      <w:start w:val="0"/>
      <w:numFmt w:val="bullet"/>
      <w:lvlText w:val="•"/>
      <w:lvlJc w:val="left"/>
      <w:pPr>
        <w:ind w:left="2742" w:hanging="442"/>
      </w:pPr>
      <w:rPr>
        <w:rFonts w:hint="default"/>
        <w:lang w:val="zh-CN" w:eastAsia="zh-CN" w:bidi="zh-CN"/>
      </w:rPr>
    </w:lvl>
    <w:lvl w:ilvl="6">
      <w:start w:val="0"/>
      <w:numFmt w:val="bullet"/>
      <w:lvlText w:val="•"/>
      <w:lvlJc w:val="left"/>
      <w:pPr>
        <w:ind w:left="3099" w:hanging="442"/>
      </w:pPr>
      <w:rPr>
        <w:rFonts w:hint="default"/>
        <w:lang w:val="zh-CN" w:eastAsia="zh-CN" w:bidi="zh-CN"/>
      </w:rPr>
    </w:lvl>
    <w:lvl w:ilvl="7">
      <w:start w:val="0"/>
      <w:numFmt w:val="bullet"/>
      <w:lvlText w:val="•"/>
      <w:lvlJc w:val="left"/>
      <w:pPr>
        <w:ind w:left="3455" w:hanging="442"/>
      </w:pPr>
      <w:rPr>
        <w:rFonts w:hint="default"/>
        <w:lang w:val="zh-CN" w:eastAsia="zh-CN" w:bidi="zh-CN"/>
      </w:rPr>
    </w:lvl>
    <w:lvl w:ilvl="8">
      <w:start w:val="0"/>
      <w:numFmt w:val="bullet"/>
      <w:lvlText w:val="•"/>
      <w:lvlJc w:val="left"/>
      <w:pPr>
        <w:ind w:left="3812" w:hanging="442"/>
      </w:pPr>
      <w:rPr>
        <w:rFonts w:hint="default"/>
        <w:lang w:val="zh-CN" w:eastAsia="zh-CN" w:bidi="zh-CN"/>
      </w:rPr>
    </w:lvl>
  </w:abstractNum>
  <w:abstractNum w:abstractNumId="14">
    <w:nsid w:val="27975EB0"/>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15">
    <w:nsid w:val="29DB227B"/>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16">
    <w:nsid w:val="2A8E424F"/>
    <w:multiLevelType w:val="hybridMultilevel"/>
    <w:tmpl w:val="00000000"/>
    <w:lvl w:ilvl="0">
      <w:start w:val="1"/>
      <w:numFmt w:val="decimal"/>
      <w:lvlText w:val="%1)"/>
      <w:lvlJc w:val="left"/>
      <w:pPr>
        <w:ind w:left="1367" w:hanging="42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76" w:hanging="420"/>
      </w:pPr>
      <w:rPr>
        <w:rFonts w:hint="default"/>
        <w:lang w:val="zh-CN" w:eastAsia="zh-CN" w:bidi="zh-CN"/>
      </w:rPr>
    </w:lvl>
    <w:lvl w:ilvl="2">
      <w:start w:val="0"/>
      <w:numFmt w:val="bullet"/>
      <w:lvlText w:val="•"/>
      <w:lvlJc w:val="left"/>
      <w:pPr>
        <w:ind w:left="1993" w:hanging="420"/>
      </w:pPr>
      <w:rPr>
        <w:rFonts w:hint="default"/>
        <w:lang w:val="zh-CN" w:eastAsia="zh-CN" w:bidi="zh-CN"/>
      </w:rPr>
    </w:lvl>
    <w:lvl w:ilvl="3">
      <w:start w:val="0"/>
      <w:numFmt w:val="bullet"/>
      <w:lvlText w:val="•"/>
      <w:lvlJc w:val="left"/>
      <w:pPr>
        <w:ind w:left="2309" w:hanging="420"/>
      </w:pPr>
      <w:rPr>
        <w:rFonts w:hint="default"/>
        <w:lang w:val="zh-CN" w:eastAsia="zh-CN" w:bidi="zh-CN"/>
      </w:rPr>
    </w:lvl>
    <w:lvl w:ilvl="4">
      <w:start w:val="0"/>
      <w:numFmt w:val="bullet"/>
      <w:lvlText w:val="•"/>
      <w:lvlJc w:val="left"/>
      <w:pPr>
        <w:ind w:left="2626" w:hanging="420"/>
      </w:pPr>
      <w:rPr>
        <w:rFonts w:hint="default"/>
        <w:lang w:val="zh-CN" w:eastAsia="zh-CN" w:bidi="zh-CN"/>
      </w:rPr>
    </w:lvl>
    <w:lvl w:ilvl="5">
      <w:start w:val="0"/>
      <w:numFmt w:val="bullet"/>
      <w:lvlText w:val="•"/>
      <w:lvlJc w:val="left"/>
      <w:pPr>
        <w:ind w:left="2942" w:hanging="420"/>
      </w:pPr>
      <w:rPr>
        <w:rFonts w:hint="default"/>
        <w:lang w:val="zh-CN" w:eastAsia="zh-CN" w:bidi="zh-CN"/>
      </w:rPr>
    </w:lvl>
    <w:lvl w:ilvl="6">
      <w:start w:val="0"/>
      <w:numFmt w:val="bullet"/>
      <w:lvlText w:val="•"/>
      <w:lvlJc w:val="left"/>
      <w:pPr>
        <w:ind w:left="3259" w:hanging="420"/>
      </w:pPr>
      <w:rPr>
        <w:rFonts w:hint="default"/>
        <w:lang w:val="zh-CN" w:eastAsia="zh-CN" w:bidi="zh-CN"/>
      </w:rPr>
    </w:lvl>
    <w:lvl w:ilvl="7">
      <w:start w:val="0"/>
      <w:numFmt w:val="bullet"/>
      <w:lvlText w:val="•"/>
      <w:lvlJc w:val="left"/>
      <w:pPr>
        <w:ind w:left="3575" w:hanging="420"/>
      </w:pPr>
      <w:rPr>
        <w:rFonts w:hint="default"/>
        <w:lang w:val="zh-CN" w:eastAsia="zh-CN" w:bidi="zh-CN"/>
      </w:rPr>
    </w:lvl>
    <w:lvl w:ilvl="8">
      <w:start w:val="0"/>
      <w:numFmt w:val="bullet"/>
      <w:lvlText w:val="•"/>
      <w:lvlJc w:val="left"/>
      <w:pPr>
        <w:ind w:left="3892" w:hanging="420"/>
      </w:pPr>
      <w:rPr>
        <w:rFonts w:hint="default"/>
        <w:lang w:val="zh-CN" w:eastAsia="zh-CN" w:bidi="zh-CN"/>
      </w:rPr>
    </w:lvl>
  </w:abstractNum>
  <w:abstractNum w:abstractNumId="17">
    <w:nsid w:val="2B7D9F22"/>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18">
    <w:nsid w:val="2EE992AD"/>
    <w:multiLevelType w:val="hybridMultilevel"/>
    <w:tmpl w:val="00000000"/>
    <w:lvl w:ilvl="0">
      <w:start w:val="1"/>
      <w:numFmt w:val="decimal"/>
      <w:lvlText w:val="%1"/>
      <w:lvlJc w:val="left"/>
      <w:pPr>
        <w:ind w:left="532" w:hanging="315"/>
        <w:jc w:val="left"/>
      </w:pPr>
      <w:rPr>
        <w:rFonts w:ascii="宋体" w:eastAsia="宋体" w:hAnsi="宋体" w:cs="宋体" w:hint="default"/>
        <w:w w:val="99"/>
        <w:sz w:val="21"/>
        <w:szCs w:val="21"/>
        <w:lang w:val="zh-CN" w:eastAsia="zh-CN" w:bidi="zh-CN"/>
      </w:rPr>
    </w:lvl>
    <w:lvl w:ilvl="1">
      <w:start w:val="0"/>
      <w:numFmt w:val="bullet"/>
      <w:lvlText w:val="•"/>
      <w:lvlJc w:val="left"/>
      <w:pPr>
        <w:ind w:left="1490" w:hanging="315"/>
      </w:pPr>
      <w:rPr>
        <w:rFonts w:hint="default"/>
        <w:lang w:val="zh-CN" w:eastAsia="zh-CN" w:bidi="zh-CN"/>
      </w:rPr>
    </w:lvl>
    <w:lvl w:ilvl="2">
      <w:start w:val="0"/>
      <w:numFmt w:val="bullet"/>
      <w:lvlText w:val="•"/>
      <w:lvlJc w:val="left"/>
      <w:pPr>
        <w:ind w:left="2441" w:hanging="315"/>
      </w:pPr>
      <w:rPr>
        <w:rFonts w:hint="default"/>
        <w:lang w:val="zh-CN" w:eastAsia="zh-CN" w:bidi="zh-CN"/>
      </w:rPr>
    </w:lvl>
    <w:lvl w:ilvl="3">
      <w:start w:val="0"/>
      <w:numFmt w:val="bullet"/>
      <w:lvlText w:val="•"/>
      <w:lvlJc w:val="left"/>
      <w:pPr>
        <w:ind w:left="3391" w:hanging="315"/>
      </w:pPr>
      <w:rPr>
        <w:rFonts w:hint="default"/>
        <w:lang w:val="zh-CN" w:eastAsia="zh-CN" w:bidi="zh-CN"/>
      </w:rPr>
    </w:lvl>
    <w:lvl w:ilvl="4">
      <w:start w:val="0"/>
      <w:numFmt w:val="bullet"/>
      <w:lvlText w:val="•"/>
      <w:lvlJc w:val="left"/>
      <w:pPr>
        <w:ind w:left="4342" w:hanging="315"/>
      </w:pPr>
      <w:rPr>
        <w:rFonts w:hint="default"/>
        <w:lang w:val="zh-CN" w:eastAsia="zh-CN" w:bidi="zh-CN"/>
      </w:rPr>
    </w:lvl>
    <w:lvl w:ilvl="5">
      <w:start w:val="0"/>
      <w:numFmt w:val="bullet"/>
      <w:lvlText w:val="•"/>
      <w:lvlJc w:val="left"/>
      <w:pPr>
        <w:ind w:left="5293" w:hanging="315"/>
      </w:pPr>
      <w:rPr>
        <w:rFonts w:hint="default"/>
        <w:lang w:val="zh-CN" w:eastAsia="zh-CN" w:bidi="zh-CN"/>
      </w:rPr>
    </w:lvl>
    <w:lvl w:ilvl="6">
      <w:start w:val="0"/>
      <w:numFmt w:val="bullet"/>
      <w:lvlText w:val="•"/>
      <w:lvlJc w:val="left"/>
      <w:pPr>
        <w:ind w:left="6243" w:hanging="315"/>
      </w:pPr>
      <w:rPr>
        <w:rFonts w:hint="default"/>
        <w:lang w:val="zh-CN" w:eastAsia="zh-CN" w:bidi="zh-CN"/>
      </w:rPr>
    </w:lvl>
    <w:lvl w:ilvl="7">
      <w:start w:val="0"/>
      <w:numFmt w:val="bullet"/>
      <w:lvlText w:val="•"/>
      <w:lvlJc w:val="left"/>
      <w:pPr>
        <w:ind w:left="7194" w:hanging="315"/>
      </w:pPr>
      <w:rPr>
        <w:rFonts w:hint="default"/>
        <w:lang w:val="zh-CN" w:eastAsia="zh-CN" w:bidi="zh-CN"/>
      </w:rPr>
    </w:lvl>
    <w:lvl w:ilvl="8">
      <w:start w:val="0"/>
      <w:numFmt w:val="bullet"/>
      <w:lvlText w:val="•"/>
      <w:lvlJc w:val="left"/>
      <w:pPr>
        <w:ind w:left="8144" w:hanging="315"/>
      </w:pPr>
      <w:rPr>
        <w:rFonts w:hint="default"/>
        <w:lang w:val="zh-CN" w:eastAsia="zh-CN" w:bidi="zh-CN"/>
      </w:rPr>
    </w:lvl>
  </w:abstractNum>
  <w:abstractNum w:abstractNumId="19">
    <w:nsid w:val="2F9F9580"/>
    <w:multiLevelType w:val="hybridMultilevel"/>
    <w:tmpl w:val="00000000"/>
    <w:lvl w:ilvl="0">
      <w:start w:val="1"/>
      <w:numFmt w:val="decimal"/>
      <w:lvlText w:val="%1)"/>
      <w:lvlJc w:val="left"/>
      <w:pPr>
        <w:ind w:left="1541" w:hanging="442"/>
        <w:jc w:val="right"/>
      </w:pPr>
      <w:rPr>
        <w:rFonts w:ascii="宋体" w:eastAsia="宋体" w:hAnsi="宋体" w:cs="宋体" w:hint="default"/>
        <w:spacing w:val="0"/>
        <w:w w:val="99"/>
        <w:sz w:val="21"/>
        <w:szCs w:val="21"/>
        <w:lang w:val="zh-CN" w:eastAsia="zh-CN" w:bidi="zh-CN"/>
      </w:rPr>
    </w:lvl>
    <w:lvl w:ilvl="1">
      <w:start w:val="0"/>
      <w:numFmt w:val="bullet"/>
      <w:lvlText w:val="•"/>
      <w:lvlJc w:val="left"/>
      <w:pPr>
        <w:ind w:left="1838" w:hanging="442"/>
      </w:pPr>
      <w:rPr>
        <w:rFonts w:hint="default"/>
        <w:lang w:val="zh-CN" w:eastAsia="zh-CN" w:bidi="zh-CN"/>
      </w:rPr>
    </w:lvl>
    <w:lvl w:ilvl="2">
      <w:start w:val="0"/>
      <w:numFmt w:val="bullet"/>
      <w:lvlText w:val="•"/>
      <w:lvlJc w:val="left"/>
      <w:pPr>
        <w:ind w:left="2137" w:hanging="442"/>
      </w:pPr>
      <w:rPr>
        <w:rFonts w:hint="default"/>
        <w:lang w:val="zh-CN" w:eastAsia="zh-CN" w:bidi="zh-CN"/>
      </w:rPr>
    </w:lvl>
    <w:lvl w:ilvl="3">
      <w:start w:val="0"/>
      <w:numFmt w:val="bullet"/>
      <w:lvlText w:val="•"/>
      <w:lvlJc w:val="left"/>
      <w:pPr>
        <w:ind w:left="2435" w:hanging="442"/>
      </w:pPr>
      <w:rPr>
        <w:rFonts w:hint="default"/>
        <w:lang w:val="zh-CN" w:eastAsia="zh-CN" w:bidi="zh-CN"/>
      </w:rPr>
    </w:lvl>
    <w:lvl w:ilvl="4">
      <w:start w:val="0"/>
      <w:numFmt w:val="bullet"/>
      <w:lvlText w:val="•"/>
      <w:lvlJc w:val="left"/>
      <w:pPr>
        <w:ind w:left="2734" w:hanging="442"/>
      </w:pPr>
      <w:rPr>
        <w:rFonts w:hint="default"/>
        <w:lang w:val="zh-CN" w:eastAsia="zh-CN" w:bidi="zh-CN"/>
      </w:rPr>
    </w:lvl>
    <w:lvl w:ilvl="5">
      <w:start w:val="0"/>
      <w:numFmt w:val="bullet"/>
      <w:lvlText w:val="•"/>
      <w:lvlJc w:val="left"/>
      <w:pPr>
        <w:ind w:left="3032" w:hanging="442"/>
      </w:pPr>
      <w:rPr>
        <w:rFonts w:hint="default"/>
        <w:lang w:val="zh-CN" w:eastAsia="zh-CN" w:bidi="zh-CN"/>
      </w:rPr>
    </w:lvl>
    <w:lvl w:ilvl="6">
      <w:start w:val="0"/>
      <w:numFmt w:val="bullet"/>
      <w:lvlText w:val="•"/>
      <w:lvlJc w:val="left"/>
      <w:pPr>
        <w:ind w:left="3331" w:hanging="442"/>
      </w:pPr>
      <w:rPr>
        <w:rFonts w:hint="default"/>
        <w:lang w:val="zh-CN" w:eastAsia="zh-CN" w:bidi="zh-CN"/>
      </w:rPr>
    </w:lvl>
    <w:lvl w:ilvl="7">
      <w:start w:val="0"/>
      <w:numFmt w:val="bullet"/>
      <w:lvlText w:val="•"/>
      <w:lvlJc w:val="left"/>
      <w:pPr>
        <w:ind w:left="3629" w:hanging="442"/>
      </w:pPr>
      <w:rPr>
        <w:rFonts w:hint="default"/>
        <w:lang w:val="zh-CN" w:eastAsia="zh-CN" w:bidi="zh-CN"/>
      </w:rPr>
    </w:lvl>
    <w:lvl w:ilvl="8">
      <w:start w:val="0"/>
      <w:numFmt w:val="bullet"/>
      <w:lvlText w:val="•"/>
      <w:lvlJc w:val="left"/>
      <w:pPr>
        <w:ind w:left="3928" w:hanging="442"/>
      </w:pPr>
      <w:rPr>
        <w:rFonts w:hint="default"/>
        <w:lang w:val="zh-CN" w:eastAsia="zh-CN" w:bidi="zh-CN"/>
      </w:rPr>
    </w:lvl>
  </w:abstractNum>
  <w:abstractNum w:abstractNumId="20">
    <w:nsid w:val="30D0BAAE"/>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21">
    <w:nsid w:val="32C133E9"/>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22">
    <w:nsid w:val="362E43A4"/>
    <w:multiLevelType w:val="hybridMultilevel"/>
    <w:tmpl w:val="00000000"/>
    <w:lvl w:ilvl="0">
      <w:start w:val="1"/>
      <w:numFmt w:val="decimal"/>
      <w:lvlText w:val="%1"/>
      <w:lvlJc w:val="left"/>
      <w:pPr>
        <w:ind w:left="532" w:hanging="315"/>
        <w:jc w:val="left"/>
      </w:pPr>
      <w:rPr>
        <w:rFonts w:ascii="宋体" w:eastAsia="宋体" w:hAnsi="宋体" w:cs="宋体" w:hint="default"/>
        <w:w w:val="99"/>
        <w:sz w:val="21"/>
        <w:szCs w:val="21"/>
        <w:lang w:val="zh-CN" w:eastAsia="zh-CN" w:bidi="zh-CN"/>
      </w:rPr>
    </w:lvl>
    <w:lvl w:ilvl="1">
      <w:start w:val="0"/>
      <w:numFmt w:val="bullet"/>
      <w:lvlText w:val="•"/>
      <w:lvlJc w:val="left"/>
      <w:pPr>
        <w:ind w:left="1490" w:hanging="315"/>
      </w:pPr>
      <w:rPr>
        <w:rFonts w:hint="default"/>
        <w:lang w:val="zh-CN" w:eastAsia="zh-CN" w:bidi="zh-CN"/>
      </w:rPr>
    </w:lvl>
    <w:lvl w:ilvl="2">
      <w:start w:val="0"/>
      <w:numFmt w:val="bullet"/>
      <w:lvlText w:val="•"/>
      <w:lvlJc w:val="left"/>
      <w:pPr>
        <w:ind w:left="2441" w:hanging="315"/>
      </w:pPr>
      <w:rPr>
        <w:rFonts w:hint="default"/>
        <w:lang w:val="zh-CN" w:eastAsia="zh-CN" w:bidi="zh-CN"/>
      </w:rPr>
    </w:lvl>
    <w:lvl w:ilvl="3">
      <w:start w:val="0"/>
      <w:numFmt w:val="bullet"/>
      <w:lvlText w:val="•"/>
      <w:lvlJc w:val="left"/>
      <w:pPr>
        <w:ind w:left="3391" w:hanging="315"/>
      </w:pPr>
      <w:rPr>
        <w:rFonts w:hint="default"/>
        <w:lang w:val="zh-CN" w:eastAsia="zh-CN" w:bidi="zh-CN"/>
      </w:rPr>
    </w:lvl>
    <w:lvl w:ilvl="4">
      <w:start w:val="0"/>
      <w:numFmt w:val="bullet"/>
      <w:lvlText w:val="•"/>
      <w:lvlJc w:val="left"/>
      <w:pPr>
        <w:ind w:left="4342" w:hanging="315"/>
      </w:pPr>
      <w:rPr>
        <w:rFonts w:hint="default"/>
        <w:lang w:val="zh-CN" w:eastAsia="zh-CN" w:bidi="zh-CN"/>
      </w:rPr>
    </w:lvl>
    <w:lvl w:ilvl="5">
      <w:start w:val="0"/>
      <w:numFmt w:val="bullet"/>
      <w:lvlText w:val="•"/>
      <w:lvlJc w:val="left"/>
      <w:pPr>
        <w:ind w:left="5293" w:hanging="315"/>
      </w:pPr>
      <w:rPr>
        <w:rFonts w:hint="default"/>
        <w:lang w:val="zh-CN" w:eastAsia="zh-CN" w:bidi="zh-CN"/>
      </w:rPr>
    </w:lvl>
    <w:lvl w:ilvl="6">
      <w:start w:val="0"/>
      <w:numFmt w:val="bullet"/>
      <w:lvlText w:val="•"/>
      <w:lvlJc w:val="left"/>
      <w:pPr>
        <w:ind w:left="6243" w:hanging="315"/>
      </w:pPr>
      <w:rPr>
        <w:rFonts w:hint="default"/>
        <w:lang w:val="zh-CN" w:eastAsia="zh-CN" w:bidi="zh-CN"/>
      </w:rPr>
    </w:lvl>
    <w:lvl w:ilvl="7">
      <w:start w:val="0"/>
      <w:numFmt w:val="bullet"/>
      <w:lvlText w:val="•"/>
      <w:lvlJc w:val="left"/>
      <w:pPr>
        <w:ind w:left="7194" w:hanging="315"/>
      </w:pPr>
      <w:rPr>
        <w:rFonts w:hint="default"/>
        <w:lang w:val="zh-CN" w:eastAsia="zh-CN" w:bidi="zh-CN"/>
      </w:rPr>
    </w:lvl>
    <w:lvl w:ilvl="8">
      <w:start w:val="0"/>
      <w:numFmt w:val="bullet"/>
      <w:lvlText w:val="•"/>
      <w:lvlJc w:val="left"/>
      <w:pPr>
        <w:ind w:left="8144" w:hanging="315"/>
      </w:pPr>
      <w:rPr>
        <w:rFonts w:hint="default"/>
        <w:lang w:val="zh-CN" w:eastAsia="zh-CN" w:bidi="zh-CN"/>
      </w:rPr>
    </w:lvl>
  </w:abstractNum>
  <w:abstractNum w:abstractNumId="23">
    <w:nsid w:val="36D6C462"/>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24">
    <w:nsid w:val="38FD7ADF"/>
    <w:multiLevelType w:val="hybridMultilevel"/>
    <w:tmpl w:val="00000000"/>
    <w:lvl w:ilvl="0">
      <w:start w:val="1"/>
      <w:numFmt w:val="decimal"/>
      <w:lvlText w:val="%1)"/>
      <w:lvlJc w:val="left"/>
      <w:pPr>
        <w:ind w:left="138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94" w:hanging="442"/>
      </w:pPr>
      <w:rPr>
        <w:rFonts w:hint="default"/>
        <w:lang w:val="zh-CN" w:eastAsia="zh-CN" w:bidi="zh-CN"/>
      </w:rPr>
    </w:lvl>
    <w:lvl w:ilvl="2">
      <w:start w:val="0"/>
      <w:numFmt w:val="bullet"/>
      <w:lvlText w:val="•"/>
      <w:lvlJc w:val="left"/>
      <w:pPr>
        <w:ind w:left="2009" w:hanging="442"/>
      </w:pPr>
      <w:rPr>
        <w:rFonts w:hint="default"/>
        <w:lang w:val="zh-CN" w:eastAsia="zh-CN" w:bidi="zh-CN"/>
      </w:rPr>
    </w:lvl>
    <w:lvl w:ilvl="3">
      <w:start w:val="0"/>
      <w:numFmt w:val="bullet"/>
      <w:lvlText w:val="•"/>
      <w:lvlJc w:val="left"/>
      <w:pPr>
        <w:ind w:left="2323" w:hanging="442"/>
      </w:pPr>
      <w:rPr>
        <w:rFonts w:hint="default"/>
        <w:lang w:val="zh-CN" w:eastAsia="zh-CN" w:bidi="zh-CN"/>
      </w:rPr>
    </w:lvl>
    <w:lvl w:ilvl="4">
      <w:start w:val="0"/>
      <w:numFmt w:val="bullet"/>
      <w:lvlText w:val="•"/>
      <w:lvlJc w:val="left"/>
      <w:pPr>
        <w:ind w:left="2638" w:hanging="442"/>
      </w:pPr>
      <w:rPr>
        <w:rFonts w:hint="default"/>
        <w:lang w:val="zh-CN" w:eastAsia="zh-CN" w:bidi="zh-CN"/>
      </w:rPr>
    </w:lvl>
    <w:lvl w:ilvl="5">
      <w:start w:val="0"/>
      <w:numFmt w:val="bullet"/>
      <w:lvlText w:val="•"/>
      <w:lvlJc w:val="left"/>
      <w:pPr>
        <w:ind w:left="2952" w:hanging="442"/>
      </w:pPr>
      <w:rPr>
        <w:rFonts w:hint="default"/>
        <w:lang w:val="zh-CN" w:eastAsia="zh-CN" w:bidi="zh-CN"/>
      </w:rPr>
    </w:lvl>
    <w:lvl w:ilvl="6">
      <w:start w:val="0"/>
      <w:numFmt w:val="bullet"/>
      <w:lvlText w:val="•"/>
      <w:lvlJc w:val="left"/>
      <w:pPr>
        <w:ind w:left="3267" w:hanging="442"/>
      </w:pPr>
      <w:rPr>
        <w:rFonts w:hint="default"/>
        <w:lang w:val="zh-CN" w:eastAsia="zh-CN" w:bidi="zh-CN"/>
      </w:rPr>
    </w:lvl>
    <w:lvl w:ilvl="7">
      <w:start w:val="0"/>
      <w:numFmt w:val="bullet"/>
      <w:lvlText w:val="•"/>
      <w:lvlJc w:val="left"/>
      <w:pPr>
        <w:ind w:left="3581" w:hanging="442"/>
      </w:pPr>
      <w:rPr>
        <w:rFonts w:hint="default"/>
        <w:lang w:val="zh-CN" w:eastAsia="zh-CN" w:bidi="zh-CN"/>
      </w:rPr>
    </w:lvl>
    <w:lvl w:ilvl="8">
      <w:start w:val="0"/>
      <w:numFmt w:val="bullet"/>
      <w:lvlText w:val="•"/>
      <w:lvlJc w:val="left"/>
      <w:pPr>
        <w:ind w:left="3896" w:hanging="442"/>
      </w:pPr>
      <w:rPr>
        <w:rFonts w:hint="default"/>
        <w:lang w:val="zh-CN" w:eastAsia="zh-CN" w:bidi="zh-CN"/>
      </w:rPr>
    </w:lvl>
  </w:abstractNum>
  <w:abstractNum w:abstractNumId="25">
    <w:nsid w:val="3B660050"/>
    <w:multiLevelType w:val="hybridMultilevel"/>
    <w:tmpl w:val="00000000"/>
    <w:lvl w:ilvl="0">
      <w:start w:val="1"/>
      <w:numFmt w:val="decimal"/>
      <w:lvlText w:val="%1)"/>
      <w:lvlJc w:val="left"/>
      <w:pPr>
        <w:ind w:left="138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94" w:hanging="442"/>
      </w:pPr>
      <w:rPr>
        <w:rFonts w:hint="default"/>
        <w:lang w:val="zh-CN" w:eastAsia="zh-CN" w:bidi="zh-CN"/>
      </w:rPr>
    </w:lvl>
    <w:lvl w:ilvl="2">
      <w:start w:val="0"/>
      <w:numFmt w:val="bullet"/>
      <w:lvlText w:val="•"/>
      <w:lvlJc w:val="left"/>
      <w:pPr>
        <w:ind w:left="2009" w:hanging="442"/>
      </w:pPr>
      <w:rPr>
        <w:rFonts w:hint="default"/>
        <w:lang w:val="zh-CN" w:eastAsia="zh-CN" w:bidi="zh-CN"/>
      </w:rPr>
    </w:lvl>
    <w:lvl w:ilvl="3">
      <w:start w:val="0"/>
      <w:numFmt w:val="bullet"/>
      <w:lvlText w:val="•"/>
      <w:lvlJc w:val="left"/>
      <w:pPr>
        <w:ind w:left="2323" w:hanging="442"/>
      </w:pPr>
      <w:rPr>
        <w:rFonts w:hint="default"/>
        <w:lang w:val="zh-CN" w:eastAsia="zh-CN" w:bidi="zh-CN"/>
      </w:rPr>
    </w:lvl>
    <w:lvl w:ilvl="4">
      <w:start w:val="0"/>
      <w:numFmt w:val="bullet"/>
      <w:lvlText w:val="•"/>
      <w:lvlJc w:val="left"/>
      <w:pPr>
        <w:ind w:left="2638" w:hanging="442"/>
      </w:pPr>
      <w:rPr>
        <w:rFonts w:hint="default"/>
        <w:lang w:val="zh-CN" w:eastAsia="zh-CN" w:bidi="zh-CN"/>
      </w:rPr>
    </w:lvl>
    <w:lvl w:ilvl="5">
      <w:start w:val="0"/>
      <w:numFmt w:val="bullet"/>
      <w:lvlText w:val="•"/>
      <w:lvlJc w:val="left"/>
      <w:pPr>
        <w:ind w:left="2952" w:hanging="442"/>
      </w:pPr>
      <w:rPr>
        <w:rFonts w:hint="default"/>
        <w:lang w:val="zh-CN" w:eastAsia="zh-CN" w:bidi="zh-CN"/>
      </w:rPr>
    </w:lvl>
    <w:lvl w:ilvl="6">
      <w:start w:val="0"/>
      <w:numFmt w:val="bullet"/>
      <w:lvlText w:val="•"/>
      <w:lvlJc w:val="left"/>
      <w:pPr>
        <w:ind w:left="3267" w:hanging="442"/>
      </w:pPr>
      <w:rPr>
        <w:rFonts w:hint="default"/>
        <w:lang w:val="zh-CN" w:eastAsia="zh-CN" w:bidi="zh-CN"/>
      </w:rPr>
    </w:lvl>
    <w:lvl w:ilvl="7">
      <w:start w:val="0"/>
      <w:numFmt w:val="bullet"/>
      <w:lvlText w:val="•"/>
      <w:lvlJc w:val="left"/>
      <w:pPr>
        <w:ind w:left="3581" w:hanging="442"/>
      </w:pPr>
      <w:rPr>
        <w:rFonts w:hint="default"/>
        <w:lang w:val="zh-CN" w:eastAsia="zh-CN" w:bidi="zh-CN"/>
      </w:rPr>
    </w:lvl>
    <w:lvl w:ilvl="8">
      <w:start w:val="0"/>
      <w:numFmt w:val="bullet"/>
      <w:lvlText w:val="•"/>
      <w:lvlJc w:val="left"/>
      <w:pPr>
        <w:ind w:left="3896" w:hanging="442"/>
      </w:pPr>
      <w:rPr>
        <w:rFonts w:hint="default"/>
        <w:lang w:val="zh-CN" w:eastAsia="zh-CN" w:bidi="zh-CN"/>
      </w:rPr>
    </w:lvl>
  </w:abstractNum>
  <w:abstractNum w:abstractNumId="26">
    <w:nsid w:val="44484249"/>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27">
    <w:nsid w:val="4820673F"/>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28">
    <w:nsid w:val="48FC6643"/>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29">
    <w:nsid w:val="49FE1586"/>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30">
    <w:nsid w:val="4B77E5C4"/>
    <w:multiLevelType w:val="hybridMultilevel"/>
    <w:tmpl w:val="00000000"/>
    <w:lvl w:ilvl="0">
      <w:start w:val="1"/>
      <w:numFmt w:val="decimal"/>
      <w:lvlText w:val="%1)"/>
      <w:lvlJc w:val="left"/>
      <w:pPr>
        <w:ind w:left="138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94" w:hanging="442"/>
      </w:pPr>
      <w:rPr>
        <w:rFonts w:hint="default"/>
        <w:lang w:val="zh-CN" w:eastAsia="zh-CN" w:bidi="zh-CN"/>
      </w:rPr>
    </w:lvl>
    <w:lvl w:ilvl="2">
      <w:start w:val="0"/>
      <w:numFmt w:val="bullet"/>
      <w:lvlText w:val="•"/>
      <w:lvlJc w:val="left"/>
      <w:pPr>
        <w:ind w:left="2009" w:hanging="442"/>
      </w:pPr>
      <w:rPr>
        <w:rFonts w:hint="default"/>
        <w:lang w:val="zh-CN" w:eastAsia="zh-CN" w:bidi="zh-CN"/>
      </w:rPr>
    </w:lvl>
    <w:lvl w:ilvl="3">
      <w:start w:val="0"/>
      <w:numFmt w:val="bullet"/>
      <w:lvlText w:val="•"/>
      <w:lvlJc w:val="left"/>
      <w:pPr>
        <w:ind w:left="2323" w:hanging="442"/>
      </w:pPr>
      <w:rPr>
        <w:rFonts w:hint="default"/>
        <w:lang w:val="zh-CN" w:eastAsia="zh-CN" w:bidi="zh-CN"/>
      </w:rPr>
    </w:lvl>
    <w:lvl w:ilvl="4">
      <w:start w:val="0"/>
      <w:numFmt w:val="bullet"/>
      <w:lvlText w:val="•"/>
      <w:lvlJc w:val="left"/>
      <w:pPr>
        <w:ind w:left="2638" w:hanging="442"/>
      </w:pPr>
      <w:rPr>
        <w:rFonts w:hint="default"/>
        <w:lang w:val="zh-CN" w:eastAsia="zh-CN" w:bidi="zh-CN"/>
      </w:rPr>
    </w:lvl>
    <w:lvl w:ilvl="5">
      <w:start w:val="0"/>
      <w:numFmt w:val="bullet"/>
      <w:lvlText w:val="•"/>
      <w:lvlJc w:val="left"/>
      <w:pPr>
        <w:ind w:left="2952" w:hanging="442"/>
      </w:pPr>
      <w:rPr>
        <w:rFonts w:hint="default"/>
        <w:lang w:val="zh-CN" w:eastAsia="zh-CN" w:bidi="zh-CN"/>
      </w:rPr>
    </w:lvl>
    <w:lvl w:ilvl="6">
      <w:start w:val="0"/>
      <w:numFmt w:val="bullet"/>
      <w:lvlText w:val="•"/>
      <w:lvlJc w:val="left"/>
      <w:pPr>
        <w:ind w:left="3267" w:hanging="442"/>
      </w:pPr>
      <w:rPr>
        <w:rFonts w:hint="default"/>
        <w:lang w:val="zh-CN" w:eastAsia="zh-CN" w:bidi="zh-CN"/>
      </w:rPr>
    </w:lvl>
    <w:lvl w:ilvl="7">
      <w:start w:val="0"/>
      <w:numFmt w:val="bullet"/>
      <w:lvlText w:val="•"/>
      <w:lvlJc w:val="left"/>
      <w:pPr>
        <w:ind w:left="3581" w:hanging="442"/>
      </w:pPr>
      <w:rPr>
        <w:rFonts w:hint="default"/>
        <w:lang w:val="zh-CN" w:eastAsia="zh-CN" w:bidi="zh-CN"/>
      </w:rPr>
    </w:lvl>
    <w:lvl w:ilvl="8">
      <w:start w:val="0"/>
      <w:numFmt w:val="bullet"/>
      <w:lvlText w:val="•"/>
      <w:lvlJc w:val="left"/>
      <w:pPr>
        <w:ind w:left="3896" w:hanging="442"/>
      </w:pPr>
      <w:rPr>
        <w:rFonts w:hint="default"/>
        <w:lang w:val="zh-CN" w:eastAsia="zh-CN" w:bidi="zh-CN"/>
      </w:rPr>
    </w:lvl>
  </w:abstractNum>
  <w:abstractNum w:abstractNumId="31">
    <w:nsid w:val="50CBD83F"/>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32">
    <w:nsid w:val="526F1586"/>
    <w:multiLevelType w:val="hybridMultilevel"/>
    <w:tmpl w:val="00000000"/>
    <w:lvl w:ilvl="0">
      <w:start w:val="1"/>
      <w:numFmt w:val="decimal"/>
      <w:lvlText w:val="%1)"/>
      <w:lvlJc w:val="left"/>
      <w:pPr>
        <w:ind w:left="54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935" w:hanging="442"/>
      </w:pPr>
      <w:rPr>
        <w:rFonts w:hint="default"/>
        <w:lang w:val="zh-CN" w:eastAsia="zh-CN" w:bidi="zh-CN"/>
      </w:rPr>
    </w:lvl>
    <w:lvl w:ilvl="2">
      <w:start w:val="0"/>
      <w:numFmt w:val="bullet"/>
      <w:lvlText w:val="•"/>
      <w:lvlJc w:val="left"/>
      <w:pPr>
        <w:ind w:left="1330" w:hanging="442"/>
      </w:pPr>
      <w:rPr>
        <w:rFonts w:hint="default"/>
        <w:lang w:val="zh-CN" w:eastAsia="zh-CN" w:bidi="zh-CN"/>
      </w:rPr>
    </w:lvl>
    <w:lvl w:ilvl="3">
      <w:start w:val="0"/>
      <w:numFmt w:val="bullet"/>
      <w:lvlText w:val="•"/>
      <w:lvlJc w:val="left"/>
      <w:pPr>
        <w:ind w:left="1725" w:hanging="442"/>
      </w:pPr>
      <w:rPr>
        <w:rFonts w:hint="default"/>
        <w:lang w:val="zh-CN" w:eastAsia="zh-CN" w:bidi="zh-CN"/>
      </w:rPr>
    </w:lvl>
    <w:lvl w:ilvl="4">
      <w:start w:val="0"/>
      <w:numFmt w:val="bullet"/>
      <w:lvlText w:val="•"/>
      <w:lvlJc w:val="left"/>
      <w:pPr>
        <w:ind w:left="2121" w:hanging="442"/>
      </w:pPr>
      <w:rPr>
        <w:rFonts w:hint="default"/>
        <w:lang w:val="zh-CN" w:eastAsia="zh-CN" w:bidi="zh-CN"/>
      </w:rPr>
    </w:lvl>
    <w:lvl w:ilvl="5">
      <w:start w:val="0"/>
      <w:numFmt w:val="bullet"/>
      <w:lvlText w:val="•"/>
      <w:lvlJc w:val="left"/>
      <w:pPr>
        <w:ind w:left="2516" w:hanging="442"/>
      </w:pPr>
      <w:rPr>
        <w:rFonts w:hint="default"/>
        <w:lang w:val="zh-CN" w:eastAsia="zh-CN" w:bidi="zh-CN"/>
      </w:rPr>
    </w:lvl>
    <w:lvl w:ilvl="6">
      <w:start w:val="0"/>
      <w:numFmt w:val="bullet"/>
      <w:lvlText w:val="•"/>
      <w:lvlJc w:val="left"/>
      <w:pPr>
        <w:ind w:left="2911" w:hanging="442"/>
      </w:pPr>
      <w:rPr>
        <w:rFonts w:hint="default"/>
        <w:lang w:val="zh-CN" w:eastAsia="zh-CN" w:bidi="zh-CN"/>
      </w:rPr>
    </w:lvl>
    <w:lvl w:ilvl="7">
      <w:start w:val="0"/>
      <w:numFmt w:val="bullet"/>
      <w:lvlText w:val="•"/>
      <w:lvlJc w:val="left"/>
      <w:pPr>
        <w:ind w:left="3307" w:hanging="442"/>
      </w:pPr>
      <w:rPr>
        <w:rFonts w:hint="default"/>
        <w:lang w:val="zh-CN" w:eastAsia="zh-CN" w:bidi="zh-CN"/>
      </w:rPr>
    </w:lvl>
    <w:lvl w:ilvl="8">
      <w:start w:val="0"/>
      <w:numFmt w:val="bullet"/>
      <w:lvlText w:val="•"/>
      <w:lvlJc w:val="left"/>
      <w:pPr>
        <w:ind w:left="3702" w:hanging="442"/>
      </w:pPr>
      <w:rPr>
        <w:rFonts w:hint="default"/>
        <w:lang w:val="zh-CN" w:eastAsia="zh-CN" w:bidi="zh-CN"/>
      </w:rPr>
    </w:lvl>
  </w:abstractNum>
  <w:abstractNum w:abstractNumId="33">
    <w:nsid w:val="581DFD39"/>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34">
    <w:nsid w:val="5857B39B"/>
    <w:multiLevelType w:val="hybridMultilevel"/>
    <w:tmpl w:val="00000000"/>
    <w:lvl w:ilvl="0">
      <w:start w:val="11"/>
      <w:numFmt w:val="decimal"/>
      <w:lvlText w:val="%1)"/>
      <w:lvlJc w:val="left"/>
      <w:pPr>
        <w:ind w:left="139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712" w:hanging="444"/>
      </w:pPr>
      <w:rPr>
        <w:rFonts w:hint="default"/>
        <w:lang w:val="zh-CN" w:eastAsia="zh-CN" w:bidi="zh-CN"/>
      </w:rPr>
    </w:lvl>
    <w:lvl w:ilvl="2">
      <w:start w:val="0"/>
      <w:numFmt w:val="bullet"/>
      <w:lvlText w:val="•"/>
      <w:lvlJc w:val="left"/>
      <w:pPr>
        <w:ind w:left="2025" w:hanging="444"/>
      </w:pPr>
      <w:rPr>
        <w:rFonts w:hint="default"/>
        <w:lang w:val="zh-CN" w:eastAsia="zh-CN" w:bidi="zh-CN"/>
      </w:rPr>
    </w:lvl>
    <w:lvl w:ilvl="3">
      <w:start w:val="0"/>
      <w:numFmt w:val="bullet"/>
      <w:lvlText w:val="•"/>
      <w:lvlJc w:val="left"/>
      <w:pPr>
        <w:ind w:left="2337" w:hanging="444"/>
      </w:pPr>
      <w:rPr>
        <w:rFonts w:hint="default"/>
        <w:lang w:val="zh-CN" w:eastAsia="zh-CN" w:bidi="zh-CN"/>
      </w:rPr>
    </w:lvl>
    <w:lvl w:ilvl="4">
      <w:start w:val="0"/>
      <w:numFmt w:val="bullet"/>
      <w:lvlText w:val="•"/>
      <w:lvlJc w:val="left"/>
      <w:pPr>
        <w:ind w:left="2650" w:hanging="444"/>
      </w:pPr>
      <w:rPr>
        <w:rFonts w:hint="default"/>
        <w:lang w:val="zh-CN" w:eastAsia="zh-CN" w:bidi="zh-CN"/>
      </w:rPr>
    </w:lvl>
    <w:lvl w:ilvl="5">
      <w:start w:val="0"/>
      <w:numFmt w:val="bullet"/>
      <w:lvlText w:val="•"/>
      <w:lvlJc w:val="left"/>
      <w:pPr>
        <w:ind w:left="2962" w:hanging="444"/>
      </w:pPr>
      <w:rPr>
        <w:rFonts w:hint="default"/>
        <w:lang w:val="zh-CN" w:eastAsia="zh-CN" w:bidi="zh-CN"/>
      </w:rPr>
    </w:lvl>
    <w:lvl w:ilvl="6">
      <w:start w:val="0"/>
      <w:numFmt w:val="bullet"/>
      <w:lvlText w:val="•"/>
      <w:lvlJc w:val="left"/>
      <w:pPr>
        <w:ind w:left="3275" w:hanging="444"/>
      </w:pPr>
      <w:rPr>
        <w:rFonts w:hint="default"/>
        <w:lang w:val="zh-CN" w:eastAsia="zh-CN" w:bidi="zh-CN"/>
      </w:rPr>
    </w:lvl>
    <w:lvl w:ilvl="7">
      <w:start w:val="0"/>
      <w:numFmt w:val="bullet"/>
      <w:lvlText w:val="•"/>
      <w:lvlJc w:val="left"/>
      <w:pPr>
        <w:ind w:left="3587" w:hanging="444"/>
      </w:pPr>
      <w:rPr>
        <w:rFonts w:hint="default"/>
        <w:lang w:val="zh-CN" w:eastAsia="zh-CN" w:bidi="zh-CN"/>
      </w:rPr>
    </w:lvl>
    <w:lvl w:ilvl="8">
      <w:start w:val="0"/>
      <w:numFmt w:val="bullet"/>
      <w:lvlText w:val="•"/>
      <w:lvlJc w:val="left"/>
      <w:pPr>
        <w:ind w:left="3900" w:hanging="444"/>
      </w:pPr>
      <w:rPr>
        <w:rFonts w:hint="default"/>
        <w:lang w:val="zh-CN" w:eastAsia="zh-CN" w:bidi="zh-CN"/>
      </w:rPr>
    </w:lvl>
  </w:abstractNum>
  <w:abstractNum w:abstractNumId="35">
    <w:nsid w:val="598F90ED"/>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36">
    <w:nsid w:val="5A7EEFED"/>
    <w:multiLevelType w:val="hybridMultilevel"/>
    <w:tmpl w:val="00000000"/>
    <w:lvl w:ilvl="0">
      <w:start w:val="1"/>
      <w:numFmt w:val="decimal"/>
      <w:lvlText w:val="%1"/>
      <w:lvlJc w:val="left"/>
      <w:pPr>
        <w:ind w:left="532" w:hanging="315"/>
        <w:jc w:val="left"/>
      </w:pPr>
      <w:rPr>
        <w:rFonts w:ascii="黑体" w:eastAsia="黑体" w:hAnsi="黑体" w:cs="黑体" w:hint="default"/>
        <w:w w:val="99"/>
        <w:sz w:val="21"/>
        <w:szCs w:val="21"/>
        <w:lang w:val="zh-CN" w:eastAsia="zh-CN" w:bidi="zh-CN"/>
      </w:rPr>
    </w:lvl>
    <w:lvl w:ilvl="1">
      <w:start w:val="1"/>
      <w:numFmt w:val="decimal"/>
      <w:lvlText w:val="%2)"/>
      <w:lvlJc w:val="left"/>
      <w:pPr>
        <w:ind w:left="1492" w:hanging="425"/>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2449" w:hanging="425"/>
      </w:pPr>
      <w:rPr>
        <w:rFonts w:hint="default"/>
        <w:lang w:val="zh-CN" w:eastAsia="zh-CN" w:bidi="zh-CN"/>
      </w:rPr>
    </w:lvl>
    <w:lvl w:ilvl="3">
      <w:start w:val="0"/>
      <w:numFmt w:val="bullet"/>
      <w:lvlText w:val="•"/>
      <w:lvlJc w:val="left"/>
      <w:pPr>
        <w:ind w:left="3399" w:hanging="425"/>
      </w:pPr>
      <w:rPr>
        <w:rFonts w:hint="default"/>
        <w:lang w:val="zh-CN" w:eastAsia="zh-CN" w:bidi="zh-CN"/>
      </w:rPr>
    </w:lvl>
    <w:lvl w:ilvl="4">
      <w:start w:val="0"/>
      <w:numFmt w:val="bullet"/>
      <w:lvlText w:val="•"/>
      <w:lvlJc w:val="left"/>
      <w:pPr>
        <w:ind w:left="4348" w:hanging="425"/>
      </w:pPr>
      <w:rPr>
        <w:rFonts w:hint="default"/>
        <w:lang w:val="zh-CN" w:eastAsia="zh-CN" w:bidi="zh-CN"/>
      </w:rPr>
    </w:lvl>
    <w:lvl w:ilvl="5">
      <w:start w:val="0"/>
      <w:numFmt w:val="bullet"/>
      <w:lvlText w:val="•"/>
      <w:lvlJc w:val="left"/>
      <w:pPr>
        <w:ind w:left="5298" w:hanging="425"/>
      </w:pPr>
      <w:rPr>
        <w:rFonts w:hint="default"/>
        <w:lang w:val="zh-CN" w:eastAsia="zh-CN" w:bidi="zh-CN"/>
      </w:rPr>
    </w:lvl>
    <w:lvl w:ilvl="6">
      <w:start w:val="0"/>
      <w:numFmt w:val="bullet"/>
      <w:lvlText w:val="•"/>
      <w:lvlJc w:val="left"/>
      <w:pPr>
        <w:ind w:left="6247" w:hanging="425"/>
      </w:pPr>
      <w:rPr>
        <w:rFonts w:hint="default"/>
        <w:lang w:val="zh-CN" w:eastAsia="zh-CN" w:bidi="zh-CN"/>
      </w:rPr>
    </w:lvl>
    <w:lvl w:ilvl="7">
      <w:start w:val="0"/>
      <w:numFmt w:val="bullet"/>
      <w:lvlText w:val="•"/>
      <w:lvlJc w:val="left"/>
      <w:pPr>
        <w:ind w:left="7197" w:hanging="425"/>
      </w:pPr>
      <w:rPr>
        <w:rFonts w:hint="default"/>
        <w:lang w:val="zh-CN" w:eastAsia="zh-CN" w:bidi="zh-CN"/>
      </w:rPr>
    </w:lvl>
    <w:lvl w:ilvl="8">
      <w:start w:val="0"/>
      <w:numFmt w:val="bullet"/>
      <w:lvlText w:val="•"/>
      <w:lvlJc w:val="left"/>
      <w:pPr>
        <w:ind w:left="8146" w:hanging="425"/>
      </w:pPr>
      <w:rPr>
        <w:rFonts w:hint="default"/>
        <w:lang w:val="zh-CN" w:eastAsia="zh-CN" w:bidi="zh-CN"/>
      </w:rPr>
    </w:lvl>
  </w:abstractNum>
  <w:abstractNum w:abstractNumId="37">
    <w:nsid w:val="5DF8B6D2"/>
    <w:multiLevelType w:val="hybridMultilevel"/>
    <w:tmpl w:val="00000000"/>
    <w:lvl w:ilvl="0">
      <w:start w:val="1"/>
      <w:numFmt w:val="decimal"/>
      <w:lvlText w:val="%1)"/>
      <w:lvlJc w:val="left"/>
      <w:pPr>
        <w:ind w:left="1389"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694" w:hanging="442"/>
      </w:pPr>
      <w:rPr>
        <w:rFonts w:hint="default"/>
        <w:lang w:val="zh-CN" w:eastAsia="zh-CN" w:bidi="zh-CN"/>
      </w:rPr>
    </w:lvl>
    <w:lvl w:ilvl="2">
      <w:start w:val="0"/>
      <w:numFmt w:val="bullet"/>
      <w:lvlText w:val="•"/>
      <w:lvlJc w:val="left"/>
      <w:pPr>
        <w:ind w:left="2009" w:hanging="442"/>
      </w:pPr>
      <w:rPr>
        <w:rFonts w:hint="default"/>
        <w:lang w:val="zh-CN" w:eastAsia="zh-CN" w:bidi="zh-CN"/>
      </w:rPr>
    </w:lvl>
    <w:lvl w:ilvl="3">
      <w:start w:val="0"/>
      <w:numFmt w:val="bullet"/>
      <w:lvlText w:val="•"/>
      <w:lvlJc w:val="left"/>
      <w:pPr>
        <w:ind w:left="2323" w:hanging="442"/>
      </w:pPr>
      <w:rPr>
        <w:rFonts w:hint="default"/>
        <w:lang w:val="zh-CN" w:eastAsia="zh-CN" w:bidi="zh-CN"/>
      </w:rPr>
    </w:lvl>
    <w:lvl w:ilvl="4">
      <w:start w:val="0"/>
      <w:numFmt w:val="bullet"/>
      <w:lvlText w:val="•"/>
      <w:lvlJc w:val="left"/>
      <w:pPr>
        <w:ind w:left="2638" w:hanging="442"/>
      </w:pPr>
      <w:rPr>
        <w:rFonts w:hint="default"/>
        <w:lang w:val="zh-CN" w:eastAsia="zh-CN" w:bidi="zh-CN"/>
      </w:rPr>
    </w:lvl>
    <w:lvl w:ilvl="5">
      <w:start w:val="0"/>
      <w:numFmt w:val="bullet"/>
      <w:lvlText w:val="•"/>
      <w:lvlJc w:val="left"/>
      <w:pPr>
        <w:ind w:left="2952" w:hanging="442"/>
      </w:pPr>
      <w:rPr>
        <w:rFonts w:hint="default"/>
        <w:lang w:val="zh-CN" w:eastAsia="zh-CN" w:bidi="zh-CN"/>
      </w:rPr>
    </w:lvl>
    <w:lvl w:ilvl="6">
      <w:start w:val="0"/>
      <w:numFmt w:val="bullet"/>
      <w:lvlText w:val="•"/>
      <w:lvlJc w:val="left"/>
      <w:pPr>
        <w:ind w:left="3267" w:hanging="442"/>
      </w:pPr>
      <w:rPr>
        <w:rFonts w:hint="default"/>
        <w:lang w:val="zh-CN" w:eastAsia="zh-CN" w:bidi="zh-CN"/>
      </w:rPr>
    </w:lvl>
    <w:lvl w:ilvl="7">
      <w:start w:val="0"/>
      <w:numFmt w:val="bullet"/>
      <w:lvlText w:val="•"/>
      <w:lvlJc w:val="left"/>
      <w:pPr>
        <w:ind w:left="3581" w:hanging="442"/>
      </w:pPr>
      <w:rPr>
        <w:rFonts w:hint="default"/>
        <w:lang w:val="zh-CN" w:eastAsia="zh-CN" w:bidi="zh-CN"/>
      </w:rPr>
    </w:lvl>
    <w:lvl w:ilvl="8">
      <w:start w:val="0"/>
      <w:numFmt w:val="bullet"/>
      <w:lvlText w:val="•"/>
      <w:lvlJc w:val="left"/>
      <w:pPr>
        <w:ind w:left="3896" w:hanging="442"/>
      </w:pPr>
      <w:rPr>
        <w:rFonts w:hint="default"/>
        <w:lang w:val="zh-CN" w:eastAsia="zh-CN" w:bidi="zh-CN"/>
      </w:rPr>
    </w:lvl>
  </w:abstractNum>
  <w:abstractNum w:abstractNumId="38">
    <w:nsid w:val="61A0F80E"/>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39">
    <w:nsid w:val="64654D19"/>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40">
    <w:nsid w:val="67101472"/>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41">
    <w:nsid w:val="67450866"/>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42">
    <w:nsid w:val="67587FA8"/>
    <w:multiLevelType w:val="hybridMultilevel"/>
    <w:tmpl w:val="00000000"/>
    <w:lvl w:ilvl="0">
      <w:start w:val="2"/>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43">
    <w:nsid w:val="69617ADA"/>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44">
    <w:nsid w:val="69B0FD35"/>
    <w:multiLevelType w:val="hybridMultilevel"/>
    <w:tmpl w:val="00000000"/>
    <w:lvl w:ilvl="0">
      <w:start w:val="1"/>
      <w:numFmt w:val="upperLetter"/>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1"/>
      <w:numFmt w:val="decimal"/>
      <w:lvlText w:val="%2)"/>
      <w:lvlJc w:val="left"/>
      <w:pPr>
        <w:ind w:left="1388" w:hanging="442"/>
        <w:jc w:val="left"/>
      </w:pPr>
      <w:rPr>
        <w:rFonts w:ascii="宋体" w:eastAsia="宋体" w:hAnsi="宋体" w:cs="宋体" w:hint="default"/>
        <w:spacing w:val="0"/>
        <w:w w:val="99"/>
        <w:sz w:val="21"/>
        <w:szCs w:val="21"/>
        <w:lang w:val="zh-CN" w:eastAsia="zh-CN" w:bidi="zh-CN"/>
      </w:rPr>
    </w:lvl>
    <w:lvl w:ilvl="2">
      <w:start w:val="0"/>
      <w:numFmt w:val="bullet"/>
      <w:lvlText w:val="•"/>
      <w:lvlJc w:val="left"/>
      <w:pPr>
        <w:ind w:left="1400" w:hanging="442"/>
      </w:pPr>
      <w:rPr>
        <w:rFonts w:hint="default"/>
        <w:lang w:val="zh-CN" w:eastAsia="zh-CN" w:bidi="zh-CN"/>
      </w:rPr>
    </w:lvl>
    <w:lvl w:ilvl="3">
      <w:start w:val="0"/>
      <w:numFmt w:val="bullet"/>
      <w:lvlText w:val="•"/>
      <w:lvlJc w:val="left"/>
      <w:pPr>
        <w:ind w:left="1790" w:hanging="442"/>
      </w:pPr>
      <w:rPr>
        <w:rFonts w:hint="default"/>
        <w:lang w:val="zh-CN" w:eastAsia="zh-CN" w:bidi="zh-CN"/>
      </w:rPr>
    </w:lvl>
    <w:lvl w:ilvl="4">
      <w:start w:val="0"/>
      <w:numFmt w:val="bullet"/>
      <w:lvlText w:val="•"/>
      <w:lvlJc w:val="left"/>
      <w:pPr>
        <w:ind w:left="2181" w:hanging="442"/>
      </w:pPr>
      <w:rPr>
        <w:rFonts w:hint="default"/>
        <w:lang w:val="zh-CN" w:eastAsia="zh-CN" w:bidi="zh-CN"/>
      </w:rPr>
    </w:lvl>
    <w:lvl w:ilvl="5">
      <w:start w:val="0"/>
      <w:numFmt w:val="bullet"/>
      <w:lvlText w:val="•"/>
      <w:lvlJc w:val="left"/>
      <w:pPr>
        <w:ind w:left="2571" w:hanging="442"/>
      </w:pPr>
      <w:rPr>
        <w:rFonts w:hint="default"/>
        <w:lang w:val="zh-CN" w:eastAsia="zh-CN" w:bidi="zh-CN"/>
      </w:rPr>
    </w:lvl>
    <w:lvl w:ilvl="6">
      <w:start w:val="0"/>
      <w:numFmt w:val="bullet"/>
      <w:lvlText w:val="•"/>
      <w:lvlJc w:val="left"/>
      <w:pPr>
        <w:ind w:left="2962" w:hanging="442"/>
      </w:pPr>
      <w:rPr>
        <w:rFonts w:hint="default"/>
        <w:lang w:val="zh-CN" w:eastAsia="zh-CN" w:bidi="zh-CN"/>
      </w:rPr>
    </w:lvl>
    <w:lvl w:ilvl="7">
      <w:start w:val="0"/>
      <w:numFmt w:val="bullet"/>
      <w:lvlText w:val="•"/>
      <w:lvlJc w:val="left"/>
      <w:pPr>
        <w:ind w:left="3353" w:hanging="442"/>
      </w:pPr>
      <w:rPr>
        <w:rFonts w:hint="default"/>
        <w:lang w:val="zh-CN" w:eastAsia="zh-CN" w:bidi="zh-CN"/>
      </w:rPr>
    </w:lvl>
    <w:lvl w:ilvl="8">
      <w:start w:val="0"/>
      <w:numFmt w:val="bullet"/>
      <w:lvlText w:val="•"/>
      <w:lvlJc w:val="left"/>
      <w:pPr>
        <w:ind w:left="3743" w:hanging="442"/>
      </w:pPr>
      <w:rPr>
        <w:rFonts w:hint="default"/>
        <w:lang w:val="zh-CN" w:eastAsia="zh-CN" w:bidi="zh-CN"/>
      </w:rPr>
    </w:lvl>
  </w:abstractNum>
  <w:abstractNum w:abstractNumId="45">
    <w:nsid w:val="69F5701E"/>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46">
    <w:nsid w:val="6A6E6A27"/>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47">
    <w:nsid w:val="6AA9DBA5"/>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48">
    <w:nsid w:val="6ADC72B4"/>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49">
    <w:nsid w:val="6DFE314B"/>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50">
    <w:nsid w:val="6E780ECD"/>
    <w:multiLevelType w:val="hybridMultilevel"/>
    <w:tmpl w:val="00000000"/>
    <w:lvl w:ilvl="0">
      <w:start w:val="1"/>
      <w:numFmt w:val="decimal"/>
      <w:lvlText w:val="%1)"/>
      <w:lvlJc w:val="left"/>
      <w:pPr>
        <w:ind w:left="149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2354" w:hanging="425"/>
      </w:pPr>
      <w:rPr>
        <w:rFonts w:hint="default"/>
        <w:lang w:val="zh-CN" w:eastAsia="zh-CN" w:bidi="zh-CN"/>
      </w:rPr>
    </w:lvl>
    <w:lvl w:ilvl="2">
      <w:start w:val="0"/>
      <w:numFmt w:val="bullet"/>
      <w:lvlText w:val="•"/>
      <w:lvlJc w:val="left"/>
      <w:pPr>
        <w:ind w:left="3209" w:hanging="425"/>
      </w:pPr>
      <w:rPr>
        <w:rFonts w:hint="default"/>
        <w:lang w:val="zh-CN" w:eastAsia="zh-CN" w:bidi="zh-CN"/>
      </w:rPr>
    </w:lvl>
    <w:lvl w:ilvl="3">
      <w:start w:val="0"/>
      <w:numFmt w:val="bullet"/>
      <w:lvlText w:val="•"/>
      <w:lvlJc w:val="left"/>
      <w:pPr>
        <w:ind w:left="4063" w:hanging="425"/>
      </w:pPr>
      <w:rPr>
        <w:rFonts w:hint="default"/>
        <w:lang w:val="zh-CN" w:eastAsia="zh-CN" w:bidi="zh-CN"/>
      </w:rPr>
    </w:lvl>
    <w:lvl w:ilvl="4">
      <w:start w:val="0"/>
      <w:numFmt w:val="bullet"/>
      <w:lvlText w:val="•"/>
      <w:lvlJc w:val="left"/>
      <w:pPr>
        <w:ind w:left="4918" w:hanging="425"/>
      </w:pPr>
      <w:rPr>
        <w:rFonts w:hint="default"/>
        <w:lang w:val="zh-CN" w:eastAsia="zh-CN" w:bidi="zh-CN"/>
      </w:rPr>
    </w:lvl>
    <w:lvl w:ilvl="5">
      <w:start w:val="0"/>
      <w:numFmt w:val="bullet"/>
      <w:lvlText w:val="•"/>
      <w:lvlJc w:val="left"/>
      <w:pPr>
        <w:ind w:left="5773" w:hanging="425"/>
      </w:pPr>
      <w:rPr>
        <w:rFonts w:hint="default"/>
        <w:lang w:val="zh-CN" w:eastAsia="zh-CN" w:bidi="zh-CN"/>
      </w:rPr>
    </w:lvl>
    <w:lvl w:ilvl="6">
      <w:start w:val="0"/>
      <w:numFmt w:val="bullet"/>
      <w:lvlText w:val="•"/>
      <w:lvlJc w:val="left"/>
      <w:pPr>
        <w:ind w:left="6627" w:hanging="425"/>
      </w:pPr>
      <w:rPr>
        <w:rFonts w:hint="default"/>
        <w:lang w:val="zh-CN" w:eastAsia="zh-CN" w:bidi="zh-CN"/>
      </w:rPr>
    </w:lvl>
    <w:lvl w:ilvl="7">
      <w:start w:val="0"/>
      <w:numFmt w:val="bullet"/>
      <w:lvlText w:val="•"/>
      <w:lvlJc w:val="left"/>
      <w:pPr>
        <w:ind w:left="7482" w:hanging="425"/>
      </w:pPr>
      <w:rPr>
        <w:rFonts w:hint="default"/>
        <w:lang w:val="zh-CN" w:eastAsia="zh-CN" w:bidi="zh-CN"/>
      </w:rPr>
    </w:lvl>
    <w:lvl w:ilvl="8">
      <w:start w:val="0"/>
      <w:numFmt w:val="bullet"/>
      <w:lvlText w:val="•"/>
      <w:lvlJc w:val="left"/>
      <w:pPr>
        <w:ind w:left="8336" w:hanging="425"/>
      </w:pPr>
      <w:rPr>
        <w:rFonts w:hint="default"/>
        <w:lang w:val="zh-CN" w:eastAsia="zh-CN" w:bidi="zh-CN"/>
      </w:rPr>
    </w:lvl>
  </w:abstractNum>
  <w:abstractNum w:abstractNumId="51">
    <w:nsid w:val="7118A0BC"/>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52">
    <w:nsid w:val="73066950"/>
    <w:multiLevelType w:val="hybridMultilevel"/>
    <w:tmpl w:val="00000000"/>
    <w:lvl w:ilvl="0">
      <w:start w:val="1"/>
      <w:numFmt w:val="decimal"/>
      <w:lvlText w:val="%1)"/>
      <w:lvlJc w:val="left"/>
      <w:pPr>
        <w:ind w:left="966" w:hanging="440"/>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0"/>
      </w:pPr>
      <w:rPr>
        <w:rFonts w:hint="default"/>
        <w:lang w:val="zh-CN" w:eastAsia="zh-CN" w:bidi="zh-CN"/>
      </w:rPr>
    </w:lvl>
    <w:lvl w:ilvl="2">
      <w:start w:val="0"/>
      <w:numFmt w:val="bullet"/>
      <w:lvlText w:val="•"/>
      <w:lvlJc w:val="left"/>
      <w:pPr>
        <w:ind w:left="1588" w:hanging="440"/>
      </w:pPr>
      <w:rPr>
        <w:rFonts w:hint="default"/>
        <w:lang w:val="zh-CN" w:eastAsia="zh-CN" w:bidi="zh-CN"/>
      </w:rPr>
    </w:lvl>
    <w:lvl w:ilvl="3">
      <w:start w:val="0"/>
      <w:numFmt w:val="bullet"/>
      <w:lvlText w:val="•"/>
      <w:lvlJc w:val="left"/>
      <w:pPr>
        <w:ind w:left="1902" w:hanging="440"/>
      </w:pPr>
      <w:rPr>
        <w:rFonts w:hint="default"/>
        <w:lang w:val="zh-CN" w:eastAsia="zh-CN" w:bidi="zh-CN"/>
      </w:rPr>
    </w:lvl>
    <w:lvl w:ilvl="4">
      <w:start w:val="0"/>
      <w:numFmt w:val="bullet"/>
      <w:lvlText w:val="•"/>
      <w:lvlJc w:val="left"/>
      <w:pPr>
        <w:ind w:left="2216" w:hanging="440"/>
      </w:pPr>
      <w:rPr>
        <w:rFonts w:hint="default"/>
        <w:lang w:val="zh-CN" w:eastAsia="zh-CN" w:bidi="zh-CN"/>
      </w:rPr>
    </w:lvl>
    <w:lvl w:ilvl="5">
      <w:start w:val="0"/>
      <w:numFmt w:val="bullet"/>
      <w:lvlText w:val="•"/>
      <w:lvlJc w:val="left"/>
      <w:pPr>
        <w:ind w:left="2530" w:hanging="440"/>
      </w:pPr>
      <w:rPr>
        <w:rFonts w:hint="default"/>
        <w:lang w:val="zh-CN" w:eastAsia="zh-CN" w:bidi="zh-CN"/>
      </w:rPr>
    </w:lvl>
    <w:lvl w:ilvl="6">
      <w:start w:val="0"/>
      <w:numFmt w:val="bullet"/>
      <w:lvlText w:val="•"/>
      <w:lvlJc w:val="left"/>
      <w:pPr>
        <w:ind w:left="2844" w:hanging="440"/>
      </w:pPr>
      <w:rPr>
        <w:rFonts w:hint="default"/>
        <w:lang w:val="zh-CN" w:eastAsia="zh-CN" w:bidi="zh-CN"/>
      </w:rPr>
    </w:lvl>
    <w:lvl w:ilvl="7">
      <w:start w:val="0"/>
      <w:numFmt w:val="bullet"/>
      <w:lvlText w:val="•"/>
      <w:lvlJc w:val="left"/>
      <w:pPr>
        <w:ind w:left="3158" w:hanging="440"/>
      </w:pPr>
      <w:rPr>
        <w:rFonts w:hint="default"/>
        <w:lang w:val="zh-CN" w:eastAsia="zh-CN" w:bidi="zh-CN"/>
      </w:rPr>
    </w:lvl>
    <w:lvl w:ilvl="8">
      <w:start w:val="0"/>
      <w:numFmt w:val="bullet"/>
      <w:lvlText w:val="•"/>
      <w:lvlJc w:val="left"/>
      <w:pPr>
        <w:ind w:left="3472" w:hanging="440"/>
      </w:pPr>
      <w:rPr>
        <w:rFonts w:hint="default"/>
        <w:lang w:val="zh-CN" w:eastAsia="zh-CN" w:bidi="zh-CN"/>
      </w:rPr>
    </w:lvl>
  </w:abstractNum>
  <w:abstractNum w:abstractNumId="53">
    <w:nsid w:val="75F09214"/>
    <w:multiLevelType w:val="hybridMultilevel"/>
    <w:tmpl w:val="00000000"/>
    <w:lvl w:ilvl="0">
      <w:start w:val="1"/>
      <w:numFmt w:val="decimal"/>
      <w:lvlText w:val="%1)"/>
      <w:lvlJc w:val="left"/>
      <w:pPr>
        <w:ind w:left="532" w:hanging="425"/>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935" w:hanging="425"/>
      </w:pPr>
      <w:rPr>
        <w:rFonts w:hint="default"/>
        <w:lang w:val="zh-CN" w:eastAsia="zh-CN" w:bidi="zh-CN"/>
      </w:rPr>
    </w:lvl>
    <w:lvl w:ilvl="2">
      <w:start w:val="0"/>
      <w:numFmt w:val="bullet"/>
      <w:lvlText w:val="•"/>
      <w:lvlJc w:val="left"/>
      <w:pPr>
        <w:ind w:left="1330" w:hanging="425"/>
      </w:pPr>
      <w:rPr>
        <w:rFonts w:hint="default"/>
        <w:lang w:val="zh-CN" w:eastAsia="zh-CN" w:bidi="zh-CN"/>
      </w:rPr>
    </w:lvl>
    <w:lvl w:ilvl="3">
      <w:start w:val="0"/>
      <w:numFmt w:val="bullet"/>
      <w:lvlText w:val="•"/>
      <w:lvlJc w:val="left"/>
      <w:pPr>
        <w:ind w:left="1725" w:hanging="425"/>
      </w:pPr>
      <w:rPr>
        <w:rFonts w:hint="default"/>
        <w:lang w:val="zh-CN" w:eastAsia="zh-CN" w:bidi="zh-CN"/>
      </w:rPr>
    </w:lvl>
    <w:lvl w:ilvl="4">
      <w:start w:val="0"/>
      <w:numFmt w:val="bullet"/>
      <w:lvlText w:val="•"/>
      <w:lvlJc w:val="left"/>
      <w:pPr>
        <w:ind w:left="2121" w:hanging="425"/>
      </w:pPr>
      <w:rPr>
        <w:rFonts w:hint="default"/>
        <w:lang w:val="zh-CN" w:eastAsia="zh-CN" w:bidi="zh-CN"/>
      </w:rPr>
    </w:lvl>
    <w:lvl w:ilvl="5">
      <w:start w:val="0"/>
      <w:numFmt w:val="bullet"/>
      <w:lvlText w:val="•"/>
      <w:lvlJc w:val="left"/>
      <w:pPr>
        <w:ind w:left="2516" w:hanging="425"/>
      </w:pPr>
      <w:rPr>
        <w:rFonts w:hint="default"/>
        <w:lang w:val="zh-CN" w:eastAsia="zh-CN" w:bidi="zh-CN"/>
      </w:rPr>
    </w:lvl>
    <w:lvl w:ilvl="6">
      <w:start w:val="0"/>
      <w:numFmt w:val="bullet"/>
      <w:lvlText w:val="•"/>
      <w:lvlJc w:val="left"/>
      <w:pPr>
        <w:ind w:left="2911" w:hanging="425"/>
      </w:pPr>
      <w:rPr>
        <w:rFonts w:hint="default"/>
        <w:lang w:val="zh-CN" w:eastAsia="zh-CN" w:bidi="zh-CN"/>
      </w:rPr>
    </w:lvl>
    <w:lvl w:ilvl="7">
      <w:start w:val="0"/>
      <w:numFmt w:val="bullet"/>
      <w:lvlText w:val="•"/>
      <w:lvlJc w:val="left"/>
      <w:pPr>
        <w:ind w:left="3307" w:hanging="425"/>
      </w:pPr>
      <w:rPr>
        <w:rFonts w:hint="default"/>
        <w:lang w:val="zh-CN" w:eastAsia="zh-CN" w:bidi="zh-CN"/>
      </w:rPr>
    </w:lvl>
    <w:lvl w:ilvl="8">
      <w:start w:val="0"/>
      <w:numFmt w:val="bullet"/>
      <w:lvlText w:val="•"/>
      <w:lvlJc w:val="left"/>
      <w:pPr>
        <w:ind w:left="3702" w:hanging="425"/>
      </w:pPr>
      <w:rPr>
        <w:rFonts w:hint="default"/>
        <w:lang w:val="zh-CN" w:eastAsia="zh-CN" w:bidi="zh-CN"/>
      </w:rPr>
    </w:lvl>
  </w:abstractNum>
  <w:abstractNum w:abstractNumId="54">
    <w:nsid w:val="76618ED8"/>
    <w:multiLevelType w:val="hybridMultilevel"/>
    <w:tmpl w:val="00000000"/>
    <w:lvl w:ilvl="0">
      <w:start w:val="1"/>
      <w:numFmt w:val="decimal"/>
      <w:lvlText w:val="%1)"/>
      <w:lvlJc w:val="left"/>
      <w:pPr>
        <w:ind w:left="968" w:hanging="442"/>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274" w:hanging="442"/>
      </w:pPr>
      <w:rPr>
        <w:rFonts w:hint="default"/>
        <w:lang w:val="zh-CN" w:eastAsia="zh-CN" w:bidi="zh-CN"/>
      </w:rPr>
    </w:lvl>
    <w:lvl w:ilvl="2">
      <w:start w:val="0"/>
      <w:numFmt w:val="bullet"/>
      <w:lvlText w:val="•"/>
      <w:lvlJc w:val="left"/>
      <w:pPr>
        <w:ind w:left="1588" w:hanging="442"/>
      </w:pPr>
      <w:rPr>
        <w:rFonts w:hint="default"/>
        <w:lang w:val="zh-CN" w:eastAsia="zh-CN" w:bidi="zh-CN"/>
      </w:rPr>
    </w:lvl>
    <w:lvl w:ilvl="3">
      <w:start w:val="0"/>
      <w:numFmt w:val="bullet"/>
      <w:lvlText w:val="•"/>
      <w:lvlJc w:val="left"/>
      <w:pPr>
        <w:ind w:left="1902" w:hanging="442"/>
      </w:pPr>
      <w:rPr>
        <w:rFonts w:hint="default"/>
        <w:lang w:val="zh-CN" w:eastAsia="zh-CN" w:bidi="zh-CN"/>
      </w:rPr>
    </w:lvl>
    <w:lvl w:ilvl="4">
      <w:start w:val="0"/>
      <w:numFmt w:val="bullet"/>
      <w:lvlText w:val="•"/>
      <w:lvlJc w:val="left"/>
      <w:pPr>
        <w:ind w:left="2216" w:hanging="442"/>
      </w:pPr>
      <w:rPr>
        <w:rFonts w:hint="default"/>
        <w:lang w:val="zh-CN" w:eastAsia="zh-CN" w:bidi="zh-CN"/>
      </w:rPr>
    </w:lvl>
    <w:lvl w:ilvl="5">
      <w:start w:val="0"/>
      <w:numFmt w:val="bullet"/>
      <w:lvlText w:val="•"/>
      <w:lvlJc w:val="left"/>
      <w:pPr>
        <w:ind w:left="2530" w:hanging="442"/>
      </w:pPr>
      <w:rPr>
        <w:rFonts w:hint="default"/>
        <w:lang w:val="zh-CN" w:eastAsia="zh-CN" w:bidi="zh-CN"/>
      </w:rPr>
    </w:lvl>
    <w:lvl w:ilvl="6">
      <w:start w:val="0"/>
      <w:numFmt w:val="bullet"/>
      <w:lvlText w:val="•"/>
      <w:lvlJc w:val="left"/>
      <w:pPr>
        <w:ind w:left="2844" w:hanging="442"/>
      </w:pPr>
      <w:rPr>
        <w:rFonts w:hint="default"/>
        <w:lang w:val="zh-CN" w:eastAsia="zh-CN" w:bidi="zh-CN"/>
      </w:rPr>
    </w:lvl>
    <w:lvl w:ilvl="7">
      <w:start w:val="0"/>
      <w:numFmt w:val="bullet"/>
      <w:lvlText w:val="•"/>
      <w:lvlJc w:val="left"/>
      <w:pPr>
        <w:ind w:left="3158" w:hanging="442"/>
      </w:pPr>
      <w:rPr>
        <w:rFonts w:hint="default"/>
        <w:lang w:val="zh-CN" w:eastAsia="zh-CN" w:bidi="zh-CN"/>
      </w:rPr>
    </w:lvl>
    <w:lvl w:ilvl="8">
      <w:start w:val="0"/>
      <w:numFmt w:val="bullet"/>
      <w:lvlText w:val="•"/>
      <w:lvlJc w:val="left"/>
      <w:pPr>
        <w:ind w:left="3472" w:hanging="442"/>
      </w:pPr>
      <w:rPr>
        <w:rFonts w:hint="default"/>
        <w:lang w:val="zh-CN" w:eastAsia="zh-CN" w:bidi="zh-CN"/>
      </w:rPr>
    </w:lvl>
  </w:abstractNum>
  <w:abstractNum w:abstractNumId="55">
    <w:nsid w:val="77BDD2EF"/>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abstractNum w:abstractNumId="56">
    <w:nsid w:val="7B57CA9D"/>
    <w:multiLevelType w:val="hybridMultilevel"/>
    <w:tmpl w:val="00000000"/>
    <w:lvl w:ilvl="0">
      <w:start w:val="1"/>
      <w:numFmt w:val="decimal"/>
      <w:lvlText w:val="%1)"/>
      <w:lvlJc w:val="left"/>
      <w:pPr>
        <w:ind w:left="970" w:hanging="444"/>
        <w:jc w:val="left"/>
      </w:pPr>
      <w:rPr>
        <w:rFonts w:ascii="宋体" w:eastAsia="宋体" w:hAnsi="宋体" w:cs="宋体" w:hint="default"/>
        <w:spacing w:val="0"/>
        <w:w w:val="99"/>
        <w:sz w:val="21"/>
        <w:szCs w:val="21"/>
        <w:lang w:val="zh-CN" w:eastAsia="zh-CN" w:bidi="zh-CN"/>
      </w:rPr>
    </w:lvl>
    <w:lvl w:ilvl="1">
      <w:start w:val="0"/>
      <w:numFmt w:val="bullet"/>
      <w:lvlText w:val="•"/>
      <w:lvlJc w:val="left"/>
      <w:pPr>
        <w:ind w:left="1334" w:hanging="444"/>
      </w:pPr>
      <w:rPr>
        <w:rFonts w:hint="default"/>
        <w:lang w:val="zh-CN" w:eastAsia="zh-CN" w:bidi="zh-CN"/>
      </w:rPr>
    </w:lvl>
    <w:lvl w:ilvl="2">
      <w:start w:val="0"/>
      <w:numFmt w:val="bullet"/>
      <w:lvlText w:val="•"/>
      <w:lvlJc w:val="left"/>
      <w:pPr>
        <w:ind w:left="1689" w:hanging="444"/>
      </w:pPr>
      <w:rPr>
        <w:rFonts w:hint="default"/>
        <w:lang w:val="zh-CN" w:eastAsia="zh-CN" w:bidi="zh-CN"/>
      </w:rPr>
    </w:lvl>
    <w:lvl w:ilvl="3">
      <w:start w:val="0"/>
      <w:numFmt w:val="bullet"/>
      <w:lvlText w:val="•"/>
      <w:lvlJc w:val="left"/>
      <w:pPr>
        <w:ind w:left="2043" w:hanging="444"/>
      </w:pPr>
      <w:rPr>
        <w:rFonts w:hint="default"/>
        <w:lang w:val="zh-CN" w:eastAsia="zh-CN" w:bidi="zh-CN"/>
      </w:rPr>
    </w:lvl>
    <w:lvl w:ilvl="4">
      <w:start w:val="0"/>
      <w:numFmt w:val="bullet"/>
      <w:lvlText w:val="•"/>
      <w:lvlJc w:val="left"/>
      <w:pPr>
        <w:ind w:left="2398" w:hanging="444"/>
      </w:pPr>
      <w:rPr>
        <w:rFonts w:hint="default"/>
        <w:lang w:val="zh-CN" w:eastAsia="zh-CN" w:bidi="zh-CN"/>
      </w:rPr>
    </w:lvl>
    <w:lvl w:ilvl="5">
      <w:start w:val="0"/>
      <w:numFmt w:val="bullet"/>
      <w:lvlText w:val="•"/>
      <w:lvlJc w:val="left"/>
      <w:pPr>
        <w:ind w:left="2752" w:hanging="444"/>
      </w:pPr>
      <w:rPr>
        <w:rFonts w:hint="default"/>
        <w:lang w:val="zh-CN" w:eastAsia="zh-CN" w:bidi="zh-CN"/>
      </w:rPr>
    </w:lvl>
    <w:lvl w:ilvl="6">
      <w:start w:val="0"/>
      <w:numFmt w:val="bullet"/>
      <w:lvlText w:val="•"/>
      <w:lvlJc w:val="left"/>
      <w:pPr>
        <w:ind w:left="3107" w:hanging="444"/>
      </w:pPr>
      <w:rPr>
        <w:rFonts w:hint="default"/>
        <w:lang w:val="zh-CN" w:eastAsia="zh-CN" w:bidi="zh-CN"/>
      </w:rPr>
    </w:lvl>
    <w:lvl w:ilvl="7">
      <w:start w:val="0"/>
      <w:numFmt w:val="bullet"/>
      <w:lvlText w:val="•"/>
      <w:lvlJc w:val="left"/>
      <w:pPr>
        <w:ind w:left="3461" w:hanging="444"/>
      </w:pPr>
      <w:rPr>
        <w:rFonts w:hint="default"/>
        <w:lang w:val="zh-CN" w:eastAsia="zh-CN" w:bidi="zh-CN"/>
      </w:rPr>
    </w:lvl>
    <w:lvl w:ilvl="8">
      <w:start w:val="0"/>
      <w:numFmt w:val="bullet"/>
      <w:lvlText w:val="•"/>
      <w:lvlJc w:val="left"/>
      <w:pPr>
        <w:ind w:left="3816" w:hanging="444"/>
      </w:pPr>
      <w:rPr>
        <w:rFonts w:hint="default"/>
        <w:lang w:val="zh-CN" w:eastAsia="zh-CN" w:bidi="zh-CN"/>
      </w:rPr>
    </w:lvl>
  </w:abstractNum>
  <w:num w:numId="1">
    <w:abstractNumId w:val="31"/>
  </w:num>
  <w:num w:numId="2">
    <w:abstractNumId w:val="13"/>
  </w:num>
  <w:num w:numId="3">
    <w:abstractNumId w:val="19"/>
  </w:num>
  <w:num w:numId="4">
    <w:abstractNumId w:val="39"/>
  </w:num>
  <w:num w:numId="5">
    <w:abstractNumId w:val="24"/>
  </w:num>
  <w:num w:numId="6">
    <w:abstractNumId w:val="47"/>
  </w:num>
  <w:num w:numId="7">
    <w:abstractNumId w:val="11"/>
  </w:num>
  <w:num w:numId="8">
    <w:abstractNumId w:val="25"/>
  </w:num>
  <w:num w:numId="9">
    <w:abstractNumId w:val="51"/>
  </w:num>
  <w:num w:numId="10">
    <w:abstractNumId w:val="9"/>
  </w:num>
  <w:num w:numId="11">
    <w:abstractNumId w:val="23"/>
  </w:num>
  <w:num w:numId="12">
    <w:abstractNumId w:val="34"/>
  </w:num>
  <w:num w:numId="13">
    <w:abstractNumId w:val="44"/>
  </w:num>
  <w:num w:numId="14">
    <w:abstractNumId w:val="30"/>
  </w:num>
  <w:num w:numId="15">
    <w:abstractNumId w:val="56"/>
  </w:num>
  <w:num w:numId="16">
    <w:abstractNumId w:val="21"/>
  </w:num>
  <w:num w:numId="17">
    <w:abstractNumId w:val="8"/>
  </w:num>
  <w:num w:numId="18">
    <w:abstractNumId w:val="7"/>
  </w:num>
  <w:num w:numId="19">
    <w:abstractNumId w:val="55"/>
  </w:num>
  <w:num w:numId="20">
    <w:abstractNumId w:val="42"/>
  </w:num>
  <w:num w:numId="21">
    <w:abstractNumId w:val="49"/>
  </w:num>
  <w:num w:numId="22">
    <w:abstractNumId w:val="37"/>
  </w:num>
  <w:num w:numId="23">
    <w:abstractNumId w:val="40"/>
  </w:num>
  <w:num w:numId="24">
    <w:abstractNumId w:val="48"/>
  </w:num>
  <w:num w:numId="25">
    <w:abstractNumId w:val="16"/>
  </w:num>
  <w:num w:numId="26">
    <w:abstractNumId w:val="29"/>
  </w:num>
  <w:num w:numId="27">
    <w:abstractNumId w:val="43"/>
  </w:num>
  <w:num w:numId="28">
    <w:abstractNumId w:val="3"/>
  </w:num>
  <w:num w:numId="29">
    <w:abstractNumId w:val="27"/>
  </w:num>
  <w:num w:numId="30">
    <w:abstractNumId w:val="52"/>
  </w:num>
  <w:num w:numId="31">
    <w:abstractNumId w:val="45"/>
  </w:num>
  <w:num w:numId="32">
    <w:abstractNumId w:val="15"/>
  </w:num>
  <w:num w:numId="33">
    <w:abstractNumId w:val="4"/>
  </w:num>
  <w:num w:numId="34">
    <w:abstractNumId w:val="54"/>
  </w:num>
  <w:num w:numId="35">
    <w:abstractNumId w:val="14"/>
  </w:num>
  <w:num w:numId="36">
    <w:abstractNumId w:val="41"/>
  </w:num>
  <w:num w:numId="37">
    <w:abstractNumId w:val="5"/>
  </w:num>
  <w:num w:numId="38">
    <w:abstractNumId w:val="1"/>
  </w:num>
  <w:num w:numId="39">
    <w:abstractNumId w:val="32"/>
  </w:num>
  <w:num w:numId="40">
    <w:abstractNumId w:val="2"/>
  </w:num>
  <w:num w:numId="41">
    <w:abstractNumId w:val="53"/>
  </w:num>
  <w:num w:numId="42">
    <w:abstractNumId w:val="28"/>
  </w:num>
  <w:num w:numId="43">
    <w:abstractNumId w:val="38"/>
  </w:num>
  <w:num w:numId="44">
    <w:abstractNumId w:val="20"/>
  </w:num>
  <w:num w:numId="45">
    <w:abstractNumId w:val="0"/>
  </w:num>
  <w:num w:numId="46">
    <w:abstractNumId w:val="26"/>
  </w:num>
  <w:num w:numId="47">
    <w:abstractNumId w:val="46"/>
  </w:num>
  <w:num w:numId="48">
    <w:abstractNumId w:val="35"/>
  </w:num>
  <w:num w:numId="49">
    <w:abstractNumId w:val="33"/>
  </w:num>
  <w:num w:numId="50">
    <w:abstractNumId w:val="12"/>
  </w:num>
  <w:num w:numId="51">
    <w:abstractNumId w:val="6"/>
  </w:num>
  <w:num w:numId="52">
    <w:abstractNumId w:val="10"/>
  </w:num>
  <w:num w:numId="53">
    <w:abstractNumId w:val="17"/>
  </w:num>
  <w:num w:numId="54">
    <w:abstractNumId w:val="50"/>
  </w:num>
  <w:num w:numId="55">
    <w:abstractNumId w:val="36"/>
  </w:num>
  <w:num w:numId="56">
    <w:abstractNumId w:val="18"/>
  </w:num>
  <w:num w:numId="5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zh-CN" w:eastAsia="zh-CN" w:bidi="zh-CN"/>
    </w:rPr>
  </w:style>
  <w:style w:type="paragraph" w:styleId="Heading1">
    <w:name w:val="heading 1"/>
    <w:basedOn w:val="Normal"/>
    <w:uiPriority w:val="1"/>
    <w:qFormat/>
    <w:pPr>
      <w:outlineLvl w:val="0"/>
    </w:pPr>
    <w:rPr>
      <w:rFonts w:ascii="黑体" w:eastAsia="黑体" w:hAnsi="黑体" w:cs="黑体"/>
      <w:sz w:val="32"/>
      <w:szCs w:val="32"/>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92"/>
    </w:pPr>
    <w:rPr>
      <w:rFonts w:ascii="宋体" w:eastAsia="宋体" w:hAnsi="宋体" w:cs="宋体"/>
      <w:sz w:val="21"/>
      <w:szCs w:val="21"/>
      <w:lang w:val="zh-CN" w:eastAsia="zh-CN" w:bidi="zh-CN"/>
    </w:rPr>
  </w:style>
  <w:style w:type="paragraph" w:styleId="Title">
    <w:name w:val="Title"/>
    <w:basedOn w:val="Normal"/>
    <w:uiPriority w:val="1"/>
    <w:qFormat/>
    <w:pPr>
      <w:spacing w:before="28"/>
      <w:ind w:left="3475" w:right="187" w:hanging="3260"/>
    </w:pPr>
    <w:rPr>
      <w:rFonts w:ascii="黑体" w:eastAsia="黑体" w:hAnsi="黑体" w:cs="黑体"/>
      <w:sz w:val="52"/>
      <w:szCs w:val="52"/>
      <w:lang w:val="zh-CN" w:eastAsia="zh-CN" w:bidi="zh-CN"/>
    </w:rPr>
  </w:style>
  <w:style w:type="paragraph" w:styleId="ListParagraph">
    <w:name w:val="List Paragraph"/>
    <w:basedOn w:val="Normal"/>
    <w:uiPriority w:val="1"/>
    <w:qFormat/>
    <w:pPr>
      <w:spacing w:before="2"/>
      <w:ind w:left="1492" w:hanging="425"/>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image" Target="media/image14.jpeg" /><Relationship Id="rId2" Type="http://schemas.openxmlformats.org/officeDocument/2006/relationships/webSettings" Target="webSettings.xml" /><Relationship Id="rId20" Type="http://schemas.openxmlformats.org/officeDocument/2006/relationships/image" Target="media/image15.jpeg" /><Relationship Id="rId21" Type="http://schemas.openxmlformats.org/officeDocument/2006/relationships/image" Target="media/image16.jpeg" /><Relationship Id="rId22" Type="http://schemas.openxmlformats.org/officeDocument/2006/relationships/image" Target="media/image17.jpeg" /><Relationship Id="rId23" Type="http://schemas.openxmlformats.org/officeDocument/2006/relationships/image" Target="media/image18.jpeg" /><Relationship Id="rId24" Type="http://schemas.openxmlformats.org/officeDocument/2006/relationships/footer" Target="footer3.xml" /><Relationship Id="rId25" Type="http://schemas.openxmlformats.org/officeDocument/2006/relationships/image" Target="media/image19.jpeg" /><Relationship Id="rId26" Type="http://schemas.openxmlformats.org/officeDocument/2006/relationships/image" Target="media/image20.jpeg" /><Relationship Id="rId27" Type="http://schemas.openxmlformats.org/officeDocument/2006/relationships/image" Target="media/image21.jpeg" /><Relationship Id="rId28" Type="http://schemas.openxmlformats.org/officeDocument/2006/relationships/image" Target="media/image22.jpeg" /><Relationship Id="rId29" Type="http://schemas.openxmlformats.org/officeDocument/2006/relationships/image" Target="media/image23.jpeg" /><Relationship Id="rId3" Type="http://schemas.openxmlformats.org/officeDocument/2006/relationships/fontTable" Target="fontTable.xml" /><Relationship Id="rId30" Type="http://schemas.openxmlformats.org/officeDocument/2006/relationships/footer" Target="footer4.xml" /><Relationship Id="rId31" Type="http://schemas.openxmlformats.org/officeDocument/2006/relationships/image" Target="media/image24.jpeg" /><Relationship Id="rId32" Type="http://schemas.openxmlformats.org/officeDocument/2006/relationships/image" Target="media/image25.jpeg" /><Relationship Id="rId33" Type="http://schemas.openxmlformats.org/officeDocument/2006/relationships/footer" Target="footer5.xml" /><Relationship Id="rId34" Type="http://schemas.openxmlformats.org/officeDocument/2006/relationships/image" Target="media/image26.jpeg" /><Relationship Id="rId35" Type="http://schemas.openxmlformats.org/officeDocument/2006/relationships/image" Target="media/image27.jpeg" /><Relationship Id="rId36" Type="http://schemas.openxmlformats.org/officeDocument/2006/relationships/hyperlink" Target="https://d.book118.com/006223232125010051" TargetMode="External" /><Relationship Id="rId37" Type="http://schemas.openxmlformats.org/officeDocument/2006/relationships/footer" Target="footer6.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杨玉鹏</dc:creator>
  <cp:revision>0</cp:revision>
  <dcterms:created xsi:type="dcterms:W3CDTF">2024-02-22T08:54:33Z</dcterms:created>
  <dcterms:modified xsi:type="dcterms:W3CDTF">2024-02-22T08:54:33Z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2023-10-20T00:00:00Z</vt:filetime>
  </property>
  <property fmtid="{D5CDD505-2E9C-101B-9397-08002B2CF9AE}" pid="3" name="Creator">
    <vt:lpwstr>WPS 文字</vt:lpwstr>
  </property>
  <property fmtid="{D5CDD505-2E9C-101B-9397-08002B2CF9AE}" pid="4" name="LastSaved">
    <vt:filetime>2024-02-22T00:00:00Z</vt:filetime>
  </property>
</Properties>
</file>