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高纯铟及氧化铟相关行业公司成立方案及可行性研究报告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_Toc18578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二、高纯铟及氧化铟筹建公司基本信息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_Toc5718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六、高纯铟及氧化铟项目风险分析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(一)、高纯铟及氧化铟项目风险分析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(二)、高纯铟及氧化铟项目风险对策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_Toc4371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(一)、高纯铟及氧化铟项目背景分析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7" w:history="1">
        <w:r>
          <w:rPr>
            <w:rFonts w:ascii="仿宋" w:eastAsia="仿宋" w:hAnsi="仿宋" w:cs="仿宋" w:hint="eastAsia"/>
            <w:lang w:eastAsia="zh-CN"/>
          </w:rPr>
          <w:t>(二)、高纯铟及氧化铟项目建设必要性分析</w:t>
        </w:r>
        <w:r>
          <w:tab/>
        </w:r>
        <w:r>
          <w:fldChar w:fldCharType="begin"/>
        </w:r>
        <w:r>
          <w:instrText xml:space="preserve"> PAGEREF _Toc28137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_Toc27674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(一)、高纯铟及氧化铟项目进度安排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3" w:history="1">
        <w:r>
          <w:rPr>
            <w:rFonts w:ascii="仿宋" w:eastAsia="仿宋" w:hAnsi="仿宋" w:cs="仿宋" w:hint="eastAsia"/>
            <w:lang w:eastAsia="zh-CN"/>
          </w:rPr>
          <w:t>(二)、高纯铟及氧化铟项目实施保障措施</w:t>
        </w:r>
        <w:r>
          <w:tab/>
        </w:r>
        <w:r>
          <w:fldChar w:fldCharType="begin"/>
        </w:r>
        <w:r>
          <w:instrText xml:space="preserve"> PAGEREF _Toc11483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(一)、社会责任高纯铟及氧化铟项目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2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79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01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https://d.book118.com/006233123240010041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高纯铟及氧化铟相关行业公司成立方案及可行性研究报告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高纯铟及氧化铟相关行业公司成立方案及可行性研究报告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高纯铟及氧化铟相关行业公司成立方案及可行性研究报告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高纯铟及氧化铟相关行业公司成立方案及可行性研究报告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高纯铟及氧化铟相关行业公司成立方案及可行性研究报告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6233123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2024-01-18T19:47:00Z</dcterms:created>
  <dcterms:modified xsi:type="dcterms:W3CDTF">2024-01-18T19:47:15Z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A1A81D0D88374E50BE58884262BAD926_11</vt:lpwstr>
  </property>
  <property fmtid="{D5CDD505-2E9C-101B-9397-08002B2CF9AE}" pid="3" name="KSOProductBuildVer">
    <vt:lpwstr>2052-12.1.0.16120</vt:lpwstr>
  </property>
</Properties>
</file>