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10909300</wp:posOffset>
            </wp:positionH>
            <wp:positionV relativeFrom="topMargin">
              <wp:posOffset>12052300</wp:posOffset>
            </wp:positionV>
            <wp:extent cx="266700" cy="482600"/>
            <wp:effectExtent l="0" t="0" r="0" b="0"/>
            <wp:wrapNone/>
            <wp:docPr id="100063" name="图片 10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实验探究02  练习使用用显微镜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0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目的要求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练习使用显微镜，学习规范的操作方法。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材料用具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光学显微镜，写有“上”字的玻片，动物或植物玻片标本，擦镜纸，纱布。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96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方法步骤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  <w:t>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ind w:left="360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1．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ab/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取镜和安放。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宋体" w:hAnsi="Courier New" w:cs="Courier New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（1）</w:t>
            </w:r>
            <w:r>
              <w:rPr>
                <w:rFonts w:ascii="Calibri" w:eastAsia="宋体" w:hAnsi="Calibri" w:cs="Times New Roman" w:hint="eastAsia"/>
              </w:rPr>
              <w:t>右手握住镜臂，左手托住镜座。</w:t>
            </w:r>
          </w:p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297815</wp:posOffset>
                  </wp:positionV>
                  <wp:extent cx="2686050" cy="1353185"/>
                  <wp:effectExtent l="0" t="0" r="0" b="0"/>
                  <wp:wrapTopAndBottom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1353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（2）</w:t>
            </w:r>
            <w:r>
              <w:rPr>
                <w:rFonts w:ascii="Calibri" w:eastAsia="宋体" w:hAnsi="Calibri" w:cs="Times New Roman" w:hint="eastAsia"/>
              </w:rPr>
              <w:t>把显微镜放在实验台上，略偏左，安装好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目镜</w:t>
            </w:r>
            <w:r>
              <w:rPr>
                <w:rFonts w:ascii="Calibri" w:eastAsia="宋体" w:hAnsi="Calibri" w:cs="Times New Roman" w:hint="eastAsia"/>
              </w:rPr>
              <w:t>和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物镜</w:t>
            </w:r>
            <w:r>
              <w:rPr>
                <w:rFonts w:ascii="Calibri" w:eastAsia="宋体" w:hAnsi="Calibri" w:cs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2．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ab/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对光。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（三转动）</w:t>
            </w:r>
          </w:p>
          <w:p>
            <w:pPr>
              <w:tabs>
                <w:tab w:val="left" w:pos="3402"/>
              </w:tabs>
              <w:snapToGrid w:val="0"/>
              <w:spacing w:line="360" w:lineRule="auto"/>
              <w:ind w:left="360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（1）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转动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转换器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，使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低倍物镜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对准通光孔。注意，物镜的前端与载物台要保持2厘米的距离。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533400</wp:posOffset>
                  </wp:positionV>
                  <wp:extent cx="2178050" cy="1083310"/>
                  <wp:effectExtent l="0" t="0" r="0" b="2540"/>
                  <wp:wrapTopAndBottom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050" cy="1083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（2）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再转动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遮光器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，把一个较大的光圈对准通光孔。左眼注视目镜内，右眼睁开，便于以后观察画图。最后转动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反光镜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，看到明亮视野。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3．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观察。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（一放一降二转动）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（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1）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安装装片：把所要观察的载玻片放到载物台上，用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压片夹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压住，标本要正对通光孔。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（2）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调焦：转动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粗准焦螺旋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，使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镜筒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缓缓下降，眼睛看着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物镜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以免物镜碰到玻片标本，从而压坏玻片标本或损坏物镜，直到物镜接近载玻片。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（3）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观察物像：左眼向目镜内看，同时反向转动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粗准焦焦螺旋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，使镜筒缓缓上升，直到找到物像，物像不清晰，再调节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em w:val="dot"/>
              </w:rPr>
              <w:t>细准焦螺旋</w:t>
            </w: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t>，使物像更加清晰。</w:t>
            </w:r>
          </w:p>
        </w:tc>
      </w:tr>
    </w:tbl>
    <w:p>
      <w:p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10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3．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观察。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（一放一降二转动）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Calibri" w:eastAsia="宋体" w:hAnsi="Calibri" w:cs="Times New Roman"/>
                <w:color w:val="000000"/>
                <w:szCs w:val="21"/>
                <w:u w:color="000000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  <w:u w:color="00000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-2389505</wp:posOffset>
                  </wp:positionH>
                  <wp:positionV relativeFrom="paragraph">
                    <wp:posOffset>99060</wp:posOffset>
                  </wp:positionV>
                  <wp:extent cx="2985770" cy="1181100"/>
                  <wp:effectExtent l="0" t="0" r="5080" b="0"/>
                  <wp:wrapSquare wrapText="bothSides"/>
                  <wp:docPr id="224" name="图片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图片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77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99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4．观察完毕后，正确收放显微镜，然后整理实验台。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498pt;height:413.25pt;margin-top:43.05pt;margin-left:-5.85pt;mso-height-relative:margin;mso-width-relative:margin;mso-wrap-distance-bottom:0;mso-wrap-distance-top:0;position:absolute;z-index:251663360" coordsize="21600,21600" filled="f" stroked="t" strokecolor="#c2317e">
            <v:stroke dashstyle="longDash"/>
            <v:textbox>
              <w:txbxContent>
                <w:p>
                  <w:pPr>
                    <w:spacing w:line="360" w:lineRule="auto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（1）对光和亮度的调节</w:t>
                  </w:r>
                </w:p>
                <w:tbl>
                  <w:tblPr>
                    <w:tblStyle w:val="TableNormal"/>
                    <w:tblW w:w="0" w:type="auto"/>
                    <w:tblInd w:w="886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  <w:insideH w:val="single" w:sz="4" w:space="0" w:color="231F20"/>
                      <w:insideV w:val="single" w:sz="4" w:space="0" w:color="231F2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276"/>
                    <w:gridCol w:w="866"/>
                    <w:gridCol w:w="1071"/>
                  </w:tblGrid>
                  <w:tr>
                    <w:tblPrEx>
                      <w:tblW w:w="0" w:type="auto"/>
                      <w:tblInd w:w="886" w:type="dxa"/>
                      <w:tblBorders>
                        <w:top w:val="single" w:sz="4" w:space="0" w:color="231F20"/>
                        <w:left w:val="single" w:sz="4" w:space="0" w:color="231F20"/>
                        <w:bottom w:val="single" w:sz="4" w:space="0" w:color="231F20"/>
                        <w:right w:val="single" w:sz="4" w:space="0" w:color="231F20"/>
                        <w:insideH w:val="single" w:sz="4" w:space="0" w:color="231F20"/>
                        <w:insideV w:val="single" w:sz="4" w:space="0" w:color="231F2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7"/>
                    </w:trPr>
                    <w:tc>
                      <w:tcPr>
                        <w:tcW w:w="127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</w:pPr>
                        <w:r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  <w:t>视野亮度</w:t>
                        </w:r>
                      </w:p>
                    </w:tc>
                    <w:tc>
                      <w:tcPr>
                        <w:tcW w:w="86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</w:pPr>
                        <w:r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  <w:t>光圈</w:t>
                        </w:r>
                      </w:p>
                    </w:tc>
                    <w:tc>
                      <w:tcPr>
                        <w:tcW w:w="1071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</w:pPr>
                        <w:r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  <w:t>反光镜</w:t>
                        </w:r>
                      </w:p>
                    </w:tc>
                  </w:tr>
                  <w:tr>
                    <w:tblPrEx>
                      <w:tblW w:w="0" w:type="auto"/>
                      <w:tblInd w:w="886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7"/>
                    </w:trPr>
                    <w:tc>
                      <w:tcPr>
                        <w:tcW w:w="127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</w:pPr>
                        <w:r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  <w:t>亮</w:t>
                        </w:r>
                      </w:p>
                    </w:tc>
                    <w:tc>
                      <w:tcPr>
                        <w:tcW w:w="86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val="single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color w:val="0070C0"/>
                            <w:em w:val="dot"/>
                          </w:rPr>
                          <w:t>大</w:t>
                        </w:r>
                      </w:p>
                    </w:tc>
                    <w:tc>
                      <w:tcPr>
                        <w:tcW w:w="1071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val="single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color w:val="0070C0"/>
                            <w:em w:val="dot"/>
                          </w:rPr>
                          <w:t>凹面镜</w:t>
                        </w:r>
                      </w:p>
                    </w:tc>
                  </w:tr>
                  <w:tr>
                    <w:tblPrEx>
                      <w:tblW w:w="0" w:type="auto"/>
                      <w:tblInd w:w="886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7"/>
                    </w:trPr>
                    <w:tc>
                      <w:tcPr>
                        <w:tcW w:w="127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</w:pPr>
                        <w:r>
                          <w:rPr>
                            <w:rFonts w:ascii="Calibri" w:eastAsia="宋体" w:hAnsi="Calibri" w:cs="Times New Roman"/>
                            <w:color w:val="000000"/>
                            <w:szCs w:val="21"/>
                            <w:u w:color="000000"/>
                          </w:rPr>
                          <w:t>暗</w:t>
                        </w:r>
                      </w:p>
                    </w:tc>
                    <w:tc>
                      <w:tcPr>
                        <w:tcW w:w="866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FF0000"/>
                            <w:szCs w:val="21"/>
                            <w:u w:val="single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color w:val="0070C0"/>
                            <w:em w:val="dot"/>
                          </w:rPr>
                          <w:t>小</w:t>
                        </w:r>
                      </w:p>
                    </w:tc>
                    <w:tc>
                      <w:tcPr>
                        <w:tcW w:w="1071" w:type="dxa"/>
                        <w:shd w:val="clear" w:color="auto" w:fill="auto"/>
                      </w:tcPr>
                      <w:p>
                        <w:pPr>
                          <w:adjustRightInd w:val="0"/>
                          <w:snapToGrid w:val="0"/>
                          <w:spacing w:line="360" w:lineRule="auto"/>
                          <w:rPr>
                            <w:rFonts w:ascii="Calibri" w:eastAsia="宋体" w:hAnsi="Calibri" w:cs="Times New Roman"/>
                            <w:color w:val="FF0000"/>
                            <w:szCs w:val="21"/>
                            <w:u w:val="single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b/>
                            <w:bCs/>
                            <w:color w:val="0070C0"/>
                            <w:em w:val="dot"/>
                          </w:rPr>
                          <w:t>平面镜</w:t>
                        </w:r>
                      </w:p>
                    </w:tc>
                  </w:tr>
                </w:tbl>
                <w:p>
                  <w:pPr>
                    <w:spacing w:line="360" w:lineRule="auto"/>
                    <w:jc w:val="left"/>
                    <w:textAlignment w:val="center"/>
                    <w:rPr>
                      <w:rFonts w:ascii="黑体" w:eastAsia="黑体" w:hAnsi="黑体" w:cs="Times New Roman"/>
                      <w:color w:val="0070C0"/>
                      <w:szCs w:val="21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2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显微镜的使用步骤：取镜和安放→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对光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→观察→收镜。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宋体" w:eastAsia="宋体" w:hAnsi="宋体" w:cs="Times New Roman"/>
                      <w:color w:val="000000"/>
                      <w:szCs w:val="21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</w:rPr>
                    <w:t>3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）光线经过的路径：反光镜→光圈→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通光孔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→玻片→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物镜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→镜筒→目镜。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</w:rPr>
                    <w:t>4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）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szCs w:val="21"/>
                    </w:rPr>
                    <w:t>显微镜放大倍数＝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目镜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szCs w:val="21"/>
                    </w:rPr>
                    <w:t>的放大倍数×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物镜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szCs w:val="21"/>
                    </w:rPr>
                    <w:t>的放大倍数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ind w:firstLine="420" w:firstLineChars="200"/>
                    <w:rPr>
                      <w:rFonts w:ascii="宋体" w:eastAsia="宋体" w:hAnsi="宋体" w:cs="Times New Roman"/>
                      <w:color w:val="000000"/>
                      <w:szCs w:val="21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①显微镜的放大倍数越大，观察到的细胞数目越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少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，物像越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大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，视野越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暗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ind w:firstLine="420" w:firstLineChars="200"/>
                    <w:rPr>
                      <w:rFonts w:ascii="Times New Roman" w:eastAsia="宋体" w:hAnsi="Times New Roman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②物镜镜头越长，放大倍数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大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；目镜镜头越长，放大倍数越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小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Times New Roman" w:eastAsia="宋体" w:hAnsi="Times New Roman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5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）显微镜成像的特点：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成倒立、放大的像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。（例：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p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→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d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6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）显微镜视野中较偏的物像移动到视野中央的方法：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物像偏向哪个方向就向哪个方向移动玻片。（例：像在视野左上方，玻片向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左上方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移动。）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7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）污点位置的判断：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ind w:firstLine="315" w:firstLineChars="150"/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①污点存在位置：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目镜、物镜、玻片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ind w:firstLine="315" w:firstLineChars="150"/>
                    <w:rPr>
                      <w:rFonts w:ascii="Times New Roman" w:eastAsia="宋体" w:hAnsi="Times New Roman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②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szCs w:val="21"/>
                      <w:u w:color="000000"/>
                    </w:rPr>
                    <w:t>判断方法：移动法。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Cs w:val="21"/>
                      <w:u w:color="000000"/>
                    </w:rPr>
                    <w:drawing>
                      <wp:inline distT="0" distB="0" distL="0" distR="0">
                        <wp:extent cx="2505075" cy="579120"/>
                        <wp:effectExtent l="0" t="0" r="0" b="0"/>
                        <wp:docPr id="227" name="图片 2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7" name="图片 2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18" cstate="print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75579" cy="5957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8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）下降镜筒时眼睛要从侧面看着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</w:rPr>
                    <w:t>物镜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，避免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压碎玻片标本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。</w:t>
                  </w:r>
                </w:p>
                <w:p>
                  <w:pPr>
                    <w:adjustRightInd w:val="0"/>
                    <w:snapToGrid w:val="0"/>
                    <w:spacing w:line="360" w:lineRule="auto"/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（</w:t>
                  </w:r>
                  <w:r>
                    <w:rPr>
                      <w:rFonts w:ascii="宋体" w:eastAsia="宋体" w:hAnsi="宋体" w:cs="Times New Roman"/>
                      <w:color w:val="000000"/>
                      <w:szCs w:val="21"/>
                      <w:u w:color="000000"/>
                    </w:rPr>
                    <w:t>9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）擦拭物镜和目镜，请用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擦镜纸</w:t>
                  </w:r>
                  <w:r>
                    <w:rPr>
                      <w:rFonts w:ascii="宋体" w:eastAsia="宋体" w:hAnsi="宋体" w:cs="Times New Roman" w:hint="eastAsia"/>
                      <w:color w:val="000000"/>
                      <w:szCs w:val="21"/>
                      <w:u w:color="000000"/>
                    </w:rPr>
                    <w:t>。</w:t>
                  </w:r>
                </w:p>
                <w:p>
                  <w:pPr>
                    <w:spacing w:line="360" w:lineRule="auto"/>
                    <w:ind w:firstLine="105" w:firstLineChars="50"/>
                    <w:rPr>
                      <w:rFonts w:ascii="Times New Roman" w:hAnsi="Times New Roman" w:cs="Times New Roman"/>
                      <w:szCs w:val="21"/>
                    </w:rPr>
                  </w:pPr>
                </w:p>
                <w:p>
                  <w:pPr>
                    <w:spacing w:line="360" w:lineRule="auto"/>
                    <w:ind w:firstLine="105" w:firstLineChars="50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bookmarkStart w:id="0" w:name="_Hlk145618279"/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bookmarkEnd w:id="0"/>
      <w:r>
        <w:rPr>
          <w:rFonts w:ascii="Times New Roman" w:eastAsia="宋体" w:hAnsi="Times New Roman" w:cs="Times New Roman"/>
          <w:szCs w:val="22"/>
        </w:rPr>
        <w:t>实验室有如下一些镜头可供选择，要使观察的物体放大50倍，应选择的镜头为（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467100" cy="1000125"/>
            <wp:effectExtent l="0" t="0" r="0" b="0"/>
            <wp:docPr id="2" name="图片 2" descr="@@@bee80ddb-0d47-4eea-b1a8-02d312e65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bee80ddb-0d47-4eea-b1a8-02d312e656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和</w:t>
      </w:r>
      <w:r>
        <w:rPr>
          <w:rFonts w:ascii="宋体" w:eastAsia="宋体" w:hAnsi="宋体" w:cs="宋体" w:hint="eastAsia"/>
          <w:szCs w:val="22"/>
        </w:rPr>
        <w:t>⑤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和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和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和</w:t>
      </w:r>
      <w:r>
        <w:rPr>
          <w:rFonts w:ascii="宋体" w:eastAsia="宋体" w:hAnsi="宋体" w:cs="宋体" w:hint="eastAsia"/>
          <w:szCs w:val="22"/>
        </w:rPr>
        <w:t>⑤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2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如图为显微镜结构示意图，请据图回答：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1971675" cy="239077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(1)我们对光时要使对准通光孔；用显微镜观察制作好的临时装片，在镜下已经找到观察物，如果要使物像更清晰些，应调节显微镜的[　]。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(2)正常情况用显微镜观察时，眼睛和镜筒的相关位置应该是如图的（　　）</w:t>
      </w:r>
    </w:p>
    <w:p>
      <w:pPr>
        <w:tabs>
          <w:tab w:val="left" w:pos="2078"/>
          <w:tab w:val="left" w:pos="3735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904875" cy="771525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1047750" cy="8001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8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895350" cy="7620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</w:t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866775" cy="73342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(3)如果目镜上标有5×，物镜上标有40×，则显微镜观察到的物体被放大的倍数是倍；如果物镜有10×和40×，目镜相同，那么用的物镜观察视野更亮。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(4)要使镜筒在较大的范围内升降，应旋转的部位是；当外界的光线较弱，我们需要使用大光圈和。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(5)在使用显微镜的过程中，下列操作不能改变视野亮度的是（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A．更换物镜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B．调节光圈大小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C．移动玻片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D．翻转反光镜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(6)如果观察的物像位于视野的右上方，应将玻片向移动，使之位于视野中央。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(7)对光时应首先转动，使图中的低倍对准通光孔.</w:t>
      </w:r>
    </w:p>
    <w:p>
      <w:pPr>
        <w:pStyle w:val="PlainText"/>
        <w:shd w:val="clear" w:color="auto" w:fill="FFFFFF" w:themeFill="background1"/>
        <w:spacing w:after="240" w:line="360" w:lineRule="auto"/>
        <w:jc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2023秋·辽宁抚顺·七年级校考期中</w:t>
      </w:r>
      <w:r>
        <w:rPr>
          <w:rFonts w:ascii="Times New Roman" w:eastAsia="宋体" w:hAnsi="Times New Roman" w:cs="Times New Roman"/>
          <w:szCs w:val="22"/>
        </w:rPr>
        <w:t>）用显微镜进行观察时，若光线太暗，应选用（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A．大光圈，凹面镜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B．大光圈，平面镜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C．小光圈，凹面镜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D．小光圈，平面镜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2023春·江苏苏州·七年级统考期末</w:t>
      </w:r>
      <w:r>
        <w:rPr>
          <w:rFonts w:ascii="Times New Roman" w:eastAsia="宋体" w:hAnsi="Times New Roman" w:cs="Times New Roman"/>
          <w:szCs w:val="22"/>
        </w:rPr>
        <w:t>）小丁同学观察洋葱鳞片叶内表皮细胞时看到的图像如下图所示，他可以进行的操作是（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1209675" cy="11049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A．将玻片标本向右上方移，避开气泡B．将玻片标本向左下方移，避开气泡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C．将玻片标本向左上方移，避开气泡D．将玻片标本向右上方移，避开气泡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2023春·江苏苏州·七年级统考期末</w:t>
      </w:r>
      <w:r>
        <w:rPr>
          <w:rFonts w:ascii="Times New Roman" w:eastAsia="宋体" w:hAnsi="Times New Roman" w:cs="Times New Roman"/>
          <w:szCs w:val="22"/>
        </w:rPr>
        <w:t>）小陈同学面对显微镜有点慌乱，她忘了显微镜的操作步骤，请指导她正确的步骤是（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248025" cy="1781175"/>
            <wp:effectExtent l="0" t="0" r="0" b="0"/>
            <wp:docPr id="5" name="图片 5" descr="@@@e8a22eb6-5d83-4be4-b000-ed9413fbdb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e8a22eb6-5d83-4be4-b000-ed9413fbdb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①②③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②①③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②③①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③①②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2023春·湖北咸宁·七年级统考期末</w:t>
      </w:r>
      <w:r>
        <w:rPr>
          <w:rFonts w:ascii="Times New Roman" w:eastAsia="宋体" w:hAnsi="Times New Roman" w:cs="Times New Roman"/>
          <w:szCs w:val="22"/>
        </w:rPr>
        <w:t>）下图为不同放大倍数的显微镜的目镜和物镜。用显微镜观察洋葱鳞片叶内表皮细胞时，要想视野中看到的细胞体积最大，应选择的目镜和物镜组合是（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943225" cy="1057275"/>
            <wp:effectExtent l="0" t="0" r="0" b="0"/>
            <wp:docPr id="16" name="图片 16" descr="@@@38caa175-d73a-40c3-89a9-958199a8e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38caa175-d73a-40c3-89a9-958199a8e8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①②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②③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③④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①④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2023秋·湖北随州·七年级统考期末</w:t>
      </w:r>
      <w:r>
        <w:rPr>
          <w:rFonts w:ascii="Times New Roman" w:eastAsia="宋体" w:hAnsi="Times New Roman" w:cs="Times New Roman"/>
          <w:szCs w:val="22"/>
        </w:rPr>
        <w:t>）用显微镜观察洋葱表皮细胞，观察细胞数目最多的目镜、物镜组合是（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A．目镜10x、物镜10x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B．目镜5x、物镜10x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C．目镜10x、物镜40x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D．目镜5x、物镜40x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2023秋·广东江门·七年级统考期末</w:t>
      </w:r>
      <w:r>
        <w:rPr>
          <w:rFonts w:ascii="Times New Roman" w:eastAsia="宋体" w:hAnsi="Times New Roman" w:cs="Times New Roman"/>
          <w:szCs w:val="22"/>
        </w:rPr>
        <w:t>）下列是模拟实验操作考试时，在显微镜使用过程中遇到的问题与对应的解决办法，正确的是（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A．视野较暗——改用大光圈和凹面镜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B．镜头污染——用干净的纱布擦拭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C．物像模糊——调节粗准焦螺旋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D．物像偏右下方——向左上方移动玻片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2023秋·广西河池·七年级统考期中</w:t>
      </w:r>
      <w:r>
        <w:rPr>
          <w:rFonts w:ascii="Times New Roman" w:eastAsia="宋体" w:hAnsi="Times New Roman" w:cs="Times New Roman"/>
          <w:szCs w:val="22"/>
        </w:rPr>
        <w:t>）学会使用显微镜，我们就可以用它来观察研究细胞，下图是显微镜结构图如图，请回答下列问题：（请在[]填相应字母序号，在上填相应结构名称）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009775" cy="1762125"/>
            <wp:effectExtent l="0" t="0" r="0" b="0"/>
            <wp:docPr id="17" name="图片 17" descr="@@@9d9ce407bbcd43bba8acdb139facce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@@@9d9ce407bbcd43bba8acdb139facce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(1)对光时，应选用（填“低倍”或“高倍”）镜头。眼睛注视[c]内的视野，双手转动[]，调节光线的反射角度，直至视野出现明亮的光圈。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放置玻片标本，使观察的部位正对通光孔的正中央，用压片夹固定玻片标本。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(2)眼睛注视物镜，顺时针转动[]粗准焦螺旋，缓慢下降镜筒，直至它接近玻片标本，以免压破玻片。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(3)眼睛注视目镜内的视野，逆时针转动粗准焦螺旋，缓慢上升镜筒，直至视野出现物像。再转动[b]，镜筒的升降范围较小，使物像更加清晰。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2023秋·山东滨州·七年级统考期末</w:t>
      </w:r>
      <w:r>
        <w:rPr>
          <w:rFonts w:ascii="Times New Roman" w:eastAsia="宋体" w:hAnsi="Times New Roman" w:cs="Times New Roman"/>
          <w:szCs w:val="22"/>
        </w:rPr>
        <w:t>）为了能够清晰观察到叶片表皮上的气孔，小花同学使用显微镜对叶片临时切片进行了观察。请回答实验过程中的有关问题：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5278120" cy="181038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10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(1)用图一所示显微镜观察时，在对光过程中应转动[3]，使对准通光孔。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(2)小花在进行观察时，转动[14]使镜筒下降，图二中的图是正确操作方法；小花在视野中央看到一个“p”，实际在玻片上写的是。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(3)小花发现视野中有一污点，转动目镜污点跟着移动，可判断污点在图一中的[</w:t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  <w:r>
        <w:rPr>
          <w:rFonts w:ascii="Times New Roman" w:eastAsia="宋体" w:hAnsi="Times New Roman" w:cs="Times New Roman"/>
          <w:szCs w:val="22"/>
        </w:rPr>
        <w:t>]上，此时正确的处理方法是将它取下，用擦拭干净后，放回原处再继续观察。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(4)图三中</w:t>
      </w:r>
      <w:r>
        <w:rPr>
          <w:rFonts w:ascii="宋体" w:eastAsia="宋体" w:hAnsi="宋体" w:cs="宋体" w:hint="eastAsia"/>
          <w:szCs w:val="22"/>
        </w:rPr>
        <w:t>①②</w:t>
      </w:r>
      <w:r>
        <w:rPr>
          <w:rFonts w:ascii="Times New Roman" w:eastAsia="宋体" w:hAnsi="Times New Roman" w:cs="Times New Roman"/>
          <w:szCs w:val="22"/>
        </w:rPr>
        <w:t>表示目镜，</w:t>
      </w:r>
      <w:r>
        <w:rPr>
          <w:rFonts w:ascii="宋体" w:eastAsia="宋体" w:hAnsi="宋体" w:cs="宋体" w:hint="eastAsia"/>
          <w:szCs w:val="22"/>
        </w:rPr>
        <w:t>③④</w:t>
      </w:r>
      <w:r>
        <w:rPr>
          <w:rFonts w:ascii="Times New Roman" w:eastAsia="宋体" w:hAnsi="Times New Roman" w:cs="Times New Roman"/>
          <w:szCs w:val="22"/>
        </w:rPr>
        <w:t>表示物镜，</w:t>
      </w:r>
      <w:r>
        <w:rPr>
          <w:rFonts w:ascii="宋体" w:eastAsia="宋体" w:hAnsi="宋体" w:cs="宋体" w:hint="eastAsia"/>
          <w:szCs w:val="22"/>
        </w:rPr>
        <w:t>⑤⑥</w:t>
      </w:r>
      <w:r>
        <w:rPr>
          <w:rFonts w:ascii="Times New Roman" w:eastAsia="宋体" w:hAnsi="Times New Roman" w:cs="Times New Roman"/>
          <w:szCs w:val="22"/>
        </w:rPr>
        <w:t>表示物镜与载玻片之间的距离。若使物像放大倍数最大，图三中的组合一般是_____。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https://d.book118.com/007015165011006041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52"/>
      <w:headerReference w:type="default" r:id="rId53"/>
      <w:footerReference w:type="even" r:id="rId54"/>
      <w:footerReference w:type="default" r:id="rId55"/>
      <w:headerReference w:type="first" r:id="rId56"/>
      <w:footerReference w:type="first" r:id="rId57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46021"/>
    <w:rsid w:val="000573A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2F2C"/>
    <w:rsid w:val="002D18C7"/>
    <w:rsid w:val="002D4C1F"/>
    <w:rsid w:val="002D5128"/>
    <w:rsid w:val="002D70D2"/>
    <w:rsid w:val="00314096"/>
    <w:rsid w:val="0031694A"/>
    <w:rsid w:val="00325BF6"/>
    <w:rsid w:val="0033581B"/>
    <w:rsid w:val="00344047"/>
    <w:rsid w:val="003509F3"/>
    <w:rsid w:val="003648BD"/>
    <w:rsid w:val="00380C33"/>
    <w:rsid w:val="003867BB"/>
    <w:rsid w:val="003B2240"/>
    <w:rsid w:val="003B6C3A"/>
    <w:rsid w:val="003C66EB"/>
    <w:rsid w:val="003C7BC3"/>
    <w:rsid w:val="003F03C8"/>
    <w:rsid w:val="004151FC"/>
    <w:rsid w:val="0042207C"/>
    <w:rsid w:val="004231B4"/>
    <w:rsid w:val="00425A9E"/>
    <w:rsid w:val="00440C6C"/>
    <w:rsid w:val="004702B8"/>
    <w:rsid w:val="00472F49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969E1"/>
    <w:rsid w:val="005A5A9E"/>
    <w:rsid w:val="005B7FF1"/>
    <w:rsid w:val="005F1376"/>
    <w:rsid w:val="005F2C7C"/>
    <w:rsid w:val="00606FF3"/>
    <w:rsid w:val="00617A14"/>
    <w:rsid w:val="00634C18"/>
    <w:rsid w:val="0065351F"/>
    <w:rsid w:val="0066481B"/>
    <w:rsid w:val="00670394"/>
    <w:rsid w:val="006842FA"/>
    <w:rsid w:val="006928AE"/>
    <w:rsid w:val="00696F58"/>
    <w:rsid w:val="006B1081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56068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911664"/>
    <w:rsid w:val="00921F15"/>
    <w:rsid w:val="00923750"/>
    <w:rsid w:val="0093021B"/>
    <w:rsid w:val="00944D96"/>
    <w:rsid w:val="00957C97"/>
    <w:rsid w:val="00965FDC"/>
    <w:rsid w:val="00976E05"/>
    <w:rsid w:val="00977B98"/>
    <w:rsid w:val="009E289E"/>
    <w:rsid w:val="009E2DE2"/>
    <w:rsid w:val="009F28E6"/>
    <w:rsid w:val="00A060BA"/>
    <w:rsid w:val="00A13883"/>
    <w:rsid w:val="00A208AE"/>
    <w:rsid w:val="00A24BAD"/>
    <w:rsid w:val="00A370E8"/>
    <w:rsid w:val="00A5596C"/>
    <w:rsid w:val="00A60CC7"/>
    <w:rsid w:val="00A617B1"/>
    <w:rsid w:val="00A706DC"/>
    <w:rsid w:val="00A714CF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C23F9"/>
    <w:rsid w:val="00BD6019"/>
    <w:rsid w:val="00BF355F"/>
    <w:rsid w:val="00C02FC6"/>
    <w:rsid w:val="00C33162"/>
    <w:rsid w:val="00C3401D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56F87"/>
    <w:rsid w:val="00D628CE"/>
    <w:rsid w:val="00D712C9"/>
    <w:rsid w:val="00DA2834"/>
    <w:rsid w:val="00DF3B2A"/>
    <w:rsid w:val="00DF5230"/>
    <w:rsid w:val="00E0444A"/>
    <w:rsid w:val="00E05AD4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42DC"/>
    <w:rsid w:val="00ED318D"/>
    <w:rsid w:val="00EF533F"/>
    <w:rsid w:val="00F01406"/>
    <w:rsid w:val="00F03E05"/>
    <w:rsid w:val="00F11B66"/>
    <w:rsid w:val="00F246D7"/>
    <w:rsid w:val="00F44171"/>
    <w:rsid w:val="00F5377F"/>
    <w:rsid w:val="00F61182"/>
    <w:rsid w:val="00F85760"/>
    <w:rsid w:val="00F86E86"/>
    <w:rsid w:val="00F93E42"/>
    <w:rsid w:val="00FB1702"/>
    <w:rsid w:val="00FE4F23"/>
    <w:rsid w:val="00FE7FFA"/>
    <w:rsid w:val="0F5D1CFF"/>
    <w:rsid w:val="190E0B7B"/>
    <w:rsid w:val="41CF5EFF"/>
    <w:rsid w:val="465231D2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10">
    <w:name w:val="网格型1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网格型1_0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7.jpe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header" Target="header7.xml" /><Relationship Id="rId35" Type="http://schemas.openxmlformats.org/officeDocument/2006/relationships/header" Target="header8.xml" /><Relationship Id="rId36" Type="http://schemas.openxmlformats.org/officeDocument/2006/relationships/footer" Target="footer7.xml" /><Relationship Id="rId37" Type="http://schemas.openxmlformats.org/officeDocument/2006/relationships/footer" Target="footer8.xm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header" Target="header10.xml" /><Relationship Id="rId44" Type="http://schemas.openxmlformats.org/officeDocument/2006/relationships/header" Target="header11.xml" /><Relationship Id="rId45" Type="http://schemas.openxmlformats.org/officeDocument/2006/relationships/footer" Target="footer10.xml" /><Relationship Id="rId46" Type="http://schemas.openxmlformats.org/officeDocument/2006/relationships/footer" Target="footer11.xml" /><Relationship Id="rId47" Type="http://schemas.openxmlformats.org/officeDocument/2006/relationships/header" Target="header12.xml" /><Relationship Id="rId48" Type="http://schemas.openxmlformats.org/officeDocument/2006/relationships/footer" Target="footer12.xml" /><Relationship Id="rId49" Type="http://schemas.openxmlformats.org/officeDocument/2006/relationships/image" Target="media/image21.png" /><Relationship Id="rId5" Type="http://schemas.openxmlformats.org/officeDocument/2006/relationships/image" Target="media/image1.png" /><Relationship Id="rId50" Type="http://schemas.openxmlformats.org/officeDocument/2006/relationships/image" Target="media/image22.png" /><Relationship Id="rId51" Type="http://schemas.openxmlformats.org/officeDocument/2006/relationships/hyperlink" Target="https://d.book118.com/007015165011006041" TargetMode="External" /><Relationship Id="rId52" Type="http://schemas.openxmlformats.org/officeDocument/2006/relationships/header" Target="header13.xml" /><Relationship Id="rId53" Type="http://schemas.openxmlformats.org/officeDocument/2006/relationships/header" Target="header14.xml" /><Relationship Id="rId54" Type="http://schemas.openxmlformats.org/officeDocument/2006/relationships/footer" Target="footer13.xml" /><Relationship Id="rId55" Type="http://schemas.openxmlformats.org/officeDocument/2006/relationships/footer" Target="footer14.xml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1313</TotalTime>
  <Pages>5</Pages>
  <Words>2011</Words>
  <Characters>11469</Characters>
  <Application>Microsoft Office Word</Application>
  <DocSecurity>0</DocSecurity>
  <Lines>95</Lines>
  <Paragraphs>26</Paragraphs>
  <ScaleCrop>false</ScaleCrop>
  <Company/>
  <LinksUpToDate>false</LinksUpToDate>
  <CharactersWithSpaces>13454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72B320FBF7DB48D0B28C6A50AE967646_12</vt:lpwstr>
  </property>
  <property fmtid="{D5CDD505-2E9C-101B-9397-08002B2CF9AE}" pid="7" name="KSOProductBuildVer">
    <vt:lpwstr>2052-12.1.0.15990</vt:lpwstr>
  </property>
</Properties>
</file>