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57B83" w:rsidP="00457B83" w14:paraId="2FB197D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57B83">
        <w:rPr>
          <w:rFonts w:ascii="华文中宋" w:eastAsia="华文中宋" w:hAnsi="华文中宋"/>
          <w:b/>
          <w:sz w:val="30"/>
        </w:rPr>
        <w:t>2023</w:t>
      </w:r>
      <w:r w:rsidRPr="00457B83">
        <w:rPr>
          <w:rFonts w:ascii="华文中宋" w:eastAsia="华文中宋" w:hAnsi="华文中宋"/>
          <w:b/>
          <w:sz w:val="30"/>
        </w:rPr>
        <w:t>浙江金华市教育局直属学校面向</w:t>
      </w:r>
      <w:r w:rsidRPr="00457B83">
        <w:rPr>
          <w:rFonts w:ascii="华文中宋" w:eastAsia="华文中宋" w:hAnsi="华文中宋"/>
          <w:b/>
          <w:sz w:val="30"/>
        </w:rPr>
        <w:t>2024</w:t>
      </w:r>
      <w:r w:rsidRPr="00457B83">
        <w:rPr>
          <w:rFonts w:ascii="华文中宋" w:eastAsia="华文中宋" w:hAnsi="华文中宋"/>
          <w:b/>
          <w:sz w:val="30"/>
        </w:rPr>
        <w:t>届毕业生招聘事业编制教师</w:t>
      </w:r>
      <w:r w:rsidRPr="00457B83">
        <w:rPr>
          <w:rFonts w:ascii="华文中宋" w:eastAsia="华文中宋" w:hAnsi="华文中宋"/>
          <w:b/>
          <w:sz w:val="30"/>
        </w:rPr>
        <w:t>14</w:t>
      </w:r>
      <w:r w:rsidRPr="00457B83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4B19C67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6E00DD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4C7FAA9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《党政机关公文处理工作条例》规定，公文办理包括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8BFAF7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、发文办理、收文办理、整理归档</w:t>
      </w:r>
    </w:p>
    <w:p w:rsidR="00AD1216" w14:paraId="4CBADE1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、起草、审核、签发</w:t>
      </w:r>
    </w:p>
    <w:p w:rsidR="00AD1216" w14:paraId="37E7EAB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、交拟、拟议、签发</w:t>
      </w:r>
    </w:p>
    <w:p w:rsidR="00AD1216" w14:paraId="5724ECD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、登记、承办、分发</w:t>
      </w:r>
    </w:p>
    <w:p w:rsidR="00AD1216" w14:paraId="3E9FA77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0DE8372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公文办理包括收文办理、发文办理和整理归档。故选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098B27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一切影响沟通的消极、负面、阻碍因素，在管理学中称为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D03CDF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、沟通失真</w:t>
      </w:r>
    </w:p>
    <w:p w:rsidR="00AD1216" w14:paraId="36010F7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、沟通损耗</w:t>
      </w:r>
    </w:p>
    <w:p w:rsidR="00AD1216" w14:paraId="61BB0B7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、沟通噪音</w:t>
      </w:r>
    </w:p>
    <w:p w:rsidR="00AD1216" w14:paraId="5FB2C54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、背景噪音</w:t>
      </w:r>
    </w:p>
    <w:p w:rsidR="00AD1216" w14:paraId="6846AC0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7A4258B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噪音是影响沟通的一切消极、负面因素。通常可以把沟通噪音定义为妨碍资讯沟通的任何因素。它存在于沟通过程的各个环节，并有可能造成资讯损耗或失真。典型的噪音主要包括发送噪音、传输噪音、接受噪音、系统噪音、环境噪音和背景噪音及数量噪音七大噪音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E524BF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我国现行立法采取的是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立法观点。</w:t>
      </w:r>
    </w:p>
    <w:p w:rsidR="00AD1216" w14:paraId="1638CA0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、民商分立</w:t>
      </w:r>
    </w:p>
    <w:p w:rsidR="00AD1216" w14:paraId="1BAA2D3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、民商合一</w:t>
      </w:r>
    </w:p>
    <w:p w:rsidR="00AD1216" w14:paraId="6A95F1F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、民法优先</w:t>
      </w:r>
    </w:p>
    <w:p w:rsidR="00AD1216" w14:paraId="15719B0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、商事优先</w:t>
      </w:r>
    </w:p>
    <w:p w:rsidR="00AD1216" w14:paraId="4254474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363E9D4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项错误，民商分立是指在民法典之外，另行制定商法典，民法典与商法典并存。采用民商分立的国家主要有法国、德国、日本以及以它们为模板的许多大陆法系国家。我国并未采取民商分立的立法观点。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项正确，民商合一是指民事和商事统一立法，将商事方面的内容编入民法典中，或以单行法规的形式出现。我国采取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民商合一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的立法形式，其理由在于：</w:t>
      </w:r>
      <w:r w:rsidRPr="00AD1216">
        <w:rPr>
          <w:rFonts w:ascii="微软雅黑" w:eastAsia="微软雅黑" w:cs="微软雅黑"/>
          <w:szCs w:val="14"/>
        </w:rPr>
        <w:t>1.</w:t>
      </w:r>
      <w:r w:rsidRPr="00AD1216">
        <w:rPr>
          <w:rFonts w:ascii="微软雅黑" w:eastAsia="微软雅黑" w:cs="微软雅黑"/>
          <w:szCs w:val="14"/>
        </w:rPr>
        <w:t>由于民法的商事化和商法的民事化，已经使得民商法的关系愈加密切</w:t>
      </w:r>
      <w:r w:rsidRPr="00AD1216">
        <w:rPr>
          <w:rFonts w:ascii="微软雅黑" w:eastAsia="微软雅黑" w:cs="微软雅黑"/>
          <w:szCs w:val="14"/>
        </w:rPr>
        <w:t>;2.</w:t>
      </w:r>
      <w:r w:rsidRPr="00AD1216">
        <w:rPr>
          <w:rFonts w:ascii="微软雅黑" w:eastAsia="微软雅黑" w:cs="微软雅黑"/>
          <w:szCs w:val="14"/>
        </w:rPr>
        <w:t>世界和中国的立法实践证明民商合一是可行的</w:t>
      </w:r>
      <w:r w:rsidRPr="00AD1216">
        <w:rPr>
          <w:rFonts w:ascii="微软雅黑" w:eastAsia="微软雅黑" w:cs="微软雅黑"/>
          <w:szCs w:val="14"/>
        </w:rPr>
        <w:t>;3.</w:t>
      </w:r>
      <w:r w:rsidRPr="00AD1216">
        <w:rPr>
          <w:rFonts w:ascii="微软雅黑" w:eastAsia="微软雅黑" w:cs="微软雅黑"/>
          <w:szCs w:val="14"/>
        </w:rPr>
        <w:t>建立社会主义市场经济法律体系的需要。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项错误，一般法系中都不存在民法优先和商事优先观点。目前的主流观点为民商分立和民商合一两种。故选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B24484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王芳将自己所有的一套房子卖给陆七，但王芳由于孩子上学还想再住一段时间，遂又与陆七达成协议，暂时租住两个月，陆七表示应允，陆七取得该房子所有权的交付方法为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9F6321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、简易交付</w:t>
      </w:r>
    </w:p>
    <w:p w:rsidR="00AD1216" w14:paraId="54EDB70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、指示交付</w:t>
      </w:r>
    </w:p>
    <w:p w:rsidR="00AD1216" w14:paraId="3E93C41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、占有改定</w:t>
      </w:r>
    </w:p>
    <w:p w:rsidR="00AD1216" w14:paraId="45D573F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、拟制交付</w:t>
      </w:r>
    </w:p>
    <w:p w:rsidR="00AD1216" w14:paraId="28CE1ED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06814D9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中华人民共和国物权法》规定：不动产物权的设立、变更、转让和消灭，应当依照法律规定登记。动产物权的设立和转让，应当依照法律规定交付。交付包括现实交付与拟制交付。现实交付是指动产物权的让与人，将其对于动产的现实的直接支配力，移转于受让人。拟制交付包括简易交付、占有改定及指示交付。简易交付是指在买卖合同订立前买受人已经实际占有标的物时，则合同一经成立即视为交付完成，此前买受人虽然占有标的物，但不享有所有权，合同成立时转移的只是所有权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指示交付是指在标的物由第三人占有的情况下，出卖人将要求第三人返还标的物的请求权让与买受人，以此代替标的物的实际交付，这种返还请求权正是标的物所有权的体现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占有改定是指买卖合同约定，买受人取得标的物的所有权，但标的物在约定的期间仍由出卖人占有，此种交付中虽不转移占有，仅转移所有权，但仍能完成交付。本案中，王芳将房子卖给陆七，陆七取得房子所有权，但约定由王芳继续租用两个月。符合占有改定的构成要件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https://d.book118.com/007064001061006040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7B83" w:rsidP="00AA6F0C" w14:paraId="13CBE5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7B83" w14:paraId="480C39A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7B83" w:rsidP="00AA6F0C" w14:paraId="102E0D60" w14:textId="1F42C9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57B83" w14:paraId="5FF4688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7B83" w14:paraId="6254B23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7B83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7B8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7B83" w:rsidP="00AA6F0C" w14:textId="1F42C9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57B8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7B8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7B83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7B8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7B83" w:rsidP="00AA6F0C" w14:textId="1F42C9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57B8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7B8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7B83" w14:paraId="6E07BF3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7B83" w14:paraId="5C899F0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7B83" w14:paraId="4F23801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7B8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7B8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7B8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7B8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7B8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7B8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457B83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8FC8BDD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457B8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57B83"/>
    <w:rPr>
      <w:sz w:val="18"/>
      <w:szCs w:val="18"/>
    </w:rPr>
  </w:style>
  <w:style w:type="paragraph" w:styleId="Footer">
    <w:name w:val="footer"/>
    <w:basedOn w:val="Normal"/>
    <w:link w:val="a0"/>
    <w:rsid w:val="00457B8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57B83"/>
    <w:rPr>
      <w:sz w:val="18"/>
      <w:szCs w:val="18"/>
    </w:rPr>
  </w:style>
  <w:style w:type="character" w:styleId="PageNumber">
    <w:name w:val="page number"/>
    <w:basedOn w:val="DefaultParagraphFont"/>
    <w:rsid w:val="00457B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07064001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3336</Words>
  <Characters>19019</Characters>
  <Application>Microsoft Office Word</Application>
  <DocSecurity>0</DocSecurity>
  <Lines>158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2024-02-06T13:43:00Z</dcterms:created>
  <dcterms:modified xsi:type="dcterms:W3CDTF">2024-02-06T13:43:00Z</dcterms:modified>
</cp:coreProperties>
</file>