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超细粉碎设备(气流磨)项目情况报告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46" w:history="1">
        <w:r>
          <w:rPr>
            <w:rFonts w:ascii="仿宋" w:eastAsia="仿宋" w:hAnsi="仿宋" w:cs="仿宋" w:hint="eastAsia"/>
            <w:lang w:eastAsia="zh-CN"/>
          </w:rPr>
          <w:t>前言</w:t>
        </w:r>
        <w:r>
          <w:tab/>
        </w:r>
        <w:r>
          <w:fldChar w:fldCharType="begin"/>
        </w:r>
        <w:r>
          <w:instrText xml:space="preserve"> PAGEREF _Toc22846 \h </w:instrText>
        </w:r>
        <w:r>
          <w:fldChar w:fldCharType="separate"/>
        </w:r>
        <w:r>
          <w:t>3</w:t>
        </w:r>
        <w:r>
          <w:fldChar w:fldCharType="end"/>
        </w:r>
      </w:hyperlink>
    </w:p>
    <w:p>
      <w:pPr>
        <w:pStyle w:val="TOC1"/>
        <w:tabs>
          <w:tab w:val="right" w:leader="dot" w:pos="8306"/>
        </w:tabs>
      </w:pPr>
      <w:hyperlink w:anchor="_Toc1621" w:history="1">
        <w:r>
          <w:rPr>
            <w:rFonts w:ascii="仿宋" w:eastAsia="仿宋" w:hAnsi="仿宋" w:cs="仿宋" w:hint="eastAsia"/>
            <w:lang w:eastAsia="zh-CN"/>
          </w:rPr>
          <w:t>一、超细粉碎设备(气流磨)项目基本情况</w:t>
        </w:r>
        <w:r>
          <w:tab/>
        </w:r>
        <w:r>
          <w:fldChar w:fldCharType="begin"/>
        </w:r>
        <w:r>
          <w:instrText xml:space="preserve"> PAGEREF _Toc1621 \h </w:instrText>
        </w:r>
        <w:r>
          <w:fldChar w:fldCharType="separate"/>
        </w:r>
        <w:r>
          <w:t>3</w:t>
        </w:r>
        <w:r>
          <w:fldChar w:fldCharType="end"/>
        </w:r>
      </w:hyperlink>
    </w:p>
    <w:p>
      <w:pPr>
        <w:pStyle w:val="TOC2"/>
        <w:tabs>
          <w:tab w:val="right" w:leader="dot" w:pos="8306"/>
        </w:tabs>
      </w:pPr>
      <w:hyperlink w:anchor="_Toc2770" w:history="1">
        <w:r>
          <w:rPr>
            <w:rFonts w:ascii="仿宋" w:eastAsia="仿宋" w:hAnsi="仿宋" w:cs="仿宋" w:hint="eastAsia"/>
            <w:lang w:eastAsia="zh-CN"/>
          </w:rPr>
          <w:t>(一)、超细粉碎设备(气流磨)项目名称及建设性质</w:t>
        </w:r>
        <w:r>
          <w:tab/>
        </w:r>
        <w:r>
          <w:fldChar w:fldCharType="begin"/>
        </w:r>
        <w:r>
          <w:instrText xml:space="preserve"> PAGEREF _Toc2770 \h </w:instrText>
        </w:r>
        <w:r>
          <w:fldChar w:fldCharType="separate"/>
        </w:r>
        <w:r>
          <w:t>3</w:t>
        </w:r>
        <w:r>
          <w:fldChar w:fldCharType="end"/>
        </w:r>
      </w:hyperlink>
    </w:p>
    <w:p>
      <w:pPr>
        <w:pStyle w:val="TOC2"/>
        <w:tabs>
          <w:tab w:val="right" w:leader="dot" w:pos="8306"/>
        </w:tabs>
      </w:pPr>
      <w:hyperlink w:anchor="_Toc12416" w:history="1">
        <w:r>
          <w:rPr>
            <w:rFonts w:ascii="仿宋" w:eastAsia="仿宋" w:hAnsi="仿宋" w:cs="仿宋" w:hint="eastAsia"/>
            <w:lang w:eastAsia="zh-CN"/>
          </w:rPr>
          <w:t>(二)、超细粉碎设备(气流磨)项目承办单位</w:t>
        </w:r>
        <w:r>
          <w:tab/>
        </w:r>
        <w:r>
          <w:fldChar w:fldCharType="begin"/>
        </w:r>
        <w:r>
          <w:instrText xml:space="preserve"> PAGEREF _Toc12416 \h </w:instrText>
        </w:r>
        <w:r>
          <w:fldChar w:fldCharType="separate"/>
        </w:r>
        <w:r>
          <w:t>4</w:t>
        </w:r>
        <w:r>
          <w:fldChar w:fldCharType="end"/>
        </w:r>
      </w:hyperlink>
    </w:p>
    <w:p>
      <w:pPr>
        <w:pStyle w:val="TOC2"/>
        <w:tabs>
          <w:tab w:val="right" w:leader="dot" w:pos="8306"/>
        </w:tabs>
      </w:pPr>
      <w:hyperlink w:anchor="_Toc25265" w:history="1">
        <w:r>
          <w:rPr>
            <w:rFonts w:ascii="仿宋" w:eastAsia="仿宋" w:hAnsi="仿宋" w:cs="仿宋" w:hint="eastAsia"/>
            <w:lang w:eastAsia="zh-CN"/>
          </w:rPr>
          <w:t>(三)、战略合作单位</w:t>
        </w:r>
        <w:r>
          <w:tab/>
        </w:r>
        <w:r>
          <w:fldChar w:fldCharType="begin"/>
        </w:r>
        <w:r>
          <w:instrText xml:space="preserve"> PAGEREF _Toc25265 \h </w:instrText>
        </w:r>
        <w:r>
          <w:fldChar w:fldCharType="separate"/>
        </w:r>
        <w:r>
          <w:t>4</w:t>
        </w:r>
        <w:r>
          <w:fldChar w:fldCharType="end"/>
        </w:r>
      </w:hyperlink>
    </w:p>
    <w:p>
      <w:pPr>
        <w:pStyle w:val="TOC2"/>
        <w:tabs>
          <w:tab w:val="right" w:leader="dot" w:pos="8306"/>
        </w:tabs>
      </w:pPr>
      <w:hyperlink w:anchor="_Toc27745" w:history="1">
        <w:r>
          <w:rPr>
            <w:rFonts w:ascii="仿宋" w:eastAsia="仿宋" w:hAnsi="仿宋" w:cs="仿宋" w:hint="eastAsia"/>
            <w:lang w:eastAsia="zh-CN"/>
          </w:rPr>
          <w:t>(四)、超细粉碎设备(气流磨)项目提出的理由</w:t>
        </w:r>
        <w:r>
          <w:tab/>
        </w:r>
        <w:r>
          <w:fldChar w:fldCharType="begin"/>
        </w:r>
        <w:r>
          <w:instrText xml:space="preserve"> PAGEREF _Toc27745 \h </w:instrText>
        </w:r>
        <w:r>
          <w:fldChar w:fldCharType="separate"/>
        </w:r>
        <w:r>
          <w:t>4</w:t>
        </w:r>
        <w:r>
          <w:fldChar w:fldCharType="end"/>
        </w:r>
      </w:hyperlink>
    </w:p>
    <w:p>
      <w:pPr>
        <w:pStyle w:val="TOC2"/>
        <w:tabs>
          <w:tab w:val="right" w:leader="dot" w:pos="8306"/>
        </w:tabs>
      </w:pPr>
      <w:hyperlink w:anchor="_Toc4279" w:history="1">
        <w:r>
          <w:rPr>
            <w:rFonts w:ascii="仿宋" w:eastAsia="仿宋" w:hAnsi="仿宋" w:cs="仿宋" w:hint="eastAsia"/>
            <w:lang w:eastAsia="zh-CN"/>
          </w:rPr>
          <w:t>(五)、原材料供应</w:t>
        </w:r>
        <w:r>
          <w:tab/>
        </w:r>
        <w:r>
          <w:fldChar w:fldCharType="begin"/>
        </w:r>
        <w:r>
          <w:instrText xml:space="preserve"> PAGEREF _Toc4279 \h </w:instrText>
        </w:r>
        <w:r>
          <w:fldChar w:fldCharType="separate"/>
        </w:r>
        <w:r>
          <w:t>5</w:t>
        </w:r>
        <w:r>
          <w:fldChar w:fldCharType="end"/>
        </w:r>
      </w:hyperlink>
    </w:p>
    <w:p>
      <w:pPr>
        <w:pStyle w:val="TOC2"/>
        <w:tabs>
          <w:tab w:val="right" w:leader="dot" w:pos="8306"/>
        </w:tabs>
      </w:pPr>
      <w:hyperlink w:anchor="_Toc14575" w:history="1">
        <w:r>
          <w:rPr>
            <w:rFonts w:ascii="仿宋" w:eastAsia="仿宋" w:hAnsi="仿宋" w:cs="仿宋" w:hint="eastAsia"/>
            <w:lang w:eastAsia="zh-CN"/>
          </w:rPr>
          <w:t>(六)、超细粉碎设备(气流磨)项目能耗分析</w:t>
        </w:r>
        <w:r>
          <w:tab/>
        </w:r>
        <w:r>
          <w:fldChar w:fldCharType="begin"/>
        </w:r>
        <w:r>
          <w:instrText xml:space="preserve"> PAGEREF _Toc14575 \h </w:instrText>
        </w:r>
        <w:r>
          <w:fldChar w:fldCharType="separate"/>
        </w:r>
        <w:r>
          <w:t>6</w:t>
        </w:r>
        <w:r>
          <w:fldChar w:fldCharType="end"/>
        </w:r>
      </w:hyperlink>
    </w:p>
    <w:p>
      <w:pPr>
        <w:pStyle w:val="TOC2"/>
        <w:tabs>
          <w:tab w:val="right" w:leader="dot" w:pos="8306"/>
        </w:tabs>
      </w:pPr>
      <w:hyperlink w:anchor="_Toc13388" w:history="1">
        <w:r>
          <w:rPr>
            <w:rFonts w:ascii="仿宋" w:eastAsia="仿宋" w:hAnsi="仿宋" w:cs="仿宋" w:hint="eastAsia"/>
            <w:lang w:eastAsia="zh-CN"/>
          </w:rPr>
          <w:t>(七)、环境保护</w:t>
        </w:r>
        <w:r>
          <w:tab/>
        </w:r>
        <w:r>
          <w:fldChar w:fldCharType="begin"/>
        </w:r>
        <w:r>
          <w:instrText xml:space="preserve"> PAGEREF _Toc13388 \h </w:instrText>
        </w:r>
        <w:r>
          <w:fldChar w:fldCharType="separate"/>
        </w:r>
        <w:r>
          <w:t>7</w:t>
        </w:r>
        <w:r>
          <w:fldChar w:fldCharType="end"/>
        </w:r>
      </w:hyperlink>
    </w:p>
    <w:p>
      <w:pPr>
        <w:pStyle w:val="TOC2"/>
        <w:tabs>
          <w:tab w:val="right" w:leader="dot" w:pos="8306"/>
        </w:tabs>
      </w:pPr>
      <w:hyperlink w:anchor="_Toc2840" w:history="1">
        <w:r>
          <w:rPr>
            <w:rFonts w:ascii="仿宋" w:eastAsia="仿宋" w:hAnsi="仿宋" w:cs="仿宋" w:hint="eastAsia"/>
            <w:lang w:eastAsia="zh-CN"/>
          </w:rPr>
          <w:t>(八)、超细粉碎设备(气流磨)项目建设符合性</w:t>
        </w:r>
        <w:r>
          <w:tab/>
        </w:r>
        <w:r>
          <w:fldChar w:fldCharType="begin"/>
        </w:r>
        <w:r>
          <w:instrText xml:space="preserve"> PAGEREF _Toc2840 \h </w:instrText>
        </w:r>
        <w:r>
          <w:fldChar w:fldCharType="separate"/>
        </w:r>
        <w:r>
          <w:t>8</w:t>
        </w:r>
        <w:r>
          <w:fldChar w:fldCharType="end"/>
        </w:r>
      </w:hyperlink>
    </w:p>
    <w:p>
      <w:pPr>
        <w:pStyle w:val="TOC2"/>
        <w:tabs>
          <w:tab w:val="right" w:leader="dot" w:pos="8306"/>
        </w:tabs>
      </w:pPr>
      <w:hyperlink w:anchor="_Toc32060" w:history="1">
        <w:r>
          <w:rPr>
            <w:rFonts w:ascii="仿宋" w:eastAsia="仿宋" w:hAnsi="仿宋" w:cs="仿宋" w:hint="eastAsia"/>
            <w:lang w:eastAsia="zh-CN"/>
          </w:rPr>
          <w:t>(九)、超细粉碎设备(气流磨)项目进度规划</w:t>
        </w:r>
        <w:r>
          <w:tab/>
        </w:r>
        <w:r>
          <w:fldChar w:fldCharType="begin"/>
        </w:r>
        <w:r>
          <w:instrText xml:space="preserve"> PAGEREF _Toc32060 \h </w:instrText>
        </w:r>
        <w:r>
          <w:fldChar w:fldCharType="separate"/>
        </w:r>
        <w:r>
          <w:t>9</w:t>
        </w:r>
        <w:r>
          <w:fldChar w:fldCharType="end"/>
        </w:r>
      </w:hyperlink>
    </w:p>
    <w:p>
      <w:pPr>
        <w:pStyle w:val="TOC2"/>
        <w:tabs>
          <w:tab w:val="right" w:leader="dot" w:pos="8306"/>
        </w:tabs>
      </w:pPr>
      <w:hyperlink w:anchor="_Toc4006" w:history="1">
        <w:r>
          <w:rPr>
            <w:rFonts w:ascii="仿宋" w:eastAsia="仿宋" w:hAnsi="仿宋" w:cs="仿宋" w:hint="eastAsia"/>
            <w:lang w:eastAsia="zh-CN"/>
          </w:rPr>
          <w:t>(十)、投资估算及经济效益分析</w:t>
        </w:r>
        <w:r>
          <w:tab/>
        </w:r>
        <w:r>
          <w:fldChar w:fldCharType="begin"/>
        </w:r>
        <w:r>
          <w:instrText xml:space="preserve"> PAGEREF _Toc4006 \h </w:instrText>
        </w:r>
        <w:r>
          <w:fldChar w:fldCharType="separate"/>
        </w:r>
        <w:r>
          <w:t>10</w:t>
        </w:r>
        <w:r>
          <w:fldChar w:fldCharType="end"/>
        </w:r>
      </w:hyperlink>
    </w:p>
    <w:p>
      <w:pPr>
        <w:pStyle w:val="TOC2"/>
        <w:tabs>
          <w:tab w:val="right" w:leader="dot" w:pos="8306"/>
        </w:tabs>
      </w:pPr>
      <w:hyperlink w:anchor="_Toc30869" w:history="1">
        <w:r>
          <w:rPr>
            <w:rFonts w:ascii="仿宋" w:eastAsia="仿宋" w:hAnsi="仿宋" w:cs="仿宋" w:hint="eastAsia"/>
            <w:lang w:eastAsia="zh-CN"/>
          </w:rPr>
          <w:t>(十一)、报告说明</w:t>
        </w:r>
        <w:r>
          <w:tab/>
        </w:r>
        <w:r>
          <w:fldChar w:fldCharType="begin"/>
        </w:r>
        <w:r>
          <w:instrText xml:space="preserve"> PAGEREF _Toc30869 \h </w:instrText>
        </w:r>
        <w:r>
          <w:fldChar w:fldCharType="separate"/>
        </w:r>
        <w:r>
          <w:t>11</w:t>
        </w:r>
        <w:r>
          <w:fldChar w:fldCharType="end"/>
        </w:r>
      </w:hyperlink>
    </w:p>
    <w:p>
      <w:pPr>
        <w:pStyle w:val="TOC2"/>
        <w:tabs>
          <w:tab w:val="right" w:leader="dot" w:pos="8306"/>
        </w:tabs>
      </w:pPr>
      <w:hyperlink w:anchor="_Toc3381" w:history="1">
        <w:r>
          <w:rPr>
            <w:rFonts w:ascii="仿宋" w:eastAsia="仿宋" w:hAnsi="仿宋" w:cs="仿宋" w:hint="eastAsia"/>
            <w:lang w:eastAsia="zh-CN"/>
          </w:rPr>
          <w:t>(十二)、超细粉碎设备(气流磨)项目评价</w:t>
        </w:r>
        <w:r>
          <w:tab/>
        </w:r>
        <w:r>
          <w:fldChar w:fldCharType="begin"/>
        </w:r>
        <w:r>
          <w:instrText xml:space="preserve"> PAGEREF _Toc3381 \h </w:instrText>
        </w:r>
        <w:r>
          <w:fldChar w:fldCharType="separate"/>
        </w:r>
        <w:r>
          <w:t>13</w:t>
        </w:r>
        <w:r>
          <w:fldChar w:fldCharType="end"/>
        </w:r>
      </w:hyperlink>
    </w:p>
    <w:p>
      <w:pPr>
        <w:pStyle w:val="TOC1"/>
        <w:tabs>
          <w:tab w:val="right" w:leader="dot" w:pos="8306"/>
        </w:tabs>
      </w:pPr>
      <w:hyperlink w:anchor="_Toc4411" w:history="1">
        <w:r>
          <w:rPr>
            <w:rFonts w:ascii="仿宋" w:eastAsia="仿宋" w:hAnsi="仿宋" w:cs="仿宋" w:hint="eastAsia"/>
            <w:lang w:eastAsia="zh-CN"/>
          </w:rPr>
          <w:t>二、建设规划</w:t>
        </w:r>
        <w:r>
          <w:tab/>
        </w:r>
        <w:r>
          <w:fldChar w:fldCharType="begin"/>
        </w:r>
        <w:r>
          <w:instrText xml:space="preserve"> PAGEREF _Toc4411 \h </w:instrText>
        </w:r>
        <w:r>
          <w:fldChar w:fldCharType="separate"/>
        </w:r>
        <w:r>
          <w:t>14</w:t>
        </w:r>
        <w:r>
          <w:fldChar w:fldCharType="end"/>
        </w:r>
      </w:hyperlink>
    </w:p>
    <w:p>
      <w:pPr>
        <w:pStyle w:val="TOC2"/>
        <w:tabs>
          <w:tab w:val="right" w:leader="dot" w:pos="8306"/>
        </w:tabs>
      </w:pPr>
      <w:hyperlink w:anchor="_Toc28393" w:history="1">
        <w:r>
          <w:rPr>
            <w:rFonts w:ascii="仿宋" w:eastAsia="仿宋" w:hAnsi="仿宋" w:cs="仿宋" w:hint="eastAsia"/>
            <w:lang w:eastAsia="zh-CN"/>
          </w:rPr>
          <w:t>(一)、产品规划</w:t>
        </w:r>
        <w:r>
          <w:tab/>
        </w:r>
        <w:r>
          <w:fldChar w:fldCharType="begin"/>
        </w:r>
        <w:r>
          <w:instrText xml:space="preserve"> PAGEREF _Toc28393 \h </w:instrText>
        </w:r>
        <w:r>
          <w:fldChar w:fldCharType="separate"/>
        </w:r>
        <w:r>
          <w:t>14</w:t>
        </w:r>
        <w:r>
          <w:fldChar w:fldCharType="end"/>
        </w:r>
      </w:hyperlink>
    </w:p>
    <w:p>
      <w:pPr>
        <w:pStyle w:val="TOC2"/>
        <w:tabs>
          <w:tab w:val="right" w:leader="dot" w:pos="8306"/>
        </w:tabs>
      </w:pPr>
      <w:hyperlink w:anchor="_Toc19021" w:history="1">
        <w:r>
          <w:rPr>
            <w:rFonts w:ascii="仿宋" w:eastAsia="仿宋" w:hAnsi="仿宋" w:cs="仿宋" w:hint="eastAsia"/>
            <w:lang w:eastAsia="zh-CN"/>
          </w:rPr>
          <w:t>(二)、建设规模</w:t>
        </w:r>
        <w:r>
          <w:tab/>
        </w:r>
        <w:r>
          <w:fldChar w:fldCharType="begin"/>
        </w:r>
        <w:r>
          <w:instrText xml:space="preserve"> PAGEREF _Toc19021 \h </w:instrText>
        </w:r>
        <w:r>
          <w:fldChar w:fldCharType="separate"/>
        </w:r>
        <w:r>
          <w:t>16</w:t>
        </w:r>
        <w:r>
          <w:fldChar w:fldCharType="end"/>
        </w:r>
      </w:hyperlink>
    </w:p>
    <w:p>
      <w:pPr>
        <w:pStyle w:val="TOC1"/>
        <w:tabs>
          <w:tab w:val="right" w:leader="dot" w:pos="8306"/>
        </w:tabs>
      </w:pPr>
      <w:hyperlink w:anchor="_Toc1479" w:history="1">
        <w:r>
          <w:rPr>
            <w:rFonts w:ascii="仿宋" w:eastAsia="仿宋" w:hAnsi="仿宋" w:cs="仿宋" w:hint="eastAsia"/>
            <w:lang w:eastAsia="zh-CN"/>
          </w:rPr>
          <w:t>三、超细粉碎设备(气流磨)项目市场前景分析</w:t>
        </w:r>
        <w:r>
          <w:tab/>
        </w:r>
        <w:r>
          <w:fldChar w:fldCharType="begin"/>
        </w:r>
        <w:r>
          <w:instrText xml:space="preserve"> PAGEREF _Toc1479 \h </w:instrText>
        </w:r>
        <w:r>
          <w:fldChar w:fldCharType="separate"/>
        </w:r>
        <w:r>
          <w:t>18</w:t>
        </w:r>
        <w:r>
          <w:fldChar w:fldCharType="end"/>
        </w:r>
      </w:hyperlink>
    </w:p>
    <w:p>
      <w:pPr>
        <w:pStyle w:val="TOC2"/>
        <w:tabs>
          <w:tab w:val="right" w:leader="dot" w:pos="8306"/>
        </w:tabs>
      </w:pPr>
      <w:hyperlink w:anchor="_Toc10648" w:history="1">
        <w:r>
          <w:rPr>
            <w:rFonts w:ascii="仿宋" w:eastAsia="仿宋" w:hAnsi="仿宋" w:cs="仿宋" w:hint="eastAsia"/>
            <w:lang w:eastAsia="zh-CN"/>
          </w:rPr>
          <w:t>(一)、建设地经济发展概况</w:t>
        </w:r>
        <w:r>
          <w:tab/>
        </w:r>
        <w:r>
          <w:fldChar w:fldCharType="begin"/>
        </w:r>
        <w:r>
          <w:instrText xml:space="preserve"> PAGEREF _Toc10648 \h </w:instrText>
        </w:r>
        <w:r>
          <w:fldChar w:fldCharType="separate"/>
        </w:r>
        <w:r>
          <w:t>18</w:t>
        </w:r>
        <w:r>
          <w:fldChar w:fldCharType="end"/>
        </w:r>
      </w:hyperlink>
    </w:p>
    <w:p>
      <w:pPr>
        <w:pStyle w:val="TOC2"/>
        <w:tabs>
          <w:tab w:val="right" w:leader="dot" w:pos="8306"/>
        </w:tabs>
      </w:pPr>
      <w:hyperlink w:anchor="_Toc15834" w:history="1">
        <w:r>
          <w:rPr>
            <w:rFonts w:ascii="仿宋" w:eastAsia="仿宋" w:hAnsi="仿宋" w:cs="仿宋" w:hint="eastAsia"/>
            <w:lang w:eastAsia="zh-CN"/>
          </w:rPr>
          <w:t>(二)、行业市场分析</w:t>
        </w:r>
        <w:r>
          <w:tab/>
        </w:r>
        <w:r>
          <w:fldChar w:fldCharType="begin"/>
        </w:r>
        <w:r>
          <w:instrText xml:space="preserve"> PAGEREF _Toc15834 \h </w:instrText>
        </w:r>
        <w:r>
          <w:fldChar w:fldCharType="separate"/>
        </w:r>
        <w:r>
          <w:t>19</w:t>
        </w:r>
        <w:r>
          <w:fldChar w:fldCharType="end"/>
        </w:r>
      </w:hyperlink>
    </w:p>
    <w:p>
      <w:pPr>
        <w:pStyle w:val="TOC1"/>
        <w:tabs>
          <w:tab w:val="right" w:leader="dot" w:pos="8306"/>
        </w:tabs>
      </w:pPr>
      <w:hyperlink w:anchor="_Toc15011" w:history="1">
        <w:r>
          <w:rPr>
            <w:rFonts w:ascii="仿宋" w:eastAsia="仿宋" w:hAnsi="仿宋" w:cs="仿宋" w:hint="eastAsia"/>
            <w:lang w:eastAsia="zh-CN"/>
          </w:rPr>
          <w:t>四、工艺分析</w:t>
        </w:r>
        <w:r>
          <w:tab/>
        </w:r>
        <w:r>
          <w:fldChar w:fldCharType="begin"/>
        </w:r>
        <w:r>
          <w:instrText xml:space="preserve"> PAGEREF _Toc15011 \h </w:instrText>
        </w:r>
        <w:r>
          <w:fldChar w:fldCharType="separate"/>
        </w:r>
        <w:r>
          <w:t>21</w:t>
        </w:r>
        <w:r>
          <w:fldChar w:fldCharType="end"/>
        </w:r>
      </w:hyperlink>
    </w:p>
    <w:p>
      <w:pPr>
        <w:pStyle w:val="TOC2"/>
        <w:tabs>
          <w:tab w:val="right" w:leader="dot" w:pos="8306"/>
        </w:tabs>
      </w:pPr>
      <w:hyperlink w:anchor="_Toc11665" w:history="1">
        <w:r>
          <w:rPr>
            <w:rFonts w:ascii="仿宋" w:eastAsia="仿宋" w:hAnsi="仿宋" w:cs="仿宋" w:hint="eastAsia"/>
            <w:lang w:eastAsia="zh-CN"/>
          </w:rPr>
          <w:t>(一)、技术管理特点</w:t>
        </w:r>
        <w:r>
          <w:tab/>
        </w:r>
        <w:r>
          <w:fldChar w:fldCharType="begin"/>
        </w:r>
        <w:r>
          <w:instrText xml:space="preserve"> PAGEREF _Toc11665 \h </w:instrText>
        </w:r>
        <w:r>
          <w:fldChar w:fldCharType="separate"/>
        </w:r>
        <w:r>
          <w:t>21</w:t>
        </w:r>
        <w:r>
          <w:fldChar w:fldCharType="end"/>
        </w:r>
      </w:hyperlink>
    </w:p>
    <w:p>
      <w:pPr>
        <w:pStyle w:val="TOC2"/>
        <w:tabs>
          <w:tab w:val="right" w:leader="dot" w:pos="8306"/>
        </w:tabs>
      </w:pPr>
      <w:hyperlink w:anchor="_Toc5914" w:history="1">
        <w:r>
          <w:rPr>
            <w:rFonts w:ascii="仿宋" w:eastAsia="仿宋" w:hAnsi="仿宋" w:cs="仿宋" w:hint="eastAsia"/>
            <w:lang w:eastAsia="zh-CN"/>
          </w:rPr>
          <w:t>(二)、超细粉碎设备(气流磨)项目工艺技术设计方案</w:t>
        </w:r>
        <w:r>
          <w:tab/>
        </w:r>
        <w:r>
          <w:fldChar w:fldCharType="begin"/>
        </w:r>
        <w:r>
          <w:instrText xml:space="preserve"> PAGEREF _Toc5914 \h </w:instrText>
        </w:r>
        <w:r>
          <w:fldChar w:fldCharType="separate"/>
        </w:r>
        <w:r>
          <w:t>21</w:t>
        </w:r>
        <w:r>
          <w:fldChar w:fldCharType="end"/>
        </w:r>
      </w:hyperlink>
    </w:p>
    <w:p>
      <w:pPr>
        <w:pStyle w:val="TOC2"/>
        <w:tabs>
          <w:tab w:val="right" w:leader="dot" w:pos="8306"/>
        </w:tabs>
      </w:pPr>
      <w:hyperlink w:anchor="_Toc22775" w:history="1">
        <w:r>
          <w:rPr>
            <w:rFonts w:ascii="仿宋" w:eastAsia="仿宋" w:hAnsi="仿宋" w:cs="仿宋" w:hint="eastAsia"/>
            <w:lang w:eastAsia="zh-CN"/>
          </w:rPr>
          <w:t>(三)、设备选型方案</w:t>
        </w:r>
        <w:r>
          <w:tab/>
        </w:r>
        <w:r>
          <w:fldChar w:fldCharType="begin"/>
        </w:r>
        <w:r>
          <w:instrText xml:space="preserve"> PAGEREF _Toc22775 \h </w:instrText>
        </w:r>
        <w:r>
          <w:fldChar w:fldCharType="separate"/>
        </w:r>
        <w:r>
          <w:t>22</w:t>
        </w:r>
        <w:r>
          <w:fldChar w:fldCharType="end"/>
        </w:r>
      </w:hyperlink>
    </w:p>
    <w:p>
      <w:pPr>
        <w:pStyle w:val="TOC1"/>
        <w:tabs>
          <w:tab w:val="right" w:leader="dot" w:pos="8306"/>
        </w:tabs>
      </w:pPr>
      <w:hyperlink w:anchor="_Toc1959" w:history="1">
        <w:r>
          <w:rPr>
            <w:rFonts w:ascii="仿宋" w:eastAsia="仿宋" w:hAnsi="仿宋" w:cs="仿宋" w:hint="eastAsia"/>
            <w:lang w:eastAsia="zh-CN"/>
          </w:rPr>
          <w:t>五、超细粉碎设备(气流磨)项目实施进度计划</w:t>
        </w:r>
        <w:r>
          <w:tab/>
        </w:r>
        <w:r>
          <w:fldChar w:fldCharType="begin"/>
        </w:r>
        <w:r>
          <w:instrText xml:space="preserve"> PAGEREF _Toc1959 \h </w:instrText>
        </w:r>
        <w:r>
          <w:fldChar w:fldCharType="separate"/>
        </w:r>
        <w:r>
          <w:t>23</w:t>
        </w:r>
        <w:r>
          <w:fldChar w:fldCharType="end"/>
        </w:r>
      </w:hyperlink>
    </w:p>
    <w:p>
      <w:pPr>
        <w:pStyle w:val="TOC2"/>
        <w:tabs>
          <w:tab w:val="right" w:leader="dot" w:pos="8306"/>
        </w:tabs>
      </w:pPr>
      <w:hyperlink w:anchor="_Toc4016" w:history="1">
        <w:r>
          <w:rPr>
            <w:rFonts w:ascii="仿宋" w:eastAsia="仿宋" w:hAnsi="仿宋" w:cs="仿宋" w:hint="eastAsia"/>
            <w:lang w:eastAsia="zh-CN"/>
          </w:rPr>
          <w:t>(一)、建设周期</w:t>
        </w:r>
        <w:r>
          <w:tab/>
        </w:r>
        <w:r>
          <w:fldChar w:fldCharType="begin"/>
        </w:r>
        <w:r>
          <w:instrText xml:space="preserve"> PAGEREF _Toc4016 \h </w:instrText>
        </w:r>
        <w:r>
          <w:fldChar w:fldCharType="separate"/>
        </w:r>
        <w:r>
          <w:t>23</w:t>
        </w:r>
        <w:r>
          <w:fldChar w:fldCharType="end"/>
        </w:r>
      </w:hyperlink>
    </w:p>
    <w:p>
      <w:pPr>
        <w:pStyle w:val="TOC2"/>
        <w:tabs>
          <w:tab w:val="right" w:leader="dot" w:pos="8306"/>
        </w:tabs>
      </w:pPr>
      <w:hyperlink w:anchor="_Toc10361" w:history="1">
        <w:r>
          <w:rPr>
            <w:rFonts w:ascii="仿宋" w:eastAsia="仿宋" w:hAnsi="仿宋" w:cs="仿宋" w:hint="eastAsia"/>
            <w:lang w:eastAsia="zh-CN"/>
          </w:rPr>
          <w:t>(二)、建设进度</w:t>
        </w:r>
        <w:r>
          <w:tab/>
        </w:r>
        <w:r>
          <w:fldChar w:fldCharType="begin"/>
        </w:r>
        <w:r>
          <w:instrText xml:space="preserve"> PAGEREF _Toc10361 \h </w:instrText>
        </w:r>
        <w:r>
          <w:fldChar w:fldCharType="separate"/>
        </w:r>
        <w:r>
          <w:t>25</w:t>
        </w:r>
        <w:r>
          <w:fldChar w:fldCharType="end"/>
        </w:r>
      </w:hyperlink>
    </w:p>
    <w:p>
      <w:pPr>
        <w:pStyle w:val="TOC2"/>
        <w:tabs>
          <w:tab w:val="right" w:leader="dot" w:pos="8306"/>
        </w:tabs>
      </w:pPr>
      <w:hyperlink w:anchor="_Toc17380" w:history="1">
        <w:r>
          <w:rPr>
            <w:rFonts w:ascii="仿宋" w:eastAsia="仿宋" w:hAnsi="仿宋" w:cs="仿宋" w:hint="eastAsia"/>
            <w:lang w:eastAsia="zh-CN"/>
          </w:rPr>
          <w:t>(三)、进度安排注意事项</w:t>
        </w:r>
        <w:r>
          <w:tab/>
        </w:r>
        <w:r>
          <w:fldChar w:fldCharType="begin"/>
        </w:r>
        <w:r>
          <w:instrText xml:space="preserve"> PAGEREF _Toc17380 \h </w:instrText>
        </w:r>
        <w:r>
          <w:fldChar w:fldCharType="separate"/>
        </w:r>
        <w:r>
          <w:t>26</w:t>
        </w:r>
        <w:r>
          <w:fldChar w:fldCharType="end"/>
        </w:r>
      </w:hyperlink>
    </w:p>
    <w:p>
      <w:pPr>
        <w:pStyle w:val="TOC2"/>
        <w:tabs>
          <w:tab w:val="right" w:leader="dot" w:pos="8306"/>
        </w:tabs>
      </w:pPr>
      <w:hyperlink w:anchor="_Toc5889" w:history="1">
        <w:r>
          <w:rPr>
            <w:rFonts w:ascii="仿宋" w:eastAsia="仿宋" w:hAnsi="仿宋" w:cs="仿宋" w:hint="eastAsia"/>
            <w:lang w:eastAsia="zh-CN"/>
          </w:rPr>
          <w:t>(四)、人力资源配置</w:t>
        </w:r>
        <w:r>
          <w:tab/>
        </w:r>
        <w:r>
          <w:fldChar w:fldCharType="begin"/>
        </w:r>
        <w:r>
          <w:instrText xml:space="preserve"> PAGEREF _Toc5889 \h </w:instrText>
        </w:r>
        <w:r>
          <w:fldChar w:fldCharType="separate"/>
        </w:r>
        <w:r>
          <w:t>28</w:t>
        </w:r>
        <w:r>
          <w:fldChar w:fldCharType="end"/>
        </w:r>
      </w:hyperlink>
    </w:p>
    <w:p>
      <w:pPr>
        <w:pStyle w:val="TOC2"/>
        <w:tabs>
          <w:tab w:val="right" w:leader="dot" w:pos="8306"/>
        </w:tabs>
      </w:pPr>
      <w:hyperlink w:anchor="_Toc27006" w:history="1">
        <w:r>
          <w:rPr>
            <w:rFonts w:ascii="仿宋" w:eastAsia="仿宋" w:hAnsi="仿宋" w:cs="仿宋" w:hint="eastAsia"/>
            <w:lang w:eastAsia="zh-CN"/>
          </w:rPr>
          <w:t>(五)、员工培训</w:t>
        </w:r>
        <w:r>
          <w:tab/>
        </w:r>
        <w:r>
          <w:fldChar w:fldCharType="begin"/>
        </w:r>
        <w:r>
          <w:instrText xml:space="preserve"> PAGEREF _Toc27006 \h </w:instrText>
        </w:r>
        <w:r>
          <w:fldChar w:fldCharType="separate"/>
        </w:r>
        <w:r>
          <w:t>29</w:t>
        </w:r>
        <w:r>
          <w:fldChar w:fldCharType="end"/>
        </w:r>
      </w:hyperlink>
    </w:p>
    <w:p>
      <w:pPr>
        <w:pStyle w:val="TOC2"/>
        <w:tabs>
          <w:tab w:val="right" w:leader="dot" w:pos="8306"/>
        </w:tabs>
      </w:pPr>
      <w:hyperlink w:anchor="_Toc6840" w:history="1">
        <w:r>
          <w:rPr>
            <w:rFonts w:ascii="仿宋" w:eastAsia="仿宋" w:hAnsi="仿宋" w:cs="仿宋" w:hint="eastAsia"/>
            <w:lang w:eastAsia="zh-CN"/>
          </w:rPr>
          <w:t>(六)、超细粉碎设备(气流磨)项目实施保障</w:t>
        </w:r>
        <w:r>
          <w:tab/>
        </w:r>
        <w:r>
          <w:fldChar w:fldCharType="begin"/>
        </w:r>
        <w:r>
          <w:instrText xml:space="preserve"> PAGEREF _Toc6840 \h </w:instrText>
        </w:r>
        <w:r>
          <w:fldChar w:fldCharType="separate"/>
        </w:r>
        <w:r>
          <w:t>31</w:t>
        </w:r>
        <w:r>
          <w:fldChar w:fldCharType="end"/>
        </w:r>
      </w:hyperlink>
    </w:p>
    <w:p>
      <w:pPr>
        <w:pStyle w:val="TOC1"/>
        <w:tabs>
          <w:tab w:val="right" w:leader="dot" w:pos="8306"/>
        </w:tabs>
      </w:pPr>
      <w:hyperlink w:anchor="_Toc10347" w:history="1">
        <w:r>
          <w:rPr>
            <w:rFonts w:ascii="仿宋" w:eastAsia="仿宋" w:hAnsi="仿宋" w:cs="仿宋" w:hint="eastAsia"/>
            <w:lang w:eastAsia="zh-CN"/>
          </w:rPr>
          <w:t>六、超细粉碎设备(气流磨)项目投资可行性分析</w:t>
        </w:r>
        <w:r>
          <w:tab/>
        </w:r>
        <w:r>
          <w:fldChar w:fldCharType="begin"/>
        </w:r>
        <w:r>
          <w:instrText xml:space="preserve"> PAGEREF _Toc10347 \h </w:instrText>
        </w:r>
        <w:r>
          <w:fldChar w:fldCharType="separate"/>
        </w:r>
        <w:r>
          <w:t>33</w:t>
        </w:r>
        <w:r>
          <w:fldChar w:fldCharType="end"/>
        </w:r>
      </w:hyperlink>
    </w:p>
    <w:p>
      <w:pPr>
        <w:pStyle w:val="TOC2"/>
        <w:tabs>
          <w:tab w:val="right" w:leader="dot" w:pos="8306"/>
        </w:tabs>
      </w:pPr>
      <w:hyperlink w:anchor="_Toc2275" w:history="1">
        <w:r>
          <w:rPr>
            <w:rFonts w:ascii="仿宋" w:eastAsia="仿宋" w:hAnsi="仿宋" w:cs="仿宋" w:hint="eastAsia"/>
            <w:lang w:eastAsia="zh-CN"/>
          </w:rPr>
          <w:t>(一)、超细粉碎设备(气流磨)项目估算说明</w:t>
        </w:r>
        <w:r>
          <w:tab/>
        </w:r>
        <w:r>
          <w:fldChar w:fldCharType="begin"/>
        </w:r>
        <w:r>
          <w:instrText xml:space="preserve"> PAGEREF _Toc2275 \h </w:instrText>
        </w:r>
        <w:r>
          <w:fldChar w:fldCharType="separate"/>
        </w:r>
        <w:r>
          <w:t>33</w:t>
        </w:r>
        <w:r>
          <w:fldChar w:fldCharType="end"/>
        </w:r>
      </w:hyperlink>
    </w:p>
    <w:p>
      <w:pPr>
        <w:pStyle w:val="TOC2"/>
        <w:tabs>
          <w:tab w:val="right" w:leader="dot" w:pos="8306"/>
        </w:tabs>
      </w:pPr>
      <w:hyperlink w:anchor="_Toc16823" w:history="1">
        <w:r>
          <w:rPr>
            <w:rFonts w:ascii="仿宋" w:eastAsia="仿宋" w:hAnsi="仿宋" w:cs="仿宋" w:hint="eastAsia"/>
            <w:lang w:eastAsia="zh-CN"/>
          </w:rPr>
          <w:t>(二)、超细粉碎设备(气流磨)项目总投资估算</w:t>
        </w:r>
        <w:r>
          <w:tab/>
        </w:r>
        <w:r>
          <w:fldChar w:fldCharType="begin"/>
        </w:r>
        <w:r>
          <w:instrText xml:space="preserve"> PAGEREF _Toc16823 \h </w:instrText>
        </w:r>
        <w:r>
          <w:fldChar w:fldCharType="separate"/>
        </w:r>
        <w:r>
          <w:t>34</w:t>
        </w:r>
        <w:r>
          <w:fldChar w:fldCharType="end"/>
        </w:r>
      </w:hyperlink>
    </w:p>
    <w:p>
      <w:pPr>
        <w:pStyle w:val="TOC2"/>
        <w:tabs>
          <w:tab w:val="right" w:leader="dot" w:pos="8306"/>
        </w:tabs>
      </w:pPr>
      <w:hyperlink w:anchor="_Toc25524" w:history="1">
        <w:r>
          <w:rPr>
            <w:rFonts w:ascii="仿宋" w:eastAsia="仿宋" w:hAnsi="仿宋" w:cs="仿宋" w:hint="eastAsia"/>
            <w:lang w:eastAsia="zh-CN"/>
          </w:rPr>
          <w:t>(三)、资金筹措</w:t>
        </w:r>
        <w:r>
          <w:tab/>
        </w:r>
        <w:r>
          <w:fldChar w:fldCharType="begin"/>
        </w:r>
        <w:r>
          <w:instrText xml:space="preserve"> PAGEREF _Toc25524 \h </w:instrText>
        </w:r>
        <w:r>
          <w:fldChar w:fldCharType="separate"/>
        </w:r>
        <w:r>
          <w:t>35</w:t>
        </w:r>
        <w:r>
          <w:fldChar w:fldCharType="end"/>
        </w:r>
      </w:hyperlink>
    </w:p>
    <w:p>
      <w:pPr>
        <w:pStyle w:val="TOC1"/>
        <w:tabs>
          <w:tab w:val="right" w:leader="dot" w:pos="8306"/>
        </w:tabs>
      </w:pPr>
      <w:hyperlink w:anchor="_Toc18113" w:history="1">
        <w:r>
          <w:rPr>
            <w:rFonts w:ascii="仿宋" w:eastAsia="仿宋" w:hAnsi="仿宋" w:cs="仿宋" w:hint="eastAsia"/>
            <w:lang w:eastAsia="zh-CN"/>
          </w:rPr>
          <w:t>七、投资背景及必要性分析</w:t>
        </w:r>
        <w:r>
          <w:tab/>
        </w:r>
        <w:r>
          <w:fldChar w:fldCharType="begin"/>
        </w:r>
        <w:r>
          <w:instrText xml:space="preserve"> PAGEREF _Toc18113 \h </w:instrText>
        </w:r>
        <w:r>
          <w:fldChar w:fldCharType="separate"/>
        </w:r>
        <w:r>
          <w:t>37</w:t>
        </w:r>
        <w:r>
          <w:fldChar w:fldCharType="end"/>
        </w:r>
      </w:hyperlink>
    </w:p>
    <w:p>
      <w:pPr>
        <w:pStyle w:val="TOC2"/>
        <w:tabs>
          <w:tab w:val="right" w:leader="dot" w:pos="8306"/>
        </w:tabs>
      </w:pPr>
      <w:hyperlink w:anchor="_Toc30524" w:history="1">
        <w:r>
          <w:rPr>
            <w:rFonts w:ascii="仿宋" w:eastAsia="仿宋" w:hAnsi="仿宋" w:cs="仿宋" w:hint="eastAsia"/>
            <w:lang w:eastAsia="zh-CN"/>
          </w:rPr>
          <w:t>(一)、超细粉碎设备(气流磨)项目承办单位背景分析</w:t>
        </w:r>
        <w:r>
          <w:tab/>
        </w:r>
        <w:r>
          <w:fldChar w:fldCharType="begin"/>
        </w:r>
        <w:r>
          <w:instrText xml:space="preserve"> PAGEREF _Toc30524 \h </w:instrText>
        </w:r>
        <w:r>
          <w:fldChar w:fldCharType="separate"/>
        </w:r>
        <w:r>
          <w:t>37</w:t>
        </w:r>
        <w:r>
          <w:fldChar w:fldCharType="end"/>
        </w:r>
      </w:hyperlink>
    </w:p>
    <w:p>
      <w:pPr>
        <w:pStyle w:val="TOC2"/>
        <w:tabs>
          <w:tab w:val="right" w:leader="dot" w:pos="8306"/>
        </w:tabs>
      </w:pPr>
      <w:hyperlink w:anchor="_Toc31450" w:history="1">
        <w:r>
          <w:rPr>
            <w:rFonts w:ascii="仿宋" w:eastAsia="仿宋" w:hAnsi="仿宋" w:cs="仿宋" w:hint="eastAsia"/>
            <w:lang w:eastAsia="zh-CN"/>
          </w:rPr>
          <w:t>(二)、产业政策及发展规划</w:t>
        </w:r>
        <w:r>
          <w:tab/>
        </w:r>
        <w:r>
          <w:fldChar w:fldCharType="begin"/>
        </w:r>
        <w:r>
          <w:instrText xml:space="preserve"> PAGEREF _Toc31450 \h </w:instrText>
        </w:r>
        <w:r>
          <w:fldChar w:fldCharType="separate"/>
        </w:r>
        <w:r>
          <w:t>39</w:t>
        </w:r>
        <w:r>
          <w:fldChar w:fldCharType="end"/>
        </w:r>
      </w:hyperlink>
    </w:p>
    <w:p>
      <w:pPr>
        <w:pStyle w:val="TOC2"/>
        <w:tabs>
          <w:tab w:val="right" w:leader="dot" w:pos="8306"/>
        </w:tabs>
      </w:pPr>
      <w:hyperlink w:anchor="_Toc2814" w:history="1">
        <w:r>
          <w:rPr>
            <w:rFonts w:ascii="仿宋" w:eastAsia="仿宋" w:hAnsi="仿宋" w:cs="仿宋" w:hint="eastAsia"/>
            <w:lang w:eastAsia="zh-CN"/>
          </w:rPr>
          <w:t>(三)、鼓励中小企业发展</w:t>
        </w:r>
        <w:r>
          <w:tab/>
        </w:r>
        <w:r>
          <w:fldChar w:fldCharType="begin"/>
        </w:r>
        <w:r>
          <w:instrText xml:space="preserve"> PAGEREF _Toc2814 \h </w:instrText>
        </w:r>
        <w:r>
          <w:fldChar w:fldCharType="separate"/>
        </w:r>
        <w:r>
          <w:t>40</w:t>
        </w:r>
        <w:r>
          <w:fldChar w:fldCharType="end"/>
        </w:r>
      </w:hyperlink>
    </w:p>
    <w:p>
      <w:pPr>
        <w:pStyle w:val="TOC2"/>
        <w:tabs>
          <w:tab w:val="right" w:leader="dot" w:pos="8306"/>
        </w:tabs>
      </w:pPr>
      <w:hyperlink w:anchor="_Toc15114" w:history="1">
        <w:r>
          <w:rPr>
            <w:rFonts w:ascii="仿宋" w:eastAsia="仿宋" w:hAnsi="仿宋" w:cs="仿宋" w:hint="eastAsia"/>
            <w:lang w:eastAsia="zh-CN"/>
          </w:rPr>
          <w:t>(四)、宏观经济形势分析</w:t>
        </w:r>
        <w:r>
          <w:tab/>
        </w:r>
        <w:r>
          <w:fldChar w:fldCharType="begin"/>
        </w:r>
        <w:r>
          <w:instrText xml:space="preserve"> PAGEREF _Toc15114 \h </w:instrText>
        </w:r>
        <w:r>
          <w:fldChar w:fldCharType="separate"/>
        </w:r>
        <w:r>
          <w:t>41</w:t>
        </w:r>
        <w:r>
          <w:fldChar w:fldCharType="end"/>
        </w:r>
      </w:hyperlink>
    </w:p>
    <w:p>
      <w:pPr>
        <w:pStyle w:val="TOC2"/>
        <w:tabs>
          <w:tab w:val="right" w:leader="dot" w:pos="8306"/>
        </w:tabs>
      </w:pPr>
      <w:hyperlink w:anchor="_Toc13615" w:history="1">
        <w:r>
          <w:rPr>
            <w:rFonts w:ascii="仿宋" w:eastAsia="仿宋" w:hAnsi="仿宋" w:cs="仿宋" w:hint="eastAsia"/>
            <w:lang w:eastAsia="zh-CN"/>
          </w:rPr>
          <w:t>(五)、区域经济发展概况</w:t>
        </w:r>
        <w:r>
          <w:tab/>
        </w:r>
        <w:r>
          <w:fldChar w:fldCharType="begin"/>
        </w:r>
        <w:r>
          <w:instrText xml:space="preserve"> PAGEREF _Toc13615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10" w:history="1">
        <w:r>
          <w:rPr>
            <w:rFonts w:ascii="仿宋" w:eastAsia="仿宋" w:hAnsi="仿宋" w:cs="仿宋" w:hint="eastAsia"/>
            <w:lang w:eastAsia="zh-CN"/>
          </w:rPr>
          <w:t>(六)、超细粉碎设备(气流磨)项目必要性分析</w:t>
        </w:r>
        <w:r>
          <w:tab/>
        </w:r>
        <w:r>
          <w:fldChar w:fldCharType="begin"/>
        </w:r>
        <w:r>
          <w:instrText xml:space="preserve"> PAGEREF _Toc25810 \h </w:instrText>
        </w:r>
        <w:r>
          <w:fldChar w:fldCharType="separate"/>
        </w:r>
        <w:r>
          <w:t>44</w:t>
        </w:r>
        <w:r>
          <w:fldChar w:fldCharType="end"/>
        </w:r>
      </w:hyperlink>
    </w:p>
    <w:p>
      <w:pPr>
        <w:pStyle w:val="TOC1"/>
        <w:tabs>
          <w:tab w:val="right" w:leader="dot" w:pos="8306"/>
        </w:tabs>
      </w:pPr>
      <w:hyperlink w:anchor="_Toc1254" w:history="1">
        <w:r>
          <w:rPr>
            <w:rFonts w:ascii="仿宋" w:eastAsia="仿宋" w:hAnsi="仿宋" w:cs="仿宋" w:hint="eastAsia"/>
            <w:lang w:eastAsia="zh-CN"/>
          </w:rPr>
          <w:t>八、知识管理与技术创新</w:t>
        </w:r>
        <w:r>
          <w:tab/>
        </w:r>
        <w:r>
          <w:fldChar w:fldCharType="begin"/>
        </w:r>
        <w:r>
          <w:instrText xml:space="preserve"> PAGEREF _Toc1254 \h </w:instrText>
        </w:r>
        <w:r>
          <w:fldChar w:fldCharType="separate"/>
        </w:r>
        <w:r>
          <w:t>46</w:t>
        </w:r>
        <w:r>
          <w:fldChar w:fldCharType="end"/>
        </w:r>
      </w:hyperlink>
    </w:p>
    <w:p>
      <w:pPr>
        <w:pStyle w:val="TOC2"/>
        <w:tabs>
          <w:tab w:val="right" w:leader="dot" w:pos="8306"/>
        </w:tabs>
      </w:pPr>
      <w:hyperlink w:anchor="_Toc15392" w:history="1">
        <w:r>
          <w:rPr>
            <w:rFonts w:ascii="仿宋" w:eastAsia="仿宋" w:hAnsi="仿宋" w:cs="仿宋" w:hint="eastAsia"/>
            <w:lang w:eastAsia="zh-CN"/>
          </w:rPr>
          <w:t>(一)、知识管理体系建设</w:t>
        </w:r>
        <w:r>
          <w:tab/>
        </w:r>
        <w:r>
          <w:fldChar w:fldCharType="begin"/>
        </w:r>
        <w:r>
          <w:instrText xml:space="preserve"> PAGEREF _Toc15392 \h </w:instrText>
        </w:r>
        <w:r>
          <w:fldChar w:fldCharType="separate"/>
        </w:r>
        <w:r>
          <w:t>46</w:t>
        </w:r>
        <w:r>
          <w:fldChar w:fldCharType="end"/>
        </w:r>
      </w:hyperlink>
    </w:p>
    <w:p>
      <w:pPr>
        <w:pStyle w:val="TOC2"/>
        <w:tabs>
          <w:tab w:val="right" w:leader="dot" w:pos="8306"/>
        </w:tabs>
      </w:pPr>
      <w:hyperlink w:anchor="_Toc8899" w:history="1">
        <w:r>
          <w:rPr>
            <w:rFonts w:ascii="仿宋" w:eastAsia="仿宋" w:hAnsi="仿宋" w:cs="仿宋" w:hint="eastAsia"/>
            <w:lang w:eastAsia="zh-CN"/>
          </w:rPr>
          <w:t>(二)、技术创新与研发投入</w:t>
        </w:r>
        <w:r>
          <w:tab/>
        </w:r>
        <w:r>
          <w:fldChar w:fldCharType="begin"/>
        </w:r>
        <w:r>
          <w:instrText xml:space="preserve"> PAGEREF _Toc8899 \h </w:instrText>
        </w:r>
        <w:r>
          <w:fldChar w:fldCharType="separate"/>
        </w:r>
        <w:r>
          <w:t>47</w:t>
        </w:r>
        <w:r>
          <w:fldChar w:fldCharType="end"/>
        </w:r>
      </w:hyperlink>
    </w:p>
    <w:p>
      <w:pPr>
        <w:pStyle w:val="TOC2"/>
        <w:tabs>
          <w:tab w:val="right" w:leader="dot" w:pos="8306"/>
        </w:tabs>
      </w:pPr>
      <w:hyperlink w:anchor="_Toc4566" w:history="1">
        <w:r>
          <w:rPr>
            <w:rFonts w:ascii="仿宋" w:eastAsia="仿宋" w:hAnsi="仿宋" w:cs="仿宋" w:hint="eastAsia"/>
            <w:lang w:eastAsia="zh-CN"/>
          </w:rPr>
          <w:t>(三)、专利申请与技术保护</w:t>
        </w:r>
        <w:r>
          <w:tab/>
        </w:r>
        <w:r>
          <w:fldChar w:fldCharType="begin"/>
        </w:r>
        <w:r>
          <w:instrText xml:space="preserve"> PAGEREF _Toc4566 \h </w:instrText>
        </w:r>
        <w:r>
          <w:fldChar w:fldCharType="separate"/>
        </w:r>
        <w:r>
          <w:t>49</w:t>
        </w:r>
        <w:r>
          <w:fldChar w:fldCharType="end"/>
        </w:r>
      </w:hyperlink>
    </w:p>
    <w:p>
      <w:pPr>
        <w:pStyle w:val="TOC2"/>
        <w:tabs>
          <w:tab w:val="right" w:leader="dot" w:pos="8306"/>
        </w:tabs>
      </w:pPr>
      <w:hyperlink w:anchor="_Toc17368" w:history="1">
        <w:r>
          <w:rPr>
            <w:rFonts w:ascii="仿宋" w:eastAsia="仿宋" w:hAnsi="仿宋" w:cs="仿宋" w:hint="eastAsia"/>
            <w:lang w:eastAsia="zh-CN"/>
          </w:rPr>
          <w:t>(四)、人才培养与团队建设</w:t>
        </w:r>
        <w:r>
          <w:tab/>
        </w:r>
        <w:r>
          <w:fldChar w:fldCharType="begin"/>
        </w:r>
        <w:r>
          <w:instrText xml:space="preserve"> PAGEREF _Toc17368 \h </w:instrText>
        </w:r>
        <w:r>
          <w:fldChar w:fldCharType="separate"/>
        </w:r>
        <w:r>
          <w:t>51</w:t>
        </w:r>
        <w:r>
          <w:fldChar w:fldCharType="end"/>
        </w:r>
      </w:hyperlink>
    </w:p>
    <w:p>
      <w:pPr>
        <w:pStyle w:val="TOC1"/>
        <w:tabs>
          <w:tab w:val="right" w:leader="dot" w:pos="8306"/>
        </w:tabs>
      </w:pPr>
      <w:hyperlink w:anchor="_Toc14224" w:history="1">
        <w:r>
          <w:rPr>
            <w:rFonts w:ascii="仿宋" w:eastAsia="仿宋" w:hAnsi="仿宋" w:cs="仿宋" w:hint="eastAsia"/>
            <w:lang w:eastAsia="zh-CN"/>
          </w:rPr>
          <w:t>九、超细粉碎设备(气流磨)项目环境保护</w:t>
        </w:r>
        <w:r>
          <w:tab/>
        </w:r>
        <w:r>
          <w:fldChar w:fldCharType="begin"/>
        </w:r>
        <w:r>
          <w:instrText xml:space="preserve"> PAGEREF _Toc14224 \h </w:instrText>
        </w:r>
        <w:r>
          <w:fldChar w:fldCharType="separate"/>
        </w:r>
        <w:r>
          <w:t>54</w:t>
        </w:r>
        <w:r>
          <w:fldChar w:fldCharType="end"/>
        </w:r>
      </w:hyperlink>
    </w:p>
    <w:p>
      <w:pPr>
        <w:pStyle w:val="TOC2"/>
        <w:tabs>
          <w:tab w:val="right" w:leader="dot" w:pos="8306"/>
        </w:tabs>
      </w:pPr>
      <w:hyperlink w:anchor="_Toc26844" w:history="1">
        <w:r>
          <w:rPr>
            <w:rFonts w:ascii="仿宋" w:eastAsia="仿宋" w:hAnsi="仿宋" w:cs="仿宋" w:hint="eastAsia"/>
            <w:lang w:eastAsia="zh-CN"/>
          </w:rPr>
          <w:t>(一)、超细粉碎设备(气流磨)项目环境影响评估</w:t>
        </w:r>
        <w:r>
          <w:tab/>
        </w:r>
        <w:r>
          <w:fldChar w:fldCharType="begin"/>
        </w:r>
        <w:r>
          <w:instrText xml:space="preserve"> PAGEREF _Toc26844 \h </w:instrText>
        </w:r>
        <w:r>
          <w:fldChar w:fldCharType="separate"/>
        </w:r>
        <w:r>
          <w:t>54</w:t>
        </w:r>
        <w:r>
          <w:fldChar w:fldCharType="end"/>
        </w:r>
      </w:hyperlink>
    </w:p>
    <w:p>
      <w:pPr>
        <w:pStyle w:val="TOC2"/>
        <w:tabs>
          <w:tab w:val="right" w:leader="dot" w:pos="8306"/>
        </w:tabs>
      </w:pPr>
      <w:hyperlink w:anchor="_Toc29326" w:history="1">
        <w:r>
          <w:rPr>
            <w:rFonts w:ascii="仿宋" w:eastAsia="仿宋" w:hAnsi="仿宋" w:cs="仿宋" w:hint="eastAsia"/>
            <w:lang w:eastAsia="zh-CN"/>
          </w:rPr>
          <w:t>(二)、环境保护措施与方案</w:t>
        </w:r>
        <w:r>
          <w:tab/>
        </w:r>
        <w:r>
          <w:fldChar w:fldCharType="begin"/>
        </w:r>
        <w:r>
          <w:instrText xml:space="preserve"> PAGEREF _Toc29326 \h </w:instrText>
        </w:r>
        <w:r>
          <w:fldChar w:fldCharType="separate"/>
        </w:r>
        <w:r>
          <w:t>56</w:t>
        </w:r>
        <w:r>
          <w:fldChar w:fldCharType="end"/>
        </w:r>
      </w:hyperlink>
    </w:p>
    <w:p>
      <w:pPr>
        <w:pStyle w:val="TOC2"/>
        <w:tabs>
          <w:tab w:val="right" w:leader="dot" w:pos="8306"/>
        </w:tabs>
      </w:pPr>
      <w:hyperlink w:anchor="_Toc29676" w:history="1">
        <w:r>
          <w:rPr>
            <w:rFonts w:ascii="仿宋" w:eastAsia="仿宋" w:hAnsi="仿宋" w:cs="仿宋" w:hint="eastAsia"/>
            <w:lang w:eastAsia="zh-CN"/>
          </w:rPr>
          <w:t>(三)、生态恢复与补偿措施</w:t>
        </w:r>
        <w:r>
          <w:tab/>
        </w:r>
        <w:r>
          <w:fldChar w:fldCharType="begin"/>
        </w:r>
        <w:r>
          <w:instrText xml:space="preserve"> PAGEREF _Toc29676 \h </w:instrText>
        </w:r>
        <w:r>
          <w:fldChar w:fldCharType="separate"/>
        </w:r>
        <w:r>
          <w:t>57</w:t>
        </w:r>
        <w:r>
          <w:fldChar w:fldCharType="end"/>
        </w:r>
      </w:hyperlink>
    </w:p>
    <w:p>
      <w:pPr>
        <w:pStyle w:val="TOC2"/>
        <w:tabs>
          <w:tab w:val="right" w:leader="dot" w:pos="8306"/>
        </w:tabs>
      </w:pPr>
      <w:hyperlink w:anchor="_Toc28390" w:history="1">
        <w:r>
          <w:rPr>
            <w:rFonts w:ascii="仿宋" w:eastAsia="仿宋" w:hAnsi="仿宋" w:cs="仿宋" w:hint="eastAsia"/>
            <w:lang w:eastAsia="zh-CN"/>
          </w:rPr>
          <w:t>(四)、环境保护监测与评估</w:t>
        </w:r>
        <w:r>
          <w:tab/>
        </w:r>
        <w:r>
          <w:fldChar w:fldCharType="begin"/>
        </w:r>
        <w:r>
          <w:instrText xml:space="preserve"> PAGEREF _Toc28390 \h </w:instrText>
        </w:r>
        <w:r>
          <w:fldChar w:fldCharType="separate"/>
        </w:r>
        <w:r>
          <w:t>60</w:t>
        </w:r>
        <w:r>
          <w:fldChar w:fldCharType="end"/>
        </w:r>
      </w:hyperlink>
    </w:p>
    <w:p>
      <w:pPr>
        <w:pStyle w:val="TOC1"/>
        <w:tabs>
          <w:tab w:val="right" w:leader="dot" w:pos="8306"/>
        </w:tabs>
      </w:pPr>
      <w:hyperlink w:anchor="_Toc12650" w:history="1">
        <w:r>
          <w:rPr>
            <w:rFonts w:ascii="仿宋" w:eastAsia="仿宋" w:hAnsi="仿宋" w:cs="仿宋" w:hint="eastAsia"/>
            <w:lang w:eastAsia="zh-CN"/>
          </w:rPr>
          <w:t>十、风险管理与应对策略</w:t>
        </w:r>
        <w:r>
          <w:tab/>
        </w:r>
        <w:r>
          <w:fldChar w:fldCharType="begin"/>
        </w:r>
        <w:r>
          <w:instrText xml:space="preserve"> PAGEREF _Toc12650 \h </w:instrText>
        </w:r>
        <w:r>
          <w:fldChar w:fldCharType="separate"/>
        </w:r>
        <w:r>
          <w:t>62</w:t>
        </w:r>
        <w:r>
          <w:fldChar w:fldCharType="end"/>
        </w:r>
      </w:hyperlink>
    </w:p>
    <w:p>
      <w:pPr>
        <w:pStyle w:val="TOC2"/>
        <w:tabs>
          <w:tab w:val="right" w:leader="dot" w:pos="8306"/>
        </w:tabs>
      </w:pPr>
      <w:hyperlink w:anchor="_Toc32119" w:history="1">
        <w:r>
          <w:rPr>
            <w:rFonts w:ascii="仿宋" w:eastAsia="仿宋" w:hAnsi="仿宋" w:cs="仿宋" w:hint="eastAsia"/>
            <w:lang w:eastAsia="zh-CN"/>
          </w:rPr>
          <w:t>(一)、风险管理流程</w:t>
        </w:r>
        <w:r>
          <w:tab/>
        </w:r>
        <w:r>
          <w:fldChar w:fldCharType="begin"/>
        </w:r>
        <w:r>
          <w:instrText xml:space="preserve"> PAGEREF _Toc32119 \h </w:instrText>
        </w:r>
        <w:r>
          <w:fldChar w:fldCharType="separate"/>
        </w:r>
        <w:r>
          <w:t>62</w:t>
        </w:r>
        <w:r>
          <w:fldChar w:fldCharType="end"/>
        </w:r>
      </w:hyperlink>
    </w:p>
    <w:p>
      <w:pPr>
        <w:pStyle w:val="TOC2"/>
        <w:tabs>
          <w:tab w:val="right" w:leader="dot" w:pos="8306"/>
        </w:tabs>
      </w:pPr>
      <w:hyperlink w:anchor="_Toc5304" w:history="1">
        <w:r>
          <w:rPr>
            <w:rFonts w:ascii="仿宋" w:eastAsia="仿宋" w:hAnsi="仿宋" w:cs="仿宋" w:hint="eastAsia"/>
            <w:lang w:eastAsia="zh-CN"/>
          </w:rPr>
          <w:t>(二)、风险识别与评估</w:t>
        </w:r>
        <w:r>
          <w:tab/>
        </w:r>
        <w:r>
          <w:fldChar w:fldCharType="begin"/>
        </w:r>
        <w:r>
          <w:instrText xml:space="preserve"> PAGEREF _Toc5304 \h </w:instrText>
        </w:r>
        <w:r>
          <w:fldChar w:fldCharType="separate"/>
        </w:r>
        <w:r>
          <w:t>65</w:t>
        </w:r>
        <w:r>
          <w:fldChar w:fldCharType="end"/>
        </w:r>
      </w:hyperlink>
    </w:p>
    <w:p>
      <w:pPr>
        <w:pStyle w:val="TOC2"/>
        <w:tabs>
          <w:tab w:val="right" w:leader="dot" w:pos="8306"/>
        </w:tabs>
      </w:pPr>
      <w:hyperlink w:anchor="_Toc31275" w:history="1">
        <w:r>
          <w:rPr>
            <w:rFonts w:ascii="仿宋" w:eastAsia="仿宋" w:hAnsi="仿宋" w:cs="仿宋" w:hint="eastAsia"/>
            <w:lang w:eastAsia="zh-CN"/>
          </w:rPr>
          <w:t>(三)、风险控制与应对策略</w:t>
        </w:r>
        <w:r>
          <w:tab/>
        </w:r>
        <w:r>
          <w:fldChar w:fldCharType="begin"/>
        </w:r>
        <w:r>
          <w:instrText xml:space="preserve"> PAGEREF _Toc31275 \h </w:instrText>
        </w:r>
        <w:r>
          <w:fldChar w:fldCharType="separate"/>
        </w:r>
        <w:r>
          <w:t>67</w:t>
        </w:r>
        <w:r>
          <w:fldChar w:fldCharType="end"/>
        </w:r>
      </w:hyperlink>
    </w:p>
    <w:p>
      <w:pPr>
        <w:pStyle w:val="TOC2"/>
        <w:tabs>
          <w:tab w:val="right" w:leader="dot" w:pos="8306"/>
        </w:tabs>
      </w:pPr>
      <w:hyperlink w:anchor="_Toc12256" w:history="1">
        <w:r>
          <w:rPr>
            <w:rFonts w:ascii="仿宋" w:eastAsia="仿宋" w:hAnsi="仿宋" w:cs="仿宋" w:hint="eastAsia"/>
            <w:lang w:eastAsia="zh-CN"/>
          </w:rPr>
          <w:t>(四)、危机管理与应急预案</w:t>
        </w:r>
        <w:r>
          <w:tab/>
        </w:r>
        <w:r>
          <w:fldChar w:fldCharType="begin"/>
        </w:r>
        <w:r>
          <w:instrText xml:space="preserve"> PAGEREF _Toc12256 \h </w:instrText>
        </w:r>
        <w:r>
          <w:fldChar w:fldCharType="separate"/>
        </w:r>
        <w:r>
          <w:t>69</w:t>
        </w:r>
        <w:r>
          <w:fldChar w:fldCharType="end"/>
        </w:r>
      </w:hyperlink>
    </w:p>
    <w:p>
      <w:pPr>
        <w:pStyle w:val="TOC1"/>
        <w:tabs>
          <w:tab w:val="right" w:leader="dot" w:pos="8306"/>
        </w:tabs>
      </w:pPr>
      <w:hyperlink w:anchor="_Toc25992" w:history="1">
        <w:r>
          <w:rPr>
            <w:rFonts w:ascii="仿宋" w:eastAsia="仿宋" w:hAnsi="仿宋" w:cs="仿宋" w:hint="eastAsia"/>
            <w:lang w:eastAsia="zh-CN"/>
          </w:rPr>
          <w:t>十一、法律与合规性</w:t>
        </w:r>
        <w:r>
          <w:tab/>
        </w:r>
        <w:r>
          <w:fldChar w:fldCharType="begin"/>
        </w:r>
        <w:r>
          <w:instrText xml:space="preserve"> PAGEREF _Toc25992 \h </w:instrText>
        </w:r>
        <w:r>
          <w:fldChar w:fldCharType="separate"/>
        </w:r>
        <w:r>
          <w:t>72</w:t>
        </w:r>
        <w:r>
          <w:fldChar w:fldCharType="end"/>
        </w:r>
      </w:hyperlink>
    </w:p>
    <w:p>
      <w:pPr>
        <w:pStyle w:val="TOC2"/>
        <w:tabs>
          <w:tab w:val="right" w:leader="dot" w:pos="8306"/>
        </w:tabs>
      </w:pPr>
      <w:hyperlink w:anchor="_Toc25961" w:history="1">
        <w:r>
          <w:rPr>
            <w:rFonts w:ascii="仿宋" w:eastAsia="仿宋" w:hAnsi="仿宋" w:cs="仿宋" w:hint="eastAsia"/>
            <w:lang w:eastAsia="zh-CN"/>
          </w:rPr>
          <w:t>(一)、相关法律法规概述</w:t>
        </w:r>
        <w:r>
          <w:tab/>
        </w:r>
        <w:r>
          <w:fldChar w:fldCharType="begin"/>
        </w:r>
        <w:r>
          <w:instrText xml:space="preserve"> PAGEREF _Toc25961 \h </w:instrText>
        </w:r>
        <w:r>
          <w:fldChar w:fldCharType="separate"/>
        </w:r>
        <w:r>
          <w:t>72</w:t>
        </w:r>
        <w:r>
          <w:fldChar w:fldCharType="end"/>
        </w:r>
      </w:hyperlink>
    </w:p>
    <w:p>
      <w:pPr>
        <w:pStyle w:val="TOC2"/>
        <w:tabs>
          <w:tab w:val="right" w:leader="dot" w:pos="8306"/>
        </w:tabs>
      </w:pPr>
      <w:hyperlink w:anchor="_Toc21419" w:history="1">
        <w:r>
          <w:rPr>
            <w:rFonts w:ascii="仿宋" w:eastAsia="仿宋" w:hAnsi="仿宋" w:cs="仿宋" w:hint="eastAsia"/>
            <w:lang w:eastAsia="zh-CN"/>
          </w:rPr>
          <w:t>(二)、超细粉碎设备(气流磨)项目合同管理</w:t>
        </w:r>
        <w:r>
          <w:tab/>
        </w:r>
        <w:r>
          <w:fldChar w:fldCharType="begin"/>
        </w:r>
        <w:r>
          <w:instrText xml:space="preserve"> PAGEREF _Toc21419 \h </w:instrText>
        </w:r>
        <w:r>
          <w:fldChar w:fldCharType="separate"/>
        </w:r>
        <w:r>
          <w:t>74</w:t>
        </w:r>
        <w:r>
          <w:fldChar w:fldCharType="end"/>
        </w:r>
      </w:hyperlink>
    </w:p>
    <w:p>
      <w:pPr>
        <w:pStyle w:val="TOC2"/>
        <w:tabs>
          <w:tab w:val="right" w:leader="dot" w:pos="8306"/>
        </w:tabs>
      </w:pPr>
      <w:hyperlink w:anchor="_Toc3560" w:history="1">
        <w:r>
          <w:rPr>
            <w:rFonts w:ascii="仿宋" w:eastAsia="仿宋" w:hAnsi="仿宋" w:cs="仿宋" w:hint="eastAsia"/>
            <w:lang w:eastAsia="zh-CN"/>
          </w:rPr>
          <w:t>(三)、知识产权保护</w:t>
        </w:r>
        <w:r>
          <w:tab/>
        </w:r>
        <w:r>
          <w:fldChar w:fldCharType="begin"/>
        </w:r>
        <w:r>
          <w:instrText xml:space="preserve"> PAGEREF _Toc3560 \h </w:instrText>
        </w:r>
        <w:r>
          <w:fldChar w:fldCharType="separate"/>
        </w:r>
        <w:r>
          <w:t>75</w:t>
        </w:r>
        <w:r>
          <w:fldChar w:fldCharType="end"/>
        </w:r>
      </w:hyperlink>
    </w:p>
    <w:p>
      <w:pPr>
        <w:pStyle w:val="TOC2"/>
        <w:tabs>
          <w:tab w:val="right" w:leader="dot" w:pos="8306"/>
        </w:tabs>
      </w:pPr>
      <w:hyperlink w:anchor="_Toc9238" w:history="1">
        <w:r>
          <w:rPr>
            <w:rFonts w:ascii="仿宋" w:eastAsia="仿宋" w:hAnsi="仿宋" w:cs="仿宋" w:hint="eastAsia"/>
            <w:lang w:eastAsia="zh-CN"/>
          </w:rPr>
          <w:t>(四)、劳动法规与员工权益</w:t>
        </w:r>
        <w:r>
          <w:tab/>
        </w:r>
        <w:r>
          <w:fldChar w:fldCharType="begin"/>
        </w:r>
        <w:r>
          <w:instrText xml:space="preserve"> PAGEREF _Toc9238 \h </w:instrText>
        </w:r>
        <w:r>
          <w:fldChar w:fldCharType="separate"/>
        </w:r>
        <w:r>
          <w:t>77</w:t>
        </w:r>
        <w:r>
          <w:fldChar w:fldCharType="end"/>
        </w:r>
      </w:hyperlink>
    </w:p>
    <w:p>
      <w:pPr>
        <w:pStyle w:val="TOC2"/>
        <w:tabs>
          <w:tab w:val="right" w:leader="dot" w:pos="8306"/>
        </w:tabs>
      </w:pPr>
      <w:hyperlink w:anchor="_Toc22290" w:history="1">
        <w:r>
          <w:rPr>
            <w:rFonts w:ascii="仿宋" w:eastAsia="仿宋" w:hAnsi="仿宋" w:cs="仿宋" w:hint="eastAsia"/>
            <w:lang w:eastAsia="zh-CN"/>
          </w:rPr>
          <w:t>(五)、环境保护法规遵循</w:t>
        </w:r>
        <w:r>
          <w:tab/>
        </w:r>
        <w:r>
          <w:fldChar w:fldCharType="begin"/>
        </w:r>
        <w:r>
          <w:instrText xml:space="preserve"> PAGEREF _Toc22290 \h </w:instrText>
        </w:r>
        <w:r>
          <w:fldChar w:fldCharType="separate"/>
        </w:r>
        <w:r>
          <w:t>78</w:t>
        </w:r>
        <w:r>
          <w:fldChar w:fldCharType="end"/>
        </w:r>
      </w:hyperlink>
    </w:p>
    <w:p>
      <w:pPr>
        <w:pStyle w:val="TOC1"/>
        <w:tabs>
          <w:tab w:val="right" w:leader="dot" w:pos="8306"/>
        </w:tabs>
      </w:pPr>
      <w:hyperlink w:anchor="_Toc20732" w:history="1">
        <w:r>
          <w:rPr>
            <w:rFonts w:ascii="仿宋" w:eastAsia="仿宋" w:hAnsi="仿宋" w:cs="仿宋" w:hint="eastAsia"/>
            <w:lang w:eastAsia="zh-CN"/>
          </w:rPr>
          <w:t>十二、供应链管理与物流优化</w:t>
        </w:r>
        <w:r>
          <w:tab/>
        </w:r>
        <w:r>
          <w:fldChar w:fldCharType="begin"/>
        </w:r>
        <w:r>
          <w:instrText xml:space="preserve"> PAGEREF _Toc20732 \h </w:instrText>
        </w:r>
        <w:r>
          <w:fldChar w:fldCharType="separate"/>
        </w:r>
        <w:r>
          <w:t>80</w:t>
        </w:r>
        <w:r>
          <w:fldChar w:fldCharType="end"/>
        </w:r>
      </w:hyperlink>
    </w:p>
    <w:p>
      <w:pPr>
        <w:pStyle w:val="TOC2"/>
        <w:tabs>
          <w:tab w:val="right" w:leader="dot" w:pos="8306"/>
        </w:tabs>
      </w:pPr>
      <w:hyperlink w:anchor="_Toc4180" w:history="1">
        <w:r>
          <w:rPr>
            <w:rFonts w:ascii="仿宋" w:eastAsia="仿宋" w:hAnsi="仿宋" w:cs="仿宋" w:hint="eastAsia"/>
            <w:lang w:eastAsia="zh-CN"/>
          </w:rPr>
          <w:t>(一)、供应链规划与优化</w:t>
        </w:r>
        <w:r>
          <w:tab/>
        </w:r>
        <w:r>
          <w:fldChar w:fldCharType="begin"/>
        </w:r>
        <w:r>
          <w:instrText xml:space="preserve"> PAGEREF _Toc4180 \h </w:instrText>
        </w:r>
        <w:r>
          <w:fldChar w:fldCharType="separate"/>
        </w:r>
        <w:r>
          <w:t>80</w:t>
        </w:r>
        <w:r>
          <w:fldChar w:fldCharType="end"/>
        </w:r>
      </w:hyperlink>
    </w:p>
    <w:p>
      <w:pPr>
        <w:pStyle w:val="TOC2"/>
        <w:tabs>
          <w:tab w:val="right" w:leader="dot" w:pos="8306"/>
        </w:tabs>
      </w:pPr>
      <w:hyperlink w:anchor="_Toc23029" w:history="1">
        <w:r>
          <w:rPr>
            <w:rFonts w:ascii="仿宋" w:eastAsia="仿宋" w:hAnsi="仿宋" w:cs="仿宋" w:hint="eastAsia"/>
            <w:lang w:eastAsia="zh-CN"/>
          </w:rPr>
          <w:t>(二)、供应商选择与评估</w:t>
        </w:r>
        <w:r>
          <w:tab/>
        </w:r>
        <w:r>
          <w:fldChar w:fldCharType="begin"/>
        </w:r>
        <w:r>
          <w:instrText xml:space="preserve"> PAGEREF _Toc23029 \h </w:instrText>
        </w:r>
        <w:r>
          <w:fldChar w:fldCharType="separate"/>
        </w:r>
        <w:r>
          <w:t>82</w:t>
        </w:r>
        <w:r>
          <w:fldChar w:fldCharType="end"/>
        </w:r>
      </w:hyperlink>
    </w:p>
    <w:p>
      <w:pPr>
        <w:pStyle w:val="TOC2"/>
        <w:tabs>
          <w:tab w:val="right" w:leader="dot" w:pos="8306"/>
        </w:tabs>
      </w:pPr>
      <w:hyperlink w:anchor="_Toc31043" w:history="1">
        <w:r>
          <w:rPr>
            <w:rFonts w:ascii="仿宋" w:eastAsia="仿宋" w:hAnsi="仿宋" w:cs="仿宋" w:hint="eastAsia"/>
            <w:lang w:eastAsia="zh-CN"/>
          </w:rPr>
          <w:t>(三)、物流网络设计与管理</w:t>
        </w:r>
        <w:r>
          <w:tab/>
        </w:r>
        <w:r>
          <w:fldChar w:fldCharType="begin"/>
        </w:r>
        <w:r>
          <w:instrText xml:space="preserve"> PAGEREF _Toc31043 \h </w:instrText>
        </w:r>
        <w:r>
          <w:fldChar w:fldCharType="separate"/>
        </w:r>
        <w:r>
          <w:t>84</w:t>
        </w:r>
        <w:r>
          <w:fldChar w:fldCharType="end"/>
        </w:r>
      </w:hyperlink>
    </w:p>
    <w:p>
      <w:pPr>
        <w:pStyle w:val="TOC2"/>
        <w:tabs>
          <w:tab w:val="right" w:leader="dot" w:pos="8306"/>
        </w:tabs>
      </w:pPr>
      <w:hyperlink w:anchor="_Toc11579" w:history="1">
        <w:r>
          <w:rPr>
            <w:rFonts w:ascii="仿宋" w:eastAsia="仿宋" w:hAnsi="仿宋" w:cs="仿宋" w:hint="eastAsia"/>
            <w:lang w:eastAsia="zh-CN"/>
          </w:rPr>
          <w:t>(四)、库存控制与仓储管理</w:t>
        </w:r>
        <w:r>
          <w:tab/>
        </w:r>
        <w:r>
          <w:fldChar w:fldCharType="begin"/>
        </w:r>
        <w:r>
          <w:instrText xml:space="preserve"> PAGEREF _Toc11579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超细粉碎设备(气流磨)项目复杂性日益增加，全面而科学的超细粉碎设备(气流磨)项目管理方法论对于确保超细粉碎设备(气流磨)项目成功至关重要。本超细粉碎设备(气流磨)项目报告系统阐述了超细粉碎设备(气流磨)项目启动、规划、执行、监控与收尾的全过程，强调在动态环境中对策略的灵活调整与优化。报告旨在提供一套适应性强、实用性高的超细粉碎设备(气流磨)项目管理框架，便于读者掌握和应用于实际工作中。在此，我们明确指出报告内容仅限于学习交流之目的，严禁用于任何商业用途，力求促进超细粉碎设备(气流磨)项目管理知识的普及与提升。</w:t>
      </w:r>
    </w:p>
    <w:p>
      <w:pPr>
        <w:pStyle w:val="Heading1"/>
        <w:ind w:firstLine="560" w:firstLineChars="200"/>
        <w:rPr>
          <w:rFonts w:ascii="仿宋" w:eastAsia="仿宋" w:hAnsi="仿宋" w:cs="仿宋" w:hint="eastAsia"/>
          <w:sz w:val="28"/>
          <w:lang w:eastAsia="zh-CN"/>
        </w:rPr>
      </w:pPr>
      <w:bookmarkStart w:id="2" w:name="_Toc1621"/>
      <w:r>
        <w:rPr>
          <w:rFonts w:ascii="仿宋" w:eastAsia="仿宋" w:hAnsi="仿宋" w:cs="仿宋" w:hint="eastAsia"/>
          <w:sz w:val="28"/>
          <w:lang w:eastAsia="zh-CN"/>
        </w:rPr>
        <w:t>一、超细粉碎设备(气流磨)项目基本情况</w:t>
      </w:r>
      <w:bookmarkEnd w:id="2"/>
    </w:p>
    <w:p>
      <w:pPr>
        <w:pStyle w:val="Heading2"/>
        <w:rPr>
          <w:rFonts w:ascii="仿宋" w:eastAsia="仿宋" w:hAnsi="仿宋" w:cs="仿宋" w:hint="eastAsia"/>
          <w:lang w:eastAsia="zh-CN"/>
        </w:rPr>
      </w:pPr>
      <w:bookmarkStart w:id="3" w:name="_Toc2770"/>
      <w:r>
        <w:rPr>
          <w:rFonts w:ascii="仿宋" w:eastAsia="仿宋" w:hAnsi="仿宋" w:cs="仿宋" w:hint="eastAsia"/>
          <w:lang w:eastAsia="zh-CN"/>
        </w:rPr>
        <w:t>(一)、超细粉碎设备(气流磨)项目名称及建设性质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超细粉碎设备(气流磨)项目名称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超细粉碎设备(气流磨)项目名称：XXX超细粉碎设备(气流磨)项目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超细粉碎设备(气流磨)项目建设性质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细粉碎设备(气流磨)项目属于新建超细粉碎设备(气流磨)项目，依托xx区良好的产业基础和创新氛围，充分发挥区位优势，全力打造以xxx为核心的综合性产业基地。预计年产值可达XXX万元。这一新兴超细粉碎设备(气流磨)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4" w:name="_Toc12416"/>
      <w:r>
        <w:rPr>
          <w:rFonts w:ascii="仿宋" w:eastAsia="仿宋" w:hAnsi="仿宋" w:cs="仿宋" w:hint="eastAsia"/>
          <w:sz w:val="28"/>
          <w:lang w:eastAsia="zh-CN"/>
        </w:rPr>
        <w:t>(二)、超细粉碎设备(气流磨)项目承办单位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5" w:name="_Toc25265"/>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6" w:name="_Toc27745"/>
      <w:r>
        <w:rPr>
          <w:rFonts w:ascii="仿宋" w:eastAsia="仿宋" w:hAnsi="仿宋" w:cs="仿宋" w:hint="eastAsia"/>
          <w:sz w:val="28"/>
          <w:lang w:eastAsia="zh-CN"/>
        </w:rPr>
        <w:t>(四)、超细粉碎设备(气流磨)项目提出的理由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位置优势： XX区具有良好的产业基础和创新氛围，为新兴产业的发展提供了有力支持。超细粉碎设备(气流磨)项目能够充分借助XX区的产业集聚效应和科技创新环境，更好地融入当地经济体系。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2. 区位优势： 超细粉碎设备(气流磨)项目充分发挥地理位置的优势，依托XX区的区位条件，更便利地接触市场、原材料和人才资源。这将有助于超细粉碎设备(气流磨)项目的顺利推进和市场开拓。</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综合性产业基地： 该超细粉碎设备(气流磨)项目定位为以油墨为核心的综合性产业基地，这不仅能够满足市场对油墨产品的需求，还能够在油墨产业链上实现产业多元化，提高产值和经济效益。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年产值潜力： 超细粉碎设备(气流磨)项目规模较大，预计年产值可达XXX万元，这对于XX区的经济发展具有显著的促进作用。高产值意味着超细粉碎设备(气流磨)项目将为当地提供更多的就业机会，同时也能够为地方财政做出贡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产业升级：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通过全力打造以油墨为核心的产业基地，超细粉碎设备(气流磨)项目将推动相关产业的升级和发展。这有助于提升当地产业结构，增加高附加值产业的比重，促进区域产业的可持续发展。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7" w:name="_Toc4279"/>
      <w:r>
        <w:rPr>
          <w:rFonts w:ascii="仿宋" w:eastAsia="仿宋" w:hAnsi="仿宋" w:cs="仿宋" w:hint="eastAsia"/>
          <w:sz w:val="28"/>
          <w:lang w:eastAsia="zh-CN"/>
        </w:rPr>
        <w:t>(五)、原材料供应</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超细粉碎设备(气流磨)项目提供了可靠的原辅材料供应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超细粉碎设备(气流磨)项目正常经营所需原辅材料的高质量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这些供货商不仅能够保障超细粉碎设备(气流磨)项目的当前需求，而且能够满足 xxx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通过这一合理而有力的供应链管理，xxx 投资公司将能够确保超细粉碎设备(气流磨)项目在原材料采购和供应方面的高效运作，为超细粉碎设备(气流磨)项目的稳健发展打下坚实基础。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14575"/>
      <w:r>
        <w:rPr>
          <w:rFonts w:ascii="仿宋" w:eastAsia="仿宋" w:hAnsi="仿宋" w:cs="仿宋" w:hint="eastAsia"/>
          <w:sz w:val="28"/>
          <w:lang w:eastAsia="zh-CN"/>
        </w:rPr>
        <w:t>(六)、超细粉碎设备(气流磨)项目能耗分析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能源类型： 确定超细粉碎设备(气流磨)项目所使用的主要能源类型，例如电力、天然气、燃油等。了解能源类型将有助于集中分析各种能源的使用情况。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收集并记录超细粉碎设备(气流磨)项目在生产过程中各种能源的消耗量。这可以通过监测设备、能源计量仪器以及相关数据记录来实现。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能效改进超细粉碎设备(气流磨)项目： 考虑实施能效改进超细粉碎设备(气流磨)项目，例如更换节能设备、采用新的生产技术、改进维护和操作方法等。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再生能源应用： 探索并评估再生能源在超细粉碎设备(气流磨)项目中的应用可能性。例如，考虑采用太阳能、风能等可再生能源来部分或完全满足能源需求。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 员工培训：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法规合规性： 确保超细粉碎设备(气流磨)项目的能耗活动符合相关法规和环境保护标准。</w:t>
      </w:r>
    </w:p>
    <w:p>
      <w:pPr>
        <w:pStyle w:val="Heading2"/>
        <w:ind w:firstLine="560" w:firstLineChars="200"/>
        <w:rPr>
          <w:rFonts w:ascii="仿宋" w:eastAsia="仿宋" w:hAnsi="仿宋" w:cs="仿宋" w:hint="eastAsia"/>
          <w:sz w:val="28"/>
          <w:lang w:eastAsia="zh-CN"/>
        </w:rPr>
      </w:pPr>
      <w:bookmarkStart w:id="9" w:name="_Toc13388"/>
      <w:r>
        <w:rPr>
          <w:rFonts w:ascii="仿宋" w:eastAsia="仿宋" w:hAnsi="仿宋" w:cs="仿宋" w:hint="eastAsia"/>
          <w:sz w:val="28"/>
          <w:lang w:eastAsia="zh-CN"/>
        </w:rPr>
        <w:t>(七)、环境保护</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紧密契合xx区的发展规划，符合该区产业结构调整规划以及国家的产业发展政策。在超细粉碎设备(气流磨)项目规划中，我们充分考虑了区域的可持续发展需求，确保超细粉碎设备(气流磨)项目建设不仅符合国家政策，也与当地的产业发展方向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超细粉碎设备(气流磨)项目的生产活动在国家规定的排放标准内。超细粉碎设备(气流磨)项目建设阶段及运营后，我们将持续监测和管理排放，以确保超细粉碎设备(气流磨)项目对区域生态环境不会产生明显的负面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超细粉碎设备(气流磨)项目建成并投产后，各项环境指标将严格符合国家和地方清洁生产的标准要求，确保超细粉碎设备(气流磨)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10" w:name="_Toc2840"/>
      <w:r>
        <w:rPr>
          <w:rFonts w:ascii="仿宋" w:eastAsia="仿宋" w:hAnsi="仿宋" w:cs="仿宋" w:hint="eastAsia"/>
          <w:sz w:val="28"/>
          <w:lang w:eastAsia="zh-CN"/>
        </w:rPr>
        <w:t>(八)、超细粉碎设备(气流磨)项目建设符合性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确保超细粉碎设备(气流磨)项目的规划和建设符合当地和国家的法规和政策要求。这可能涉及土地使用、环保、建筑规范、安全等方面的法规。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环境影响评价： 进行全面的环境影响评价，确保超细粉碎设备(气流磨)项目建设和运营不会对周围环境产生负面影响。在评估中，考虑空气、水、土壤质量以及生态系统的保护。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超细粉碎设备(气流磨)项目建设应考虑社会责任，确保超细粉碎设备(气流磨)项目对当地社区的影响是积极的。这可能包括就业机会、社区发展超细粉碎设备(气流磨)项目、文化保护等方面。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安全标准： 遵守相关的安全标准和规范，保障超细粉碎设备(气流磨)项目建设和运营的人员安全。这包括建筑结构的安全性、设备操作的安全规程等。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技术规范： 确保超细粉碎设备(气流磨)项目采用符合行业标准和技术规范的设计和建设。这有助于超细粉碎设备(气流磨)项目的高效运作和可持续性发展。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 超细粉碎设备(气流磨)项目建设应考虑可持续性原则，包括资源利用效率、能源消耗、废弃物处理等。采用清洁生产和绿色技术，以降低对环境的影响。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公共参与：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超细粉碎设备(气流磨)项目建设阶段应开展公共参与，听取相关利益相关者的意见和建议。这有助于解决可能的争议，提高超细粉碎设备(气流磨)项目在社会中的接受度。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建立定期监测和报告机制，监控超细粉碎设备(气流磨)项目的建设和运营过程中的符合性。及时发现和解决潜在的问题。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开展全面的风险评估，确保超细粉碎设备(气流磨)项目建设和运营过程中的各种风险能够被有效管理和应对。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11" w:name="_Toc32060"/>
      <w:r>
        <w:rPr>
          <w:rFonts w:ascii="仿宋" w:eastAsia="仿宋" w:hAnsi="仿宋" w:cs="仿宋" w:hint="eastAsia"/>
          <w:sz w:val="28"/>
          <w:lang w:eastAsia="zh-CN"/>
        </w:rPr>
        <w:t>(九)、超细粉碎设备(气流磨)项目进度规划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超细粉碎设备(气流磨)项目的建设期限规划为XX个月，为了确保超细粉碎设备(气流磨)项目按时高效完成，我们采取了以下措施：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将整个超细粉碎设备(气流磨)项目划分为不同的阶段和段落，实施分期建设。这有助于灵活应对各个阶段的工程挑战，确保超细粉碎设备(气流磨)项目有序推进。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工期目标分解： 对超细粉碎设备(气流磨)项目进行工期目标的详细分解，明确各个主体工程的施工期限。通过科学的工期分解，可以更精准地掌握工程进展。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合理安排设计和采购时间：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后期工程押后施工：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将投资密度较大的部分工程尽量押后施工，例如其他配套工程等。这有助于合理分配资源，保证超细粉碎设备(气流磨)项目各方面的平衡发展。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提前进行设计工作： 在技术交流谈判的同时，提前进行设计工作。这样可以在超细粉碎设备(气流磨)项目正式启动前解决一些技术问题，为后续施工提供有力支持。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通过以上规划和措施，我们旨在保障超细粉碎设备(气流磨)项目建设期限的合理安排，最大程度地降低建设周期，确保超细粉碎设备(气流磨)项目按计划推进。</w:t>
      </w:r>
    </w:p>
    <w:p>
      <w:pPr>
        <w:pStyle w:val="Heading2"/>
        <w:ind w:firstLine="560" w:firstLineChars="200"/>
        <w:rPr>
          <w:rFonts w:ascii="仿宋" w:eastAsia="仿宋" w:hAnsi="仿宋" w:cs="仿宋" w:hint="eastAsia"/>
          <w:sz w:val="28"/>
          <w:lang w:eastAsia="zh-CN"/>
        </w:rPr>
      </w:pPr>
      <w:bookmarkStart w:id="12" w:name="_Toc4006"/>
      <w:r>
        <w:rPr>
          <w:rFonts w:ascii="仿宋" w:eastAsia="仿宋" w:hAnsi="仿宋" w:cs="仿宋" w:hint="eastAsia"/>
          <w:sz w:val="28"/>
          <w:lang w:eastAsia="zh-CN"/>
        </w:rPr>
        <w:t>(十)、投资估算及经济效益分析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超细粉碎设备(气流磨)项目总投资及资金构成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超细粉碎设备(气流磨)项目预计总投资为XXXX万元。其中，固定资产投资为XXXX万元，占超细粉碎设备(气流磨)项目总投资的XX%；流动资金为XXXX万元，占超细粉碎设备(气流磨)项目总投资的XX%。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截至目前，超细粉碎设备(气流磨)项目的资金主要由企业自筹。通过内部资金的调动和有效管理，确保超细粉碎设备(气流磨)项目的正常推进和运作。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超细粉碎设备(气流磨)项目预期经济效益规划目标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此外，达产年投资利润率为XX%，投资利税率为XX%，投资回报率为XX%，全部投资回收期为XX年。超细粉碎设备(气流磨)项目还将提供XX个就业职位，为当地就业创造积极影响。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这一经济效益规划目标综合考虑了超细粉碎设备(气流磨)项目的投资、收入、成本、税收等多个方面，为超细粉碎设备(气流磨)项目的经济可持续发展提供了明确的指导和目标。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869"/>
      <w:r>
        <w:rPr>
          <w:rFonts w:ascii="仿宋" w:eastAsia="仿宋" w:hAnsi="仿宋" w:cs="仿宋" w:hint="eastAsia"/>
          <w:sz w:val="28"/>
          <w:lang w:eastAsia="zh-CN"/>
        </w:rPr>
        <w:t>(十一)、报告说明</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市场和销售：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对市场需求、竞争格局、潜在客户等进行深入研究，明确超细粉碎设备(气流磨)项目产品或服务的市场定位和销售策略。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对超细粉碎设备(气流磨)项目规模进行科学规划，明确生产的产品或服务种类、特点及市场竞争力。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 选择适宜的厂址，考虑交通便利性、用地成本、环境因素等，确保超细粉碎设备(气流磨)项目的顺利运作。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对超细粉碎设备(气流磨)项目的生产工艺进行细致研究，确保采用先进、高效、可靠的技术，提高生产效率。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经过仔细比较和选择，确定最适合超细粉碎设备(气流磨)项目需求的生产设备，确保设备的性能和质量符合要求。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确保超细粉碎设备(气流磨)项目团队结构合理，拥有足够的专业人才，并规划培训计划，以提高员工的工作技能。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8. 实施计划： 制定详细的超细粉碎设备(气流磨)项目实施计划，明确各阶段的任务和时间节点，确保超细粉碎设备(气流磨)项目按计划推进。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确定超细粉碎设备(气流磨)项目的总投资和各项成本，并进行全面的成本效益分析，确保超细粉碎设备(气流磨)项目的经济可行性。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效益及风险： 对超细粉碎设备(气流磨)项目的预期经济效益进行计算和评价，并对潜在风险进行全面分析，为决策者提供风险应对策略。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通过以上分析，报告将为投资决策提供全面的、有据可依的科学依据。其细致入微的论证和评价将使投资方能够清晰地了解超细粉碎设备(气流磨)项目的各个方面，为未来的投资决策提供有力支持。</w:t>
      </w:r>
    </w:p>
    <w:p>
      <w:pPr>
        <w:pStyle w:val="Heading2"/>
        <w:ind w:firstLine="560" w:firstLineChars="200"/>
        <w:rPr>
          <w:rFonts w:ascii="仿宋" w:eastAsia="仿宋" w:hAnsi="仿宋" w:cs="仿宋" w:hint="eastAsia"/>
          <w:sz w:val="28"/>
          <w:lang w:eastAsia="zh-CN"/>
        </w:rPr>
      </w:pPr>
      <w:bookmarkStart w:id="14" w:name="_Toc3381"/>
      <w:r>
        <w:rPr>
          <w:rFonts w:ascii="仿宋" w:eastAsia="仿宋" w:hAnsi="仿宋" w:cs="仿宋" w:hint="eastAsia"/>
          <w:sz w:val="28"/>
          <w:lang w:eastAsia="zh-CN"/>
        </w:rPr>
        <w:t>(十二)、超细粉碎设备(气流磨)项目评价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评价是对超细粉碎设备(气流磨)项目进行全面审查和判定的过程，主要包括市场评价、技术评价、财务评价、工程评价、经济评价和环境评价等多个方面。评价的目的是为决策者提供科学的、客观的信息，以确定超细粉碎设备(气流磨)项目是否值得投资以及如何进行投资。对超细粉碎设备(气流磨)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对超细粉碎设备(气流磨)项目所在市场的需求、竞争格局、潜在客户等进行评估。通过市场评价，可以确定超细粉碎设备(气流磨)项目产品或服务的市场定位、销售策略和市场份额。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对超细粉碎设备(气流磨)项目所采用的生产工艺、设备选择等技术方面进行评估。确保超细粉碎设备(气流磨)项目采用先进、高效、可靠的技术，以提高生产效率和竞争力。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财务评价： 对超细粉碎设备(气流磨)项目的资金筹措、成本结构、财务指标等进行评估。通过财务评价，可以明确超细粉碎设备(气流磨)项目的融资需求、资金运作情况，以及超细粉碎设备(气流磨)项目的盈利能力和财务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工程评价：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对超细粉碎设备(气流磨)项目的规模、建设周期、工程进度等进行评估。确保超细粉碎设备(气流磨)项目在工程实施阶段能够按计划进行，减少施工风险。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经济评价： 对超细粉碎设备(气流磨)项目的经济效益进行计算和评估。包括投资回收期、净现值、内部收益率等指标，以确定超细粉碎设备(气流磨)项目的经济可行性和投资回报。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环境评价： 对超细粉碎设备(气流磨)项目可能对环境产生的影响进行评估。确保超细粉碎设备(气流磨)项目在环保方面符合相关法规和标准，减少对周边环境的负面影响。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评价通过对各个方面的全面考量，为决策者提供了关于超细粉碎设备(气流磨)项目全貌的清晰图景。决策者可以根据评价结果，权衡各个方面的利弊，做出明智的投资决策。评价的结果将直接影响到超细粉碎设备(气流磨)项目的可持续发展和投资的成功实施。</w:t>
      </w:r>
    </w:p>
    <w:p>
      <w:pPr>
        <w:pStyle w:val="Heading1"/>
        <w:ind w:firstLine="560" w:firstLineChars="200"/>
        <w:rPr>
          <w:rFonts w:ascii="仿宋" w:eastAsia="仿宋" w:hAnsi="仿宋" w:cs="仿宋" w:hint="eastAsia"/>
          <w:sz w:val="28"/>
          <w:lang w:eastAsia="zh-CN"/>
        </w:rPr>
      </w:pPr>
      <w:bookmarkStart w:id="15" w:name="_Toc4411"/>
      <w:r>
        <w:rPr>
          <w:rFonts w:ascii="仿宋" w:eastAsia="仿宋" w:hAnsi="仿宋" w:cs="仿宋" w:hint="eastAsia"/>
          <w:sz w:val="28"/>
          <w:lang w:eastAsia="zh-CN"/>
        </w:rPr>
        <w:t>二、建设规划</w:t>
      </w:r>
      <w:bookmarkEnd w:id="15"/>
    </w:p>
    <w:p>
      <w:pPr>
        <w:pStyle w:val="Heading2"/>
        <w:rPr>
          <w:rFonts w:ascii="仿宋" w:eastAsia="仿宋" w:hAnsi="仿宋" w:cs="仿宋" w:hint="eastAsia"/>
          <w:lang w:eastAsia="zh-CN"/>
        </w:rPr>
      </w:pPr>
      <w:bookmarkStart w:id="16" w:name="_Toc2839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17" w:name="_Toc1902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细粉碎设备(气流磨)项目总征地面积XXXX平方米（折合约XX亩），其中：净用地面积XXXX平方米（红线范围折合约XX亩）。超细粉碎设备(气流磨)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所占用的地面积充分考虑了红线范围，确保了超细粉碎设备(气流磨)项目的合规性和可持续发展。规划建设主体工程和计容建筑面积的设定旨在满足超细粉碎设备(气流磨)项目的生产和办公需求，为企业提供充足的工作空间。预计的建筑工程投资将用于超细粉碎设备(气流磨)项目的基础设施建设，为超细粉碎设备(气流磨)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计划购置设备共计XX台（套），设备购置费XXXX万元。这些设备涵盖了生产、研发和办公等多个领域，包括先进的生产设备、办公设备和实验室设备等。设备购置费用的投入将确保超细粉碎设备(气流磨)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超细粉碎设备(气流磨)项目计划总投资XXXX万元，预计年实现营业收入XXXX万元。这一部分涵盖了整个超细粉碎设备(气流磨)项目的经济规模和财务计划。总投资将用于超细粉碎设备(气流磨)项目的建设、设备购置、人才引进等多个方面，确保超细粉碎设备(气流磨)项目的全面发展。预计年实现的营业收入则是对超细粉碎设备(气流磨)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18" w:name="_Toc1479"/>
      <w:r>
        <w:rPr>
          <w:rFonts w:ascii="仿宋" w:eastAsia="仿宋" w:hAnsi="仿宋" w:cs="仿宋" w:hint="eastAsia"/>
          <w:sz w:val="28"/>
          <w:lang w:eastAsia="zh-CN"/>
        </w:rPr>
        <w:t>三、超细粉碎设备(气流磨)项目市场前景分析</w:t>
      </w:r>
      <w:bookmarkEnd w:id="18"/>
    </w:p>
    <w:p>
      <w:pPr>
        <w:pStyle w:val="Heading2"/>
        <w:rPr>
          <w:rFonts w:ascii="仿宋" w:eastAsia="仿宋" w:hAnsi="仿宋" w:cs="仿宋" w:hint="eastAsia"/>
          <w:lang w:eastAsia="zh-CN"/>
        </w:rPr>
      </w:pPr>
      <w:bookmarkStart w:id="19" w:name="_Toc10648"/>
      <w:r>
        <w:rPr>
          <w:rFonts w:ascii="仿宋" w:eastAsia="仿宋" w:hAnsi="仿宋" w:cs="仿宋" w:hint="eastAsia"/>
          <w:lang w:eastAsia="zh-CN"/>
        </w:rPr>
        <w:t>(一)、建设地经济发展概况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超细粉碎设备(气流磨)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为适应经济快速发展的需要，建设地加大了对基础设施建设的投入。新建、改建的高速公路、城市轨道交通、现代化港口等超细粉碎设备(气流磨)项目得到了快速推进，提高了城市的综合竞争力。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建设地注重生态环境保护和可持续发展。实施了大规模的环境治理超细粉碎设备(气流磨)项目，提升了空气质量和水质。同时，该地推动绿色产业和清洁能源的发展，致力于打造宜居宜业的城市环境。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建设地积极参与区域合作和国际交往，拓展了多领域的国际合作超细粉碎设备(气流磨)项目。通过加强国际交流，该地区引进了大量国外优质技术和资金，同时推动了本地产业的对外拓展。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20" w:name="_Toc15834"/>
      <w:r>
        <w:rPr>
          <w:rFonts w:ascii="仿宋" w:eastAsia="仿宋" w:hAnsi="仿宋" w:cs="仿宋" w:hint="eastAsia"/>
          <w:sz w:val="28"/>
          <w:lang w:eastAsia="zh-CN"/>
        </w:rPr>
        <w:t>(二)、行业市场分析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超细粉碎设备(气流磨)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21" w:name="_Toc15011"/>
      <w:r>
        <w:rPr>
          <w:rFonts w:ascii="仿宋" w:eastAsia="仿宋" w:hAnsi="仿宋" w:cs="仿宋" w:hint="eastAsia"/>
          <w:sz w:val="28"/>
          <w:lang w:eastAsia="zh-CN"/>
        </w:rPr>
        <w:t>四、工艺分析</w:t>
      </w:r>
      <w:bookmarkEnd w:id="21"/>
    </w:p>
    <w:p>
      <w:pPr>
        <w:pStyle w:val="Heading2"/>
        <w:rPr>
          <w:rFonts w:ascii="仿宋" w:eastAsia="仿宋" w:hAnsi="仿宋" w:cs="仿宋" w:hint="eastAsia"/>
          <w:lang w:eastAsia="zh-CN"/>
        </w:rPr>
      </w:pPr>
      <w:bookmarkStart w:id="22" w:name="_Toc11665"/>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超细粉碎设备(气流磨)项目中显现出多层面的复杂性和有机性。其系统性突显在对广泛技术领域的全面规划和整合，要求各技术要素相互协调，以确保超细粉碎设备(气流磨)项目整体协同。这种系统性要求技术管理者在超细粉碎设备(气流磨)项目中全局思考，以适应多元领域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超细粉碎设备(气流磨)项目进步的引擎。这种创新力使技术管理不仅仅是问题应对，更是超细粉碎设备(气流磨)项目发展的推动力，促使团队在技术层面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超细粉碎设备(气流磨)项目技术方案的综合有效性。</w:t>
      </w:r>
    </w:p>
    <w:p>
      <w:pPr>
        <w:pStyle w:val="Heading2"/>
        <w:ind w:firstLine="560" w:firstLineChars="200"/>
        <w:rPr>
          <w:rFonts w:ascii="仿宋" w:eastAsia="仿宋" w:hAnsi="仿宋" w:cs="仿宋" w:hint="eastAsia"/>
          <w:sz w:val="28"/>
          <w:lang w:eastAsia="zh-CN"/>
        </w:rPr>
      </w:pPr>
      <w:bookmarkStart w:id="23" w:name="_Toc5914"/>
      <w:r>
        <w:rPr>
          <w:rFonts w:ascii="仿宋" w:eastAsia="仿宋" w:hAnsi="仿宋" w:cs="仿宋" w:hint="eastAsia"/>
          <w:sz w:val="28"/>
          <w:lang w:eastAsia="zh-CN"/>
        </w:rPr>
        <w:t>(二)、超细粉碎设备(气流磨)项目工艺技术设计方案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超细粉碎设备(气流磨)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在选择工艺设备时，需要考虑其性能、稳定性和可维护性。设备应符合超细粉碎设备(气流磨)项目的实际需求，并与整个生产流程协同工作，确保设备的使用不成为超细粉碎设备(气流磨)项目的瓶颈。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24" w:name="_Toc22775"/>
      <w:r>
        <w:rPr>
          <w:rFonts w:ascii="仿宋" w:eastAsia="仿宋" w:hAnsi="仿宋" w:cs="仿宋" w:hint="eastAsia"/>
          <w:sz w:val="28"/>
          <w:lang w:eastAsia="zh-CN"/>
        </w:rPr>
        <w:t>(三)、设备选型方案</w:t>
      </w:r>
      <w:bookmarkEnd w:id="24"/>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超细粉碎设备(气流磨)项目投资风险，最大限度地减少总体超细粉碎设备(气流磨)项目成本。在投资超细粉碎设备(气流磨)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先进、高效、实用、节能、可靠”为准则，特别关注超细粉碎设备(气流磨)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超细粉碎设备(气流磨)项目的生产设备具备最佳性能和效益，以满足超细粉碎设备(气流磨)项目长期的发展需求。</w:t>
      </w:r>
    </w:p>
    <w:p>
      <w:pPr>
        <w:pStyle w:val="Heading1"/>
        <w:ind w:firstLine="560" w:firstLineChars="200"/>
        <w:rPr>
          <w:rFonts w:ascii="仿宋" w:eastAsia="仿宋" w:hAnsi="仿宋" w:cs="仿宋" w:hint="eastAsia"/>
          <w:sz w:val="28"/>
          <w:lang w:eastAsia="zh-CN"/>
        </w:rPr>
      </w:pPr>
      <w:bookmarkStart w:id="25" w:name="_Toc1959"/>
      <w:r>
        <w:rPr>
          <w:rFonts w:ascii="仿宋" w:eastAsia="仿宋" w:hAnsi="仿宋" w:cs="仿宋" w:hint="eastAsia"/>
          <w:sz w:val="28"/>
          <w:lang w:eastAsia="zh-CN"/>
        </w:rPr>
        <w:t>五、超细粉碎设备(气流磨)项目实施进度计划</w:t>
      </w:r>
      <w:bookmarkEnd w:id="25"/>
    </w:p>
    <w:p>
      <w:pPr>
        <w:pStyle w:val="Heading2"/>
        <w:rPr>
          <w:rFonts w:ascii="仿宋" w:eastAsia="仿宋" w:hAnsi="仿宋" w:cs="仿宋" w:hint="eastAsia"/>
          <w:lang w:eastAsia="zh-CN"/>
        </w:rPr>
      </w:pPr>
      <w:bookmarkStart w:id="26" w:name="_Toc4016"/>
      <w:r>
        <w:rPr>
          <w:rFonts w:ascii="仿宋" w:eastAsia="仿宋" w:hAnsi="仿宋" w:cs="仿宋" w:hint="eastAsia"/>
          <w:lang w:eastAsia="zh-CN"/>
        </w:rPr>
        <w:t>(一)、建设周期</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建设周期是超细粉碎设备(气流磨)项目从规划到实际运作的全过程，分为多个关键阶段，每个阶段都有其独特的任务和挑战：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超细粉碎设备(气流磨)项目前期准备阶段：</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在这个阶段，超细粉碎设备(气流磨)项目团队进行超细粉碎设备(气流磨)项目的可行性研究，明确超细粉碎设备(气流磨)项目目标和规模，进行市场分析和资金计划。完成超细粉碎设备(气流磨)项目的立项申请，确保超细粉碎设备(气流磨)项目有足够的资源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超细粉碎设备(气流磨)项目所在地的勘察工作，包括土地调查、地质勘探等，以获取对施工环境的全面了解。设计阶段涉及建筑设计、工艺设计、设备配置等，确保超细粉碎设备(气流磨)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实施土建工程，包括地基处理、建筑施工、主体结构建设等。这是超细粉碎设备(气流磨)项目实体建设的阶段，需要高效协调各项工程，确保施工质量和进度。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进行超细粉碎设备(气流磨)项目所需设备的采购，包括设备的选择、供应商洽谈和合同签订。确保超细粉碎设备(气流磨)项目所使用的设备符合质量标准，满足超细粉碎设备(气流磨)项目的生产需求。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进行设备的安装和调试工作，确保设备能够正常运行。这个阶段是超细粉碎设备(气流磨)项目顺利投产的关键，需要仔细调整设备，保证其稳定性和可靠性。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超细粉碎设备(气流磨)项目正式投入运营，进行实际生产和服务。在此阶段，超细粉碎设备(气流磨)项目团队需要密切关注运营情况，及时处理可能出现的问题，确保超细粉碎设备(气流磨)项目平稳运行。</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科学合理的规划和有效的超细粉碎设备(气流磨)项目管理，确保每个建设阶段都按时、按质完成，最终实现超细粉碎设备(气流磨)项目的成功建设和投产使用。超细粉碎设备(气流磨)项目建设周期的顺利进行对于超细粉碎设备(气流磨)项目的整体成功至关重要。</w:t>
      </w:r>
    </w:p>
    <w:p>
      <w:pPr>
        <w:pStyle w:val="Heading2"/>
        <w:ind w:firstLine="560" w:firstLineChars="200"/>
        <w:rPr>
          <w:rFonts w:ascii="仿宋" w:eastAsia="仿宋" w:hAnsi="仿宋" w:cs="仿宋" w:hint="eastAsia"/>
          <w:sz w:val="28"/>
          <w:lang w:eastAsia="zh-CN"/>
        </w:rPr>
      </w:pPr>
      <w:bookmarkStart w:id="27" w:name="_Toc10361"/>
      <w:r>
        <w:rPr>
          <w:rFonts w:ascii="仿宋" w:eastAsia="仿宋" w:hAnsi="仿宋" w:cs="仿宋" w:hint="eastAsia"/>
          <w:sz w:val="28"/>
          <w:lang w:eastAsia="zh-CN"/>
        </w:rPr>
        <w:t>(二)、建设进度</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该超细粉碎设备(气流磨)项目的分期建设是为了更好地控制进度和资源，目前的实际完成投资达到XXXX万元，占计划投资的XX%。进一步细分，固定资产投资已经完成XXXX万元，占总投资的XX%；流动资金投资也已经完成XX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是超细粉碎设备(气流磨)项目中的重要组成部分，包括土建工程、设备采购等。已经完成的XXXX万元投资表明在这方面超细粉碎设备(气流磨)项目取得了良好的进展。这部分资金的使用应当符合超细粉碎设备(气流磨)项目计划，确保施工和采购等方面按照预期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完成流动资金投资：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投资则涉及超细粉碎设备(气流磨)项目运营过程中的各项费用，如人员工资、原材料采购等。已经完成XXXX万元的流动资金投资表明超细粉碎设备(气流磨)项目在运营准备方面也取得了一定的进展。这部分资金的使用需要合理规划，确保超细粉碎设备(气流磨)项目的正常运转。</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投资完成比例分析：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实际完成投资占计划投资的XX%，这反映了超细粉碎设备(气流磨)项目在资金使用方面的较好掌控。投资完成比例的合理性直接关系到超细粉碎设备(气流磨)项目后续的资金需求和进度计划。通过对比已完成和计划的投资比例，可以更准确地评估超细粉碎设备(气流磨)项目的财务状况和资金运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未来资金规划：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基于目前的资金完成情况，可以进一步规划未来的资金使用。确保在后续的建设和运营阶段，资金能够得到及时、有效地保障。这包括对未完成部分的固定资产和流动资金投资的合理安排和管理。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随着超细粉碎设备(气流磨)项目不断推进，风险的变化也需要得到及时的识别和应对。定期对已完成投资的使用情况进行审查，及时发现潜在的财务风险，并制定相应的应对策略。</w:t>
      </w:r>
    </w:p>
    <w:p>
      <w:pPr>
        <w:pStyle w:val="Heading2"/>
        <w:ind w:firstLine="560" w:firstLineChars="200"/>
        <w:rPr>
          <w:rFonts w:ascii="仿宋" w:eastAsia="仿宋" w:hAnsi="仿宋" w:cs="仿宋" w:hint="eastAsia"/>
          <w:sz w:val="28"/>
          <w:lang w:eastAsia="zh-CN"/>
        </w:rPr>
      </w:pPr>
      <w:bookmarkStart w:id="28" w:name="_Toc17380"/>
      <w:r>
        <w:rPr>
          <w:rFonts w:ascii="仿宋" w:eastAsia="仿宋" w:hAnsi="仿宋" w:cs="仿宋" w:hint="eastAsia"/>
          <w:sz w:val="28"/>
          <w:lang w:eastAsia="zh-CN"/>
        </w:rPr>
        <w:t>(三)、进度安排注意事项</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制定合理的计划：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根据超细粉碎设备(气流磨)项目的性质和规模，制定详细的超细粉碎设备(气流磨)项目计划，包括各个阶段的任务和时间表。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考虑到可能的风险和不确定性，留有一定的缓冲时间。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明确目标和优先级：</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确定超细粉碎设备(气流磨)项目的主要目标和优先级，以便更好地分配资源和关注关键任务。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明确哪些任务对超细粉碎设备(气流磨)项目成功至关重要，优先安排这些任务。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考虑依赖关系：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分析任务之间的依赖关系，确保一个任务的完成不受到其他任务的影响。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优先处理可能成为关键路径的任务，以避免整体进度受到影响。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持续监控和更新：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实时监控超细粉碎设备(气流磨)项目进度，及时发现和解决可能的延误或问题。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定期更新超细粉碎设备(气流磨)项目计划，确保计划与实际进展一致。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确保超细粉碎设备(气流磨)项目所需的各种资源，包括人力、物力、财力等，得到合理分配和利用。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在人员调度上考虑到专业技能和经验的匹配。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6. 团队沟通和协作：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保持团队成员之间的良好沟通，确保大家了解任务和目标。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鼓励协作和信息分享，以促进工作的高效进行。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7. 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对可能出现的风险进行评估，并采取相应的风险管理措施。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制定备选方案，以便在发生问题时能够迅速作出调整。</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8. 定期评估和审查：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定期进行超细粉碎设备(气流磨)项目进度的评估和审查，确保超细粉碎设备(气流磨)项目仍然符合预期目标。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根据评估结果进行必要的调整和改进。</w:t>
      </w:r>
    </w:p>
    <w:p>
      <w:pPr>
        <w:pStyle w:val="Heading2"/>
        <w:ind w:firstLine="560" w:firstLineChars="200"/>
        <w:rPr>
          <w:rFonts w:ascii="仿宋" w:eastAsia="仿宋" w:hAnsi="仿宋" w:cs="仿宋" w:hint="eastAsia"/>
          <w:sz w:val="28"/>
          <w:lang w:eastAsia="zh-CN"/>
        </w:rPr>
      </w:pPr>
      <w:bookmarkStart w:id="29" w:name="_Toc5889"/>
      <w:r>
        <w:rPr>
          <w:rFonts w:ascii="仿宋" w:eastAsia="仿宋" w:hAnsi="仿宋" w:cs="仿宋" w:hint="eastAsia"/>
          <w:sz w:val="28"/>
          <w:lang w:eastAsia="zh-CN"/>
        </w:rPr>
        <w:t>(四)、人力资源配置</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进行人力资源配置时，首先需要全面了解超细粉碎设备(气流磨)项目的性质、规模和需求，以确保合理、高效地配置人力资源。超细粉碎设备(气流磨)项目的成功与否很大程度上取决于人力的贡献和团队的协作。因此，科学合理的人力资源配置是超细粉碎设备(气流磨)项目管理中至关重要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综合人力需求分析：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粉碎设备(气流磨)项目启动阶段，需要进行全面的人力需求分析。这包括确定超细粉碎设备(气流磨)项目的规模、工作内容、所需技能等方面的要求。通过对超细粉碎设备(气流磨)项目整体的需求有一个清晰的认识，才能更好地进行后续的人力资源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根据超细粉碎设备(气流磨)项目的特点和需要，明确各个岗位的设置以及每个岗位的具体职责。这需要考虑到团队的协作关系，确保各个岗位之间的职责清晰划分，避免冲突和混淆。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人才招募和选拔：</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超细粉碎设备(气流磨)项目的需求，需要进行有效的人才招募和选拔。这包括发布招聘信息、面试候选人、评估其技能和适应能力等。确保招聘到的人才与超细粉碎设备(气流磨)项目的要求相匹配，有利于超细粉碎设备(气流磨)项目的高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一旦团队成员入职，需要提供必要的培训，以确保他们熟悉超细粉碎设备(气流磨)项目的流程和工作要求。同时，还需要注重团队成员的技能提升，通过培训计划和学习机会，使团队保持竞争力。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团队建设和文化塑造：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建设一个协作高效的团队是超细粉碎设备(气流磨)项目成功的基石。通过组织团队建设活动、搭建良好的沟通渠道、塑造积极向上的团队文化，可以提高团队的凝聚力和战斗力。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建立科学的绩效评估机制，对团队成员的工作进行定期评估，识别出色表现并予以奖励。激励机制可以激发团队成员的积极性和创造力，增强工作动力。</w:t>
      </w:r>
    </w:p>
    <w:p>
      <w:pPr>
        <w:pStyle w:val="Heading2"/>
        <w:ind w:firstLine="560" w:firstLineChars="200"/>
        <w:rPr>
          <w:rFonts w:ascii="仿宋" w:eastAsia="仿宋" w:hAnsi="仿宋" w:cs="仿宋" w:hint="eastAsia"/>
          <w:sz w:val="28"/>
          <w:lang w:eastAsia="zh-CN"/>
        </w:rPr>
      </w:pPr>
      <w:bookmarkStart w:id="30" w:name="_Toc27006"/>
      <w:r>
        <w:rPr>
          <w:rFonts w:ascii="仿宋" w:eastAsia="仿宋" w:hAnsi="仿宋" w:cs="仿宋" w:hint="eastAsia"/>
          <w:sz w:val="28"/>
          <w:lang w:eastAsia="zh-CN"/>
        </w:rPr>
        <w:t>(五)、员工培训</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员工培训之前，需要进行全面的培训需求分析。这包括了解员工的现有技能水平、超细粉碎设备(气流磨)项目要求的技能和知识，以及员工个体发展的需求。通过需求分析，可以有针对性地制定培训计划，确保培训内容贴近实际需求。</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培训计划制定：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基于培训需求分析的结果，制定详细的培训计划。培训计划应包括培训的内容、形式、时间安排等方面的细节。同时，需要根据员工的岗位和职责差异，制定个性化的培训方案，以满足不同群体的培训需求。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应紧密围绕超细粉碎设备(气流磨)项目需求和员工成长方向展开。采用系统性的培训模块，包括专业技能、团队协作、领导力培养等方面。培训内容设计要具有实际操作性，能够帮助员工将所学知识和技能应用到实际工作中。</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培训方法，包括面对面培训、在线培训、实践操作等。不同的培训方法适用于不同的培训内容和目标。在选择培训方法时，要考虑员工的学习习惯和超细粉碎设备(气流磨)项目的实际情况，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的选择直接关系到培训效果。选择具有丰富实践经验和专业知识的培训师，能够更好地传递超细粉碎设备(气流磨)项目所需的技能和理念。同时，也可以考虑邀请超细粉碎设备(气流磨)项目内部专家担任培训讲师，更符合超细粉碎设备(气流磨)项目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培训评估机制：</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培训评估机制，通过培训前、中、后的评估，了解培训效果和员工学习情况。这可以通过考试、实际操作、反馈调查等方式进行。培训评估的结果可用于调整和优化培训计划，确保培训的连续性和实效性。</w:t>
      </w:r>
    </w:p>
    <w:p>
      <w:pPr>
        <w:pStyle w:val="Heading2"/>
        <w:ind w:firstLine="560" w:firstLineChars="200"/>
        <w:rPr>
          <w:rFonts w:ascii="仿宋" w:eastAsia="仿宋" w:hAnsi="仿宋" w:cs="仿宋" w:hint="eastAsia"/>
          <w:sz w:val="28"/>
          <w:lang w:eastAsia="zh-CN"/>
        </w:rPr>
      </w:pPr>
      <w:bookmarkStart w:id="31" w:name="_Toc6840"/>
      <w:r>
        <w:rPr>
          <w:rFonts w:ascii="仿宋" w:eastAsia="仿宋" w:hAnsi="仿宋" w:cs="仿宋" w:hint="eastAsia"/>
          <w:sz w:val="28"/>
          <w:lang w:eastAsia="zh-CN"/>
        </w:rPr>
        <w:t>(六)、超细粉碎设备(气流磨)项目实施保障</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一个协作默契、高效沟通的超细粉碎设备(气流磨)项目团队是超细粉碎设备(气流磨)项目实施保障的基础。通过定期的团队建设活动、培训和沟通机制的建立，确保团队成员之间的合作顺畅，共同追求超细粉碎设备(气流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超细粉碎设备(气流磨)项目计划与进度管理：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超细粉碎设备(气流磨)项目计划，明确超细粉碎设备(气流磨)项目的工作分解结构、任务分配和时间节点。通过超细粉碎设备(气流磨)项目管理工具对超细粉碎设备(气流磨)项目进度进行全程跟踪和管理，及时发现问题并采取相应措施，确保超细粉碎设备(气流磨)项目的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资源供给与管理：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配置和管理超细粉碎设备(气流磨)项目所需的资源，包括人力、物力、财力等。确保超细粉碎设备(气流磨)项目中各项资源的充分利用，避免资源的浪费。通过合理的资源管理，提高超细粉碎设备(气流磨)项目的执行效率和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风险管理与应对：</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风险管理机制，对超细粉碎设备(气流磨)项目可能面临的风险进行全面评估，并制定相应的风险应对策略。定期进行风险评估和监控，确保超细粉碎设备(气流磨)项目在不同阶段能够及时应对和解决可能出现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实施中，技术支持是不可或缺的一环。确保超细粉碎设备(气流磨)项目团队具备必要的技术能力，及时解决技术难题。同时，鼓励团队成员提出创新性的解决方案，推动超细粉碎设备(气流磨)项目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质量管理与验收标准：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质量管理体系，确保超细粉碎设备(气流磨)项目的每个阶段都能达到预定的质量标准。设立清晰的验收标准，对超细粉碎设备(气流磨)项目成果进行全面的检查和评估。通过质量管理，保障超细粉碎设备(气流磨)项目交付物的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信息沟通与协调：</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建立畅通的信息沟通渠道，确保超细粉碎设备(气流磨)项目团队内外的信息传递及时准确。定期组织会议、报告超细粉碎设备(气流磨)项目进展，提高团队成员之间的协作效率，减少信息滞后导致的问题。</w:t>
      </w:r>
    </w:p>
    <w:p>
      <w:pPr>
        <w:pStyle w:val="Heading1"/>
        <w:ind w:firstLine="560" w:firstLineChars="200"/>
        <w:rPr>
          <w:rFonts w:ascii="仿宋" w:eastAsia="仿宋" w:hAnsi="仿宋" w:cs="仿宋" w:hint="eastAsia"/>
          <w:sz w:val="28"/>
          <w:lang w:eastAsia="zh-CN"/>
        </w:rPr>
      </w:pPr>
      <w:bookmarkStart w:id="32" w:name="_Toc10347"/>
      <w:r>
        <w:rPr>
          <w:rFonts w:ascii="仿宋" w:eastAsia="仿宋" w:hAnsi="仿宋" w:cs="仿宋" w:hint="eastAsia"/>
          <w:sz w:val="28"/>
          <w:lang w:eastAsia="zh-CN"/>
        </w:rPr>
        <w:t>六、超细粉碎设备(气流磨)项目投资可行性分析</w:t>
      </w:r>
      <w:bookmarkEnd w:id="32"/>
    </w:p>
    <w:p>
      <w:pPr>
        <w:pStyle w:val="Heading2"/>
        <w:rPr>
          <w:rFonts w:ascii="仿宋" w:eastAsia="仿宋" w:hAnsi="仿宋" w:cs="仿宋" w:hint="eastAsia"/>
          <w:lang w:eastAsia="zh-CN"/>
        </w:rPr>
      </w:pPr>
      <w:bookmarkStart w:id="33" w:name="_Toc2275"/>
      <w:r>
        <w:rPr>
          <w:rFonts w:ascii="仿宋" w:eastAsia="仿宋" w:hAnsi="仿宋" w:cs="仿宋" w:hint="eastAsia"/>
          <w:lang w:eastAsia="zh-CN"/>
        </w:rPr>
        <w:t>(一)、超细粉碎设备(气流磨)项目估算说明</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1. 超细粉碎设备(气流磨)项目建设成本估算：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粉碎设备(气流磨)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成本估算涉及到超细粉碎设备(气流磨)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收益估算是超细粉碎设备(气流磨)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超细粉碎设备(气流磨)项目技术难点和可能出现的问题进行评估；政策风险则需要了解相关政策法规的变化对超细粉碎设备(气流磨)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社会，环境和社会影响估算越来越受到重视。这包括环境保护设施投资、社会责任活动费用等方面。例如，超细粉碎设备(气流磨)项目可能需要投入一定的资金用于建设环保设施，符合环境法规的要求；社会责任活动费用可以用于企业参与社会公益、员工培训等。通过综合考虑这些因素，企业可以更好地履行社会责任，提高超细粉碎设备(气流磨)项目的可持续性和社会接受度。</w:t>
      </w:r>
    </w:p>
    <w:p>
      <w:pPr>
        <w:pStyle w:val="Heading2"/>
        <w:ind w:firstLine="560" w:firstLineChars="200"/>
        <w:rPr>
          <w:rFonts w:ascii="仿宋" w:eastAsia="仿宋" w:hAnsi="仿宋" w:cs="仿宋" w:hint="eastAsia"/>
          <w:sz w:val="28"/>
          <w:lang w:eastAsia="zh-CN"/>
        </w:rPr>
      </w:pPr>
      <w:bookmarkStart w:id="34" w:name="_Toc16823"/>
      <w:r>
        <w:rPr>
          <w:rFonts w:ascii="仿宋" w:eastAsia="仿宋" w:hAnsi="仿宋" w:cs="仿宋" w:hint="eastAsia"/>
          <w:sz w:val="28"/>
          <w:lang w:eastAsia="zh-CN"/>
        </w:rPr>
        <w:t>(二)、超细粉碎设备(气流磨)项目总投资估算</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超细粉碎设备(气流磨)项目总投资估算需要全面考虑建设、运营和其他相关成本，确保资金充足。在进行估算时，需要综合考虑各个方面的费用，并将其合理分配。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35" w:name="_Toc25524"/>
      <w:r>
        <w:rPr>
          <w:rFonts w:ascii="仿宋" w:eastAsia="仿宋" w:hAnsi="仿宋" w:cs="仿宋" w:hint="eastAsia"/>
          <w:sz w:val="28"/>
          <w:lang w:eastAsia="zh-CN"/>
        </w:rPr>
        <w:t>(三)、资金筹措</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资金筹措是超细粉碎设备(气流磨)项目实施的关键一环，需要灵活运用多种途径来确保超细粉碎设备(气流磨)项目有足够的经济支持。1.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超细粉碎设备(气流磨)项目方自有资金投入，包括企业自有资金和股东资本。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向银行或其他金融机构申请贷款，以超细粉碎设备(气流磨)项目资产或未来收益为抵押物。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根据超细粉碎设备(气流磨)项目的信用和还款能力，协商获得贷款额度和利率。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利用各级政府提供的超细粉碎设备(气流磨)项目支持和资金补贴。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参与政府支持的产业政策和超细粉碎设备(气流磨)项目计划，获取相应资金支持。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与其他企业或机构建立合作伙伴关系，共同投资超细粉碎设备(气流磨)项目。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科研超细粉碎设备(气流磨)项目资金：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如超细粉碎设备(气流磨)项目具有研发性质，可以寻求科研超细粉碎设备(气流磨)项目资金的支持。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与科研机构合作，争取相关科研超细粉碎设备(气流磨)项目的经费。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以上多种资金筹措方式的综合运用，可以更好地确保超细粉碎设备(气流磨)项目有足够的资金支持，提高超细粉碎设备(气流磨)项目的可行性和成功实施的可能性。</w:t>
      </w:r>
    </w:p>
    <w:p>
      <w:pPr>
        <w:pStyle w:val="Heading1"/>
        <w:ind w:firstLine="560" w:firstLineChars="200"/>
        <w:rPr>
          <w:rFonts w:ascii="仿宋" w:eastAsia="仿宋" w:hAnsi="仿宋" w:cs="仿宋" w:hint="eastAsia"/>
          <w:sz w:val="28"/>
          <w:lang w:eastAsia="zh-CN"/>
        </w:rPr>
      </w:pPr>
      <w:bookmarkStart w:id="36" w:name="_Toc18113"/>
      <w:r>
        <w:rPr>
          <w:rFonts w:ascii="仿宋" w:eastAsia="仿宋" w:hAnsi="仿宋" w:cs="仿宋" w:hint="eastAsia"/>
          <w:sz w:val="28"/>
          <w:lang w:eastAsia="zh-CN"/>
        </w:rPr>
        <w:t>七、投资背景及必要性分析</w:t>
      </w:r>
      <w:bookmarkEnd w:id="36"/>
    </w:p>
    <w:p>
      <w:pPr>
        <w:pStyle w:val="Heading2"/>
        <w:rPr>
          <w:rFonts w:ascii="仿宋" w:eastAsia="仿宋" w:hAnsi="仿宋" w:cs="仿宋" w:hint="eastAsia"/>
          <w:lang w:eastAsia="zh-CN"/>
        </w:rPr>
      </w:pPr>
      <w:bookmarkStart w:id="37" w:name="_Toc30524"/>
      <w:r>
        <w:rPr>
          <w:rFonts w:ascii="仿宋" w:eastAsia="仿宋" w:hAnsi="仿宋" w:cs="仿宋" w:hint="eastAsia"/>
          <w:lang w:eastAsia="zh-CN"/>
        </w:rPr>
        <w:t>(一)、超细粉碎设备(气流磨)项目承办单位背景分析</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市场份额提升：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5. 持续创新：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38" w:name="_Toc31450"/>
      <w:r>
        <w:rPr>
          <w:rFonts w:ascii="仿宋" w:eastAsia="仿宋" w:hAnsi="仿宋" w:cs="仿宋" w:hint="eastAsia"/>
          <w:sz w:val="28"/>
          <w:lang w:eastAsia="zh-CN"/>
        </w:rPr>
        <w:t>(二)、产业政策及发展规划</w:t>
      </w:r>
      <w:bookmarkEnd w:id="38"/>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政府政策关注：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技术创新导向：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环保要求履行：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合规经营：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人才培养：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2" w:history="1">
        <w:r>
          <w:rPr>
            <w:rFonts w:ascii="SimSun" w:eastAsia="SimSun" w:hAnsi="SimSun" w:cs="SimSun"/>
            <w:b/>
            <w:bCs/>
            <w:color w:val="0000EE"/>
            <w:kern w:val="0"/>
            <w:sz w:val="30"/>
            <w:szCs w:val="30"/>
            <w:u w:val="single" w:color="0000EE"/>
          </w:rPr>
          <w:t>https://d.book118.com/007132053020006054</w:t>
        </w:r>
      </w:hyperlink>
    </w:p>
    <w:p>
      <w:pPr>
        <w:ind w:firstLine="560" w:firstLineChars="200"/>
        <w:rPr>
          <w:rFonts w:ascii="仿宋" w:eastAsia="仿宋" w:hAnsi="仿宋" w:cs="仿宋" w:hint="eastAsia"/>
          <w:sz w:val="28"/>
        </w:rPr>
      </w:pPr>
    </w:p>
    <w:sectPr>
      <w:headerReference w:type="default" r:id="rId83"/>
      <w:footerReference w:type="default" r:id="rId84"/>
      <w:type w:val="nextPage"/>
      <w:pgSz w:w="11906" w:h="16838"/>
      <w:pgMar w:top="1440" w:right="1800" w:bottom="1440" w:left="1800" w:header="851" w:footer="992" w:gutter="0"/>
      <w:pgNumType w:start="4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超细粉碎设备(气流磨)项目情况报告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076988"/>
    <w:rsid w:val="020769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yperlink" Target="https://d.book118.com/007132053020006054" TargetMode="External" /><Relationship Id="rId83" Type="http://schemas.openxmlformats.org/officeDocument/2006/relationships/header" Target="header40.xml" /><Relationship Id="rId84" Type="http://schemas.openxmlformats.org/officeDocument/2006/relationships/footer" Target="footer40.xml" /><Relationship Id="rId85" Type="http://schemas.openxmlformats.org/officeDocument/2006/relationships/theme" Target="theme/theme1.xml" /><Relationship Id="rId86"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2024-01-20T05:18:00Z</dcterms:created>
  <dcterms:modified xsi:type="dcterms:W3CDTF">2024-01-20T05:18:29Z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553081094A6B46BF872CBAB453A7AC69_11</vt:lpwstr>
  </property>
  <property fmtid="{D5CDD505-2E9C-101B-9397-08002B2CF9AE}" pid="3" name="KSOProductBuildVer">
    <vt:lpwstr>2052-12.1.0.16120</vt:lpwstr>
  </property>
</Properties>
</file>