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应急照明与疏散指示设计</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838948785"/>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应急照明系统概</w:t>
            </w:r>
            <w:r>
              <w:rPr>
                <w:spacing w:val="-10"/>
              </w:rPr>
              <w:t>述</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疏散指示标志设置原</w:t>
            </w:r>
            <w:r>
              <w:rPr>
                <w:spacing w:val="-10"/>
              </w:rPr>
              <w:t>则</w:t>
            </w:r>
            <w:r>
              <w:rPr>
                <w:rFonts w:ascii="Times New Roman" w:eastAsia="Times New Roman"/>
              </w:rPr>
              <w:tab/>
            </w:r>
            <w:r>
              <w:rPr>
                <w:rFonts w:ascii="Times New Roman" w:eastAsia="Times New Roman"/>
                <w:spacing w:val="-10"/>
              </w:rPr>
              <w:t>4</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应急照明供电要</w:t>
            </w:r>
            <w:r>
              <w:rPr>
                <w:spacing w:val="-10"/>
              </w:rPr>
              <w:t>求</w:t>
            </w:r>
            <w:r>
              <w:rPr>
                <w:rFonts w:ascii="Times New Roman" w:eastAsia="Times New Roman"/>
              </w:rPr>
              <w:tab/>
            </w:r>
            <w:r>
              <w:rPr>
                <w:rFonts w:ascii="Times New Roman" w:eastAsia="Times New Roman"/>
                <w:spacing w:val="-10"/>
              </w:rPr>
              <w:t>6</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疏散路径照明设计要</w:t>
            </w:r>
            <w:r>
              <w:rPr>
                <w:spacing w:val="-10"/>
              </w:rPr>
              <w:t>点</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应急照明灯具选型标</w:t>
            </w:r>
            <w:r>
              <w:rPr>
                <w:spacing w:val="-10"/>
              </w:rPr>
              <w:t>准</w:t>
            </w:r>
            <w:r>
              <w:rPr>
                <w:rFonts w:ascii="Times New Roman" w:eastAsia="Times New Roman"/>
              </w:rPr>
              <w:tab/>
            </w:r>
            <w:r>
              <w:rPr>
                <w:rFonts w:ascii="Times New Roman" w:eastAsia="Times New Roman"/>
                <w:spacing w:val="-5"/>
              </w:rPr>
              <w:t>11</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疏散指示标志维护管</w:t>
            </w:r>
            <w:r>
              <w:rPr>
                <w:spacing w:val="-10"/>
              </w:rPr>
              <w:t>理</w:t>
            </w:r>
            <w:r>
              <w:rPr>
                <w:rFonts w:ascii="Times New Roman" w:eastAsia="Times New Roman"/>
              </w:rPr>
              <w:tab/>
            </w:r>
            <w:r>
              <w:rPr>
                <w:rFonts w:ascii="Times New Roman" w:eastAsia="Times New Roman"/>
                <w:spacing w:val="-5"/>
              </w:rPr>
              <w:t>13</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应急照明控制系统集</w:t>
            </w:r>
            <w:r>
              <w:rPr>
                <w:spacing w:val="-10"/>
              </w:rPr>
              <w:t>成</w:t>
            </w:r>
            <w:r>
              <w:rPr>
                <w:rFonts w:ascii="Times New Roman" w:eastAsia="Times New Roman"/>
              </w:rPr>
              <w:tab/>
            </w:r>
            <w:r>
              <w:rPr>
                <w:rFonts w:ascii="Times New Roman" w:eastAsia="Times New Roman"/>
                <w:spacing w:val="-5"/>
              </w:rPr>
              <w:t>16</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案例分析与应用实</w:t>
            </w:r>
            <w:r>
              <w:rPr>
                <w:spacing w:val="-10"/>
              </w:rPr>
              <w:t>践</w:t>
            </w:r>
            <w:r>
              <w:rPr>
                <w:rFonts w:ascii="Times New Roman" w:eastAsia="Times New Roman"/>
              </w:rPr>
              <w:tab/>
            </w:r>
            <w:r>
              <w:rPr>
                <w:rFonts w:ascii="Times New Roman" w:eastAsia="Times New Roman"/>
                <w:spacing w:val="-5"/>
              </w:rPr>
              <w:t>18</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应</w:t>
      </w:r>
      <w:r>
        <w:t>急</w:t>
      </w:r>
      <w:r>
        <w:t>照</w:t>
      </w:r>
      <w:r>
        <w:t>明</w:t>
      </w:r>
      <w:r>
        <w:t>系</w:t>
      </w:r>
      <w:r>
        <w:t>统</w:t>
      </w:r>
      <w:r>
        <w:t>概</w:t>
      </w:r>
      <w:r>
        <w:rPr>
          <w:spacing w:val="-10"/>
        </w:rPr>
        <w:t>述</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5304"/>
          <w:jc w:val="left"/>
        </w:trPr>
        <w:tc>
          <w:tcPr>
            <w:tcW w:w="2775" w:type="dxa"/>
          </w:tcPr>
          <w:p>
            <w:pPr>
              <w:pStyle w:val="TableParagraph"/>
              <w:spacing w:before="23"/>
              <w:rPr>
                <w:sz w:val="21"/>
              </w:rPr>
            </w:pPr>
            <w:r>
              <w:rPr>
                <w:spacing w:val="-1"/>
                <w:sz w:val="21"/>
              </w:rPr>
              <w:t>【应急照明系统概述】</w:t>
            </w:r>
          </w:p>
        </w:tc>
        <w:tc>
          <w:tcPr>
            <w:tcW w:w="5521" w:type="dxa"/>
          </w:tcPr>
          <w:p>
            <w:pPr>
              <w:pStyle w:val="TableParagraph"/>
              <w:spacing w:before="4"/>
              <w:ind w:left="0"/>
              <w:rPr>
                <w:rFonts w:ascii="Microsoft JhengHei"/>
                <w:b/>
                <w:sz w:val="18"/>
              </w:rPr>
            </w:pPr>
          </w:p>
          <w:p>
            <w:pPr>
              <w:pStyle w:val="TableParagraph"/>
              <w:numPr>
                <w:ilvl w:val="0"/>
                <w:numId w:val="22"/>
              </w:numPr>
              <w:tabs>
                <w:tab w:val="left" w:pos="371"/>
              </w:tabs>
              <w:spacing w:before="0" w:after="0" w:line="278" w:lineRule="auto"/>
              <w:ind w:left="108" w:right="-15" w:firstLine="0"/>
              <w:jc w:val="left"/>
              <w:rPr>
                <w:sz w:val="21"/>
              </w:rPr>
            </w:pPr>
            <w:r>
              <w:rPr>
                <w:spacing w:val="-11"/>
                <w:sz w:val="21"/>
              </w:rPr>
              <w:t>定义与功能：应急照明系统是指在正常照明系统失效时，</w:t>
            </w:r>
            <w:r>
              <w:rPr>
                <w:spacing w:val="1"/>
                <w:sz w:val="21"/>
              </w:rPr>
              <w:t>为人员疏散、安全撤离和重要设备运行提供照明的系统。</w:t>
            </w:r>
            <w:r>
              <w:rPr>
                <w:spacing w:val="2"/>
                <w:sz w:val="21"/>
              </w:rPr>
              <w:t>它包括应急照明灯具、应急电源（如蓄电池）</w:t>
            </w:r>
            <w:r>
              <w:rPr>
                <w:spacing w:val="1"/>
                <w:sz w:val="21"/>
              </w:rPr>
              <w:t>以及控制系统等组成部分。</w:t>
            </w:r>
          </w:p>
          <w:p>
            <w:pPr>
              <w:pStyle w:val="TableParagraph"/>
              <w:numPr>
                <w:ilvl w:val="0"/>
                <w:numId w:val="22"/>
              </w:numPr>
              <w:tabs>
                <w:tab w:val="left" w:pos="371"/>
              </w:tabs>
              <w:spacing w:before="0" w:after="0" w:line="278" w:lineRule="auto"/>
              <w:ind w:left="108" w:right="96" w:firstLine="0"/>
              <w:jc w:val="both"/>
              <w:rPr>
                <w:sz w:val="21"/>
              </w:rPr>
            </w:pPr>
            <w:r>
              <w:rPr>
                <w:spacing w:val="-2"/>
                <w:sz w:val="21"/>
              </w:rPr>
              <w:t>分类与应用：应急照明系统主要分为疏散照明、安全照</w:t>
            </w:r>
            <w:r>
              <w:rPr>
                <w:spacing w:val="-2"/>
                <w:sz w:val="21"/>
              </w:rPr>
              <w:t>明和备用照明三种类型。疏散照明主要用于引导人员在紧</w:t>
            </w:r>
            <w:r>
              <w:rPr>
                <w:spacing w:val="-2"/>
                <w:sz w:val="21"/>
              </w:rPr>
              <w:t>急情况下快速离开危险区域；安全照明用于确保在紧急情</w:t>
            </w:r>
            <w:r>
              <w:rPr>
                <w:spacing w:val="-2"/>
                <w:sz w:val="21"/>
              </w:rPr>
              <w:t>况下关键区域的持续照明；备用照明则是在正常照明失效</w:t>
            </w:r>
            <w:r>
              <w:rPr>
                <w:spacing w:val="-2"/>
                <w:sz w:val="21"/>
              </w:rPr>
              <w:t>时，为维持非紧急活动提供基本照明。</w:t>
            </w:r>
          </w:p>
          <w:p>
            <w:pPr>
              <w:pStyle w:val="TableParagraph"/>
              <w:numPr>
                <w:ilvl w:val="0"/>
                <w:numId w:val="22"/>
              </w:numPr>
              <w:tabs>
                <w:tab w:val="left" w:pos="371"/>
              </w:tabs>
              <w:spacing w:before="0" w:after="0" w:line="278" w:lineRule="auto"/>
              <w:ind w:left="108" w:right="-15" w:firstLine="0"/>
              <w:jc w:val="left"/>
              <w:rPr>
                <w:sz w:val="21"/>
              </w:rPr>
            </w:pPr>
            <w:r>
              <w:rPr>
                <w:spacing w:val="-11"/>
                <w:sz w:val="21"/>
              </w:rPr>
              <w:t>设计原则：应急照明系统的设计应遵循安全性、可靠性、</w:t>
            </w:r>
            <w:r>
              <w:rPr>
                <w:spacing w:val="1"/>
                <w:sz w:val="21"/>
              </w:rPr>
              <w:t>经济性和实用性原则。首先，必须确保在紧急情况下能够及时启动并持续工作；其次，系统应具备故障诊断和报警功能，以便及时发现并处理问题；最后，系统的配置和维护成本应在合理范围内，以实现高效节能。</w:t>
            </w:r>
          </w:p>
          <w:p>
            <w:pPr>
              <w:pStyle w:val="TableParagraph"/>
              <w:spacing w:line="268" w:lineRule="exact"/>
              <w:rPr>
                <w:sz w:val="21"/>
              </w:rPr>
            </w:pPr>
            <w:r>
              <w:rPr>
                <w:spacing w:val="-1"/>
                <w:sz w:val="21"/>
              </w:rPr>
              <w:t>【应急照明系统组成】</w:t>
            </w:r>
          </w:p>
        </w:tc>
      </w:tr>
    </w:tbl>
    <w:p>
      <w:pPr>
        <w:pStyle w:val="BodyText"/>
        <w:spacing w:before="135"/>
        <w:ind w:left="680"/>
      </w:pPr>
      <w:r>
        <w:rPr>
          <w:spacing w:val="-2"/>
        </w:rPr>
        <w:t>应急照明系统概述</w:t>
      </w:r>
    </w:p>
    <w:p>
      <w:pPr>
        <w:pStyle w:val="BodyText"/>
        <w:spacing w:before="8"/>
        <w:ind w:left="0"/>
        <w:rPr>
          <w:sz w:val="20"/>
        </w:rPr>
      </w:pPr>
    </w:p>
    <w:p>
      <w:pPr>
        <w:pStyle w:val="BodyText"/>
        <w:spacing w:before="1" w:line="417" w:lineRule="auto"/>
        <w:ind w:right="518"/>
        <w:jc w:val="both"/>
      </w:pPr>
      <w:r>
        <w:rPr>
          <w:spacing w:val="-2"/>
        </w:rPr>
        <w:t>应急照明系统是建筑物内为保障人员安全疏散和紧急情况下继续工</w:t>
      </w:r>
      <w:r>
        <w:rPr>
          <w:spacing w:val="-4"/>
        </w:rPr>
        <w:t>作而设置的备用照明装置。它包括应急照明灯具、疏散指示标志以及</w:t>
      </w:r>
      <w:r>
        <w:rPr>
          <w:spacing w:val="-4"/>
        </w:rPr>
        <w:t>电源转换设备等，其设计必须满足国家相关标准规范的要求。本文将</w:t>
      </w:r>
      <w:r>
        <w:rPr>
          <w:spacing w:val="-2"/>
        </w:rPr>
        <w:t>简要介绍应急照明系统的组成、功能及设计原则。</w:t>
      </w:r>
    </w:p>
    <w:p>
      <w:pPr>
        <w:pStyle w:val="BodyText"/>
        <w:spacing w:line="358" w:lineRule="exact"/>
      </w:pPr>
      <w:r>
        <w:rPr>
          <w:spacing w:val="-1"/>
        </w:rPr>
        <w:t>一、应急照明系统的组成</w:t>
      </w:r>
    </w:p>
    <w:p>
      <w:pPr>
        <w:pStyle w:val="BodyText"/>
        <w:spacing w:before="8"/>
        <w:ind w:left="0"/>
        <w:rPr>
          <w:sz w:val="20"/>
        </w:rPr>
      </w:pPr>
    </w:p>
    <w:p>
      <w:pPr>
        <w:pStyle w:val="BodyText"/>
        <w:spacing w:before="1"/>
      </w:pPr>
      <w:r>
        <w:rPr>
          <w:spacing w:val="-1"/>
        </w:rPr>
        <w:t>应急照明系统主要由以下几个部分构成：</w:t>
      </w:r>
    </w:p>
    <w:p>
      <w:pPr>
        <w:pStyle w:val="BodyText"/>
        <w:spacing w:before="8"/>
        <w:ind w:left="0"/>
        <w:rPr>
          <w:sz w:val="20"/>
        </w:rPr>
      </w:pPr>
    </w:p>
    <w:p>
      <w:pPr>
        <w:pStyle w:val="ListParagraph"/>
        <w:numPr>
          <w:ilvl w:val="0"/>
          <w:numId w:val="21"/>
        </w:numPr>
        <w:tabs>
          <w:tab w:val="left" w:pos="542"/>
        </w:tabs>
        <w:spacing w:before="1" w:after="0" w:line="417" w:lineRule="auto"/>
        <w:ind w:left="120" w:right="518" w:firstLine="0"/>
        <w:jc w:val="left"/>
        <w:rPr>
          <w:sz w:val="28"/>
        </w:rPr>
      </w:pPr>
      <w:r>
        <w:rPr>
          <w:spacing w:val="-2"/>
          <w:sz w:val="28"/>
        </w:rPr>
        <w:t>应急照明灯具：用于在正常照明失效时提供必要的照明，确保人</w:t>
      </w:r>
      <w:r>
        <w:rPr>
          <w:spacing w:val="-2"/>
          <w:sz w:val="28"/>
        </w:rPr>
        <w:t>员能够安全疏散或继续进行重要工作。</w:t>
      </w:r>
    </w:p>
    <w:p>
      <w:pPr>
        <w:pStyle w:val="ListParagraph"/>
        <w:numPr>
          <w:ilvl w:val="0"/>
          <w:numId w:val="21"/>
        </w:numPr>
        <w:tabs>
          <w:tab w:val="left" w:pos="542"/>
        </w:tabs>
        <w:spacing w:before="0" w:after="0" w:line="358" w:lineRule="exact"/>
        <w:ind w:left="541" w:right="0" w:hanging="422"/>
        <w:jc w:val="left"/>
        <w:rPr>
          <w:sz w:val="28"/>
        </w:rPr>
      </w:pPr>
      <w:r>
        <w:rPr>
          <w:spacing w:val="-1"/>
          <w:sz w:val="28"/>
        </w:rPr>
        <w:t>疏散指示标志：指引人员在紧急情况下迅速找到安全出口的方向。</w:t>
      </w:r>
    </w:p>
    <w:p>
      <w:pPr>
        <w:pStyle w:val="ListParagraph"/>
        <w:numPr>
          <w:ilvl w:val="0"/>
          <w:numId w:val="21"/>
        </w:numPr>
        <w:tabs>
          <w:tab w:val="left" w:pos="542"/>
        </w:tabs>
        <w:spacing w:before="4" w:after="0" w:line="620" w:lineRule="atLeast"/>
        <w:ind w:left="120" w:right="518" w:firstLine="0"/>
        <w:jc w:val="left"/>
        <w:rPr>
          <w:sz w:val="28"/>
        </w:rPr>
      </w:pPr>
      <w:r>
        <w:rPr>
          <w:spacing w:val="-2"/>
          <w:sz w:val="28"/>
        </w:rPr>
        <w:t>电源转换设备：当正常电源中断时，能自动切换至备用电源，保</w:t>
      </w:r>
      <w:r>
        <w:rPr>
          <w:spacing w:val="-2"/>
          <w:sz w:val="28"/>
        </w:rPr>
        <w:t>证应急照明系统的持续供电。</w:t>
      </w:r>
    </w:p>
    <w:p>
      <w:pPr>
        <w:spacing w:after="0" w:line="620" w:lineRule="atLeast"/>
        <w:jc w:val="left"/>
        <w:rPr>
          <w:sz w:val="28"/>
        </w:rPr>
        <w:sectPr>
          <w:footerReference w:type="default" r:id="rId6"/>
          <w:pgSz w:w="11910" w:h="16840"/>
          <w:pgMar w:top="1500" w:right="1280" w:bottom="1380" w:left="1680" w:header="0" w:footer="1198"/>
          <w:pgNumType w:start="2"/>
          <w:cols w:space="708"/>
        </w:sectPr>
      </w:pPr>
    </w:p>
    <w:p>
      <w:pPr>
        <w:pStyle w:val="ListParagraph"/>
        <w:numPr>
          <w:ilvl w:val="0"/>
          <w:numId w:val="21"/>
        </w:numPr>
        <w:tabs>
          <w:tab w:val="left" w:pos="542"/>
        </w:tabs>
        <w:spacing w:before="37" w:after="0" w:line="417" w:lineRule="auto"/>
        <w:ind w:left="120" w:right="518" w:firstLine="0"/>
        <w:jc w:val="left"/>
        <w:rPr>
          <w:sz w:val="28"/>
        </w:rPr>
      </w:pPr>
      <w:r>
        <w:rPr>
          <w:spacing w:val="-2"/>
          <w:sz w:val="28"/>
        </w:rPr>
        <w:t>配电箱和控制开关：用于控制应急照明系统的启动、关闭以及监</w:t>
      </w:r>
      <w:r>
        <w:rPr>
          <w:spacing w:val="-2"/>
          <w:sz w:val="28"/>
        </w:rPr>
        <w:t>测系统的工作状态。</w:t>
      </w:r>
    </w:p>
    <w:p>
      <w:pPr>
        <w:pStyle w:val="BodyText"/>
        <w:spacing w:line="358" w:lineRule="exact"/>
      </w:pPr>
      <w:r>
        <w:rPr>
          <w:spacing w:val="-1"/>
        </w:rPr>
        <w:t>二、应急照明系统的功能</w:t>
      </w:r>
    </w:p>
    <w:p>
      <w:pPr>
        <w:pStyle w:val="BodyText"/>
        <w:spacing w:before="8"/>
        <w:ind w:left="0"/>
        <w:rPr>
          <w:sz w:val="20"/>
        </w:rPr>
      </w:pPr>
    </w:p>
    <w:p>
      <w:pPr>
        <w:pStyle w:val="BodyText"/>
        <w:spacing w:before="1"/>
      </w:pPr>
      <w:r>
        <w:rPr>
          <w:spacing w:val="-1"/>
        </w:rPr>
        <w:t>应急照明系统的主要功能包括：</w:t>
      </w:r>
    </w:p>
    <w:p>
      <w:pPr>
        <w:pStyle w:val="BodyText"/>
        <w:spacing w:before="8"/>
        <w:ind w:left="0"/>
        <w:rPr>
          <w:sz w:val="20"/>
        </w:rPr>
      </w:pPr>
    </w:p>
    <w:p>
      <w:pPr>
        <w:pStyle w:val="ListParagraph"/>
        <w:numPr>
          <w:ilvl w:val="0"/>
          <w:numId w:val="20"/>
        </w:numPr>
        <w:tabs>
          <w:tab w:val="left" w:pos="542"/>
        </w:tabs>
        <w:spacing w:before="1" w:after="0" w:line="417" w:lineRule="auto"/>
        <w:ind w:left="120" w:right="518" w:firstLine="0"/>
        <w:jc w:val="left"/>
        <w:rPr>
          <w:sz w:val="28"/>
        </w:rPr>
      </w:pPr>
      <w:r>
        <w:rPr>
          <w:spacing w:val="-2"/>
          <w:sz w:val="28"/>
        </w:rPr>
        <w:t>提供疏散照明：在火灾或其他紧急情况下，为人员疏散提供必要</w:t>
      </w:r>
      <w:r>
        <w:rPr>
          <w:spacing w:val="-2"/>
          <w:sz w:val="28"/>
        </w:rPr>
        <w:t>的安全照明。</w:t>
      </w:r>
    </w:p>
    <w:p>
      <w:pPr>
        <w:pStyle w:val="ListParagraph"/>
        <w:numPr>
          <w:ilvl w:val="0"/>
          <w:numId w:val="20"/>
        </w:numPr>
        <w:tabs>
          <w:tab w:val="left" w:pos="542"/>
        </w:tabs>
        <w:spacing w:before="0" w:after="0" w:line="417" w:lineRule="auto"/>
        <w:ind w:left="120" w:right="518" w:firstLine="0"/>
        <w:jc w:val="left"/>
        <w:rPr>
          <w:sz w:val="28"/>
        </w:rPr>
      </w:pPr>
      <w:r>
        <w:rPr>
          <w:spacing w:val="-2"/>
          <w:sz w:val="28"/>
        </w:rPr>
        <w:t>提供备用照明：在正常照明失效时，为关键区域或设备提供必要</w:t>
      </w:r>
      <w:r>
        <w:rPr>
          <w:spacing w:val="-2"/>
          <w:sz w:val="28"/>
        </w:rPr>
        <w:t>的照明，以保障重要工作的连续性。</w:t>
      </w:r>
    </w:p>
    <w:p>
      <w:pPr>
        <w:pStyle w:val="ListParagraph"/>
        <w:numPr>
          <w:ilvl w:val="0"/>
          <w:numId w:val="20"/>
        </w:numPr>
        <w:tabs>
          <w:tab w:val="left" w:pos="542"/>
        </w:tabs>
        <w:spacing w:before="0" w:after="0" w:line="417" w:lineRule="auto"/>
        <w:ind w:left="120" w:right="518" w:firstLine="0"/>
        <w:jc w:val="left"/>
        <w:rPr>
          <w:sz w:val="28"/>
        </w:rPr>
      </w:pPr>
      <w:r>
        <w:rPr>
          <w:spacing w:val="-2"/>
          <w:sz w:val="28"/>
        </w:rPr>
        <w:t>提供安全照明：在特定场所（如地下设施、隧道等）提供稳定的</w:t>
      </w:r>
      <w:r>
        <w:rPr>
          <w:spacing w:val="-2"/>
          <w:sz w:val="28"/>
        </w:rPr>
        <w:t>照明，以确保人员的安全。</w:t>
      </w:r>
    </w:p>
    <w:p>
      <w:pPr>
        <w:pStyle w:val="BodyText"/>
        <w:spacing w:line="358" w:lineRule="exact"/>
      </w:pPr>
      <w:r>
        <w:rPr>
          <w:spacing w:val="-1"/>
        </w:rPr>
        <w:t>三、应急照明系统的设计原则</w:t>
      </w:r>
    </w:p>
    <w:p>
      <w:pPr>
        <w:pStyle w:val="BodyText"/>
        <w:spacing w:before="7"/>
        <w:ind w:left="0"/>
        <w:rPr>
          <w:sz w:val="20"/>
        </w:rPr>
      </w:pPr>
    </w:p>
    <w:p>
      <w:pPr>
        <w:pStyle w:val="BodyText"/>
        <w:spacing w:before="1"/>
      </w:pPr>
      <w:r>
        <w:rPr>
          <w:spacing w:val="-1"/>
        </w:rPr>
        <w:t>在设计应急照明系统时，应遵循以下原则：</w:t>
      </w:r>
    </w:p>
    <w:p>
      <w:pPr>
        <w:pStyle w:val="BodyText"/>
        <w:spacing w:before="8"/>
        <w:ind w:left="0"/>
        <w:rPr>
          <w:sz w:val="20"/>
        </w:rPr>
      </w:pPr>
    </w:p>
    <w:p>
      <w:pPr>
        <w:pStyle w:val="ListParagraph"/>
        <w:numPr>
          <w:ilvl w:val="0"/>
          <w:numId w:val="19"/>
        </w:numPr>
        <w:tabs>
          <w:tab w:val="left" w:pos="542"/>
        </w:tabs>
        <w:spacing w:before="1" w:after="0" w:line="417" w:lineRule="auto"/>
        <w:ind w:left="120" w:right="518" w:firstLine="0"/>
        <w:jc w:val="left"/>
        <w:rPr>
          <w:sz w:val="28"/>
        </w:rPr>
      </w:pPr>
      <w:r>
        <w:rPr>
          <w:spacing w:val="-2"/>
          <w:sz w:val="28"/>
        </w:rPr>
        <w:t>安全性原则：确保应急照明系统在各种紧急情况下都能可靠地工</w:t>
      </w:r>
      <w:r>
        <w:rPr>
          <w:spacing w:val="-2"/>
          <w:sz w:val="28"/>
        </w:rPr>
        <w:t>作，为人员疏散提供安全保障。</w:t>
      </w:r>
    </w:p>
    <w:p>
      <w:pPr>
        <w:pStyle w:val="ListParagraph"/>
        <w:numPr>
          <w:ilvl w:val="0"/>
          <w:numId w:val="19"/>
        </w:numPr>
        <w:tabs>
          <w:tab w:val="left" w:pos="542"/>
        </w:tabs>
        <w:spacing w:before="0" w:after="0" w:line="417" w:lineRule="auto"/>
        <w:ind w:left="120" w:right="518" w:firstLine="0"/>
        <w:jc w:val="left"/>
        <w:rPr>
          <w:sz w:val="28"/>
        </w:rPr>
      </w:pPr>
      <w:r>
        <w:rPr>
          <w:spacing w:val="-2"/>
          <w:sz w:val="28"/>
        </w:rPr>
        <w:t>实用性原则：根据建筑物的使用性质、功能布局和人员密度等因</w:t>
      </w:r>
      <w:r>
        <w:rPr>
          <w:spacing w:val="-2"/>
          <w:sz w:val="28"/>
        </w:rPr>
        <w:t>素，合理设置应急照明设备的数量和位置。</w:t>
      </w:r>
    </w:p>
    <w:p>
      <w:pPr>
        <w:pStyle w:val="ListParagraph"/>
        <w:numPr>
          <w:ilvl w:val="0"/>
          <w:numId w:val="19"/>
        </w:numPr>
        <w:tabs>
          <w:tab w:val="left" w:pos="542"/>
        </w:tabs>
        <w:spacing w:before="0" w:after="0" w:line="417" w:lineRule="auto"/>
        <w:ind w:left="120" w:right="518" w:firstLine="0"/>
        <w:jc w:val="left"/>
        <w:rPr>
          <w:sz w:val="28"/>
        </w:rPr>
      </w:pPr>
      <w:r>
        <w:rPr>
          <w:spacing w:val="-2"/>
          <w:sz w:val="28"/>
        </w:rPr>
        <w:t>经济性原则：在保证安全和实用的前提下，尽量降低系统的建设</w:t>
      </w:r>
      <w:r>
        <w:rPr>
          <w:spacing w:val="-2"/>
          <w:sz w:val="28"/>
        </w:rPr>
        <w:t>和运行成本。</w:t>
      </w:r>
    </w:p>
    <w:p>
      <w:pPr>
        <w:pStyle w:val="ListParagraph"/>
        <w:numPr>
          <w:ilvl w:val="0"/>
          <w:numId w:val="19"/>
        </w:numPr>
        <w:tabs>
          <w:tab w:val="left" w:pos="542"/>
        </w:tabs>
        <w:spacing w:before="0" w:after="0" w:line="417" w:lineRule="auto"/>
        <w:ind w:left="120" w:right="518" w:firstLine="0"/>
        <w:jc w:val="left"/>
        <w:rPr>
          <w:sz w:val="28"/>
        </w:rPr>
      </w:pPr>
      <w:r>
        <w:rPr>
          <w:spacing w:val="-2"/>
          <w:sz w:val="28"/>
        </w:rPr>
        <w:t>可靠性原则：选用性能稳定、寿命长的应急照明设备，并采用双</w:t>
      </w:r>
      <w:r>
        <w:rPr>
          <w:spacing w:val="-2"/>
          <w:sz w:val="28"/>
        </w:rPr>
        <w:t>电源或多电源供电方式，提高系统的可靠性。</w:t>
      </w:r>
    </w:p>
    <w:p>
      <w:pPr>
        <w:pStyle w:val="ListParagraph"/>
        <w:numPr>
          <w:ilvl w:val="0"/>
          <w:numId w:val="19"/>
        </w:numPr>
        <w:tabs>
          <w:tab w:val="left" w:pos="542"/>
        </w:tabs>
        <w:spacing w:before="0" w:after="0" w:line="417" w:lineRule="auto"/>
        <w:ind w:left="120" w:right="518" w:firstLine="0"/>
        <w:jc w:val="left"/>
        <w:rPr>
          <w:sz w:val="28"/>
        </w:rPr>
      </w:pPr>
      <w:r>
        <w:rPr>
          <w:spacing w:val="-2"/>
          <w:sz w:val="28"/>
        </w:rPr>
        <w:t>规范性原则：严格按照国家相关标准规范进行设计和施工，确保</w:t>
      </w:r>
      <w:r>
        <w:rPr>
          <w:spacing w:val="-2"/>
          <w:sz w:val="28"/>
        </w:rPr>
        <w:t>系统的合规性。</w:t>
      </w:r>
    </w:p>
    <w:p>
      <w:pPr>
        <w:spacing w:after="0" w:line="417" w:lineRule="auto"/>
        <w:jc w:val="left"/>
        <w:rPr>
          <w:sz w:val="28"/>
        </w:rPr>
        <w:sectPr>
          <w:footerReference w:type="default" r:id="rId7"/>
          <w:pgSz w:w="11910" w:h="16840"/>
          <w:pgMar w:top="1520" w:right="1280" w:bottom="1380" w:left="1680" w:header="0" w:footer="1198"/>
          <w:pgNumType w:start="3"/>
          <w:cols w:space="708"/>
        </w:sectPr>
      </w:pPr>
    </w:p>
    <w:p>
      <w:pPr>
        <w:pStyle w:val="BodyText"/>
        <w:spacing w:before="37"/>
      </w:pPr>
      <w:r>
        <w:rPr>
          <w:spacing w:val="-1"/>
        </w:rPr>
        <w:t>四、应急照明系统的设计要点</w:t>
      </w:r>
    </w:p>
    <w:p>
      <w:pPr>
        <w:pStyle w:val="BodyText"/>
        <w:spacing w:before="8"/>
        <w:ind w:left="0"/>
        <w:rPr>
          <w:sz w:val="20"/>
        </w:rPr>
      </w:pPr>
    </w:p>
    <w:p>
      <w:pPr>
        <w:pStyle w:val="ListParagraph"/>
        <w:numPr>
          <w:ilvl w:val="0"/>
          <w:numId w:val="18"/>
        </w:numPr>
        <w:tabs>
          <w:tab w:val="left" w:pos="545"/>
        </w:tabs>
        <w:spacing w:before="1" w:after="0" w:line="417" w:lineRule="auto"/>
        <w:ind w:left="120" w:right="518" w:firstLine="0"/>
        <w:jc w:val="left"/>
        <w:rPr>
          <w:sz w:val="28"/>
        </w:rPr>
      </w:pPr>
      <w:r>
        <w:rPr>
          <w:spacing w:val="-2"/>
          <w:sz w:val="28"/>
        </w:rPr>
        <w:t xml:space="preserve">疏散照明的照度要求：疏散通道的地面照度不应低于 </w:t>
      </w:r>
      <w:r>
        <w:rPr>
          <w:sz w:val="28"/>
        </w:rPr>
        <w:t>0.5lx，疏</w:t>
      </w:r>
      <w:r>
        <w:rPr>
          <w:spacing w:val="-3"/>
          <w:sz w:val="28"/>
        </w:rPr>
        <w:t xml:space="preserve">散路径上的墙面和顶棚照度不应低于 </w:t>
      </w:r>
      <w:r>
        <w:rPr>
          <w:sz w:val="28"/>
        </w:rPr>
        <w:t>1.0lx。</w:t>
      </w:r>
    </w:p>
    <w:p>
      <w:pPr>
        <w:pStyle w:val="ListParagraph"/>
        <w:numPr>
          <w:ilvl w:val="0"/>
          <w:numId w:val="18"/>
        </w:numPr>
        <w:tabs>
          <w:tab w:val="left" w:pos="542"/>
        </w:tabs>
        <w:spacing w:before="0" w:after="0" w:line="417" w:lineRule="auto"/>
        <w:ind w:left="120" w:right="238" w:firstLine="0"/>
        <w:jc w:val="left"/>
        <w:rPr>
          <w:sz w:val="28"/>
        </w:rPr>
      </w:pPr>
      <w:r>
        <w:rPr>
          <w:spacing w:val="-2"/>
          <w:sz w:val="28"/>
        </w:rPr>
        <w:t>疏散指示标志的设置：疏散指示标志应设置在疏散路径的转弯处、</w:t>
      </w:r>
      <w:r>
        <w:rPr>
          <w:spacing w:val="-2"/>
          <w:sz w:val="28"/>
        </w:rPr>
        <w:t xml:space="preserve">疏散门的上方以及疏散路径的转角处，间距不宜大于 </w:t>
      </w:r>
      <w:r>
        <w:rPr>
          <w:sz w:val="28"/>
        </w:rPr>
        <w:t>20m。</w:t>
      </w:r>
    </w:p>
    <w:p>
      <w:pPr>
        <w:pStyle w:val="ListParagraph"/>
        <w:numPr>
          <w:ilvl w:val="0"/>
          <w:numId w:val="18"/>
        </w:numPr>
        <w:tabs>
          <w:tab w:val="left" w:pos="542"/>
        </w:tabs>
        <w:spacing w:before="0" w:after="0" w:line="417" w:lineRule="auto"/>
        <w:ind w:left="120" w:right="518" w:firstLine="0"/>
        <w:jc w:val="left"/>
        <w:rPr>
          <w:sz w:val="28"/>
        </w:rPr>
      </w:pPr>
      <w:r>
        <w:rPr>
          <w:spacing w:val="-2"/>
          <w:sz w:val="28"/>
        </w:rPr>
        <w:t>备用照明的照度要求：备用照明照度值应根据工作面上需要进行</w:t>
      </w:r>
      <w:r>
        <w:rPr>
          <w:spacing w:val="-2"/>
          <w:sz w:val="28"/>
        </w:rPr>
        <w:t xml:space="preserve">的工作性质确定，一般不低于正常照明照度值的 </w:t>
      </w:r>
      <w:r>
        <w:rPr>
          <w:sz w:val="28"/>
        </w:rPr>
        <w:t>10%。</w:t>
      </w:r>
    </w:p>
    <w:p>
      <w:pPr>
        <w:pStyle w:val="ListParagraph"/>
        <w:numPr>
          <w:ilvl w:val="0"/>
          <w:numId w:val="18"/>
        </w:numPr>
        <w:tabs>
          <w:tab w:val="left" w:pos="540"/>
        </w:tabs>
        <w:spacing w:before="0" w:after="0" w:line="417" w:lineRule="auto"/>
        <w:ind w:left="120" w:right="518" w:firstLine="0"/>
        <w:jc w:val="both"/>
        <w:rPr>
          <w:sz w:val="28"/>
        </w:rPr>
      </w:pPr>
      <w:r>
        <w:rPr>
          <w:spacing w:val="-9"/>
          <w:sz w:val="28"/>
        </w:rPr>
        <w:t xml:space="preserve">应急照明供电时间：疏散照明供电时间不应小于 </w:t>
      </w:r>
      <w:r>
        <w:rPr>
          <w:spacing w:val="-8"/>
          <w:sz w:val="28"/>
        </w:rPr>
        <w:t>30</w:t>
      </w:r>
      <w:r>
        <w:rPr>
          <w:spacing w:val="-11"/>
          <w:sz w:val="28"/>
        </w:rPr>
        <w:t xml:space="preserve"> 分钟，备用照</w:t>
      </w:r>
      <w:r>
        <w:rPr>
          <w:spacing w:val="-9"/>
          <w:sz w:val="28"/>
        </w:rPr>
        <w:t>明供电时间应根据工作需要确定，但不得小于正常工作所需时间的两</w:t>
      </w:r>
      <w:r>
        <w:rPr>
          <w:spacing w:val="-6"/>
          <w:sz w:val="28"/>
        </w:rPr>
        <w:t>倍。</w:t>
      </w:r>
    </w:p>
    <w:p>
      <w:pPr>
        <w:pStyle w:val="BodyText"/>
        <w:spacing w:line="358" w:lineRule="exact"/>
      </w:pPr>
      <w:r>
        <w:rPr>
          <w:spacing w:val="-3"/>
        </w:rPr>
        <w:t>五、结语</w:t>
      </w:r>
    </w:p>
    <w:p>
      <w:pPr>
        <w:pStyle w:val="BodyText"/>
        <w:spacing w:before="7"/>
        <w:ind w:left="0"/>
        <w:rPr>
          <w:sz w:val="20"/>
        </w:rPr>
      </w:pPr>
    </w:p>
    <w:p>
      <w:pPr>
        <w:pStyle w:val="BodyText"/>
        <w:spacing w:line="417" w:lineRule="auto"/>
        <w:ind w:right="518"/>
        <w:jc w:val="both"/>
      </w:pPr>
      <w:r>
        <w:rPr>
          <w:spacing w:val="-7"/>
        </w:rPr>
        <w:t>应急照明系统作为建筑物内重要的安全设施之一，对于保障人员在紧</w:t>
      </w:r>
      <w:r>
        <w:rPr>
          <w:spacing w:val="-4"/>
        </w:rPr>
        <w:t>急情况下的人身安全具有至关重要的作用。因此，在进行应急照明系</w:t>
      </w:r>
      <w:r>
        <w:rPr>
          <w:spacing w:val="-4"/>
        </w:rPr>
        <w:t>统设计时，必须充分考虑其功能性、可靠性、经济性和规范性，确保</w:t>
      </w:r>
      <w:r>
        <w:rPr>
          <w:spacing w:val="-2"/>
        </w:rPr>
        <w:t>系统能在各种紧急情况下发挥应有的作用。</w:t>
      </w:r>
    </w:p>
    <w:p>
      <w:pPr>
        <w:pStyle w:val="BodyText"/>
        <w:ind w:left="0"/>
      </w:pPr>
    </w:p>
    <w:p>
      <w:pPr>
        <w:pStyle w:val="Heading1"/>
        <w:spacing w:before="238"/>
        <w:jc w:val="both"/>
      </w:pPr>
      <w:bookmarkStart w:id="1" w:name="_TOC_250006"/>
      <w:r>
        <w:t>第二部分</w:t>
      </w:r>
      <w:r>
        <w:rPr>
          <w:spacing w:val="213"/>
          <w:w w:val="150"/>
        </w:rPr>
        <w:t xml:space="preserve"> </w:t>
      </w:r>
      <w:bookmarkEnd w:id="1"/>
      <w:r>
        <w:rPr>
          <w:spacing w:val="-1"/>
        </w:rPr>
        <w:t>疏散指示标志设置原则</w:t>
      </w:r>
    </w:p>
    <w:p>
      <w:pPr>
        <w:pStyle w:val="BodyText"/>
        <w:spacing w:before="15"/>
        <w:ind w:left="0"/>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75" w:type="dxa"/>
          </w:tcPr>
          <w:p>
            <w:pPr>
              <w:pStyle w:val="TableParagraph"/>
              <w:spacing w:before="23"/>
              <w:rPr>
                <w:sz w:val="21"/>
              </w:rPr>
            </w:pPr>
            <w:r>
              <w:rPr>
                <w:spacing w:val="-1"/>
                <w:sz w:val="21"/>
              </w:rPr>
              <w:t>【疏散指示标志设置原则】</w:t>
            </w:r>
          </w:p>
        </w:tc>
        <w:tc>
          <w:tcPr>
            <w:tcW w:w="5521" w:type="dxa"/>
          </w:tcPr>
          <w:p>
            <w:pPr>
              <w:pStyle w:val="TableParagraph"/>
              <w:spacing w:before="4"/>
              <w:ind w:left="0"/>
              <w:rPr>
                <w:rFonts w:ascii="Microsoft JhengHei"/>
                <w:b/>
                <w:sz w:val="18"/>
              </w:rPr>
            </w:pPr>
          </w:p>
          <w:p>
            <w:pPr>
              <w:pStyle w:val="TableParagraph"/>
              <w:numPr>
                <w:ilvl w:val="0"/>
                <w:numId w:val="17"/>
              </w:numPr>
              <w:tabs>
                <w:tab w:val="left" w:pos="371"/>
              </w:tabs>
              <w:spacing w:before="0" w:after="0" w:line="278" w:lineRule="auto"/>
              <w:ind w:left="108" w:right="96" w:firstLine="0"/>
              <w:jc w:val="both"/>
              <w:rPr>
                <w:sz w:val="21"/>
              </w:rPr>
            </w:pPr>
            <w:r>
              <w:rPr>
                <w:spacing w:val="-2"/>
                <w:sz w:val="21"/>
              </w:rPr>
              <w:t>明确导向性：疏散指示标志应确保在紧急情况下能够为</w:t>
            </w:r>
            <w:r>
              <w:rPr>
                <w:spacing w:val="-2"/>
                <w:sz w:val="21"/>
              </w:rPr>
              <w:t>人员提供明确的疏散方向，避免混乱和恐慌。标志应采用</w:t>
            </w:r>
            <w:r>
              <w:rPr>
                <w:spacing w:val="-2"/>
                <w:sz w:val="21"/>
              </w:rPr>
              <w:t>箭头或指示性图形符号，并配以简洁明了的文字说明。</w:t>
            </w:r>
          </w:p>
          <w:p>
            <w:pPr>
              <w:pStyle w:val="TableParagraph"/>
              <w:numPr>
                <w:ilvl w:val="0"/>
                <w:numId w:val="17"/>
              </w:numPr>
              <w:tabs>
                <w:tab w:val="left" w:pos="371"/>
              </w:tabs>
              <w:spacing w:before="0" w:after="0" w:line="278" w:lineRule="auto"/>
              <w:ind w:left="108" w:right="96" w:firstLine="0"/>
              <w:jc w:val="both"/>
              <w:rPr>
                <w:sz w:val="21"/>
              </w:rPr>
            </w:pPr>
            <w:r>
              <w:rPr>
                <w:spacing w:val="-2"/>
                <w:sz w:val="21"/>
              </w:rPr>
              <w:t>易于识别性：疏散指示标志的颜色、形状和大小应符合</w:t>
            </w:r>
            <w:r>
              <w:rPr>
                <w:spacing w:val="-2"/>
                <w:sz w:val="21"/>
              </w:rPr>
              <w:t>国家标准，以便于人们在紧张状态下迅速识别。通常使用</w:t>
            </w:r>
            <w:r>
              <w:rPr>
                <w:spacing w:val="-2"/>
                <w:sz w:val="21"/>
              </w:rPr>
              <w:t>醒目的颜色（如绿色）和明显的图形符号来提高可见度。</w:t>
            </w:r>
          </w:p>
          <w:p>
            <w:pPr>
              <w:pStyle w:val="TableParagraph"/>
              <w:numPr>
                <w:ilvl w:val="0"/>
                <w:numId w:val="17"/>
              </w:numPr>
              <w:tabs>
                <w:tab w:val="left" w:pos="371"/>
              </w:tabs>
              <w:spacing w:before="0" w:after="0" w:line="269" w:lineRule="exact"/>
              <w:ind w:left="370" w:right="0" w:hanging="263"/>
              <w:jc w:val="both"/>
              <w:rPr>
                <w:sz w:val="21"/>
              </w:rPr>
            </w:pPr>
            <w:r>
              <w:rPr>
                <w:spacing w:val="-1"/>
                <w:sz w:val="21"/>
              </w:rPr>
              <w:t>连续性指引：疏散路径上的指示标志应保持连贯，确保</w:t>
            </w:r>
          </w:p>
        </w:tc>
      </w:tr>
    </w:tbl>
    <w:p>
      <w:pPr>
        <w:spacing w:after="0" w:line="269" w:lineRule="exact"/>
        <w:jc w:val="both"/>
        <w:rPr>
          <w:sz w:val="21"/>
        </w:rPr>
        <w:sectPr>
          <w:footerReference w:type="default" r:id="rId8"/>
          <w:pgSz w:w="11910" w:h="16840"/>
          <w:pgMar w:top="1520" w:right="1280" w:bottom="1380" w:left="1680" w:header="0" w:footer="1198"/>
          <w:pgNumType w:start="4"/>
          <w:cols w:space="708"/>
        </w:sect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2775" w:type="dxa"/>
          </w:tcPr>
          <w:p>
            <w:pPr>
              <w:pStyle w:val="TableParagraph"/>
              <w:ind w:left="0"/>
              <w:rPr>
                <w:rFonts w:ascii="Times New Roman"/>
                <w:sz w:val="26"/>
              </w:rPr>
            </w:pPr>
          </w:p>
        </w:tc>
        <w:tc>
          <w:tcPr>
            <w:tcW w:w="5521" w:type="dxa"/>
          </w:tcPr>
          <w:p>
            <w:pPr>
              <w:pStyle w:val="TableParagraph"/>
              <w:spacing w:before="23" w:line="278" w:lineRule="auto"/>
              <w:ind w:right="96"/>
              <w:rPr>
                <w:sz w:val="21"/>
              </w:rPr>
            </w:pPr>
            <w:r>
              <w:rPr>
                <w:spacing w:val="-2"/>
                <w:sz w:val="21"/>
              </w:rPr>
              <w:t>人员在整个疏散过程中不会迷失方向。标志之间的间隔应</w:t>
            </w:r>
            <w:r>
              <w:rPr>
                <w:spacing w:val="-2"/>
                <w:sz w:val="21"/>
              </w:rPr>
              <w:t>合理，以维持持续的引导作用。</w:t>
            </w:r>
          </w:p>
          <w:p>
            <w:pPr>
              <w:pStyle w:val="TableParagraph"/>
              <w:spacing w:line="269" w:lineRule="exact"/>
              <w:rPr>
                <w:sz w:val="21"/>
              </w:rPr>
            </w:pPr>
            <w:r>
              <w:rPr>
                <w:spacing w:val="-1"/>
                <w:sz w:val="21"/>
              </w:rPr>
              <w:t>【疏散指示标志位置选择】</w:t>
            </w:r>
          </w:p>
        </w:tc>
      </w:tr>
    </w:tbl>
    <w:p>
      <w:pPr>
        <w:pStyle w:val="BodyText"/>
        <w:spacing w:before="4"/>
        <w:ind w:left="0"/>
        <w:rPr>
          <w:rFonts w:ascii="Microsoft JhengHei"/>
          <w:b/>
          <w:sz w:val="5"/>
        </w:rPr>
      </w:pPr>
    </w:p>
    <w:p>
      <w:pPr>
        <w:pStyle w:val="BodyText"/>
        <w:spacing w:before="61" w:line="417" w:lineRule="auto"/>
        <w:ind w:right="285" w:firstLine="560"/>
      </w:pPr>
      <w:r>
        <w:rPr>
          <w:spacing w:val="-4"/>
        </w:rPr>
        <w:t>应急照明与疏散指示设计是建筑安全领域的重要组成部分，其目</w:t>
      </w:r>
      <w:r>
        <w:rPr>
          <w:spacing w:val="-10"/>
        </w:rPr>
        <w:t>的是确保在紧急情况下，如火灾或其他灾害发生时，人员能够迅速而</w:t>
      </w:r>
      <w:r>
        <w:rPr>
          <w:spacing w:val="-17"/>
        </w:rPr>
        <w:t>有序地撤离到安全区域。疏散指示标志的合理设置对于提高疏散效率、</w:t>
      </w:r>
      <w:r>
        <w:t>降低伤亡风险至关重要。本文将探讨疏散指示标志的设置原则。</w:t>
      </w:r>
    </w:p>
    <w:p>
      <w:pPr>
        <w:pStyle w:val="BodyText"/>
        <w:spacing w:line="417" w:lineRule="auto"/>
        <w:ind w:right="518"/>
        <w:jc w:val="both"/>
      </w:pPr>
      <w:r>
        <w:rPr>
          <w:spacing w:val="-4"/>
        </w:rPr>
        <w:t>首先，疏散指示标志应遵循“就近”原则。这意味着标志应设置在距</w:t>
      </w:r>
      <w:r>
        <w:rPr>
          <w:spacing w:val="-9"/>
        </w:rPr>
        <w:t>离疏散通道或出口最近的位置，以便于人们在第一时间内找到正确的</w:t>
      </w:r>
      <w:r>
        <w:rPr>
          <w:spacing w:val="-12"/>
        </w:rPr>
        <w:t>疏散方向。根据《建筑设计防火规范》</w:t>
      </w:r>
      <w:r>
        <w:rPr>
          <w:spacing w:val="-4"/>
        </w:rPr>
        <w:t>（GB50016）的要求，疏散指示</w:t>
      </w:r>
      <w:r>
        <w:rPr>
          <w:spacing w:val="-4"/>
        </w:rPr>
        <w:t xml:space="preserve">标志应沿疏散走道设置的间距不应大于 </w:t>
      </w:r>
      <w:r>
        <w:t>10</w:t>
      </w:r>
      <w:r>
        <w:rPr>
          <w:spacing w:val="-9"/>
        </w:rPr>
        <w:t xml:space="preserve"> 米，沿疏散通道设置的间</w:t>
      </w:r>
    </w:p>
    <w:p>
      <w:pPr>
        <w:pStyle w:val="BodyText"/>
        <w:spacing w:line="358" w:lineRule="exact"/>
        <w:jc w:val="both"/>
      </w:pPr>
      <w:r>
        <w:rPr>
          <w:spacing w:val="-12"/>
        </w:rPr>
        <w:t xml:space="preserve">距不应大于 </w:t>
      </w:r>
      <w:r>
        <w:t>50</w:t>
      </w:r>
      <w:r>
        <w:rPr>
          <w:spacing w:val="-27"/>
        </w:rPr>
        <w:t xml:space="preserve"> 米。</w:t>
      </w:r>
    </w:p>
    <w:p>
      <w:pPr>
        <w:pStyle w:val="BodyText"/>
        <w:spacing w:before="7"/>
        <w:ind w:left="0"/>
        <w:rPr>
          <w:sz w:val="20"/>
        </w:rPr>
      </w:pPr>
    </w:p>
    <w:p>
      <w:pPr>
        <w:pStyle w:val="BodyText"/>
        <w:spacing w:before="1" w:line="417" w:lineRule="auto"/>
        <w:ind w:right="518"/>
        <w:jc w:val="both"/>
      </w:pPr>
      <w:r>
        <w:rPr>
          <w:spacing w:val="-4"/>
        </w:rPr>
        <w:t>其次，疏散指示标志应遵循“可见”原则。这要求标志在紧急情况下</w:t>
      </w:r>
      <w:r>
        <w:rPr>
          <w:spacing w:val="-4"/>
        </w:rPr>
        <w:t>必须清晰可见，不会被其他光源所掩盖。因此，疏散指示标志宜采用</w:t>
      </w:r>
      <w:r>
        <w:rPr>
          <w:spacing w:val="-8"/>
        </w:rPr>
        <w:t xml:space="preserve">发光型标志，如荧光灯或 </w:t>
      </w:r>
      <w:r>
        <w:rPr>
          <w:spacing w:val="-6"/>
        </w:rPr>
        <w:t>LED</w:t>
      </w:r>
      <w:r>
        <w:rPr>
          <w:spacing w:val="-11"/>
        </w:rPr>
        <w:t xml:space="preserve"> 灯，并应保证其在断电情况下能持续工</w:t>
      </w:r>
      <w:r>
        <w:rPr>
          <w:spacing w:val="-10"/>
        </w:rPr>
        <w:t xml:space="preserve">作至少 </w:t>
      </w:r>
      <w:r>
        <w:rPr>
          <w:spacing w:val="-2"/>
        </w:rPr>
        <w:t>90</w:t>
      </w:r>
      <w:r>
        <w:rPr>
          <w:spacing w:val="-8"/>
        </w:rPr>
        <w:t xml:space="preserve"> 分钟。此外，疏散指示标志的颜色应醒目，通常采用绿色</w:t>
      </w:r>
      <w:r>
        <w:rPr>
          <w:spacing w:val="-2"/>
        </w:rPr>
        <w:t>或黄色，以区别于其他非紧急标志。</w:t>
      </w:r>
    </w:p>
    <w:p>
      <w:pPr>
        <w:pStyle w:val="BodyText"/>
        <w:spacing w:line="417" w:lineRule="auto"/>
        <w:ind w:right="518"/>
        <w:jc w:val="both"/>
      </w:pPr>
      <w:r>
        <w:rPr>
          <w:spacing w:val="-4"/>
        </w:rPr>
        <w:t>第三，疏散指示标志应遵循“连续”原则。为了确保人员在疏散过程</w:t>
      </w:r>
      <w:r>
        <w:rPr>
          <w:spacing w:val="-12"/>
        </w:rPr>
        <w:t>中不会迷失方向，疏散指示标志应从疏散起始点到安全出口之间保持</w:t>
      </w:r>
      <w:r>
        <w:rPr>
          <w:spacing w:val="-4"/>
        </w:rPr>
        <w:t>连续性。这意味着疏散指示标志应沿着疏散路径连续设置，且每个标</w:t>
      </w:r>
      <w:r>
        <w:rPr>
          <w:spacing w:val="-4"/>
        </w:rPr>
        <w:t>志之间的间隔应均匀。同时，疏散指示标志应与疏散通道的方向保持</w:t>
      </w:r>
      <w:r>
        <w:rPr>
          <w:spacing w:val="-2"/>
        </w:rPr>
        <w:t>一致，避免产生误导。</w:t>
      </w:r>
    </w:p>
    <w:p>
      <w:pPr>
        <w:pStyle w:val="BodyText"/>
        <w:spacing w:line="358" w:lineRule="exact"/>
      </w:pPr>
      <w:r>
        <w:rPr>
          <w:spacing w:val="-5"/>
        </w:rPr>
        <w:t>第四，疏散指示标志应遵循“易懂”原则。疏散指示标志的文字和图</w:t>
      </w:r>
    </w:p>
    <w:p>
      <w:pPr>
        <w:spacing w:after="0" w:line="358" w:lineRule="exact"/>
        <w:sectPr>
          <w:footerReference w:type="default" r:id="rId9"/>
          <w:type w:val="continuous"/>
          <w:pgSz w:w="11910" w:h="16840"/>
          <w:pgMar w:top="1400" w:right="1280" w:bottom="1380" w:left="1680" w:header="0" w:footer="1198"/>
          <w:pgNumType w:start="5"/>
          <w:cols w:space="708"/>
        </w:sectPr>
      </w:pPr>
    </w:p>
    <w:p>
      <w:pPr>
        <w:pStyle w:val="BodyText"/>
        <w:spacing w:before="37" w:line="417" w:lineRule="auto"/>
        <w:ind w:right="378"/>
      </w:pPr>
      <w:r>
        <w:rPr>
          <w:spacing w:val="-23"/>
        </w:rPr>
        <w:t>形应简洁明了，易于理解。根据《消防安全标志》</w:t>
      </w:r>
      <w:r>
        <w:rPr>
          <w:spacing w:val="-2"/>
        </w:rPr>
        <w:t>（GB13495）的规定，</w:t>
      </w:r>
      <w:r>
        <w:rPr>
          <w:spacing w:val="-6"/>
        </w:rPr>
        <w:t>疏散指示标志可采用箭头或带有箭头的文字表示疏散方向，箭头应指</w:t>
      </w:r>
      <w:r>
        <w:rPr>
          <w:spacing w:val="-2"/>
        </w:rPr>
        <w:t>向最近的疏散出口。同时，疏散指示标志上的文字应使用中文，并采</w:t>
      </w:r>
      <w:r>
        <w:rPr>
          <w:spacing w:val="-2"/>
        </w:rPr>
        <w:t>用规范的汉字书写。</w:t>
      </w:r>
    </w:p>
    <w:p>
      <w:pPr>
        <w:pStyle w:val="BodyText"/>
        <w:spacing w:line="417" w:lineRule="auto"/>
        <w:ind w:right="518"/>
        <w:jc w:val="both"/>
      </w:pPr>
      <w:r>
        <w:rPr>
          <w:spacing w:val="-4"/>
        </w:rPr>
        <w:t>第五，疏散指示标志应遵循“适应性”原则。不同类型的建筑和场所</w:t>
      </w:r>
      <w:r>
        <w:rPr>
          <w:spacing w:val="-10"/>
        </w:rPr>
        <w:t>具有不同的疏散特点和要求，疏散指示标志的设计应根据实际情况进</w:t>
      </w:r>
      <w:r>
        <w:rPr>
          <w:spacing w:val="-4"/>
        </w:rPr>
        <w:t>行调整。例如，对于大型商场、体育馆等人流密集的场所，疏散指示</w:t>
      </w:r>
      <w:r>
        <w:rPr>
          <w:spacing w:val="-4"/>
        </w:rPr>
        <w:t>标志应更加明显和频繁；而对于医院、养老院等特殊场所，疏散指示</w:t>
      </w:r>
      <w:r>
        <w:rPr>
          <w:spacing w:val="-2"/>
        </w:rPr>
        <w:t>标志还应考虑无障碍设计，方便行动不便的人员疏散。</w:t>
      </w:r>
    </w:p>
    <w:p>
      <w:pPr>
        <w:pStyle w:val="BodyText"/>
        <w:spacing w:line="417" w:lineRule="auto"/>
        <w:ind w:right="518"/>
        <w:jc w:val="both"/>
      </w:pPr>
      <w:r>
        <w:rPr>
          <w:spacing w:val="-4"/>
        </w:rPr>
        <w:t>最后，疏散指示标志应遵循“维护”原则。为了确保疏散指示标志在</w:t>
      </w:r>
      <w:r>
        <w:rPr>
          <w:spacing w:val="-4"/>
        </w:rPr>
        <w:t>紧急情况下的有效性，应定期对其进行检查和维护。根据《消防安全</w:t>
      </w:r>
      <w:r>
        <w:rPr>
          <w:spacing w:val="-4"/>
        </w:rPr>
        <w:t>管理规定》的要求，疏散指示标志应每半年进行一次功能测试，以确</w:t>
      </w:r>
      <w:r>
        <w:rPr>
          <w:spacing w:val="-4"/>
        </w:rPr>
        <w:t>保其正常工作。同时，应对疏散指示标志进行清洁和维护，防止灰尘</w:t>
      </w:r>
      <w:r>
        <w:rPr>
          <w:spacing w:val="-2"/>
        </w:rPr>
        <w:t>和污垢影响其可见度。</w:t>
      </w:r>
    </w:p>
    <w:p>
      <w:pPr>
        <w:pStyle w:val="BodyText"/>
        <w:spacing w:line="417" w:lineRule="auto"/>
        <w:ind w:right="518"/>
        <w:jc w:val="both"/>
      </w:pPr>
      <w:r>
        <w:rPr>
          <w:spacing w:val="-14"/>
        </w:rPr>
        <w:t>综上所述，疏散指示标志的设置原则包括“就近”、“可见”、“连</w:t>
      </w:r>
      <w:r>
        <w:rPr>
          <w:spacing w:val="-24"/>
        </w:rPr>
        <w:t>续”、“易懂”、“适应性”和“维护”。这些原则旨在确保疏散指示</w:t>
      </w:r>
      <w:r>
        <w:rPr>
          <w:spacing w:val="-4"/>
        </w:rPr>
        <w:t>标志在紧急情况下发挥最大效能，帮助人员快速疏散，从而降低灾害</w:t>
      </w:r>
      <w:r>
        <w:rPr>
          <w:spacing w:val="-2"/>
        </w:rPr>
        <w:t>造成的损失。</w:t>
      </w:r>
    </w:p>
    <w:p>
      <w:pPr>
        <w:pStyle w:val="BodyText"/>
        <w:ind w:left="0"/>
      </w:pPr>
    </w:p>
    <w:p>
      <w:pPr>
        <w:pStyle w:val="Heading1"/>
        <w:jc w:val="both"/>
      </w:pPr>
      <w:bookmarkStart w:id="2" w:name="_TOC_250005"/>
      <w:r>
        <w:t>第三部分</w:t>
      </w:r>
      <w:r>
        <w:rPr>
          <w:spacing w:val="211"/>
          <w:w w:val="150"/>
        </w:rPr>
        <w:t xml:space="preserve"> </w:t>
      </w:r>
      <w:bookmarkEnd w:id="2"/>
      <w:r>
        <w:rPr>
          <w:spacing w:val="-2"/>
        </w:rPr>
        <w:t>应急照明供电要求</w:t>
      </w:r>
    </w:p>
    <w:p>
      <w:pPr>
        <w:pStyle w:val="BodyText"/>
        <w:spacing w:before="15" w:after="1"/>
        <w:ind w:left="0"/>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624"/>
          <w:jc w:val="left"/>
        </w:trPr>
        <w:tc>
          <w:tcPr>
            <w:tcW w:w="2775" w:type="dxa"/>
          </w:tcPr>
          <w:p>
            <w:pPr>
              <w:pStyle w:val="TableParagraph"/>
              <w:spacing w:before="23"/>
              <w:rPr>
                <w:sz w:val="21"/>
              </w:rPr>
            </w:pPr>
            <w:r>
              <w:rPr>
                <w:spacing w:val="-1"/>
                <w:sz w:val="21"/>
              </w:rPr>
              <w:t>【应急照明供电要求】</w:t>
            </w:r>
          </w:p>
        </w:tc>
        <w:tc>
          <w:tcPr>
            <w:tcW w:w="5521" w:type="dxa"/>
          </w:tcPr>
          <w:p>
            <w:pPr>
              <w:pStyle w:val="TableParagraph"/>
              <w:spacing w:before="4"/>
              <w:ind w:left="0"/>
              <w:rPr>
                <w:rFonts w:ascii="Microsoft JhengHei"/>
                <w:b/>
                <w:sz w:val="18"/>
              </w:rPr>
            </w:pPr>
          </w:p>
          <w:p>
            <w:pPr>
              <w:pStyle w:val="TableParagraph"/>
              <w:rPr>
                <w:sz w:val="21"/>
              </w:rPr>
            </w:pPr>
            <w:r>
              <w:rPr>
                <w:rFonts w:ascii="Times New Roman" w:eastAsia="Times New Roman"/>
                <w:sz w:val="21"/>
              </w:rPr>
              <w:t>1.</w:t>
            </w:r>
            <w:r>
              <w:rPr>
                <w:rFonts w:ascii="Times New Roman" w:eastAsia="Times New Roman"/>
                <w:spacing w:val="52"/>
                <w:sz w:val="21"/>
              </w:rPr>
              <w:t xml:space="preserve"> </w:t>
            </w:r>
            <w:r>
              <w:rPr>
                <w:spacing w:val="-1"/>
                <w:sz w:val="21"/>
              </w:rPr>
              <w:t>双电源供电：应急照明系统应采用双电源供电，确保在</w:t>
            </w:r>
          </w:p>
        </w:tc>
      </w:tr>
    </w:tbl>
    <w:p>
      <w:pPr>
        <w:spacing w:after="0"/>
        <w:rPr>
          <w:sz w:val="21"/>
        </w:rPr>
        <w:sectPr>
          <w:footerReference w:type="default" r:id="rId10"/>
          <w:pgSz w:w="11910" w:h="16840"/>
          <w:pgMar w:top="1520" w:right="1280" w:bottom="1380" w:left="1680" w:header="0" w:footer="1198"/>
          <w:pgNumType w:start="6"/>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0"/>
          <w:jc w:val="left"/>
        </w:trPr>
        <w:tc>
          <w:tcPr>
            <w:tcW w:w="2775" w:type="dxa"/>
          </w:tcPr>
          <w:p>
            <w:pPr>
              <w:pStyle w:val="TableParagraph"/>
              <w:ind w:left="0"/>
              <w:rPr>
                <w:rFonts w:ascii="Times New Roman"/>
                <w:sz w:val="26"/>
              </w:rPr>
            </w:pPr>
          </w:p>
        </w:tc>
        <w:tc>
          <w:tcPr>
            <w:tcW w:w="5521" w:type="dxa"/>
          </w:tcPr>
          <w:p>
            <w:pPr>
              <w:pStyle w:val="TableParagraph"/>
              <w:spacing w:before="23" w:line="278" w:lineRule="auto"/>
              <w:ind w:right="96"/>
              <w:rPr>
                <w:sz w:val="21"/>
              </w:rPr>
            </w:pPr>
            <w:r>
              <w:rPr>
                <w:spacing w:val="-2"/>
                <w:sz w:val="21"/>
              </w:rPr>
              <w:t>主电源故障时，备用电源能够立即启动，保证应急照明的</w:t>
            </w:r>
            <w:r>
              <w:rPr>
                <w:spacing w:val="-2"/>
                <w:sz w:val="21"/>
              </w:rPr>
              <w:t>持续供电。</w:t>
            </w:r>
          </w:p>
          <w:p>
            <w:pPr>
              <w:pStyle w:val="TableParagraph"/>
              <w:numPr>
                <w:ilvl w:val="0"/>
                <w:numId w:val="16"/>
              </w:numPr>
              <w:tabs>
                <w:tab w:val="left" w:pos="371"/>
              </w:tabs>
              <w:spacing w:before="0" w:after="0" w:line="278" w:lineRule="auto"/>
              <w:ind w:left="108" w:right="96" w:firstLine="0"/>
              <w:jc w:val="both"/>
              <w:rPr>
                <w:sz w:val="21"/>
              </w:rPr>
            </w:pPr>
            <w:r>
              <w:rPr>
                <w:spacing w:val="-2"/>
                <w:sz w:val="21"/>
              </w:rPr>
              <w:t>自动切换：应急照明系统的电源应能实现自动切换，当</w:t>
            </w:r>
            <w:r>
              <w:rPr>
                <w:spacing w:val="-2"/>
                <w:sz w:val="21"/>
              </w:rPr>
              <w:t>检测到主电源断电时，备用电源应在规定时间内（通常不</w:t>
            </w:r>
            <w:r>
              <w:rPr>
                <w:spacing w:val="-8"/>
                <w:sz w:val="21"/>
              </w:rPr>
              <w:t xml:space="preserve">超过 </w:t>
            </w:r>
            <w:r>
              <w:rPr>
                <w:rFonts w:ascii="Times New Roman" w:eastAsia="Times New Roman"/>
                <w:sz w:val="21"/>
              </w:rPr>
              <w:t xml:space="preserve">0.2 </w:t>
            </w:r>
            <w:r>
              <w:rPr>
                <w:sz w:val="21"/>
              </w:rPr>
              <w:t>秒）自动投入工作。</w:t>
            </w:r>
          </w:p>
          <w:p>
            <w:pPr>
              <w:pStyle w:val="TableParagraph"/>
              <w:numPr>
                <w:ilvl w:val="0"/>
                <w:numId w:val="16"/>
              </w:numPr>
              <w:tabs>
                <w:tab w:val="left" w:pos="371"/>
              </w:tabs>
              <w:spacing w:before="0" w:after="0" w:line="278" w:lineRule="auto"/>
              <w:ind w:left="108" w:right="96" w:firstLine="0"/>
              <w:jc w:val="both"/>
              <w:rPr>
                <w:sz w:val="21"/>
              </w:rPr>
            </w:pPr>
            <w:r>
              <w:rPr>
                <w:spacing w:val="-2"/>
                <w:sz w:val="21"/>
              </w:rPr>
              <w:t>备用电源容量：备用电源的容量应能满足应急照明负荷</w:t>
            </w:r>
            <w:r>
              <w:rPr>
                <w:spacing w:val="-2"/>
                <w:sz w:val="21"/>
              </w:rPr>
              <w:t>的最大需求，并考虑一定的余量，以应对可能出现的负荷</w:t>
            </w:r>
            <w:r>
              <w:rPr>
                <w:spacing w:val="-4"/>
                <w:sz w:val="21"/>
              </w:rPr>
              <w:t>波动。</w:t>
            </w:r>
          </w:p>
          <w:p>
            <w:pPr>
              <w:pStyle w:val="TableParagraph"/>
              <w:spacing w:line="269" w:lineRule="exact"/>
              <w:rPr>
                <w:sz w:val="21"/>
              </w:rPr>
            </w:pPr>
            <w:r>
              <w:rPr>
                <w:spacing w:val="-1"/>
                <w:sz w:val="21"/>
              </w:rPr>
              <w:t>【应急照明供电时间】</w:t>
            </w:r>
          </w:p>
        </w:tc>
      </w:tr>
    </w:tbl>
    <w:p>
      <w:pPr>
        <w:pStyle w:val="BodyText"/>
        <w:spacing w:before="4"/>
        <w:ind w:left="0"/>
        <w:rPr>
          <w:rFonts w:ascii="Microsoft JhengHei"/>
          <w:b/>
          <w:sz w:val="5"/>
        </w:rPr>
      </w:pPr>
    </w:p>
    <w:p>
      <w:pPr>
        <w:pStyle w:val="BodyText"/>
        <w:spacing w:before="61" w:line="417" w:lineRule="auto"/>
        <w:ind w:right="518" w:firstLine="560"/>
        <w:jc w:val="both"/>
      </w:pPr>
      <w:r>
        <w:rPr>
          <w:spacing w:val="-6"/>
        </w:rPr>
        <w:t>应急照明与疏散指示系统是建筑安全的重要组成部分，其设计必</w:t>
      </w:r>
      <w:r>
        <w:rPr>
          <w:spacing w:val="-12"/>
        </w:rPr>
        <w:t>须满足国家相关标准，确保在紧急情况下能够为人员疏散提供必要的</w:t>
      </w:r>
      <w:r>
        <w:rPr>
          <w:spacing w:val="-2"/>
        </w:rPr>
        <w:t>照明指引。本文将简要介绍应急照明供电要求的相关内容。</w:t>
      </w:r>
    </w:p>
    <w:p>
      <w:pPr>
        <w:pStyle w:val="BodyText"/>
        <w:spacing w:line="417" w:lineRule="auto"/>
        <w:ind w:right="518"/>
        <w:jc w:val="both"/>
      </w:pPr>
      <w:r>
        <w:rPr>
          <w:spacing w:val="-23"/>
        </w:rPr>
        <w:t>首先，应急照明系统应具有独立于正常照明电源的备用电源。根据《建</w:t>
      </w:r>
      <w:r>
        <w:rPr>
          <w:spacing w:val="-4"/>
        </w:rPr>
        <w:t>筑设计防火规范》GB50016-2014(2018</w:t>
      </w:r>
      <w:r>
        <w:rPr>
          <w:spacing w:val="-15"/>
        </w:rPr>
        <w:t xml:space="preserve"> 年版)第 </w:t>
      </w:r>
      <w:r>
        <w:rPr>
          <w:spacing w:val="-4"/>
        </w:rPr>
        <w:t>10.3</w:t>
      </w:r>
      <w:r>
        <w:rPr>
          <w:spacing w:val="-10"/>
        </w:rPr>
        <w:t xml:space="preserve"> 节规定，当建筑</w:t>
      </w:r>
      <w:r>
        <w:rPr>
          <w:spacing w:val="-4"/>
        </w:rPr>
        <w:t>物内可能同时存在生产、使用或储存多种火灾危险性的场所时，应采</w:t>
      </w:r>
      <w:r>
        <w:rPr>
          <w:spacing w:val="-4"/>
        </w:rPr>
        <w:t>用双电源供电；当建筑物内仅存在一种火灾危险性场所时，可采用单</w:t>
      </w:r>
      <w:r>
        <w:rPr>
          <w:spacing w:val="-4"/>
        </w:rPr>
        <w:t>电源供电。备用电源可以是蓄电池组、干电池、自备发电机或其他能</w:t>
      </w:r>
      <w:r>
        <w:rPr>
          <w:spacing w:val="-2"/>
        </w:rPr>
        <w:t>够保证持续供电的装置。</w:t>
      </w:r>
    </w:p>
    <w:p>
      <w:pPr>
        <w:pStyle w:val="BodyText"/>
        <w:spacing w:line="417" w:lineRule="auto"/>
        <w:ind w:right="518"/>
        <w:jc w:val="both"/>
      </w:pPr>
      <w:r>
        <w:rPr>
          <w:spacing w:val="-4"/>
        </w:rPr>
        <w:t>其次，对于备用电源的连续供电时间，应根据建筑物的重要性和使用</w:t>
      </w:r>
      <w:r>
        <w:rPr>
          <w:spacing w:val="-14"/>
        </w:rPr>
        <w:t>功能来确定。例如，《建筑设计防火规范》中规定，对于建筑高度超</w:t>
      </w:r>
      <w:r>
        <w:rPr>
          <w:spacing w:val="-16"/>
        </w:rPr>
        <w:t xml:space="preserve">过 </w:t>
      </w:r>
      <w:r>
        <w:rPr>
          <w:spacing w:val="-4"/>
        </w:rPr>
        <w:t>100</w:t>
      </w:r>
      <w:r>
        <w:rPr>
          <w:spacing w:val="-16"/>
        </w:rPr>
        <w:t xml:space="preserve"> 米的民用建筑，其疏散照明和疏散指示标志的备用电源应能支</w:t>
      </w:r>
      <w:r>
        <w:rPr>
          <w:spacing w:val="-11"/>
        </w:rPr>
        <w:t xml:space="preserve">持至少 </w:t>
      </w:r>
      <w:r>
        <w:rPr>
          <w:spacing w:val="-4"/>
        </w:rPr>
        <w:t>1</w:t>
      </w:r>
      <w:r>
        <w:rPr>
          <w:spacing w:val="-11"/>
        </w:rPr>
        <w:t xml:space="preserve"> 小时；而对于其他民用建筑，则应能支持至少 </w:t>
      </w:r>
      <w:r>
        <w:rPr>
          <w:spacing w:val="-4"/>
        </w:rPr>
        <w:t>30</w:t>
      </w:r>
      <w:r>
        <w:rPr>
          <w:spacing w:val="-11"/>
        </w:rPr>
        <w:t xml:space="preserve"> 分钟。此</w:t>
      </w:r>
      <w:r>
        <w:rPr>
          <w:spacing w:val="-4"/>
        </w:rPr>
        <w:t>外，对于地下商业区和汽车库等场所，备用电源的连续供电时间不应</w:t>
      </w:r>
      <w:r>
        <w:rPr>
          <w:spacing w:val="-8"/>
        </w:rPr>
        <w:t xml:space="preserve">少于 </w:t>
      </w:r>
      <w:r>
        <w:t>30</w:t>
      </w:r>
      <w:r>
        <w:rPr>
          <w:spacing w:val="-6"/>
        </w:rPr>
        <w:t xml:space="preserve"> 分钟。</w:t>
      </w:r>
    </w:p>
    <w:p>
      <w:pPr>
        <w:pStyle w:val="BodyText"/>
        <w:spacing w:line="417" w:lineRule="auto"/>
        <w:ind w:right="238"/>
        <w:jc w:val="both"/>
      </w:pPr>
      <w:r>
        <w:rPr>
          <w:spacing w:val="-11"/>
        </w:rPr>
        <w:t xml:space="preserve">再者，应急照明配电箱或应急照明集中电源的输入电源应采用 </w:t>
      </w:r>
      <w:r>
        <w:t>3 根绝</w:t>
      </w:r>
      <w:r>
        <w:t xml:space="preserve"> </w:t>
      </w:r>
      <w:r>
        <w:rPr>
          <w:spacing w:val="-1"/>
        </w:rPr>
        <w:t>缘导线，其中一根应为相线，其余两根应为工作零线和保护接地线。</w:t>
      </w:r>
    </w:p>
    <w:p>
      <w:pPr>
        <w:spacing w:after="0" w:line="417" w:lineRule="auto"/>
        <w:jc w:val="both"/>
        <w:sectPr>
          <w:footerReference w:type="default" r:id="rId11"/>
          <w:type w:val="continuous"/>
          <w:pgSz w:w="11910" w:h="16840"/>
          <w:pgMar w:top="1400" w:right="1280" w:bottom="1380" w:left="1680" w:header="0" w:footer="1198"/>
          <w:pgNumType w:start="7"/>
          <w:cols w:space="708"/>
        </w:sectPr>
      </w:pPr>
    </w:p>
    <w:p>
      <w:pPr>
        <w:pStyle w:val="BodyText"/>
        <w:spacing w:before="37" w:line="417" w:lineRule="auto"/>
        <w:ind w:right="378"/>
      </w:pPr>
      <w:r>
        <w:rPr>
          <w:spacing w:val="-35"/>
        </w:rPr>
        <w:t xml:space="preserve">在 </w:t>
      </w:r>
      <w:r>
        <w:t>TN-S</w:t>
      </w:r>
      <w:r>
        <w:rPr>
          <w:spacing w:val="-23"/>
        </w:rPr>
        <w:t xml:space="preserve"> 系统中，工作零线应与保护接地线分开敷设；而在 </w:t>
      </w:r>
      <w:r>
        <w:t>TT</w:t>
      </w:r>
      <w:r>
        <w:rPr>
          <w:spacing w:val="-18"/>
        </w:rPr>
        <w:t xml:space="preserve"> 系统中，</w:t>
      </w:r>
      <w:r>
        <w:rPr>
          <w:spacing w:val="5"/>
        </w:rPr>
        <w:t>工作零线与保护接地线应在应急照明配电箱或应急照明集中电源处连接至接地装置。</w:t>
      </w:r>
    </w:p>
    <w:p>
      <w:pPr>
        <w:pStyle w:val="BodyText"/>
        <w:spacing w:line="417" w:lineRule="auto"/>
        <w:ind w:right="355"/>
      </w:pPr>
      <w:r>
        <w:rPr>
          <w:spacing w:val="-12"/>
        </w:rPr>
        <w:t>另外，应急照明配电箱或应急照明集中电源的输出回路不宜超过</w:t>
      </w:r>
      <w:r>
        <w:t>8</w:t>
      </w:r>
      <w:r>
        <w:rPr>
          <w:spacing w:val="-36"/>
        </w:rPr>
        <w:t xml:space="preserve"> 路，</w:t>
      </w:r>
      <w:r>
        <w:rPr>
          <w:spacing w:val="-2"/>
        </w:rPr>
        <w:t xml:space="preserve">且每个回路所接的灯具数量不宜超过 </w:t>
      </w:r>
      <w:r>
        <w:t>20</w:t>
      </w:r>
      <w:r>
        <w:rPr>
          <w:spacing w:val="-5"/>
        </w:rPr>
        <w:t xml:space="preserve"> 个。对于带有蓄电池的应急</w:t>
      </w:r>
      <w:r>
        <w:rPr>
          <w:spacing w:val="-2"/>
        </w:rPr>
        <w:t>灯具，其电源插头应采用专用插头，并应有防止意外拔脱的措施。</w:t>
      </w:r>
      <w:r>
        <w:rPr>
          <w:spacing w:val="40"/>
        </w:rPr>
        <w:t xml:space="preserve"> </w:t>
      </w:r>
      <w:r>
        <w:rPr>
          <w:spacing w:val="-2"/>
        </w:rPr>
        <w:t>最后，应急照明与疏散指示系统的控制与监测应符合以下要求：</w:t>
      </w:r>
    </w:p>
    <w:p>
      <w:pPr>
        <w:pStyle w:val="ListParagraph"/>
        <w:numPr>
          <w:ilvl w:val="0"/>
          <w:numId w:val="15"/>
        </w:numPr>
        <w:tabs>
          <w:tab w:val="left" w:pos="542"/>
        </w:tabs>
        <w:spacing w:before="0" w:after="0" w:line="417" w:lineRule="auto"/>
        <w:ind w:left="120" w:right="518" w:firstLine="0"/>
        <w:jc w:val="both"/>
        <w:rPr>
          <w:sz w:val="28"/>
        </w:rPr>
      </w:pPr>
      <w:r>
        <w:rPr>
          <w:spacing w:val="-2"/>
          <w:sz w:val="28"/>
        </w:rPr>
        <w:t>应急照明控制器应能自动接收来自火灾自动报警系统的火灾报警</w:t>
      </w:r>
      <w:r>
        <w:rPr>
          <w:spacing w:val="-13"/>
          <w:sz w:val="28"/>
        </w:rPr>
        <w:t>信号，并在确认火灾后控制相应的应急照明集中电源或应急照明配电</w:t>
      </w:r>
      <w:r>
        <w:rPr>
          <w:spacing w:val="-2"/>
          <w:sz w:val="28"/>
        </w:rPr>
        <w:t>箱转入应急状态。</w:t>
      </w:r>
    </w:p>
    <w:p>
      <w:pPr>
        <w:pStyle w:val="ListParagraph"/>
        <w:numPr>
          <w:ilvl w:val="0"/>
          <w:numId w:val="15"/>
        </w:numPr>
        <w:tabs>
          <w:tab w:val="left" w:pos="542"/>
        </w:tabs>
        <w:spacing w:before="0" w:after="0" w:line="417" w:lineRule="auto"/>
        <w:ind w:left="120" w:right="518" w:firstLine="0"/>
        <w:jc w:val="both"/>
        <w:rPr>
          <w:sz w:val="28"/>
        </w:rPr>
      </w:pPr>
      <w:r>
        <w:rPr>
          <w:spacing w:val="-2"/>
          <w:sz w:val="28"/>
        </w:rPr>
        <w:t>应急照明控制器应能手动控制应急照明集中电源或应急照明配电</w:t>
      </w:r>
      <w:r>
        <w:rPr>
          <w:spacing w:val="-2"/>
          <w:sz w:val="28"/>
        </w:rPr>
        <w:t>箱转入应急状态。</w:t>
      </w:r>
    </w:p>
    <w:p>
      <w:pPr>
        <w:pStyle w:val="ListParagraph"/>
        <w:numPr>
          <w:ilvl w:val="0"/>
          <w:numId w:val="15"/>
        </w:numPr>
        <w:tabs>
          <w:tab w:val="left" w:pos="542"/>
        </w:tabs>
        <w:spacing w:before="0" w:after="0" w:line="417" w:lineRule="auto"/>
        <w:ind w:left="120" w:right="518" w:firstLine="0"/>
        <w:jc w:val="both"/>
        <w:rPr>
          <w:sz w:val="28"/>
        </w:rPr>
      </w:pPr>
      <w:r>
        <w:rPr>
          <w:spacing w:val="-2"/>
          <w:sz w:val="28"/>
        </w:rPr>
        <w:t>应急照明控制器应能监测应急照明集中电源或应急照明配电箱的</w:t>
      </w:r>
      <w:r>
        <w:rPr>
          <w:spacing w:val="-2"/>
          <w:sz w:val="28"/>
        </w:rPr>
        <w:t>电源状态，并在电源故障时发出声光报警信号。</w:t>
      </w:r>
    </w:p>
    <w:p>
      <w:pPr>
        <w:pStyle w:val="ListParagraph"/>
        <w:numPr>
          <w:ilvl w:val="0"/>
          <w:numId w:val="15"/>
        </w:numPr>
        <w:tabs>
          <w:tab w:val="left" w:pos="542"/>
        </w:tabs>
        <w:spacing w:before="0" w:after="0" w:line="417" w:lineRule="auto"/>
        <w:ind w:left="120" w:right="518" w:firstLine="0"/>
        <w:jc w:val="both"/>
        <w:rPr>
          <w:sz w:val="28"/>
        </w:rPr>
      </w:pPr>
      <w:r>
        <w:rPr>
          <w:spacing w:val="-2"/>
          <w:sz w:val="28"/>
        </w:rPr>
        <w:t>应急照明控制器应能记录其控制的应急照明集中电源或应急照明</w:t>
      </w:r>
      <w:r>
        <w:rPr>
          <w:spacing w:val="-2"/>
          <w:sz w:val="28"/>
        </w:rPr>
        <w:t>配电箱的应急启动时间、复位时间和电源故障的时间。</w:t>
      </w:r>
    </w:p>
    <w:p>
      <w:pPr>
        <w:pStyle w:val="BodyText"/>
        <w:spacing w:line="417" w:lineRule="auto"/>
        <w:ind w:right="285"/>
      </w:pPr>
      <w:r>
        <w:rPr>
          <w:spacing w:val="-15"/>
        </w:rPr>
        <w:t>综上所述，应急照明与疏散指示系统的设计必须遵循严格的供电要求，</w:t>
      </w:r>
      <w:r>
        <w:rPr>
          <w:spacing w:val="-2"/>
        </w:rPr>
        <w:t>以确保在紧急情况下能够有效地引导人员疏散，保障生命安全。</w:t>
      </w:r>
    </w:p>
    <w:p>
      <w:pPr>
        <w:pStyle w:val="BodyText"/>
        <w:ind w:left="0"/>
      </w:pPr>
    </w:p>
    <w:p>
      <w:pPr>
        <w:pStyle w:val="Heading1"/>
        <w:tabs>
          <w:tab w:val="left" w:pos="1725"/>
        </w:tabs>
      </w:pPr>
      <w:bookmarkStart w:id="3" w:name="_TOC_250004"/>
      <w:r>
        <w:t>第</w:t>
      </w:r>
      <w:r>
        <w:t>四</w:t>
      </w:r>
      <w:r>
        <w:t>部</w:t>
      </w:r>
      <w:r>
        <w:rPr>
          <w:spacing w:val="-10"/>
        </w:rPr>
        <w:t>分</w:t>
      </w:r>
      <w:r>
        <w:tab/>
        <w:t>疏</w:t>
      </w:r>
      <w:r>
        <w:t>散</w:t>
      </w:r>
      <w:r>
        <w:t>路</w:t>
      </w:r>
      <w:r>
        <w:t>径</w:t>
      </w:r>
      <w:r>
        <w:t>照</w:t>
      </w:r>
      <w:r>
        <w:t>明</w:t>
      </w:r>
      <w:r>
        <w:t>设</w:t>
      </w:r>
      <w:r>
        <w:t>计</w:t>
      </w:r>
      <w:r>
        <w:t>要</w:t>
      </w:r>
      <w:bookmarkEnd w:id="3"/>
      <w:r>
        <w:rPr>
          <w:spacing w:val="-10"/>
        </w:rPr>
        <w:t>点</w:t>
      </w:r>
    </w:p>
    <w:p>
      <w:pPr>
        <w:pStyle w:val="BodyText"/>
        <w:spacing w:before="15" w:after="1"/>
        <w:ind w:left="0"/>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2"/>
        <w:gridCol w:w="552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2" w:type="dxa"/>
          </w:tcPr>
          <w:p>
            <w:pPr>
              <w:pStyle w:val="TableParagraph"/>
              <w:spacing w:before="23"/>
              <w:rPr>
                <w:sz w:val="21"/>
              </w:rPr>
            </w:pPr>
            <w:r>
              <w:rPr>
                <w:spacing w:val="-4"/>
                <w:sz w:val="21"/>
              </w:rPr>
              <w:t>关键词</w:t>
            </w:r>
          </w:p>
        </w:tc>
        <w:tc>
          <w:tcPr>
            <w:tcW w:w="5524"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624"/>
          <w:jc w:val="left"/>
        </w:trPr>
        <w:tc>
          <w:tcPr>
            <w:tcW w:w="2772" w:type="dxa"/>
          </w:tcPr>
          <w:p>
            <w:pPr>
              <w:pStyle w:val="TableParagraph"/>
              <w:spacing w:before="23"/>
              <w:ind w:right="-29"/>
              <w:rPr>
                <w:sz w:val="21"/>
              </w:rPr>
            </w:pPr>
            <w:r>
              <w:rPr>
                <w:spacing w:val="-6"/>
                <w:sz w:val="21"/>
              </w:rPr>
              <w:t>【疏散路径照明设计要点】：</w:t>
            </w:r>
          </w:p>
        </w:tc>
        <w:tc>
          <w:tcPr>
            <w:tcW w:w="5524" w:type="dxa"/>
          </w:tcPr>
          <w:p>
            <w:pPr>
              <w:pStyle w:val="TableParagraph"/>
              <w:spacing w:before="4"/>
              <w:ind w:left="0"/>
              <w:rPr>
                <w:rFonts w:ascii="Microsoft JhengHei"/>
                <w:b/>
                <w:sz w:val="18"/>
              </w:rPr>
            </w:pPr>
          </w:p>
          <w:p>
            <w:pPr>
              <w:pStyle w:val="TableParagraph"/>
              <w:rPr>
                <w:sz w:val="21"/>
              </w:rPr>
            </w:pPr>
            <w:r>
              <w:rPr>
                <w:rFonts w:ascii="Times New Roman" w:eastAsia="Times New Roman"/>
                <w:sz w:val="21"/>
              </w:rPr>
              <w:t>1.</w:t>
            </w:r>
            <w:r>
              <w:rPr>
                <w:rFonts w:ascii="Times New Roman" w:eastAsia="Times New Roman"/>
                <w:spacing w:val="52"/>
                <w:sz w:val="21"/>
              </w:rPr>
              <w:t xml:space="preserve"> </w:t>
            </w:r>
            <w:r>
              <w:rPr>
                <w:spacing w:val="-1"/>
                <w:sz w:val="21"/>
              </w:rPr>
              <w:t>亮度标准：疏散路径照明的亮度应满足国家相关安全标</w:t>
            </w:r>
          </w:p>
        </w:tc>
      </w:tr>
    </w:tbl>
    <w:p>
      <w:pPr>
        <w:spacing w:after="0"/>
        <w:rPr>
          <w:sz w:val="21"/>
        </w:rPr>
        <w:sectPr>
          <w:footerReference w:type="default" r:id="rId12"/>
          <w:pgSz w:w="11910" w:h="16840"/>
          <w:pgMar w:top="1520" w:right="1280" w:bottom="1380" w:left="1680" w:header="0" w:footer="1198"/>
          <w:pgNumType w:start="8"/>
          <w:cols w:space="708"/>
        </w:sect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2"/>
        <w:gridCol w:w="552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07"/>
          <w:jc w:val="left"/>
        </w:trPr>
        <w:tc>
          <w:tcPr>
            <w:tcW w:w="2772" w:type="dxa"/>
          </w:tcPr>
          <w:p>
            <w:pPr>
              <w:pStyle w:val="TableParagraph"/>
              <w:ind w:left="0"/>
              <w:rPr>
                <w:rFonts w:ascii="Times New Roman"/>
                <w:sz w:val="24"/>
              </w:rPr>
            </w:pPr>
          </w:p>
        </w:tc>
        <w:tc>
          <w:tcPr>
            <w:tcW w:w="5524" w:type="dxa"/>
          </w:tcPr>
          <w:p>
            <w:pPr>
              <w:pStyle w:val="TableParagraph"/>
              <w:spacing w:before="23" w:line="278" w:lineRule="auto"/>
              <w:ind w:right="96"/>
              <w:jc w:val="both"/>
              <w:rPr>
                <w:sz w:val="21"/>
              </w:rPr>
            </w:pPr>
            <w:r>
              <w:rPr>
                <w:spacing w:val="-7"/>
                <w:sz w:val="21"/>
              </w:rPr>
              <w:t xml:space="preserve">准，如 </w:t>
            </w:r>
            <w:r>
              <w:rPr>
                <w:rFonts w:ascii="Times New Roman" w:eastAsia="Times New Roman"/>
                <w:sz w:val="21"/>
              </w:rPr>
              <w:t>GB50034-2013</w:t>
            </w:r>
            <w:r>
              <w:rPr>
                <w:spacing w:val="-10"/>
                <w:sz w:val="21"/>
              </w:rPr>
              <w:t>《建筑照明设计标准》，确保在紧急</w:t>
            </w:r>
            <w:r>
              <w:rPr>
                <w:spacing w:val="-2"/>
                <w:sz w:val="21"/>
              </w:rPr>
              <w:t>情况下人员能迅速识别并沿疏散路径行动。</w:t>
            </w:r>
          </w:p>
          <w:p>
            <w:pPr>
              <w:pStyle w:val="TableParagraph"/>
              <w:numPr>
                <w:ilvl w:val="0"/>
                <w:numId w:val="14"/>
              </w:numPr>
              <w:tabs>
                <w:tab w:val="left" w:pos="371"/>
              </w:tabs>
              <w:spacing w:before="0" w:after="0" w:line="278" w:lineRule="auto"/>
              <w:ind w:left="108" w:right="96" w:firstLine="0"/>
              <w:jc w:val="both"/>
              <w:rPr>
                <w:sz w:val="21"/>
              </w:rPr>
            </w:pPr>
            <w:r>
              <w:rPr>
                <w:spacing w:val="-2"/>
                <w:sz w:val="21"/>
              </w:rPr>
              <w:t>均匀度：疏散路径上的照明应保持均匀，避免产生过亮</w:t>
            </w:r>
            <w:r>
              <w:rPr>
                <w:spacing w:val="-2"/>
                <w:sz w:val="21"/>
              </w:rPr>
              <w:t>或过暗的区域，以减少视觉障碍并提高疏散效率。</w:t>
            </w:r>
          </w:p>
          <w:p>
            <w:pPr>
              <w:pStyle w:val="TableParagraph"/>
              <w:numPr>
                <w:ilvl w:val="0"/>
                <w:numId w:val="14"/>
              </w:numPr>
              <w:tabs>
                <w:tab w:val="left" w:pos="371"/>
              </w:tabs>
              <w:spacing w:before="0" w:after="0" w:line="278" w:lineRule="auto"/>
              <w:ind w:left="108" w:right="96" w:firstLine="0"/>
              <w:jc w:val="both"/>
              <w:rPr>
                <w:sz w:val="21"/>
              </w:rPr>
            </w:pPr>
            <w:r>
              <w:rPr>
                <w:spacing w:val="-2"/>
                <w:sz w:val="21"/>
              </w:rPr>
              <w:t>持续供电：在正常电源失效时，疏散路径照明应具备备</w:t>
            </w:r>
            <w:r>
              <w:rPr>
                <w:sz w:val="21"/>
              </w:rPr>
              <w:t>用电源（如蓄电池</w:t>
            </w:r>
            <w:r>
              <w:rPr>
                <w:spacing w:val="-103"/>
                <w:sz w:val="21"/>
              </w:rPr>
              <w:t>）</w:t>
            </w:r>
            <w:r>
              <w:rPr>
                <w:spacing w:val="-5"/>
                <w:sz w:val="21"/>
              </w:rPr>
              <w:t xml:space="preserve">，保证至少 </w:t>
            </w:r>
            <w:r>
              <w:rPr>
                <w:rFonts w:ascii="Times New Roman" w:eastAsia="Times New Roman"/>
                <w:sz w:val="21"/>
              </w:rPr>
              <w:t>90</w:t>
            </w:r>
            <w:r>
              <w:rPr>
                <w:rFonts w:ascii="Times New Roman" w:eastAsia="Times New Roman"/>
                <w:spacing w:val="-10"/>
                <w:sz w:val="21"/>
              </w:rPr>
              <w:t xml:space="preserve"> </w:t>
            </w:r>
            <w:r>
              <w:rPr>
                <w:sz w:val="21"/>
              </w:rPr>
              <w:t>分钟的持续供电能力，</w:t>
            </w:r>
            <w:r>
              <w:rPr>
                <w:spacing w:val="-2"/>
                <w:sz w:val="21"/>
              </w:rPr>
              <w:t>以满足疏散需求。</w:t>
            </w:r>
          </w:p>
          <w:p>
            <w:pPr>
              <w:pStyle w:val="TableParagraph"/>
              <w:spacing w:line="269" w:lineRule="exact"/>
              <w:rPr>
                <w:sz w:val="21"/>
              </w:rPr>
            </w:pPr>
            <w:r>
              <w:rPr>
                <w:spacing w:val="-1"/>
                <w:sz w:val="21"/>
              </w:rPr>
              <w:t>【疏散路径照明布局】：</w:t>
            </w:r>
          </w:p>
        </w:tc>
      </w:tr>
    </w:tbl>
    <w:p>
      <w:pPr>
        <w:pStyle w:val="BodyText"/>
        <w:spacing w:before="5"/>
        <w:ind w:left="0"/>
        <w:rPr>
          <w:rFonts w:ascii="Microsoft JhengHei"/>
          <w:b/>
          <w:sz w:val="5"/>
        </w:rPr>
      </w:pPr>
    </w:p>
    <w:p>
      <w:pPr>
        <w:pStyle w:val="BodyText"/>
        <w:spacing w:before="61" w:line="417" w:lineRule="auto"/>
        <w:ind w:left="260" w:right="4905" w:firstLine="420"/>
        <w:jc w:val="both"/>
      </w:pPr>
      <w:r>
        <w:rPr>
          <w:spacing w:val="-6"/>
        </w:rPr>
        <w:t># 应急照明与疏散指示设计</w:t>
      </w:r>
      <w:r>
        <w:rPr>
          <w:spacing w:val="-2"/>
        </w:rPr>
        <w:t>疏散路径照明设计要点</w:t>
      </w:r>
    </w:p>
    <w:p>
      <w:pPr>
        <w:pStyle w:val="BodyText"/>
        <w:spacing w:line="358" w:lineRule="exact"/>
        <w:jc w:val="both"/>
      </w:pPr>
      <w:r>
        <w:rPr>
          <w:spacing w:val="-3"/>
        </w:rPr>
        <w:t># 引言</w:t>
      </w:r>
    </w:p>
    <w:p>
      <w:pPr>
        <w:pStyle w:val="BodyText"/>
        <w:spacing w:before="8"/>
        <w:ind w:left="0"/>
        <w:rPr>
          <w:sz w:val="20"/>
        </w:rPr>
      </w:pPr>
    </w:p>
    <w:p>
      <w:pPr>
        <w:pStyle w:val="BodyText"/>
        <w:spacing w:before="1" w:line="417" w:lineRule="auto"/>
        <w:ind w:right="518"/>
        <w:jc w:val="both"/>
      </w:pPr>
      <w:r>
        <w:rPr>
          <w:spacing w:val="-4"/>
        </w:rPr>
        <w:t>在紧急情况下，确保人员安全疏散是建筑设计中的关键要素。疏散路</w:t>
      </w:r>
      <w:r>
        <w:rPr>
          <w:spacing w:val="-2"/>
        </w:rPr>
        <w:t>径照明设计对于指导人们在黑暗中快速识别并沿正确路线撤离至关</w:t>
      </w:r>
      <w:r>
        <w:rPr>
          <w:spacing w:val="-4"/>
        </w:rPr>
        <w:t>重要。本文将探讨疏散路径照明设计的关键要点，以确保其满足功能</w:t>
      </w:r>
      <w:r>
        <w:rPr>
          <w:spacing w:val="-2"/>
        </w:rPr>
        <w:t>性和安全性要求。</w:t>
      </w:r>
    </w:p>
    <w:p>
      <w:pPr>
        <w:pStyle w:val="BodyText"/>
        <w:spacing w:line="358" w:lineRule="exact"/>
        <w:jc w:val="both"/>
      </w:pPr>
      <w:r>
        <w:rPr>
          <w:spacing w:val="-1"/>
        </w:rPr>
        <w:t># 疏散路径照明的功能性要求</w:t>
      </w:r>
    </w:p>
    <w:p>
      <w:pPr>
        <w:pStyle w:val="BodyText"/>
        <w:spacing w:before="8"/>
        <w:ind w:left="0"/>
        <w:rPr>
          <w:sz w:val="20"/>
        </w:rPr>
      </w:pPr>
    </w:p>
    <w:p>
      <w:pPr>
        <w:pStyle w:val="ListParagraph"/>
        <w:numPr>
          <w:ilvl w:val="1"/>
          <w:numId w:val="15"/>
        </w:numPr>
        <w:tabs>
          <w:tab w:val="left" w:pos="680"/>
        </w:tabs>
        <w:spacing w:before="1" w:after="0" w:line="240" w:lineRule="auto"/>
        <w:ind w:left="680" w:right="0" w:hanging="420"/>
        <w:jc w:val="both"/>
        <w:rPr>
          <w:sz w:val="28"/>
        </w:rPr>
      </w:pPr>
      <w:r>
        <w:rPr>
          <w:spacing w:val="-3"/>
          <w:sz w:val="28"/>
        </w:rPr>
        <w:t>亮度标准</w:t>
      </w:r>
    </w:p>
    <w:p>
      <w:pPr>
        <w:pStyle w:val="BodyText"/>
        <w:spacing w:before="8"/>
        <w:ind w:left="0"/>
        <w:rPr>
          <w:sz w:val="20"/>
        </w:rPr>
      </w:pPr>
    </w:p>
    <w:p>
      <w:pPr>
        <w:pStyle w:val="BodyText"/>
        <w:spacing w:before="1" w:line="417" w:lineRule="auto"/>
        <w:ind w:right="518"/>
        <w:jc w:val="both"/>
      </w:pPr>
      <w:r>
        <w:rPr>
          <w:spacing w:val="27"/>
        </w:rPr>
        <w:t xml:space="preserve">疏散路径的亮度应至少为正常环境亮度的 </w:t>
      </w:r>
      <w:r>
        <w:t>10%</w:t>
      </w:r>
      <w:r>
        <w:rPr>
          <w:spacing w:val="26"/>
        </w:rPr>
        <w:t>。根据国家标准</w:t>
      </w:r>
      <w:r>
        <w:t xml:space="preserve"> </w:t>
      </w:r>
      <w:r>
        <w:rPr>
          <w:spacing w:val="-2"/>
        </w:rPr>
        <w:t>GB50034-2013</w:t>
      </w:r>
      <w:r>
        <w:rPr>
          <w:spacing w:val="-14"/>
        </w:rPr>
        <w:t>《建筑照明设计标准》，疏散路径地面上的水平照度不</w:t>
      </w:r>
      <w:r>
        <w:t>应低于 5lux。该标准确保了即使在紧急情况下，人们也能清晰地看</w:t>
      </w:r>
      <w:r>
        <w:rPr>
          <w:spacing w:val="-2"/>
        </w:rPr>
        <w:t>到周围环境及疏散路径。</w:t>
      </w:r>
    </w:p>
    <w:p>
      <w:pPr>
        <w:pStyle w:val="ListParagraph"/>
        <w:numPr>
          <w:ilvl w:val="1"/>
          <w:numId w:val="15"/>
        </w:numPr>
        <w:tabs>
          <w:tab w:val="left" w:pos="680"/>
        </w:tabs>
        <w:spacing w:before="0" w:after="0" w:line="358" w:lineRule="exact"/>
        <w:ind w:left="680" w:right="0" w:hanging="420"/>
        <w:jc w:val="both"/>
        <w:rPr>
          <w:sz w:val="28"/>
        </w:rPr>
      </w:pPr>
      <w:r>
        <w:rPr>
          <w:spacing w:val="-4"/>
          <w:sz w:val="28"/>
        </w:rPr>
        <w:t>均匀性</w:t>
      </w:r>
    </w:p>
    <w:p>
      <w:pPr>
        <w:pStyle w:val="BodyText"/>
        <w:spacing w:before="8"/>
        <w:ind w:left="0"/>
        <w:rPr>
          <w:sz w:val="20"/>
        </w:rPr>
      </w:pPr>
    </w:p>
    <w:p>
      <w:pPr>
        <w:pStyle w:val="BodyText"/>
        <w:spacing w:before="1" w:line="417" w:lineRule="auto"/>
        <w:ind w:right="518"/>
        <w:jc w:val="both"/>
      </w:pPr>
      <w:r>
        <w:rPr>
          <w:spacing w:val="-4"/>
        </w:rPr>
        <w:t>疏散路径的照明应保持均匀，避免产生过暗或过亮的区域。这有助于</w:t>
      </w:r>
      <w:r>
        <w:rPr>
          <w:spacing w:val="-4"/>
        </w:rPr>
        <w:t>减少视觉障碍，确保人员能够平稳地移动。通常建议照度均匀度不低</w:t>
      </w:r>
      <w:r>
        <w:rPr>
          <w:spacing w:val="-21"/>
        </w:rPr>
        <w:t xml:space="preserve">于 </w:t>
      </w:r>
      <w:r>
        <w:t>0.5，即最暗区域的照度不低于平均照度的一半。</w:t>
      </w:r>
    </w:p>
    <w:p>
      <w:pPr>
        <w:pStyle w:val="ListParagraph"/>
        <w:numPr>
          <w:ilvl w:val="1"/>
          <w:numId w:val="15"/>
        </w:numPr>
        <w:tabs>
          <w:tab w:val="left" w:pos="680"/>
        </w:tabs>
        <w:spacing w:before="0" w:after="0" w:line="358" w:lineRule="exact"/>
        <w:ind w:left="680" w:right="0" w:hanging="420"/>
        <w:jc w:val="both"/>
        <w:rPr>
          <w:sz w:val="28"/>
        </w:rPr>
      </w:pPr>
      <w:r>
        <w:rPr>
          <w:spacing w:val="-4"/>
          <w:sz w:val="28"/>
        </w:rPr>
        <w:t>持续性</w:t>
      </w:r>
    </w:p>
    <w:p>
      <w:pPr>
        <w:spacing w:after="0" w:line="358" w:lineRule="exact"/>
        <w:jc w:val="both"/>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3" w:history="1">
        <w:r>
          <w:rPr>
            <w:rFonts w:ascii="SimSun" w:eastAsia="SimSun" w:hAnsi="SimSun" w:cs="SimSun"/>
            <w:b/>
            <w:bCs/>
            <w:color w:val="0000EE"/>
            <w:sz w:val="30"/>
            <w:szCs w:val="30"/>
            <w:u w:val="single" w:color="0000EE"/>
          </w:rPr>
          <w:t>https://d.book118.com/008030057066006043</w:t>
        </w:r>
      </w:hyperlink>
    </w:p>
    <w:p>
      <w:pPr>
        <w:spacing w:after="0" w:line="358" w:lineRule="exact"/>
        <w:jc w:val="both"/>
        <w:rPr>
          <w:sz w:val="28"/>
        </w:rPr>
      </w:pPr>
    </w:p>
    <w:sectPr>
      <w:footerReference w:type="default" r:id="rId14"/>
      <w:type w:val="continuous"/>
      <w:pgSz w:w="11910" w:h="16840"/>
      <w:pgMar w:top="1400" w:right="1280" w:bottom="1380" w:left="1680" w:header="0" w:footer="1198"/>
      <w:pgNumType w:start="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10</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8F9EA5"/>
    <w:multiLevelType w:val="hybridMultilevel"/>
    <w:tmpl w:val="00000000"/>
    <w:lvl w:ilvl="0">
      <w:start w:val="1"/>
      <w:numFmt w:val="decimal"/>
      <w:lvlText w:val="%1."/>
      <w:lvlJc w:val="left"/>
      <w:pPr>
        <w:ind w:left="120" w:hanging="425"/>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5"/>
      </w:pPr>
      <w:rPr>
        <w:rFonts w:hint="default"/>
        <w:lang w:val="en-US" w:eastAsia="zh-CN" w:bidi="ar-SA"/>
      </w:rPr>
    </w:lvl>
    <w:lvl w:ilvl="2">
      <w:start w:val="0"/>
      <w:numFmt w:val="bullet"/>
      <w:lvlText w:val="•"/>
      <w:lvlJc w:val="left"/>
      <w:pPr>
        <w:ind w:left="1885" w:hanging="425"/>
      </w:pPr>
      <w:rPr>
        <w:rFonts w:hint="default"/>
        <w:lang w:val="en-US" w:eastAsia="zh-CN" w:bidi="ar-SA"/>
      </w:rPr>
    </w:lvl>
    <w:lvl w:ilvl="3">
      <w:start w:val="0"/>
      <w:numFmt w:val="bullet"/>
      <w:lvlText w:val="•"/>
      <w:lvlJc w:val="left"/>
      <w:pPr>
        <w:ind w:left="2767" w:hanging="425"/>
      </w:pPr>
      <w:rPr>
        <w:rFonts w:hint="default"/>
        <w:lang w:val="en-US" w:eastAsia="zh-CN" w:bidi="ar-SA"/>
      </w:rPr>
    </w:lvl>
    <w:lvl w:ilvl="4">
      <w:start w:val="0"/>
      <w:numFmt w:val="bullet"/>
      <w:lvlText w:val="•"/>
      <w:lvlJc w:val="left"/>
      <w:pPr>
        <w:ind w:left="3650" w:hanging="425"/>
      </w:pPr>
      <w:rPr>
        <w:rFonts w:hint="default"/>
        <w:lang w:val="en-US" w:eastAsia="zh-CN" w:bidi="ar-SA"/>
      </w:rPr>
    </w:lvl>
    <w:lvl w:ilvl="5">
      <w:start w:val="0"/>
      <w:numFmt w:val="bullet"/>
      <w:lvlText w:val="•"/>
      <w:lvlJc w:val="left"/>
      <w:pPr>
        <w:ind w:left="4533" w:hanging="425"/>
      </w:pPr>
      <w:rPr>
        <w:rFonts w:hint="default"/>
        <w:lang w:val="en-US" w:eastAsia="zh-CN" w:bidi="ar-SA"/>
      </w:rPr>
    </w:lvl>
    <w:lvl w:ilvl="6">
      <w:start w:val="0"/>
      <w:numFmt w:val="bullet"/>
      <w:lvlText w:val="•"/>
      <w:lvlJc w:val="left"/>
      <w:pPr>
        <w:ind w:left="5415" w:hanging="425"/>
      </w:pPr>
      <w:rPr>
        <w:rFonts w:hint="default"/>
        <w:lang w:val="en-US" w:eastAsia="zh-CN" w:bidi="ar-SA"/>
      </w:rPr>
    </w:lvl>
    <w:lvl w:ilvl="7">
      <w:start w:val="0"/>
      <w:numFmt w:val="bullet"/>
      <w:lvlText w:val="•"/>
      <w:lvlJc w:val="left"/>
      <w:pPr>
        <w:ind w:left="6298" w:hanging="425"/>
      </w:pPr>
      <w:rPr>
        <w:rFonts w:hint="default"/>
        <w:lang w:val="en-US" w:eastAsia="zh-CN" w:bidi="ar-SA"/>
      </w:rPr>
    </w:lvl>
    <w:lvl w:ilvl="8">
      <w:start w:val="0"/>
      <w:numFmt w:val="bullet"/>
      <w:lvlText w:val="•"/>
      <w:lvlJc w:val="left"/>
      <w:pPr>
        <w:ind w:left="7180" w:hanging="425"/>
      </w:pPr>
      <w:rPr>
        <w:rFonts w:hint="default"/>
        <w:lang w:val="en-US" w:eastAsia="zh-CN" w:bidi="ar-SA"/>
      </w:rPr>
    </w:lvl>
  </w:abstractNum>
  <w:abstractNum w:abstractNumId="1">
    <w:nsid w:val="02FBA5C2"/>
    <w:multiLevelType w:val="hybridMultilevel"/>
    <w:tmpl w:val="00000000"/>
    <w:lvl w:ilvl="0">
      <w:start w:val="1"/>
      <w:numFmt w:val="decimal"/>
      <w:lvlText w:val="%1."/>
      <w:lvlJc w:val="left"/>
      <w:pPr>
        <w:ind w:left="68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506" w:hanging="420"/>
      </w:pPr>
      <w:rPr>
        <w:rFonts w:hint="default"/>
        <w:lang w:val="en-US" w:eastAsia="zh-CN" w:bidi="ar-SA"/>
      </w:rPr>
    </w:lvl>
    <w:lvl w:ilvl="2">
      <w:start w:val="0"/>
      <w:numFmt w:val="bullet"/>
      <w:lvlText w:val="•"/>
      <w:lvlJc w:val="left"/>
      <w:pPr>
        <w:ind w:left="2333" w:hanging="420"/>
      </w:pPr>
      <w:rPr>
        <w:rFonts w:hint="default"/>
        <w:lang w:val="en-US" w:eastAsia="zh-CN" w:bidi="ar-SA"/>
      </w:rPr>
    </w:lvl>
    <w:lvl w:ilvl="3">
      <w:start w:val="0"/>
      <w:numFmt w:val="bullet"/>
      <w:lvlText w:val="•"/>
      <w:lvlJc w:val="left"/>
      <w:pPr>
        <w:ind w:left="3159" w:hanging="420"/>
      </w:pPr>
      <w:rPr>
        <w:rFonts w:hint="default"/>
        <w:lang w:val="en-US" w:eastAsia="zh-CN" w:bidi="ar-SA"/>
      </w:rPr>
    </w:lvl>
    <w:lvl w:ilvl="4">
      <w:start w:val="0"/>
      <w:numFmt w:val="bullet"/>
      <w:lvlText w:val="•"/>
      <w:lvlJc w:val="left"/>
      <w:pPr>
        <w:ind w:left="3986" w:hanging="420"/>
      </w:pPr>
      <w:rPr>
        <w:rFonts w:hint="default"/>
        <w:lang w:val="en-US" w:eastAsia="zh-CN" w:bidi="ar-SA"/>
      </w:rPr>
    </w:lvl>
    <w:lvl w:ilvl="5">
      <w:start w:val="0"/>
      <w:numFmt w:val="bullet"/>
      <w:lvlText w:val="•"/>
      <w:lvlJc w:val="left"/>
      <w:pPr>
        <w:ind w:left="4813" w:hanging="420"/>
      </w:pPr>
      <w:rPr>
        <w:rFonts w:hint="default"/>
        <w:lang w:val="en-US" w:eastAsia="zh-CN" w:bidi="ar-SA"/>
      </w:rPr>
    </w:lvl>
    <w:lvl w:ilvl="6">
      <w:start w:val="0"/>
      <w:numFmt w:val="bullet"/>
      <w:lvlText w:val="•"/>
      <w:lvlJc w:val="left"/>
      <w:pPr>
        <w:ind w:left="5639" w:hanging="420"/>
      </w:pPr>
      <w:rPr>
        <w:rFonts w:hint="default"/>
        <w:lang w:val="en-US" w:eastAsia="zh-CN" w:bidi="ar-SA"/>
      </w:rPr>
    </w:lvl>
    <w:lvl w:ilvl="7">
      <w:start w:val="0"/>
      <w:numFmt w:val="bullet"/>
      <w:lvlText w:val="•"/>
      <w:lvlJc w:val="left"/>
      <w:pPr>
        <w:ind w:left="6466" w:hanging="420"/>
      </w:pPr>
      <w:rPr>
        <w:rFonts w:hint="default"/>
        <w:lang w:val="en-US" w:eastAsia="zh-CN" w:bidi="ar-SA"/>
      </w:rPr>
    </w:lvl>
    <w:lvl w:ilvl="8">
      <w:start w:val="0"/>
      <w:numFmt w:val="bullet"/>
      <w:lvlText w:val="•"/>
      <w:lvlJc w:val="left"/>
      <w:pPr>
        <w:ind w:left="7292" w:hanging="420"/>
      </w:pPr>
      <w:rPr>
        <w:rFonts w:hint="default"/>
        <w:lang w:val="en-US" w:eastAsia="zh-CN" w:bidi="ar-SA"/>
      </w:rPr>
    </w:lvl>
  </w:abstractNum>
  <w:abstractNum w:abstractNumId="2">
    <w:nsid w:val="07E67C1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3">
    <w:nsid w:val="1473F454"/>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8" w:hanging="263"/>
      </w:pPr>
      <w:rPr>
        <w:rFonts w:hint="default"/>
        <w:lang w:val="en-US" w:eastAsia="zh-CN" w:bidi="ar-SA"/>
      </w:rPr>
    </w:lvl>
    <w:lvl w:ilvl="8">
      <w:start w:val="0"/>
      <w:numFmt w:val="bullet"/>
      <w:lvlText w:val="•"/>
      <w:lvlJc w:val="left"/>
      <w:pPr>
        <w:ind w:left="4429" w:hanging="263"/>
      </w:pPr>
      <w:rPr>
        <w:rFonts w:hint="default"/>
        <w:lang w:val="en-US" w:eastAsia="zh-CN" w:bidi="ar-SA"/>
      </w:rPr>
    </w:lvl>
  </w:abstractNum>
  <w:abstractNum w:abstractNumId="4">
    <w:nsid w:val="15A3A28E"/>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1"/>
      <w:numFmt w:val="decimal"/>
      <w:lvlText w:val="%2."/>
      <w:lvlJc w:val="left"/>
      <w:pPr>
        <w:ind w:left="680" w:hanging="420"/>
        <w:jc w:val="left"/>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598" w:hanging="420"/>
      </w:pPr>
      <w:rPr>
        <w:rFonts w:hint="default"/>
        <w:lang w:val="en-US" w:eastAsia="zh-CN" w:bidi="ar-SA"/>
      </w:rPr>
    </w:lvl>
    <w:lvl w:ilvl="3">
      <w:start w:val="0"/>
      <w:numFmt w:val="bullet"/>
      <w:lvlText w:val="•"/>
      <w:lvlJc w:val="left"/>
      <w:pPr>
        <w:ind w:left="2516" w:hanging="420"/>
      </w:pPr>
      <w:rPr>
        <w:rFonts w:hint="default"/>
        <w:lang w:val="en-US" w:eastAsia="zh-CN" w:bidi="ar-SA"/>
      </w:rPr>
    </w:lvl>
    <w:lvl w:ilvl="4">
      <w:start w:val="0"/>
      <w:numFmt w:val="bullet"/>
      <w:lvlText w:val="•"/>
      <w:lvlJc w:val="left"/>
      <w:pPr>
        <w:ind w:left="3435" w:hanging="420"/>
      </w:pPr>
      <w:rPr>
        <w:rFonts w:hint="default"/>
        <w:lang w:val="en-US" w:eastAsia="zh-CN" w:bidi="ar-SA"/>
      </w:rPr>
    </w:lvl>
    <w:lvl w:ilvl="5">
      <w:start w:val="0"/>
      <w:numFmt w:val="bullet"/>
      <w:lvlText w:val="•"/>
      <w:lvlJc w:val="left"/>
      <w:pPr>
        <w:ind w:left="4353" w:hanging="420"/>
      </w:pPr>
      <w:rPr>
        <w:rFonts w:hint="default"/>
        <w:lang w:val="en-US" w:eastAsia="zh-CN" w:bidi="ar-SA"/>
      </w:rPr>
    </w:lvl>
    <w:lvl w:ilvl="6">
      <w:start w:val="0"/>
      <w:numFmt w:val="bullet"/>
      <w:lvlText w:val="•"/>
      <w:lvlJc w:val="left"/>
      <w:pPr>
        <w:ind w:left="5272" w:hanging="420"/>
      </w:pPr>
      <w:rPr>
        <w:rFonts w:hint="default"/>
        <w:lang w:val="en-US" w:eastAsia="zh-CN" w:bidi="ar-SA"/>
      </w:rPr>
    </w:lvl>
    <w:lvl w:ilvl="7">
      <w:start w:val="0"/>
      <w:numFmt w:val="bullet"/>
      <w:lvlText w:val="•"/>
      <w:lvlJc w:val="left"/>
      <w:pPr>
        <w:ind w:left="6190" w:hanging="420"/>
      </w:pPr>
      <w:rPr>
        <w:rFonts w:hint="default"/>
        <w:lang w:val="en-US" w:eastAsia="zh-CN" w:bidi="ar-SA"/>
      </w:rPr>
    </w:lvl>
    <w:lvl w:ilvl="8">
      <w:start w:val="0"/>
      <w:numFmt w:val="bullet"/>
      <w:lvlText w:val="•"/>
      <w:lvlJc w:val="left"/>
      <w:pPr>
        <w:ind w:left="7109" w:hanging="420"/>
      </w:pPr>
      <w:rPr>
        <w:rFonts w:hint="default"/>
        <w:lang w:val="en-US" w:eastAsia="zh-CN" w:bidi="ar-SA"/>
      </w:rPr>
    </w:lvl>
  </w:abstractNum>
  <w:abstractNum w:abstractNumId="5">
    <w:nsid w:val="175C04A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6">
    <w:nsid w:val="1970DB24"/>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7">
    <w:nsid w:val="1DCBA8B0"/>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2"/>
      </w:pPr>
      <w:rPr>
        <w:rFonts w:hint="default"/>
        <w:lang w:val="en-US" w:eastAsia="zh-CN" w:bidi="ar-SA"/>
      </w:rPr>
    </w:lvl>
    <w:lvl w:ilvl="2">
      <w:start w:val="0"/>
      <w:numFmt w:val="bullet"/>
      <w:lvlText w:val="•"/>
      <w:lvlJc w:val="left"/>
      <w:pPr>
        <w:ind w:left="2221" w:hanging="422"/>
      </w:pPr>
      <w:rPr>
        <w:rFonts w:hint="default"/>
        <w:lang w:val="en-US" w:eastAsia="zh-CN" w:bidi="ar-SA"/>
      </w:rPr>
    </w:lvl>
    <w:lvl w:ilvl="3">
      <w:start w:val="0"/>
      <w:numFmt w:val="bullet"/>
      <w:lvlText w:val="•"/>
      <w:lvlJc w:val="left"/>
      <w:pPr>
        <w:ind w:left="3061" w:hanging="422"/>
      </w:pPr>
      <w:rPr>
        <w:rFonts w:hint="default"/>
        <w:lang w:val="en-US" w:eastAsia="zh-CN" w:bidi="ar-SA"/>
      </w:rPr>
    </w:lvl>
    <w:lvl w:ilvl="4">
      <w:start w:val="0"/>
      <w:numFmt w:val="bullet"/>
      <w:lvlText w:val="•"/>
      <w:lvlJc w:val="left"/>
      <w:pPr>
        <w:ind w:left="3902" w:hanging="422"/>
      </w:pPr>
      <w:rPr>
        <w:rFonts w:hint="default"/>
        <w:lang w:val="en-US" w:eastAsia="zh-CN" w:bidi="ar-SA"/>
      </w:rPr>
    </w:lvl>
    <w:lvl w:ilvl="5">
      <w:start w:val="0"/>
      <w:numFmt w:val="bullet"/>
      <w:lvlText w:val="•"/>
      <w:lvlJc w:val="left"/>
      <w:pPr>
        <w:ind w:left="4743" w:hanging="422"/>
      </w:pPr>
      <w:rPr>
        <w:rFonts w:hint="default"/>
        <w:lang w:val="en-US" w:eastAsia="zh-CN" w:bidi="ar-SA"/>
      </w:rPr>
    </w:lvl>
    <w:lvl w:ilvl="6">
      <w:start w:val="0"/>
      <w:numFmt w:val="bullet"/>
      <w:lvlText w:val="•"/>
      <w:lvlJc w:val="left"/>
      <w:pPr>
        <w:ind w:left="5583" w:hanging="422"/>
      </w:pPr>
      <w:rPr>
        <w:rFonts w:hint="default"/>
        <w:lang w:val="en-US" w:eastAsia="zh-CN" w:bidi="ar-SA"/>
      </w:rPr>
    </w:lvl>
    <w:lvl w:ilvl="7">
      <w:start w:val="0"/>
      <w:numFmt w:val="bullet"/>
      <w:lvlText w:val="•"/>
      <w:lvlJc w:val="left"/>
      <w:pPr>
        <w:ind w:left="6424" w:hanging="422"/>
      </w:pPr>
      <w:rPr>
        <w:rFonts w:hint="default"/>
        <w:lang w:val="en-US" w:eastAsia="zh-CN" w:bidi="ar-SA"/>
      </w:rPr>
    </w:lvl>
    <w:lvl w:ilvl="8">
      <w:start w:val="0"/>
      <w:numFmt w:val="bullet"/>
      <w:lvlText w:val="•"/>
      <w:lvlJc w:val="left"/>
      <w:pPr>
        <w:ind w:left="7264" w:hanging="422"/>
      </w:pPr>
      <w:rPr>
        <w:rFonts w:hint="default"/>
        <w:lang w:val="en-US" w:eastAsia="zh-CN" w:bidi="ar-SA"/>
      </w:rPr>
    </w:lvl>
  </w:abstractNum>
  <w:abstractNum w:abstractNumId="8">
    <w:nsid w:val="256F15C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9">
    <w:nsid w:val="2C8B8884"/>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10">
    <w:nsid w:val="2C98C852"/>
    <w:multiLevelType w:val="hybridMultilevel"/>
    <w:tmpl w:val="00000000"/>
    <w:lvl w:ilvl="0">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280"/>
      </w:pPr>
      <w:rPr>
        <w:rFonts w:hint="default"/>
        <w:lang w:val="en-US" w:eastAsia="zh-CN" w:bidi="ar-SA"/>
      </w:rPr>
    </w:lvl>
    <w:lvl w:ilvl="2">
      <w:start w:val="0"/>
      <w:numFmt w:val="bullet"/>
      <w:lvlText w:val="•"/>
      <w:lvlJc w:val="left"/>
      <w:pPr>
        <w:ind w:left="1885" w:hanging="280"/>
      </w:pPr>
      <w:rPr>
        <w:rFonts w:hint="default"/>
        <w:lang w:val="en-US" w:eastAsia="zh-CN" w:bidi="ar-SA"/>
      </w:rPr>
    </w:lvl>
    <w:lvl w:ilvl="3">
      <w:start w:val="0"/>
      <w:numFmt w:val="bullet"/>
      <w:lvlText w:val="•"/>
      <w:lvlJc w:val="left"/>
      <w:pPr>
        <w:ind w:left="2767" w:hanging="280"/>
      </w:pPr>
      <w:rPr>
        <w:rFonts w:hint="default"/>
        <w:lang w:val="en-US" w:eastAsia="zh-CN" w:bidi="ar-SA"/>
      </w:rPr>
    </w:lvl>
    <w:lvl w:ilvl="4">
      <w:start w:val="0"/>
      <w:numFmt w:val="bullet"/>
      <w:lvlText w:val="•"/>
      <w:lvlJc w:val="left"/>
      <w:pPr>
        <w:ind w:left="3650" w:hanging="280"/>
      </w:pPr>
      <w:rPr>
        <w:rFonts w:hint="default"/>
        <w:lang w:val="en-US" w:eastAsia="zh-CN" w:bidi="ar-SA"/>
      </w:rPr>
    </w:lvl>
    <w:lvl w:ilvl="5">
      <w:start w:val="0"/>
      <w:numFmt w:val="bullet"/>
      <w:lvlText w:val="•"/>
      <w:lvlJc w:val="left"/>
      <w:pPr>
        <w:ind w:left="4533" w:hanging="280"/>
      </w:pPr>
      <w:rPr>
        <w:rFonts w:hint="default"/>
        <w:lang w:val="en-US" w:eastAsia="zh-CN" w:bidi="ar-SA"/>
      </w:rPr>
    </w:lvl>
    <w:lvl w:ilvl="6">
      <w:start w:val="0"/>
      <w:numFmt w:val="bullet"/>
      <w:lvlText w:val="•"/>
      <w:lvlJc w:val="left"/>
      <w:pPr>
        <w:ind w:left="5415" w:hanging="280"/>
      </w:pPr>
      <w:rPr>
        <w:rFonts w:hint="default"/>
        <w:lang w:val="en-US" w:eastAsia="zh-CN" w:bidi="ar-SA"/>
      </w:rPr>
    </w:lvl>
    <w:lvl w:ilvl="7">
      <w:start w:val="0"/>
      <w:numFmt w:val="bullet"/>
      <w:lvlText w:val="•"/>
      <w:lvlJc w:val="left"/>
      <w:pPr>
        <w:ind w:left="6298" w:hanging="280"/>
      </w:pPr>
      <w:rPr>
        <w:rFonts w:hint="default"/>
        <w:lang w:val="en-US" w:eastAsia="zh-CN" w:bidi="ar-SA"/>
      </w:rPr>
    </w:lvl>
    <w:lvl w:ilvl="8">
      <w:start w:val="0"/>
      <w:numFmt w:val="bullet"/>
      <w:lvlText w:val="•"/>
      <w:lvlJc w:val="left"/>
      <w:pPr>
        <w:ind w:left="7180" w:hanging="280"/>
      </w:pPr>
      <w:rPr>
        <w:rFonts w:hint="default"/>
        <w:lang w:val="en-US" w:eastAsia="zh-CN" w:bidi="ar-SA"/>
      </w:rPr>
    </w:lvl>
  </w:abstractNum>
  <w:abstractNum w:abstractNumId="11">
    <w:nsid w:val="43DA2536"/>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12">
    <w:nsid w:val="45A546B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3">
    <w:nsid w:val="47AFAE2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14">
    <w:nsid w:val="5193240A"/>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5">
    <w:nsid w:val="52122C73"/>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6">
    <w:nsid w:val="5BA0E162"/>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7">
    <w:nsid w:val="667D4D5B"/>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8">
    <w:nsid w:val="6AFDB9A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9">
    <w:nsid w:val="6C5975A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20">
    <w:nsid w:val="720242B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21">
    <w:nsid w:val="7C002772"/>
    <w:multiLevelType w:val="hybridMultilevel"/>
    <w:tmpl w:val="00000000"/>
    <w:lvl w:ilvl="0">
      <w:start w:val="1"/>
      <w:numFmt w:val="decimal"/>
      <w:lvlText w:val="%1."/>
      <w:lvlJc w:val="left"/>
      <w:pPr>
        <w:ind w:left="68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506" w:hanging="420"/>
      </w:pPr>
      <w:rPr>
        <w:rFonts w:hint="default"/>
        <w:lang w:val="en-US" w:eastAsia="zh-CN" w:bidi="ar-SA"/>
      </w:rPr>
    </w:lvl>
    <w:lvl w:ilvl="2">
      <w:start w:val="0"/>
      <w:numFmt w:val="bullet"/>
      <w:lvlText w:val="•"/>
      <w:lvlJc w:val="left"/>
      <w:pPr>
        <w:ind w:left="2333" w:hanging="420"/>
      </w:pPr>
      <w:rPr>
        <w:rFonts w:hint="default"/>
        <w:lang w:val="en-US" w:eastAsia="zh-CN" w:bidi="ar-SA"/>
      </w:rPr>
    </w:lvl>
    <w:lvl w:ilvl="3">
      <w:start w:val="0"/>
      <w:numFmt w:val="bullet"/>
      <w:lvlText w:val="•"/>
      <w:lvlJc w:val="left"/>
      <w:pPr>
        <w:ind w:left="3159" w:hanging="420"/>
      </w:pPr>
      <w:rPr>
        <w:rFonts w:hint="default"/>
        <w:lang w:val="en-US" w:eastAsia="zh-CN" w:bidi="ar-SA"/>
      </w:rPr>
    </w:lvl>
    <w:lvl w:ilvl="4">
      <w:start w:val="0"/>
      <w:numFmt w:val="bullet"/>
      <w:lvlText w:val="•"/>
      <w:lvlJc w:val="left"/>
      <w:pPr>
        <w:ind w:left="3986" w:hanging="420"/>
      </w:pPr>
      <w:rPr>
        <w:rFonts w:hint="default"/>
        <w:lang w:val="en-US" w:eastAsia="zh-CN" w:bidi="ar-SA"/>
      </w:rPr>
    </w:lvl>
    <w:lvl w:ilvl="5">
      <w:start w:val="0"/>
      <w:numFmt w:val="bullet"/>
      <w:lvlText w:val="•"/>
      <w:lvlJc w:val="left"/>
      <w:pPr>
        <w:ind w:left="4813" w:hanging="420"/>
      </w:pPr>
      <w:rPr>
        <w:rFonts w:hint="default"/>
        <w:lang w:val="en-US" w:eastAsia="zh-CN" w:bidi="ar-SA"/>
      </w:rPr>
    </w:lvl>
    <w:lvl w:ilvl="6">
      <w:start w:val="0"/>
      <w:numFmt w:val="bullet"/>
      <w:lvlText w:val="•"/>
      <w:lvlJc w:val="left"/>
      <w:pPr>
        <w:ind w:left="5639" w:hanging="420"/>
      </w:pPr>
      <w:rPr>
        <w:rFonts w:hint="default"/>
        <w:lang w:val="en-US" w:eastAsia="zh-CN" w:bidi="ar-SA"/>
      </w:rPr>
    </w:lvl>
    <w:lvl w:ilvl="7">
      <w:start w:val="0"/>
      <w:numFmt w:val="bullet"/>
      <w:lvlText w:val="•"/>
      <w:lvlJc w:val="left"/>
      <w:pPr>
        <w:ind w:left="6466" w:hanging="420"/>
      </w:pPr>
      <w:rPr>
        <w:rFonts w:hint="default"/>
        <w:lang w:val="en-US" w:eastAsia="zh-CN" w:bidi="ar-SA"/>
      </w:rPr>
    </w:lvl>
    <w:lvl w:ilvl="8">
      <w:start w:val="0"/>
      <w:numFmt w:val="bullet"/>
      <w:lvlText w:val="•"/>
      <w:lvlJc w:val="left"/>
      <w:pPr>
        <w:ind w:left="7292" w:hanging="420"/>
      </w:pPr>
      <w:rPr>
        <w:rFonts w:hint="default"/>
        <w:lang w:val="en-US" w:eastAsia="zh-CN" w:bidi="ar-SA"/>
      </w:rPr>
    </w:lvl>
  </w:abstractNum>
  <w:num w:numId="1">
    <w:abstractNumId w:val="14"/>
  </w:num>
  <w:num w:numId="2">
    <w:abstractNumId w:val="10"/>
  </w:num>
  <w:num w:numId="3">
    <w:abstractNumId w:val="19"/>
  </w:num>
  <w:num w:numId="4">
    <w:abstractNumId w:val="7"/>
  </w:num>
  <w:num w:numId="5">
    <w:abstractNumId w:val="12"/>
  </w:num>
  <w:num w:numId="6">
    <w:abstractNumId w:val="13"/>
  </w:num>
  <w:num w:numId="7">
    <w:abstractNumId w:val="5"/>
  </w:num>
  <w:num w:numId="8">
    <w:abstractNumId w:val="18"/>
  </w:num>
  <w:num w:numId="9">
    <w:abstractNumId w:val="15"/>
  </w:num>
  <w:num w:numId="10">
    <w:abstractNumId w:val="17"/>
  </w:num>
  <w:num w:numId="11">
    <w:abstractNumId w:val="3"/>
  </w:num>
  <w:num w:numId="12">
    <w:abstractNumId w:val="1"/>
  </w:num>
  <w:num w:numId="13">
    <w:abstractNumId w:val="21"/>
  </w:num>
  <w:num w:numId="14">
    <w:abstractNumId w:val="9"/>
  </w:num>
  <w:num w:numId="15">
    <w:abstractNumId w:val="4"/>
  </w:num>
  <w:num w:numId="16">
    <w:abstractNumId w:val="11"/>
  </w:num>
  <w:num w:numId="17">
    <w:abstractNumId w:val="20"/>
  </w:num>
  <w:num w:numId="18">
    <w:abstractNumId w:val="0"/>
  </w:num>
  <w:num w:numId="19">
    <w:abstractNumId w:val="8"/>
  </w:num>
  <w:num w:numId="20">
    <w:abstractNumId w:val="16"/>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4"/>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281" w:right="2680"/>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518"/>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hyperlink" Target="https://d.book118.com/008030057066006043" TargetMode="External" /><Relationship Id="rId14" Type="http://schemas.openxmlformats.org/officeDocument/2006/relationships/footer" Target="footer9.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2024-03-05T04:20:24Z</dcterms:created>
  <dcterms:modified xsi:type="dcterms:W3CDTF">2024-03-05T04:20:24Z</dcterms:modified>
</cp:coreProperties>
</file>