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12" w:lineRule="auto"/>
        <w:rPr>
          <w:rFonts w:ascii="Arial"/>
          <w:sz w:val="21"/>
        </w:rPr>
      </w:pPr>
      <w:r>
        <w:pict>
          <v:rect id="_x0000_s1025" style="width:159.65pt;height:16.1pt;margin-top:181.94pt;margin-left:401.11pt;mso-position-horizontal-relative:page;mso-position-vertical-relative:page;position:absolute;z-index:251666432" o:allowincell="f" filled="t" fillcolor="#c30f1b" stroked="f"/>
        </w:pict>
      </w:r>
      <w:r>
        <w:pict>
          <v:rect id="_x0000_s1026" style="width:159.75pt;height:0.5pt;margin-top:376.37pt;margin-left:400.39pt;mso-position-horizontal-relative:page;mso-position-vertical-relative:page;position:absolute;z-index:251665408" o:allowincell="f" filled="t" fillcolor="gray" stroked="f"/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5094097</wp:posOffset>
            </wp:positionH>
            <wp:positionV relativeFrom="page">
              <wp:posOffset>2711322</wp:posOffset>
            </wp:positionV>
            <wp:extent cx="202730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73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5094097</wp:posOffset>
            </wp:positionH>
            <wp:positionV relativeFrom="page">
              <wp:posOffset>2923159</wp:posOffset>
            </wp:positionV>
            <wp:extent cx="202730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73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5094097</wp:posOffset>
            </wp:positionH>
            <wp:positionV relativeFrom="page">
              <wp:posOffset>3134995</wp:posOffset>
            </wp:positionV>
            <wp:extent cx="2027300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73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style="width:160.4pt;height:0.5pt;margin-top:263.57pt;margin-left:400.39pt;mso-position-horizontal-relative:page;mso-position-vertical-relative:page;position:absolute;z-index:251660288" coordorigin="0,0" coordsize="3207,10" o:allowincell="f" path="m,9l1610,9l1610,l,l,9xem1596,9l1606,9l1606,l1596,l1596,9xem1606,9l3207,9l3207,l1606,l1606,9xe" filled="t" fillcolor="gray" stroked="f"/>
        </w:pict>
      </w:r>
      <w:r>
        <w:pict>
          <v:shape id="_x0000_s1028" style="width:159.05pt;height:0.5pt;margin-top:275.09pt;margin-left:401.11pt;mso-position-horizontal-relative:page;mso-position-vertical-relative:page;position:absolute;z-index:251664384" coordorigin="0,0" coordsize="3181,10" o:allowincell="f" path="m,9l3180,9l3180,l,l,9xe" filled="t" fillcolor="gray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34.1pt;height:11.4pt;margin-top:182.07pt;margin-left:412.17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</w:pPr>
                  <w:r>
                    <w:rPr>
                      <w:color w:val="FFFFFF"/>
                      <w14:textOutline w14:w="2917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公司评级</w:t>
                  </w:r>
                </w:p>
              </w:txbxContent>
            </v:textbox>
          </v:shape>
        </w:pict>
      </w:r>
      <w:r>
        <w:pict>
          <v:shape id="_x0000_s1030" type="#_x0000_t202" style="width:17.45pt;height:11.85pt;margin-top:182.07pt;margin-left:492.6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6" w:lineRule="auto"/>
                    <w:ind w:left="20"/>
                  </w:pPr>
                  <w:r>
                    <w:rPr>
                      <w:color w:val="FFFFFF"/>
                      <w:spacing w:val="-3"/>
                      <w14:textOutline w14:w="2917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买入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5388863</wp:posOffset>
            </wp:positionH>
            <wp:positionV relativeFrom="page">
              <wp:posOffset>3718560</wp:posOffset>
            </wp:positionV>
            <wp:extent cx="1392936" cy="92964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92936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3" w:lineRule="auto"/>
        <w:rPr>
          <w:rFonts w:ascii="Arial"/>
          <w:sz w:val="21"/>
        </w:rPr>
      </w:pPr>
    </w:p>
    <w:p>
      <w:pPr>
        <w:spacing w:line="466" w:lineRule="exact"/>
        <w:ind w:firstLine="711"/>
      </w:pPr>
      <w:r>
        <w:rPr>
          <w:position w:val="-9"/>
        </w:rPr>
        <w:drawing>
          <wp:inline distT="0" distB="0" distL="0" distR="0">
            <wp:extent cx="1840972" cy="29565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40972" cy="29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2" w:line="218" w:lineRule="auto"/>
        <w:ind w:left="681"/>
        <w:rPr>
          <w:sz w:val="31"/>
          <w:szCs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-695311</wp:posOffset>
            </wp:positionV>
            <wp:extent cx="7560564" cy="1327404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327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7"/>
          <w:sz w:val="31"/>
          <w:szCs w:val="31"/>
          <w14:textOutline w14:w="5791">
            <w14:solidFill>
              <w14:srgbClr w14:val="FFFFFF"/>
            </w14:solidFill>
            <w14:prstDash w14:val="solid"/>
            <w14:miter w14:lim="10"/>
          </w14:textOutline>
        </w:rPr>
        <w:t>公司深度研究</w:t>
      </w:r>
      <w:r>
        <w:rPr>
          <w:color w:val="FFFFFF"/>
          <w:spacing w:val="-36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7"/>
          <w:sz w:val="31"/>
          <w:szCs w:val="31"/>
        </w:rPr>
        <w:t xml:space="preserve">| </w:t>
      </w:r>
      <w:r>
        <w:rPr>
          <w:color w:val="FFFFFF"/>
          <w:spacing w:val="7"/>
          <w:sz w:val="31"/>
          <w:szCs w:val="31"/>
          <w14:textOutline w14:w="5791">
            <w14:solidFill>
              <w14:srgbClr w14:val="FFFFFF"/>
            </w14:solidFill>
            <w14:prstDash w14:val="solid"/>
            <w14:miter w14:lim="10"/>
          </w14:textOutline>
        </w:rPr>
        <w:t>菜百股份</w:t>
      </w: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ectPr>
          <w:footerReference w:type="default" r:id="rId9"/>
          <w:pgSz w:w="11907" w:h="16839"/>
          <w:pgMar w:top="12" w:right="0" w:bottom="867" w:left="0" w:header="0" w:footer="21" w:gutter="0"/>
          <w:cols w:num="1" w:space="708" w:equalWidth="0">
            <w:col w:w="11907" w:space="0"/>
          </w:cols>
        </w:sectPr>
      </w:pPr>
    </w:p>
    <w:p>
      <w:pPr>
        <w:pStyle w:val="BodyText"/>
        <w:spacing w:before="119" w:line="212" w:lineRule="auto"/>
        <w:ind w:left="653"/>
        <w:outlineLvl w:val="0"/>
        <w:rPr>
          <w:sz w:val="36"/>
          <w:szCs w:val="36"/>
        </w:rPr>
      </w:pPr>
      <w:r>
        <w:rPr>
          <w:color w:val="C30F1B"/>
          <w:spacing w:val="-2"/>
          <w:sz w:val="36"/>
          <w:szCs w:val="36"/>
        </w:rPr>
        <w:t>京圈珠宝老字号，全直营打造差异化竞争优势</w:t>
      </w:r>
    </w:p>
    <w:p>
      <w:pPr>
        <w:pStyle w:val="BodyText"/>
        <w:spacing w:before="139" w:line="185" w:lineRule="auto"/>
        <w:ind w:left="636"/>
        <w:rPr>
          <w:sz w:val="28"/>
          <w:szCs w:val="28"/>
        </w:rPr>
      </w:pPr>
      <w:r>
        <w:rPr>
          <w:color w:val="1C2632"/>
          <w:spacing w:val="-1"/>
          <w:sz w:val="28"/>
          <w:szCs w:val="28"/>
        </w:rPr>
        <w:t>菜百股份（</w:t>
      </w:r>
      <w:r>
        <w:rPr>
          <w:rFonts w:ascii="Arial" w:eastAsia="Arial" w:hAnsi="Arial" w:cs="Arial"/>
          <w:color w:val="1C2632"/>
          <w:spacing w:val="-1"/>
          <w:sz w:val="28"/>
          <w:szCs w:val="28"/>
        </w:rPr>
        <w:t>605599.SH</w:t>
      </w:r>
      <w:r>
        <w:rPr>
          <w:color w:val="1C2632"/>
          <w:spacing w:val="-1"/>
          <w:sz w:val="28"/>
          <w:szCs w:val="28"/>
        </w:rPr>
        <w:t>）首次覆盖报告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0" w:line="226" w:lineRule="auto"/>
        <w:ind w:left="174"/>
        <w:rPr>
          <w:sz w:val="19"/>
          <w:szCs w:val="19"/>
        </w:rPr>
      </w:pPr>
      <w:r>
        <w:rPr>
          <w:color w:val="C30F1B"/>
          <w:spacing w:val="9"/>
          <w:sz w:val="19"/>
          <w:szCs w:val="19"/>
          <w14:textOutline w14:w="3614" w14:cap="rnd">
            <w14:solidFill>
              <w14:srgbClr w14:val="C30F1B"/>
            </w14:solidFill>
            <w14:prstDash w14:val="solid"/>
            <w14:round/>
          </w14:textOutline>
        </w:rPr>
        <w:t>证券研究报告</w:t>
      </w:r>
    </w:p>
    <w:p>
      <w:pPr>
        <w:pStyle w:val="BodyText"/>
        <w:spacing w:before="115" w:line="218" w:lineRule="auto"/>
      </w:pPr>
      <w:r>
        <w:rPr>
          <w:rFonts w:ascii="Arial" w:eastAsia="Arial" w:hAnsi="Arial" w:cs="Arial"/>
          <w:color w:val="141B24"/>
          <w:spacing w:val="-4"/>
        </w:rPr>
        <w:t xml:space="preserve">2024 </w:t>
      </w:r>
      <w:r>
        <w:rPr>
          <w:color w:val="141B24"/>
          <w:spacing w:val="-4"/>
        </w:rPr>
        <w:t>年</w:t>
      </w:r>
      <w:r>
        <w:rPr>
          <w:color w:val="141B24"/>
          <w:spacing w:val="-19"/>
        </w:rPr>
        <w:t xml:space="preserve"> </w:t>
      </w:r>
      <w:r>
        <w:rPr>
          <w:rFonts w:ascii="Arial" w:eastAsia="Arial" w:hAnsi="Arial" w:cs="Arial"/>
          <w:color w:val="141B24"/>
          <w:spacing w:val="-4"/>
        </w:rPr>
        <w:t xml:space="preserve">02 </w:t>
      </w:r>
      <w:r>
        <w:rPr>
          <w:color w:val="141B24"/>
          <w:spacing w:val="-4"/>
        </w:rPr>
        <w:t>月</w:t>
      </w:r>
      <w:r>
        <w:rPr>
          <w:color w:val="141B24"/>
          <w:spacing w:val="-32"/>
        </w:rPr>
        <w:t xml:space="preserve"> </w:t>
      </w:r>
      <w:r>
        <w:rPr>
          <w:rFonts w:ascii="Arial" w:eastAsia="Arial" w:hAnsi="Arial" w:cs="Arial"/>
          <w:color w:val="141B24"/>
          <w:spacing w:val="-4"/>
        </w:rPr>
        <w:t>28</w:t>
      </w:r>
      <w:r>
        <w:rPr>
          <w:rFonts w:ascii="Arial" w:eastAsia="Arial" w:hAnsi="Arial" w:cs="Arial"/>
          <w:color w:val="141B24"/>
          <w:spacing w:val="29"/>
        </w:rPr>
        <w:t xml:space="preserve"> </w:t>
      </w:r>
      <w:r>
        <w:rPr>
          <w:color w:val="141B24"/>
          <w:spacing w:val="-4"/>
        </w:rPr>
        <w:t>日</w:t>
      </w:r>
    </w:p>
    <w:p>
      <w:pPr>
        <w:spacing w:line="218" w:lineRule="auto"/>
        <w:sectPr>
          <w:footerReference w:type="default" r:id="rId10"/>
          <w:type w:val="continuous"/>
          <w:pgSz w:w="11907" w:h="16839"/>
          <w:pgMar w:top="12" w:right="0" w:bottom="867" w:left="0" w:header="0" w:footer="21" w:gutter="0"/>
          <w:pgNumType w:start="2"/>
          <w:cols w:num="2" w:space="708" w:equalWidth="0">
            <w:col w:w="9721" w:space="100"/>
            <w:col w:w="2087" w:space="0"/>
          </w:cols>
        </w:sectPr>
      </w:pPr>
    </w:p>
    <w:p>
      <w:pPr>
        <w:spacing w:line="97" w:lineRule="exact"/>
      </w:pPr>
    </w:p>
    <w:p>
      <w:pPr>
        <w:spacing w:line="97" w:lineRule="exact"/>
        <w:sectPr>
          <w:footerReference w:type="default" r:id="rId11"/>
          <w:type w:val="continuous"/>
          <w:pgSz w:w="11907" w:h="16839"/>
          <w:pgMar w:top="12" w:right="0" w:bottom="867" w:left="0" w:header="0" w:footer="21" w:gutter="0"/>
          <w:pgNumType w:start="3"/>
          <w:cols w:num="1" w:space="708" w:equalWidth="0">
            <w:col w:w="11907" w:space="0"/>
          </w:cols>
        </w:sectPr>
      </w:pPr>
    </w:p>
    <w:tbl>
      <w:tblPr>
        <w:tblStyle w:val="TableNormal"/>
        <w:tblW w:w="6931" w:type="dxa"/>
        <w:tblInd w:w="64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87"/>
        <w:gridCol w:w="1005"/>
        <w:gridCol w:w="1004"/>
        <w:gridCol w:w="1006"/>
        <w:gridCol w:w="1003"/>
        <w:gridCol w:w="1026"/>
      </w:tblGrid>
      <w:tr>
        <w:tblPrEx>
          <w:tblW w:w="6931" w:type="dxa"/>
          <w:tblInd w:w="64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54"/>
        </w:trPr>
        <w:tc>
          <w:tcPr>
            <w:tcW w:w="6931" w:type="dxa"/>
            <w:gridSpan w:val="6"/>
            <w:tcBorders>
              <w:top w:val="single" w:sz="6" w:space="0" w:color="808080"/>
              <w:bottom w:val="single" w:sz="6" w:space="0" w:color="808080"/>
            </w:tcBorders>
            <w:vAlign w:val="top"/>
          </w:tcPr>
          <w:p>
            <w:pPr>
              <w:pStyle w:val="TableText"/>
              <w:spacing w:before="34" w:line="223" w:lineRule="auto"/>
              <w:ind w:left="32"/>
            </w:pPr>
            <w:r>
              <w:rPr>
                <w:rFonts w:ascii="Wingdings" w:eastAsia="Wingdings" w:hAnsi="Wingdings" w:cs="Wingdings"/>
                <w:color w:val="C30F1B"/>
                <w:spacing w:val="-16"/>
                <w:w w:val="87"/>
                <w14:textOutline w14:w="3831">
                  <w14:solidFill>
                    <w14:srgbClr w14:val="C30F1B"/>
                  </w14:solidFill>
                  <w14:prstDash w14:val="solid"/>
                  <w14:miter w14:lim="10"/>
                </w14:textOutline>
              </w:rPr>
              <w:t>.</w:t>
            </w:r>
            <w:r>
              <w:rPr>
                <w:rFonts w:ascii="Wingdings" w:eastAsia="Wingdings" w:hAnsi="Wingdings" w:cs="Wingdings"/>
                <w:color w:val="C30F1B"/>
                <w:spacing w:val="-85"/>
              </w:rPr>
              <w:t xml:space="preserve"> </w:t>
            </w:r>
            <w:r>
              <w:rPr>
                <w:color w:val="C30F1B"/>
                <w:spacing w:val="-16"/>
                <w:w w:val="87"/>
                <w14:textOutline w14:w="3831">
                  <w14:solidFill>
                    <w14:srgbClr w14:val="C30F1B"/>
                  </w14:solidFill>
                  <w14:prstDash w14:val="solid"/>
                  <w14:miter w14:lim="10"/>
                </w14:textOutline>
              </w:rPr>
              <w:t>核心结论</w:t>
            </w:r>
          </w:p>
        </w:tc>
      </w:tr>
      <w:tr>
        <w:tblPrEx>
          <w:tblW w:w="6931" w:type="dxa"/>
          <w:tblInd w:w="643" w:type="dxa"/>
          <w:tblLayout w:type="fixed"/>
        </w:tblPrEx>
        <w:trPr>
          <w:trHeight w:val="8533"/>
        </w:trPr>
        <w:tc>
          <w:tcPr>
            <w:tcW w:w="6931" w:type="dxa"/>
            <w:gridSpan w:val="6"/>
            <w:tcBorders>
              <w:top w:val="single" w:sz="6" w:space="0" w:color="808080"/>
              <w:bottom w:val="single" w:sz="6" w:space="0" w:color="808080"/>
            </w:tcBorders>
            <w:vAlign w:val="top"/>
          </w:tcPr>
          <w:p>
            <w:pPr>
              <w:pStyle w:val="TableText"/>
              <w:spacing w:before="91" w:line="263" w:lineRule="auto"/>
              <w:ind w:left="16" w:firstLine="36"/>
              <w:jc w:val="both"/>
            </w:pPr>
            <w:r>
              <w:rPr>
                <w:spacing w:val="5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区域性珠宝龙头品牌，金价上涨有望推动利润空间持续释</w:t>
            </w:r>
            <w:r>
              <w:rPr>
                <w:spacing w:val="4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放。</w:t>
            </w:r>
            <w:r>
              <w:rPr>
                <w:spacing w:val="4"/>
              </w:rPr>
              <w:t>菜百股份深</w:t>
            </w:r>
            <w:r>
              <w:t xml:space="preserve"> </w:t>
            </w:r>
            <w:r>
              <w:rPr>
                <w:spacing w:val="-4"/>
              </w:rPr>
              <w:t>耕京津冀地</w:t>
            </w:r>
            <w:r>
              <w:rPr>
                <w:spacing w:val="-3"/>
              </w:rPr>
              <w:t>区，逐渐向华北以外地区拓展。</w:t>
            </w:r>
            <w:r>
              <w:rPr>
                <w:spacing w:val="41"/>
              </w:rPr>
              <w:t xml:space="preserve"> </w:t>
            </w:r>
            <w:r>
              <w:rPr>
                <w:spacing w:val="-3"/>
              </w:rPr>
              <w:t>产品结构上以黄金</w:t>
            </w:r>
            <w:r>
              <w:rPr>
                <w:spacing w:val="-4"/>
              </w:rPr>
              <w:t>饰品、</w:t>
            </w:r>
            <w:r>
              <w:rPr>
                <w:spacing w:val="43"/>
              </w:rPr>
              <w:t xml:space="preserve"> </w:t>
            </w:r>
            <w:r>
              <w:rPr>
                <w:spacing w:val="-4"/>
              </w:rPr>
              <w:t>贵</w:t>
            </w:r>
            <w:r>
              <w:rPr>
                <w:spacing w:val="1"/>
              </w:rPr>
              <w:t>金</w:t>
            </w:r>
            <w:r>
              <w:t xml:space="preserve"> </w:t>
            </w:r>
            <w:r>
              <w:rPr>
                <w:spacing w:val="-1"/>
              </w:rPr>
              <w:t>属投资产品和贵金属文化产品为主，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对金价变动较为敏感，</w:t>
            </w:r>
            <w:r>
              <w:rPr>
                <w:rFonts w:ascii="Arial" w:eastAsia="Arial" w:hAnsi="Arial" w:cs="Arial"/>
                <w:spacing w:val="-1"/>
              </w:rPr>
              <w:t>22</w:t>
            </w:r>
            <w:r>
              <w:rPr>
                <w:rFonts w:ascii="Arial" w:eastAsia="Arial" w:hAnsi="Arial" w:cs="Arial"/>
                <w:spacing w:val="44"/>
                <w:w w:val="101"/>
              </w:rPr>
              <w:t xml:space="preserve"> </w:t>
            </w:r>
            <w:r>
              <w:rPr>
                <w:spacing w:val="-1"/>
              </w:rPr>
              <w:t>年营收占比</w:t>
            </w:r>
            <w:r>
              <w:t xml:space="preserve"> </w:t>
            </w:r>
            <w:r>
              <w:rPr>
                <w:spacing w:val="-1"/>
              </w:rPr>
              <w:t>达</w:t>
            </w:r>
            <w:r>
              <w:rPr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96.8%</w:t>
            </w:r>
            <w:r>
              <w:rPr>
                <w:spacing w:val="-1"/>
              </w:rPr>
              <w:t>，使得公司成为金价上涨受益的珠宝品牌。</w:t>
            </w:r>
          </w:p>
          <w:p>
            <w:pPr>
              <w:pStyle w:val="TableText"/>
              <w:spacing w:before="219" w:line="260" w:lineRule="auto"/>
              <w:ind w:left="14"/>
              <w:jc w:val="both"/>
            </w:pPr>
            <w:r>
              <w:rPr>
                <w:spacing w:val="1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金价持续上行，黄金消费景气度持续提升</w:t>
            </w:r>
            <w:r>
              <w:rPr>
                <w:spacing w:val="-41"/>
              </w:rPr>
              <w:t xml:space="preserve"> </w:t>
            </w:r>
            <w:r>
              <w:rPr>
                <w:spacing w:val="1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rFonts w:ascii="Arial" w:eastAsia="Arial" w:hAnsi="Arial" w:cs="Arial"/>
                <w:spacing w:val="12"/>
              </w:rPr>
              <w:t>2023</w:t>
            </w:r>
            <w:r>
              <w:rPr>
                <w:rFonts w:ascii="Arial" w:eastAsia="Arial" w:hAnsi="Arial" w:cs="Arial"/>
              </w:rPr>
              <w:t xml:space="preserve">  </w:t>
            </w:r>
            <w:r>
              <w:rPr>
                <w:spacing w:val="12"/>
              </w:rPr>
              <w:t>年，上海黄金交易所</w:t>
            </w:r>
            <w:r>
              <w:t xml:space="preserve"> </w:t>
            </w:r>
            <w:r>
              <w:rPr>
                <w:rFonts w:ascii="Arial" w:eastAsia="Arial" w:hAnsi="Arial" w:cs="Arial"/>
              </w:rPr>
              <w:t>AU</w:t>
            </w:r>
            <w:r>
              <w:rPr>
                <w:rFonts w:ascii="Arial" w:eastAsia="Arial" w:hAnsi="Arial" w:cs="Arial"/>
                <w:spacing w:val="1"/>
              </w:rPr>
              <w:t>9999</w:t>
            </w:r>
            <w:r>
              <w:rPr>
                <w:rFonts w:ascii="Arial" w:eastAsia="Arial" w:hAnsi="Arial" w:cs="Arial"/>
                <w:spacing w:val="43"/>
                <w:w w:val="101"/>
              </w:rPr>
              <w:t xml:space="preserve"> </w:t>
            </w:r>
            <w:r>
              <w:rPr>
                <w:spacing w:val="1"/>
              </w:rPr>
              <w:t>现货涨幅达</w:t>
            </w:r>
            <w:r>
              <w:rPr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16.3%</w:t>
            </w:r>
            <w:r>
              <w:rPr>
                <w:spacing w:val="1"/>
              </w:rPr>
              <w:t>，伦敦金现货涨幅达</w:t>
            </w:r>
            <w:r>
              <w:rPr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12.8%</w:t>
            </w:r>
            <w:r>
              <w:t>，随着金价的持续</w:t>
            </w:r>
            <w:r>
              <w:t xml:space="preserve"> </w:t>
            </w:r>
            <w:r>
              <w:rPr>
                <w:spacing w:val="4"/>
              </w:rPr>
              <w:t>上升，黄金珠宝社零数据持续转好，板块景气度不断提升。</w:t>
            </w:r>
            <w:r>
              <w:rPr>
                <w:rFonts w:ascii="Arial" w:eastAsia="Arial" w:hAnsi="Arial" w:cs="Arial"/>
                <w:spacing w:val="4"/>
              </w:rPr>
              <w:t>2023</w:t>
            </w:r>
            <w:r>
              <w:rPr>
                <w:rFonts w:ascii="Arial" w:eastAsia="Arial" w:hAnsi="Arial" w:cs="Arial"/>
                <w:spacing w:val="49"/>
                <w:w w:val="101"/>
              </w:rPr>
              <w:t xml:space="preserve"> </w:t>
            </w:r>
            <w:r>
              <w:rPr>
                <w:spacing w:val="4"/>
              </w:rPr>
              <w:t>年</w:t>
            </w:r>
            <w:r>
              <w:rPr>
                <w:spacing w:val="4"/>
              </w:rPr>
              <w:t xml:space="preserve"> </w:t>
            </w:r>
            <w:r>
              <w:rPr>
                <w:rFonts w:ascii="Arial" w:eastAsia="Arial" w:hAnsi="Arial" w:cs="Arial"/>
                <w:spacing w:val="4"/>
              </w:rPr>
              <w:t>1-12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pacing w:val="-1"/>
              </w:rPr>
              <w:t>月，金银珠宝零售额达</w:t>
            </w:r>
            <w:r>
              <w:rPr>
                <w:spacing w:val="-2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 xml:space="preserve">3310 </w:t>
            </w:r>
            <w:r>
              <w:rPr>
                <w:spacing w:val="-1"/>
              </w:rPr>
              <w:t>亿元，同比</w:t>
            </w:r>
            <w:r>
              <w:rPr>
                <w:rFonts w:ascii="Arial" w:eastAsia="Arial" w:hAnsi="Arial" w:cs="Arial"/>
                <w:spacing w:val="-1"/>
              </w:rPr>
              <w:t>+13.3%</w:t>
            </w:r>
            <w:r>
              <w:rPr>
                <w:spacing w:val="-1"/>
              </w:rPr>
              <w:t>，两年复合增速达</w:t>
            </w:r>
            <w:r>
              <w:rPr>
                <w:spacing w:val="-4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4.3%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233" w:line="260" w:lineRule="auto"/>
              <w:ind w:left="14" w:right="1" w:firstLine="9"/>
              <w:jc w:val="both"/>
            </w:pPr>
            <w:r>
              <w:rPr>
                <w:spacing w:val="6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投资类产品占比高，金价上涨产品提价逻辑顺畅。</w:t>
            </w:r>
            <w:r>
              <w:rPr>
                <w:spacing w:val="6"/>
              </w:rPr>
              <w:t>分产</w:t>
            </w:r>
            <w:r>
              <w:rPr>
                <w:spacing w:val="5"/>
              </w:rPr>
              <w:t>品看，公司营收以</w:t>
            </w:r>
            <w:r>
              <w:t xml:space="preserve"> </w:t>
            </w:r>
            <w:r>
              <w:rPr>
                <w:spacing w:val="1"/>
              </w:rPr>
              <w:t>黄金类产品为主，</w:t>
            </w:r>
            <w:r>
              <w:rPr>
                <w:rFonts w:ascii="Arial" w:eastAsia="Arial" w:hAnsi="Arial" w:cs="Arial"/>
                <w:spacing w:val="1"/>
              </w:rPr>
              <w:t>2022</w:t>
            </w:r>
            <w:r>
              <w:rPr>
                <w:rFonts w:ascii="Arial" w:eastAsia="Arial" w:hAnsi="Arial" w:cs="Arial"/>
                <w:spacing w:val="54"/>
                <w:w w:val="101"/>
              </w:rPr>
              <w:t xml:space="preserve"> </w:t>
            </w:r>
            <w:r>
              <w:rPr>
                <w:spacing w:val="1"/>
              </w:rPr>
              <w:t>年公司黄金饰品、投资产品和文化产品分别占总营</w:t>
            </w:r>
            <w:r>
              <w:t xml:space="preserve"> </w:t>
            </w:r>
            <w:r>
              <w:t>收的</w:t>
            </w:r>
            <w:r>
              <w:t xml:space="preserve"> </w:t>
            </w:r>
            <w:r>
              <w:rPr>
                <w:rFonts w:ascii="Arial" w:eastAsia="Arial" w:hAnsi="Arial" w:cs="Arial"/>
              </w:rPr>
              <w:t>36.4%</w:t>
            </w:r>
            <w:r>
              <w:t>、</w:t>
            </w:r>
            <w:r>
              <w:rPr>
                <w:rFonts w:ascii="Arial" w:eastAsia="Arial" w:hAnsi="Arial" w:cs="Arial"/>
              </w:rPr>
              <w:t>51.9%</w:t>
            </w:r>
            <w:r>
              <w:t>和</w:t>
            </w:r>
            <w:r>
              <w:t xml:space="preserve"> </w:t>
            </w:r>
            <w:r>
              <w:rPr>
                <w:rFonts w:ascii="Arial" w:eastAsia="Arial" w:hAnsi="Arial" w:cs="Arial"/>
              </w:rPr>
              <w:t>8.5%</w:t>
            </w:r>
            <w:r>
              <w:t>。利润角度看公司各类黄金产品</w:t>
            </w:r>
            <w:r>
              <w:rPr>
                <w:spacing w:val="-1"/>
              </w:rPr>
              <w:t>毛利率变动与</w:t>
            </w:r>
            <w:r>
              <w:t xml:space="preserve"> </w:t>
            </w:r>
            <w:r>
              <w:rPr>
                <w:spacing w:val="-3"/>
              </w:rPr>
              <w:t>金价变动趋势较为一致，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金价上涨有望带动各品类毛利率提升。</w:t>
            </w:r>
          </w:p>
          <w:p>
            <w:pPr>
              <w:pStyle w:val="TableText"/>
              <w:spacing w:before="234" w:line="265" w:lineRule="auto"/>
              <w:ind w:left="29" w:hanging="13"/>
              <w:jc w:val="both"/>
            </w:pPr>
            <w:r>
              <w:rPr>
                <w:spacing w:val="-4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公司坚持全直营模式，线上线下同步发展。</w:t>
            </w:r>
            <w:r>
              <w:rPr>
                <w:spacing w:val="5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4"/>
              </w:rPr>
              <w:t>1</w:t>
            </w:r>
            <w:r>
              <w:rPr>
                <w:spacing w:val="-4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）线下：</w:t>
            </w:r>
            <w:r>
              <w:rPr>
                <w:spacing w:val="-58"/>
              </w:rPr>
              <w:t xml:space="preserve"> </w:t>
            </w:r>
            <w:r>
              <w:rPr>
                <w:spacing w:val="-4"/>
              </w:rPr>
              <w:t>“立足华北，走出华</w:t>
            </w:r>
            <w:r>
              <w:t xml:space="preserve"> </w:t>
            </w:r>
            <w:r>
              <w:rPr>
                <w:spacing w:val="-1"/>
              </w:rPr>
              <w:t>北”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rFonts w:ascii="Arial" w:eastAsia="Arial" w:hAnsi="Arial" w:cs="Arial"/>
                <w:spacing w:val="-1"/>
              </w:rPr>
              <w:t>23H1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spacing w:val="-1"/>
              </w:rPr>
              <w:t>公司进一步加密京津冀核心圈布局，同时拓展华北外市场。截</w:t>
            </w:r>
            <w:r>
              <w:t xml:space="preserve"> </w:t>
            </w:r>
            <w:r>
              <w:rPr>
                <w:spacing w:val="-5"/>
              </w:rPr>
              <w:t>至期末，华北地区共有门店</w:t>
            </w:r>
            <w:r>
              <w:rPr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</w:rPr>
              <w:t>67</w:t>
            </w:r>
            <w:r>
              <w:rPr>
                <w:rFonts w:ascii="Arial" w:eastAsia="Arial" w:hAnsi="Arial" w:cs="Arial"/>
                <w:spacing w:val="26"/>
                <w:w w:val="101"/>
              </w:rPr>
              <w:t xml:space="preserve"> </w:t>
            </w:r>
            <w:r>
              <w:rPr>
                <w:spacing w:val="-5"/>
              </w:rPr>
              <w:t>家，其中北京市共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</w:rPr>
              <w:t>52</w:t>
            </w:r>
            <w:r>
              <w:rPr>
                <w:rFonts w:ascii="Arial" w:eastAsia="Arial" w:hAnsi="Arial" w:cs="Arial"/>
                <w:spacing w:val="26"/>
                <w:w w:val="101"/>
              </w:rPr>
              <w:t xml:space="preserve"> </w:t>
            </w:r>
            <w:r>
              <w:rPr>
                <w:spacing w:val="-5"/>
              </w:rPr>
              <w:t>家（含总店</w:t>
            </w:r>
            <w:r>
              <w:rPr>
                <w:spacing w:val="-14"/>
              </w:rPr>
              <w:t>），</w:t>
            </w:r>
            <w:r>
              <w:rPr>
                <w:spacing w:val="-5"/>
              </w:rPr>
              <w:t>华北以</w:t>
            </w:r>
            <w:r>
              <w:t xml:space="preserve"> </w:t>
            </w:r>
            <w:r>
              <w:rPr>
                <w:spacing w:val="-9"/>
              </w:rPr>
              <w:t>外地区</w:t>
            </w:r>
            <w:r>
              <w:rPr>
                <w:spacing w:val="-8"/>
              </w:rPr>
              <w:t>共有</w:t>
            </w:r>
            <w:r>
              <w:rPr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</w:rPr>
              <w:t>7</w:t>
            </w:r>
            <w:r>
              <w:rPr>
                <w:rFonts w:ascii="Arial" w:eastAsia="Arial" w:hAnsi="Arial" w:cs="Arial"/>
                <w:spacing w:val="46"/>
                <w:w w:val="101"/>
              </w:rPr>
              <w:t xml:space="preserve"> </w:t>
            </w:r>
            <w:r>
              <w:rPr>
                <w:spacing w:val="-8"/>
              </w:rPr>
              <w:t>家门店。</w:t>
            </w:r>
            <w:r>
              <w:rPr>
                <w:rFonts w:ascii="Arial" w:eastAsia="Arial" w:hAnsi="Arial" w:cs="Arial"/>
                <w:b/>
                <w:bCs/>
                <w:spacing w:val="-8"/>
              </w:rPr>
              <w:t>2</w:t>
            </w:r>
            <w:r>
              <w:rPr>
                <w:spacing w:val="-8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）线上：</w:t>
            </w:r>
            <w:r>
              <w:rPr>
                <w:spacing w:val="32"/>
              </w:rPr>
              <w:t xml:space="preserve"> </w:t>
            </w:r>
            <w:r>
              <w:rPr>
                <w:spacing w:val="-8"/>
              </w:rPr>
              <w:t>电商子公司大力发展直播渠道，</w:t>
            </w:r>
            <w:r>
              <w:rPr>
                <w:spacing w:val="-24"/>
              </w:rPr>
              <w:t xml:space="preserve"> </w:t>
            </w:r>
            <w:r>
              <w:rPr>
                <w:spacing w:val="-8"/>
              </w:rPr>
              <w:t>巩固传</w:t>
            </w:r>
            <w:r>
              <w:rPr>
                <w:spacing w:val="-5"/>
              </w:rPr>
              <w:t>统</w:t>
            </w:r>
            <w:r>
              <w:t xml:space="preserve"> </w:t>
            </w:r>
            <w:r>
              <w:rPr>
                <w:spacing w:val="-3"/>
              </w:rPr>
              <w:t>电商平台销售，打造新消费场景，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推动公司线上营收</w:t>
            </w:r>
            <w:r>
              <w:rPr>
                <w:spacing w:val="-4"/>
              </w:rPr>
              <w:t>快速增长。</w:t>
            </w:r>
            <w:r>
              <w:rPr>
                <w:rFonts w:ascii="Arial" w:eastAsia="Arial" w:hAnsi="Arial" w:cs="Arial"/>
                <w:spacing w:val="-4"/>
              </w:rPr>
              <w:t xml:space="preserve">23H1  </w:t>
            </w:r>
            <w:r>
              <w:rPr>
                <w:spacing w:val="-4"/>
              </w:rPr>
              <w:t>实现</w:t>
            </w:r>
            <w:r>
              <w:t xml:space="preserve"> </w:t>
            </w:r>
            <w:r>
              <w:rPr>
                <w:spacing w:val="-3"/>
              </w:rPr>
              <w:t>营收</w:t>
            </w:r>
            <w:r>
              <w:rPr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 xml:space="preserve">15.3 </w:t>
            </w:r>
            <w:r>
              <w:rPr>
                <w:spacing w:val="-3"/>
              </w:rPr>
              <w:t>亿元，同比</w:t>
            </w:r>
            <w:r>
              <w:rPr>
                <w:rFonts w:ascii="Arial" w:eastAsia="Arial" w:hAnsi="Arial" w:cs="Arial"/>
                <w:spacing w:val="-3"/>
              </w:rPr>
              <w:t>+109.4%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232" w:line="266" w:lineRule="auto"/>
              <w:ind w:left="17" w:firstLine="7"/>
              <w:jc w:val="both"/>
            </w:pP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投资建议：</w:t>
            </w:r>
            <w:r>
              <w:rPr>
                <w:spacing w:val="83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区域龙头持续扩大线上线下市场渗透，坚持直营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打造差异化竞</w:t>
            </w:r>
            <w:r>
              <w:t xml:space="preserve">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争优势</w:t>
            </w:r>
            <w:r>
              <w:rPr>
                <w:spacing w:val="-3"/>
              </w:rPr>
              <w:t>，考虑到菜百股份是金价上涨受益的珠宝企业，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我们预计公司</w:t>
            </w:r>
            <w:r>
              <w:rPr>
                <w:spacing w:val="-2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23-25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37"/>
              </w:rPr>
              <w:t xml:space="preserve"> </w:t>
            </w:r>
            <w:r>
              <w:rPr>
                <w:spacing w:val="-7"/>
              </w:rPr>
              <w:t>实</w:t>
            </w:r>
            <w:r>
              <w:rPr>
                <w:spacing w:val="28"/>
              </w:rPr>
              <w:t xml:space="preserve"> </w:t>
            </w:r>
            <w:r>
              <w:rPr>
                <w:spacing w:val="-7"/>
              </w:rPr>
              <w:t>现</w:t>
            </w:r>
            <w:r>
              <w:rPr>
                <w:spacing w:val="39"/>
              </w:rPr>
              <w:t xml:space="preserve"> </w:t>
            </w:r>
            <w:r>
              <w:rPr>
                <w:spacing w:val="-7"/>
              </w:rPr>
              <w:t>营</w:t>
            </w:r>
            <w:r>
              <w:rPr>
                <w:spacing w:val="36"/>
              </w:rPr>
              <w:t xml:space="preserve"> </w:t>
            </w:r>
            <w:r>
              <w:rPr>
                <w:spacing w:val="-7"/>
              </w:rPr>
              <w:t>业</w:t>
            </w:r>
            <w:r>
              <w:rPr>
                <w:spacing w:val="33"/>
              </w:rPr>
              <w:t xml:space="preserve"> </w:t>
            </w:r>
            <w:r>
              <w:rPr>
                <w:spacing w:val="-7"/>
              </w:rPr>
              <w:t>收</w:t>
            </w:r>
            <w:r>
              <w:rPr>
                <w:spacing w:val="29"/>
              </w:rPr>
              <w:t xml:space="preserve"> </w:t>
            </w:r>
            <w:r>
              <w:rPr>
                <w:spacing w:val="-7"/>
              </w:rPr>
              <w:t>入</w:t>
            </w:r>
            <w:r>
              <w:rPr>
                <w:spacing w:val="19"/>
              </w:rPr>
              <w:t xml:space="preserve">  </w:t>
            </w:r>
            <w:r>
              <w:rPr>
                <w:rFonts w:ascii="Arial" w:eastAsia="Arial" w:hAnsi="Arial" w:cs="Arial"/>
                <w:spacing w:val="-7"/>
              </w:rPr>
              <w:t>162.23/187.36/208.20</w:t>
            </w:r>
            <w:r>
              <w:rPr>
                <w:rFonts w:ascii="Arial" w:eastAsia="Arial" w:hAnsi="Arial" w:cs="Arial"/>
                <w:spacing w:val="15"/>
              </w:rPr>
              <w:t xml:space="preserve">   </w:t>
            </w:r>
            <w:r>
              <w:rPr>
                <w:spacing w:val="-7"/>
              </w:rPr>
              <w:t>亿</w:t>
            </w:r>
            <w:r>
              <w:rPr>
                <w:spacing w:val="36"/>
              </w:rPr>
              <w:t xml:space="preserve"> </w:t>
            </w:r>
            <w:r>
              <w:rPr>
                <w:spacing w:val="-7"/>
              </w:rPr>
              <w:t>元</w:t>
            </w:r>
            <w:r>
              <w:rPr>
                <w:spacing w:val="41"/>
              </w:rPr>
              <w:t xml:space="preserve"> </w:t>
            </w:r>
            <w:r>
              <w:rPr>
                <w:spacing w:val="-7"/>
              </w:rPr>
              <w:t>，</w:t>
            </w:r>
            <w:r>
              <w:rPr>
                <w:spacing w:val="50"/>
              </w:rPr>
              <w:t xml:space="preserve"> </w:t>
            </w:r>
            <w:r>
              <w:rPr>
                <w:spacing w:val="-7"/>
              </w:rPr>
              <w:t>同</w:t>
            </w:r>
            <w:r>
              <w:rPr>
                <w:spacing w:val="45"/>
              </w:rPr>
              <w:t xml:space="preserve"> </w:t>
            </w:r>
            <w:r>
              <w:rPr>
                <w:spacing w:val="-7"/>
              </w:rPr>
              <w:t>比</w:t>
            </w:r>
            <w:r>
              <w:rPr>
                <w:spacing w:val="27"/>
              </w:rPr>
              <w:t xml:space="preserve"> </w:t>
            </w:r>
            <w:r>
              <w:rPr>
                <w:spacing w:val="-7"/>
              </w:rPr>
              <w:t>增</w:t>
            </w:r>
            <w:r>
              <w:rPr>
                <w:spacing w:val="34"/>
              </w:rPr>
              <w:t xml:space="preserve"> </w:t>
            </w:r>
            <w:r>
              <w:rPr>
                <w:spacing w:val="-7"/>
              </w:rPr>
              <w:t>长</w:t>
            </w:r>
            <w: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47.6%/15.5%/11.1%</w:t>
            </w:r>
            <w:r>
              <w:rPr>
                <w:spacing w:val="3"/>
              </w:rPr>
              <w:t>，</w:t>
            </w:r>
            <w:r>
              <w:rPr>
                <w:spacing w:val="-33"/>
              </w:rPr>
              <w:t xml:space="preserve"> </w:t>
            </w:r>
            <w:r>
              <w:rPr>
                <w:spacing w:val="3"/>
              </w:rPr>
              <w:t>实现归母净利润</w:t>
            </w:r>
            <w:r>
              <w:rPr>
                <w:spacing w:val="3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 xml:space="preserve">7.10/8.19/9.28  </w:t>
            </w:r>
            <w:r>
              <w:rPr>
                <w:spacing w:val="3"/>
              </w:rPr>
              <w:t>亿元，</w:t>
            </w:r>
            <w:r>
              <w:rPr>
                <w:spacing w:val="-34"/>
              </w:rPr>
              <w:t xml:space="preserve"> </w:t>
            </w:r>
            <w:r>
              <w:rPr>
                <w:spacing w:val="3"/>
              </w:rPr>
              <w:t>同比增长</w:t>
            </w:r>
            <w: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54.2%/15.3%/13.4%</w:t>
            </w:r>
            <w:r>
              <w:rPr>
                <w:rFonts w:ascii="Arial" w:eastAsia="Arial" w:hAnsi="Arial" w:cs="Arial"/>
                <w:spacing w:val="-27"/>
              </w:rPr>
              <w:t xml:space="preserve"> </w:t>
            </w:r>
            <w:r>
              <w:rPr>
                <w:spacing w:val="-1"/>
              </w:rPr>
              <w:t>。首次覆盖给予“买入”评级。</w:t>
            </w:r>
          </w:p>
          <w:p>
            <w:pPr>
              <w:pStyle w:val="TableText"/>
              <w:spacing w:before="214" w:line="217" w:lineRule="auto"/>
              <w:ind w:left="19"/>
            </w:pP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风险提示</w:t>
            </w:r>
            <w:r>
              <w:t>：</w:t>
            </w:r>
            <w:r>
              <w:rPr>
                <w:spacing w:val="-27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渠道拓展不及预期；业务集中风险；行业竞争加剧风险</w:t>
            </w:r>
          </w:p>
        </w:tc>
      </w:tr>
      <w:tr>
        <w:tblPrEx>
          <w:tblW w:w="6931" w:type="dxa"/>
          <w:tblInd w:w="643" w:type="dxa"/>
          <w:tblLayout w:type="fixed"/>
        </w:tblPrEx>
        <w:trPr>
          <w:trHeight w:val="335"/>
        </w:trPr>
        <w:tc>
          <w:tcPr>
            <w:tcW w:w="6931" w:type="dxa"/>
            <w:gridSpan w:val="6"/>
            <w:tcBorders>
              <w:top w:val="single" w:sz="6" w:space="0" w:color="808080"/>
            </w:tcBorders>
            <w:vAlign w:val="top"/>
          </w:tcPr>
          <w:p>
            <w:pPr>
              <w:pStyle w:val="TableText"/>
              <w:spacing w:before="42" w:line="231" w:lineRule="auto"/>
              <w:ind w:left="31"/>
              <w:rPr>
                <w:sz w:val="19"/>
                <w:szCs w:val="19"/>
              </w:rPr>
            </w:pPr>
            <w:r>
              <w:rPr>
                <w:rFonts w:ascii="Wingdings" w:eastAsia="Wingdings" w:hAnsi="Wingdings" w:cs="Wingdings"/>
                <w:color w:val="C30F1B"/>
                <w:spacing w:val="-14"/>
                <w:w w:val="91"/>
                <w:sz w:val="19"/>
                <w:szCs w:val="19"/>
                <w14:textOutline w14:w="3614">
                  <w14:solidFill>
                    <w14:srgbClr w14:val="C30F1B"/>
                  </w14:solidFill>
                  <w14:prstDash w14:val="solid"/>
                  <w14:miter w14:lim="10"/>
                </w14:textOutline>
              </w:rPr>
              <w:t>.</w:t>
            </w:r>
            <w:r>
              <w:rPr>
                <w:rFonts w:ascii="Wingdings" w:eastAsia="Wingdings" w:hAnsi="Wingdings" w:cs="Wingdings"/>
                <w:color w:val="C30F1B"/>
                <w:spacing w:val="-73"/>
                <w:sz w:val="19"/>
                <w:szCs w:val="19"/>
              </w:rPr>
              <w:t xml:space="preserve"> </w:t>
            </w:r>
            <w:r>
              <w:rPr>
                <w:color w:val="C30F1B"/>
                <w:spacing w:val="-14"/>
                <w:w w:val="91"/>
                <w:sz w:val="19"/>
                <w:szCs w:val="19"/>
                <w14:textOutline w14:w="3614">
                  <w14:solidFill>
                    <w14:srgbClr w14:val="C30F1B"/>
                  </w14:solidFill>
                  <w14:prstDash w14:val="solid"/>
                  <w14:miter w14:lim="10"/>
                </w14:textOutline>
              </w:rPr>
              <w:t>核心数据</w:t>
            </w:r>
          </w:p>
        </w:tc>
      </w:tr>
      <w:tr>
        <w:tblPrEx>
          <w:tblW w:w="6931" w:type="dxa"/>
          <w:tblInd w:w="643" w:type="dxa"/>
          <w:tblLayout w:type="fixed"/>
        </w:tblPrEx>
        <w:trPr>
          <w:trHeight w:val="299"/>
        </w:trPr>
        <w:tc>
          <w:tcPr>
            <w:tcW w:w="1887" w:type="dxa"/>
            <w:shd w:val="clear" w:color="auto" w:fill="C30F1B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shd w:val="clear" w:color="auto" w:fill="C30F1B"/>
            <w:vAlign w:val="top"/>
          </w:tcPr>
          <w:p>
            <w:pPr>
              <w:spacing w:before="126" w:line="189" w:lineRule="auto"/>
              <w:ind w:left="54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18"/>
                <w:szCs w:val="18"/>
              </w:rPr>
              <w:t>2021</w:t>
            </w:r>
          </w:p>
        </w:tc>
        <w:tc>
          <w:tcPr>
            <w:tcW w:w="1004" w:type="dxa"/>
            <w:shd w:val="clear" w:color="auto" w:fill="C30F1B"/>
            <w:vAlign w:val="top"/>
          </w:tcPr>
          <w:p>
            <w:pPr>
              <w:spacing w:before="126" w:line="189" w:lineRule="auto"/>
              <w:ind w:left="54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18"/>
                <w:szCs w:val="18"/>
              </w:rPr>
              <w:t>2022</w:t>
            </w:r>
          </w:p>
        </w:tc>
        <w:tc>
          <w:tcPr>
            <w:tcW w:w="1006" w:type="dxa"/>
            <w:shd w:val="clear" w:color="auto" w:fill="C30F1B"/>
            <w:vAlign w:val="top"/>
          </w:tcPr>
          <w:p>
            <w:pPr>
              <w:spacing w:before="126" w:line="189" w:lineRule="auto"/>
              <w:ind w:left="42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18"/>
                <w:szCs w:val="18"/>
              </w:rPr>
              <w:t>2023E</w:t>
            </w:r>
          </w:p>
        </w:tc>
        <w:tc>
          <w:tcPr>
            <w:tcW w:w="1003" w:type="dxa"/>
            <w:shd w:val="clear" w:color="auto" w:fill="C30F1B"/>
            <w:vAlign w:val="top"/>
          </w:tcPr>
          <w:p>
            <w:pPr>
              <w:spacing w:before="126" w:line="189" w:lineRule="auto"/>
              <w:ind w:left="42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18"/>
                <w:szCs w:val="18"/>
              </w:rPr>
              <w:t>2024E</w:t>
            </w:r>
          </w:p>
        </w:tc>
        <w:tc>
          <w:tcPr>
            <w:tcW w:w="1026" w:type="dxa"/>
            <w:shd w:val="clear" w:color="auto" w:fill="C30F1B"/>
            <w:vAlign w:val="top"/>
          </w:tcPr>
          <w:p>
            <w:pPr>
              <w:spacing w:before="126" w:line="189" w:lineRule="auto"/>
              <w:ind w:left="42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18"/>
                <w:szCs w:val="18"/>
              </w:rPr>
              <w:t>2025E</w:t>
            </w:r>
          </w:p>
        </w:tc>
      </w:tr>
      <w:tr>
        <w:tblPrEx>
          <w:tblW w:w="6931" w:type="dxa"/>
          <w:tblInd w:w="643" w:type="dxa"/>
          <w:tblLayout w:type="fixed"/>
        </w:tblPrEx>
        <w:trPr>
          <w:trHeight w:val="304"/>
        </w:trPr>
        <w:tc>
          <w:tcPr>
            <w:tcW w:w="1887" w:type="dxa"/>
            <w:tcBorders>
              <w:bottom w:val="single" w:sz="8" w:space="0" w:color="000000"/>
            </w:tcBorders>
            <w:vAlign w:val="top"/>
          </w:tcPr>
          <w:p>
            <w:pPr>
              <w:pStyle w:val="TableText"/>
              <w:spacing w:before="101" w:line="197" w:lineRule="auto"/>
              <w:ind w:left="93"/>
              <w:rPr>
                <w:sz w:val="18"/>
                <w:szCs w:val="18"/>
              </w:rPr>
            </w:pPr>
            <w:r>
              <w:rPr>
                <w:color w:val="141B24"/>
                <w:spacing w:val="-4"/>
                <w:sz w:val="18"/>
                <w:szCs w:val="18"/>
              </w:rPr>
              <w:t>营业收入（百万元）</w:t>
            </w:r>
          </w:p>
        </w:tc>
        <w:tc>
          <w:tcPr>
            <w:tcW w:w="1005" w:type="dxa"/>
            <w:tcBorders>
              <w:bottom w:val="single" w:sz="8" w:space="0" w:color="000000"/>
            </w:tcBorders>
            <w:vAlign w:val="top"/>
          </w:tcPr>
          <w:p>
            <w:pPr>
              <w:spacing w:before="124" w:line="196" w:lineRule="auto"/>
              <w:ind w:left="41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3"/>
                <w:sz w:val="18"/>
                <w:szCs w:val="18"/>
              </w:rPr>
              <w:t>10,406</w:t>
            </w:r>
          </w:p>
        </w:tc>
        <w:tc>
          <w:tcPr>
            <w:tcW w:w="1004" w:type="dxa"/>
            <w:tcBorders>
              <w:bottom w:val="single" w:sz="8" w:space="0" w:color="000000"/>
            </w:tcBorders>
            <w:vAlign w:val="top"/>
          </w:tcPr>
          <w:p>
            <w:pPr>
              <w:spacing w:before="124" w:line="196" w:lineRule="auto"/>
              <w:ind w:left="41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3"/>
                <w:sz w:val="18"/>
                <w:szCs w:val="18"/>
              </w:rPr>
              <w:t>10,990</w:t>
            </w:r>
          </w:p>
        </w:tc>
        <w:tc>
          <w:tcPr>
            <w:tcW w:w="1006" w:type="dxa"/>
            <w:tcBorders>
              <w:bottom w:val="single" w:sz="8" w:space="0" w:color="000000"/>
            </w:tcBorders>
            <w:vAlign w:val="top"/>
          </w:tcPr>
          <w:p>
            <w:pPr>
              <w:spacing w:before="124" w:line="196" w:lineRule="auto"/>
              <w:ind w:left="41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3"/>
                <w:sz w:val="18"/>
                <w:szCs w:val="18"/>
              </w:rPr>
              <w:t>16,223</w:t>
            </w:r>
          </w:p>
        </w:tc>
        <w:tc>
          <w:tcPr>
            <w:tcW w:w="1003" w:type="dxa"/>
            <w:tcBorders>
              <w:bottom w:val="single" w:sz="8" w:space="0" w:color="000000"/>
            </w:tcBorders>
            <w:vAlign w:val="top"/>
          </w:tcPr>
          <w:p>
            <w:pPr>
              <w:spacing w:before="124" w:line="196" w:lineRule="auto"/>
              <w:ind w:left="41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3"/>
                <w:sz w:val="18"/>
                <w:szCs w:val="18"/>
              </w:rPr>
              <w:t>18,736</w:t>
            </w:r>
          </w:p>
        </w:tc>
        <w:tc>
          <w:tcPr>
            <w:tcW w:w="1026" w:type="dxa"/>
            <w:tcBorders>
              <w:bottom w:val="single" w:sz="8" w:space="0" w:color="000000"/>
            </w:tcBorders>
            <w:vAlign w:val="top"/>
          </w:tcPr>
          <w:p>
            <w:pPr>
              <w:spacing w:before="124" w:line="196" w:lineRule="auto"/>
              <w:ind w:left="40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1"/>
                <w:sz w:val="18"/>
                <w:szCs w:val="18"/>
              </w:rPr>
              <w:t>20,820</w:t>
            </w:r>
          </w:p>
        </w:tc>
      </w:tr>
      <w:tr>
        <w:tblPrEx>
          <w:tblW w:w="6931" w:type="dxa"/>
          <w:tblInd w:w="643" w:type="dxa"/>
          <w:tblLayout w:type="fixed"/>
        </w:tblPrEx>
        <w:trPr>
          <w:trHeight w:val="289"/>
        </w:trPr>
        <w:tc>
          <w:tcPr>
            <w:tcW w:w="1887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pStyle w:val="TableText"/>
              <w:spacing w:before="86" w:line="197" w:lineRule="auto"/>
              <w:ind w:left="82"/>
              <w:rPr>
                <w:sz w:val="18"/>
                <w:szCs w:val="18"/>
              </w:rPr>
            </w:pPr>
            <w:r>
              <w:rPr>
                <w:color w:val="141B24"/>
                <w:spacing w:val="-2"/>
                <w:sz w:val="18"/>
                <w:szCs w:val="18"/>
              </w:rPr>
              <w:t>增长率</w:t>
            </w:r>
          </w:p>
        </w:tc>
        <w:tc>
          <w:tcPr>
            <w:tcW w:w="1005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0" w:line="195" w:lineRule="auto"/>
              <w:ind w:left="43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1"/>
                <w:sz w:val="18"/>
                <w:szCs w:val="18"/>
              </w:rPr>
              <w:t>47.2%</w:t>
            </w:r>
          </w:p>
        </w:tc>
        <w:tc>
          <w:tcPr>
            <w:tcW w:w="1004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0" w:line="195" w:lineRule="auto"/>
              <w:ind w:left="54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5.6%</w:t>
            </w:r>
          </w:p>
        </w:tc>
        <w:tc>
          <w:tcPr>
            <w:tcW w:w="100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0" w:line="195" w:lineRule="auto"/>
              <w:ind w:left="43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1"/>
                <w:sz w:val="18"/>
                <w:szCs w:val="18"/>
              </w:rPr>
              <w:t>47.6%</w:t>
            </w:r>
          </w:p>
        </w:tc>
        <w:tc>
          <w:tcPr>
            <w:tcW w:w="1003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0" w:line="195" w:lineRule="auto"/>
              <w:ind w:left="45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4"/>
                <w:sz w:val="18"/>
                <w:szCs w:val="18"/>
              </w:rPr>
              <w:t>15.5%</w:t>
            </w:r>
          </w:p>
        </w:tc>
        <w:tc>
          <w:tcPr>
            <w:tcW w:w="102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0" w:line="195" w:lineRule="auto"/>
              <w:ind w:left="46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7"/>
                <w:sz w:val="18"/>
                <w:szCs w:val="18"/>
              </w:rPr>
              <w:t>11.1%</w:t>
            </w:r>
          </w:p>
        </w:tc>
      </w:tr>
      <w:tr>
        <w:tblPrEx>
          <w:tblW w:w="6931" w:type="dxa"/>
          <w:tblInd w:w="643" w:type="dxa"/>
          <w:tblLayout w:type="fixed"/>
        </w:tblPrEx>
        <w:trPr>
          <w:trHeight w:val="289"/>
        </w:trPr>
        <w:tc>
          <w:tcPr>
            <w:tcW w:w="1887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pStyle w:val="TableText"/>
              <w:spacing w:before="87" w:line="196" w:lineRule="auto"/>
              <w:ind w:left="9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color w:val="141B24"/>
                <w:spacing w:val="-4"/>
                <w:sz w:val="18"/>
                <w:szCs w:val="18"/>
              </w:rPr>
              <w:t>归母净利润</w:t>
            </w:r>
            <w:r>
              <w:rPr>
                <w:color w:val="141B24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141B24"/>
                <w:spacing w:val="-4"/>
                <w:sz w:val="18"/>
                <w:szCs w:val="18"/>
              </w:rPr>
              <w:t>(</w:t>
            </w:r>
            <w:r>
              <w:rPr>
                <w:color w:val="141B24"/>
                <w:spacing w:val="-4"/>
                <w:sz w:val="18"/>
                <w:szCs w:val="18"/>
              </w:rPr>
              <w:t>百万元</w:t>
            </w:r>
            <w:r>
              <w:rPr>
                <w:rFonts w:ascii="Arial" w:eastAsia="Arial" w:hAnsi="Arial" w:cs="Arial"/>
                <w:color w:val="141B24"/>
                <w:spacing w:val="-4"/>
                <w:sz w:val="18"/>
                <w:szCs w:val="18"/>
              </w:rPr>
              <w:t>)</w:t>
            </w:r>
          </w:p>
        </w:tc>
        <w:tc>
          <w:tcPr>
            <w:tcW w:w="1005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3" w:line="192" w:lineRule="auto"/>
              <w:ind w:left="65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364</w:t>
            </w:r>
          </w:p>
        </w:tc>
        <w:tc>
          <w:tcPr>
            <w:tcW w:w="1004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3" w:line="192" w:lineRule="auto"/>
              <w:ind w:left="64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1"/>
                <w:sz w:val="18"/>
                <w:szCs w:val="18"/>
              </w:rPr>
              <w:t>460</w:t>
            </w:r>
          </w:p>
        </w:tc>
        <w:tc>
          <w:tcPr>
            <w:tcW w:w="100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3" w:line="192" w:lineRule="auto"/>
              <w:ind w:left="65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710</w:t>
            </w:r>
          </w:p>
        </w:tc>
        <w:tc>
          <w:tcPr>
            <w:tcW w:w="1003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3" w:line="192" w:lineRule="auto"/>
              <w:ind w:left="65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819</w:t>
            </w:r>
          </w:p>
        </w:tc>
        <w:tc>
          <w:tcPr>
            <w:tcW w:w="102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3" w:line="192" w:lineRule="auto"/>
              <w:ind w:left="65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928</w:t>
            </w:r>
          </w:p>
        </w:tc>
      </w:tr>
      <w:tr>
        <w:tblPrEx>
          <w:tblW w:w="6931" w:type="dxa"/>
          <w:tblInd w:w="643" w:type="dxa"/>
          <w:tblLayout w:type="fixed"/>
        </w:tblPrEx>
        <w:trPr>
          <w:trHeight w:val="289"/>
        </w:trPr>
        <w:tc>
          <w:tcPr>
            <w:tcW w:w="1887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pStyle w:val="TableText"/>
              <w:spacing w:before="88" w:line="195" w:lineRule="auto"/>
              <w:ind w:left="82"/>
              <w:rPr>
                <w:sz w:val="18"/>
                <w:szCs w:val="18"/>
              </w:rPr>
            </w:pPr>
            <w:r>
              <w:rPr>
                <w:color w:val="141B24"/>
                <w:spacing w:val="-2"/>
                <w:sz w:val="18"/>
                <w:szCs w:val="18"/>
              </w:rPr>
              <w:t>增长率</w:t>
            </w:r>
          </w:p>
        </w:tc>
        <w:tc>
          <w:tcPr>
            <w:tcW w:w="1005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2" w:line="193" w:lineRule="auto"/>
              <w:ind w:left="5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0.6%</w:t>
            </w:r>
          </w:p>
        </w:tc>
        <w:tc>
          <w:tcPr>
            <w:tcW w:w="1004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2" w:line="193" w:lineRule="auto"/>
              <w:ind w:left="43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1"/>
                <w:sz w:val="18"/>
                <w:szCs w:val="18"/>
              </w:rPr>
              <w:t>26.4%</w:t>
            </w:r>
          </w:p>
        </w:tc>
        <w:tc>
          <w:tcPr>
            <w:tcW w:w="100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2" w:line="193" w:lineRule="auto"/>
              <w:ind w:left="44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54.2%</w:t>
            </w:r>
          </w:p>
        </w:tc>
        <w:tc>
          <w:tcPr>
            <w:tcW w:w="1003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2" w:line="193" w:lineRule="auto"/>
              <w:ind w:left="45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4"/>
                <w:sz w:val="18"/>
                <w:szCs w:val="18"/>
              </w:rPr>
              <w:t>15.3%</w:t>
            </w:r>
          </w:p>
        </w:tc>
        <w:tc>
          <w:tcPr>
            <w:tcW w:w="102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2" w:line="193" w:lineRule="auto"/>
              <w:ind w:left="45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4"/>
                <w:sz w:val="18"/>
                <w:szCs w:val="18"/>
              </w:rPr>
              <w:t>13.4%</w:t>
            </w:r>
          </w:p>
        </w:tc>
      </w:tr>
      <w:tr>
        <w:tblPrEx>
          <w:tblW w:w="6931" w:type="dxa"/>
          <w:tblInd w:w="643" w:type="dxa"/>
          <w:tblLayout w:type="fixed"/>
        </w:tblPrEx>
        <w:trPr>
          <w:trHeight w:val="289"/>
        </w:trPr>
        <w:tc>
          <w:tcPr>
            <w:tcW w:w="1887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pStyle w:val="TableText"/>
              <w:spacing w:before="88" w:line="195" w:lineRule="auto"/>
              <w:ind w:left="78"/>
              <w:rPr>
                <w:sz w:val="18"/>
                <w:szCs w:val="18"/>
              </w:rPr>
            </w:pPr>
            <w:r>
              <w:rPr>
                <w:color w:val="141B24"/>
                <w:spacing w:val="-1"/>
                <w:sz w:val="18"/>
                <w:szCs w:val="18"/>
              </w:rPr>
              <w:t>每股收益（</w:t>
            </w:r>
            <w:r>
              <w:rPr>
                <w:rFonts w:ascii="Arial" w:eastAsia="Arial" w:hAnsi="Arial" w:cs="Arial"/>
                <w:color w:val="141B24"/>
                <w:spacing w:val="-1"/>
                <w:sz w:val="18"/>
                <w:szCs w:val="18"/>
              </w:rPr>
              <w:t>EPS</w:t>
            </w:r>
            <w:r>
              <w:rPr>
                <w:color w:val="141B24"/>
                <w:spacing w:val="-1"/>
                <w:sz w:val="18"/>
                <w:szCs w:val="18"/>
              </w:rPr>
              <w:t>）</w:t>
            </w:r>
          </w:p>
        </w:tc>
        <w:tc>
          <w:tcPr>
            <w:tcW w:w="1005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4" w:line="191" w:lineRule="auto"/>
              <w:ind w:left="6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0.47</w:t>
            </w:r>
          </w:p>
        </w:tc>
        <w:tc>
          <w:tcPr>
            <w:tcW w:w="1004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4" w:line="191" w:lineRule="auto"/>
              <w:ind w:left="60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0.59</w:t>
            </w:r>
          </w:p>
        </w:tc>
        <w:tc>
          <w:tcPr>
            <w:tcW w:w="100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4" w:line="191" w:lineRule="auto"/>
              <w:ind w:left="60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0.91</w:t>
            </w:r>
          </w:p>
        </w:tc>
        <w:tc>
          <w:tcPr>
            <w:tcW w:w="1003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4" w:line="191" w:lineRule="auto"/>
              <w:ind w:left="6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5"/>
                <w:sz w:val="18"/>
                <w:szCs w:val="18"/>
              </w:rPr>
              <w:t>1.05</w:t>
            </w:r>
          </w:p>
        </w:tc>
        <w:tc>
          <w:tcPr>
            <w:tcW w:w="102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4" w:line="191" w:lineRule="auto"/>
              <w:ind w:left="61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5"/>
                <w:sz w:val="18"/>
                <w:szCs w:val="18"/>
              </w:rPr>
              <w:t>1.19</w:t>
            </w:r>
          </w:p>
        </w:tc>
      </w:tr>
      <w:tr>
        <w:tblPrEx>
          <w:tblW w:w="6931" w:type="dxa"/>
          <w:tblInd w:w="643" w:type="dxa"/>
          <w:tblLayout w:type="fixed"/>
        </w:tblPrEx>
        <w:trPr>
          <w:trHeight w:val="291"/>
        </w:trPr>
        <w:tc>
          <w:tcPr>
            <w:tcW w:w="1887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pStyle w:val="TableText"/>
              <w:spacing w:before="91" w:line="194" w:lineRule="auto"/>
              <w:ind w:left="83"/>
              <w:rPr>
                <w:sz w:val="18"/>
                <w:szCs w:val="18"/>
              </w:rPr>
            </w:pPr>
            <w:r>
              <w:rPr>
                <w:color w:val="141B24"/>
                <w:spacing w:val="-1"/>
                <w:sz w:val="18"/>
                <w:szCs w:val="18"/>
              </w:rPr>
              <w:t>市盈率（</w:t>
            </w:r>
            <w:r>
              <w:rPr>
                <w:rFonts w:ascii="Arial" w:eastAsia="Arial" w:hAnsi="Arial" w:cs="Arial"/>
                <w:color w:val="141B24"/>
                <w:spacing w:val="-1"/>
                <w:sz w:val="18"/>
                <w:szCs w:val="18"/>
              </w:rPr>
              <w:t>P/E</w:t>
            </w:r>
            <w:r>
              <w:rPr>
                <w:color w:val="141B24"/>
                <w:spacing w:val="-1"/>
                <w:sz w:val="18"/>
                <w:szCs w:val="18"/>
              </w:rPr>
              <w:t>）</w:t>
            </w:r>
          </w:p>
        </w:tc>
        <w:tc>
          <w:tcPr>
            <w:tcW w:w="1005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7" w:line="190" w:lineRule="auto"/>
              <w:ind w:left="59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27.7</w:t>
            </w:r>
          </w:p>
        </w:tc>
        <w:tc>
          <w:tcPr>
            <w:tcW w:w="1004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7" w:line="190" w:lineRule="auto"/>
              <w:ind w:left="59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21.9</w:t>
            </w:r>
          </w:p>
        </w:tc>
        <w:tc>
          <w:tcPr>
            <w:tcW w:w="100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7" w:line="190" w:lineRule="auto"/>
              <w:ind w:left="61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5"/>
                <w:sz w:val="18"/>
                <w:szCs w:val="18"/>
              </w:rPr>
              <w:t>14.2</w:t>
            </w:r>
          </w:p>
        </w:tc>
        <w:tc>
          <w:tcPr>
            <w:tcW w:w="1003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7" w:line="190" w:lineRule="auto"/>
              <w:ind w:left="6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5"/>
                <w:sz w:val="18"/>
                <w:szCs w:val="18"/>
              </w:rPr>
              <w:t>12.3</w:t>
            </w:r>
          </w:p>
        </w:tc>
        <w:tc>
          <w:tcPr>
            <w:tcW w:w="102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7" w:line="190" w:lineRule="auto"/>
              <w:ind w:left="61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5"/>
                <w:sz w:val="18"/>
                <w:szCs w:val="18"/>
              </w:rPr>
              <w:t>10.9</w:t>
            </w:r>
          </w:p>
        </w:tc>
      </w:tr>
      <w:tr>
        <w:tblPrEx>
          <w:tblW w:w="6931" w:type="dxa"/>
          <w:tblInd w:w="643" w:type="dxa"/>
          <w:tblLayout w:type="fixed"/>
        </w:tblPrEx>
        <w:trPr>
          <w:trHeight w:val="294"/>
        </w:trPr>
        <w:tc>
          <w:tcPr>
            <w:tcW w:w="1887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pStyle w:val="TableText"/>
              <w:spacing w:before="90" w:line="198" w:lineRule="auto"/>
              <w:ind w:left="83"/>
              <w:rPr>
                <w:sz w:val="18"/>
                <w:szCs w:val="18"/>
              </w:rPr>
            </w:pPr>
            <w:r>
              <w:rPr>
                <w:color w:val="141B24"/>
                <w:spacing w:val="-1"/>
                <w:sz w:val="18"/>
                <w:szCs w:val="18"/>
              </w:rPr>
              <w:t>市净率（</w:t>
            </w:r>
            <w:r>
              <w:rPr>
                <w:rFonts w:ascii="Arial" w:eastAsia="Arial" w:hAnsi="Arial" w:cs="Arial"/>
                <w:color w:val="141B24"/>
                <w:spacing w:val="-1"/>
                <w:sz w:val="18"/>
                <w:szCs w:val="18"/>
              </w:rPr>
              <w:t>P/B</w:t>
            </w:r>
            <w:r>
              <w:rPr>
                <w:color w:val="141B24"/>
                <w:spacing w:val="-1"/>
                <w:sz w:val="18"/>
                <w:szCs w:val="18"/>
              </w:rPr>
              <w:t>）</w:t>
            </w:r>
          </w:p>
        </w:tc>
        <w:tc>
          <w:tcPr>
            <w:tcW w:w="1005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6" w:line="194" w:lineRule="auto"/>
              <w:ind w:left="7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3"/>
                <w:sz w:val="18"/>
                <w:szCs w:val="18"/>
              </w:rPr>
              <w:t>3.1</w:t>
            </w:r>
          </w:p>
        </w:tc>
        <w:tc>
          <w:tcPr>
            <w:tcW w:w="1004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6" w:line="194" w:lineRule="auto"/>
              <w:ind w:left="70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3"/>
                <w:sz w:val="18"/>
                <w:szCs w:val="18"/>
              </w:rPr>
              <w:t>3.0</w:t>
            </w:r>
          </w:p>
        </w:tc>
        <w:tc>
          <w:tcPr>
            <w:tcW w:w="100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5" w:line="194" w:lineRule="auto"/>
              <w:ind w:left="70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2.5</w:t>
            </w:r>
          </w:p>
        </w:tc>
        <w:tc>
          <w:tcPr>
            <w:tcW w:w="1003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5" w:line="194" w:lineRule="auto"/>
              <w:ind w:left="69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2"/>
                <w:sz w:val="18"/>
                <w:szCs w:val="18"/>
              </w:rPr>
              <w:t>2.0</w:t>
            </w:r>
          </w:p>
        </w:tc>
        <w:tc>
          <w:tcPr>
            <w:tcW w:w="1026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116" w:line="194" w:lineRule="auto"/>
              <w:ind w:left="71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41B24"/>
                <w:spacing w:val="-7"/>
                <w:sz w:val="18"/>
                <w:szCs w:val="18"/>
              </w:rPr>
              <w:t>1.7</w:t>
            </w:r>
          </w:p>
        </w:tc>
      </w:tr>
    </w:tbl>
    <w:p>
      <w:pPr>
        <w:pStyle w:val="BodyText"/>
        <w:spacing w:before="77" w:line="186" w:lineRule="auto"/>
        <w:ind w:left="661"/>
        <w:rPr>
          <w:sz w:val="15"/>
          <w:szCs w:val="15"/>
        </w:rPr>
      </w:pPr>
      <w:r>
        <w:rPr>
          <w:spacing w:val="-3"/>
          <w:sz w:val="15"/>
          <w:szCs w:val="15"/>
        </w:rPr>
        <w:t>数据来源：</w:t>
      </w:r>
      <w:r>
        <w:rPr>
          <w:spacing w:val="-17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公司财务报表，西部证券研发中心</w:t>
      </w:r>
    </w:p>
    <w:p>
      <w:pPr>
        <w:spacing w:line="14" w:lineRule="auto"/>
        <w:rPr>
          <w:rFonts w:ascii="Arial"/>
          <w:sz w:val="2"/>
        </w:rPr>
        <w:sectPr>
          <w:footerReference w:type="default" r:id="rId12"/>
          <w:type w:val="continuous"/>
          <w:pgSz w:w="11907" w:h="16839"/>
          <w:pgMar w:top="12" w:right="0" w:bottom="867" w:left="0" w:header="0" w:footer="21" w:gutter="0"/>
          <w:pgNumType w:start="4"/>
          <w:cols w:num="2" w:space="708" w:equalWidth="0">
            <w:col w:w="7908" w:space="100"/>
            <w:col w:w="3899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53" w:line="216" w:lineRule="auto"/>
        <w:ind w:left="257"/>
        <w:rPr>
          <w:rFonts w:ascii="Arial" w:eastAsia="Arial" w:hAnsi="Arial" w:cs="Arial"/>
        </w:rPr>
      </w:pPr>
      <w:r>
        <w:rPr>
          <w:spacing w:val="-1"/>
        </w:rPr>
        <w:t>股票代码</w:t>
      </w:r>
      <w:r>
        <w:rPr>
          <w:spacing w:val="-1"/>
        </w:rPr>
        <w:t xml:space="preserve">            </w:t>
      </w:r>
      <w:r>
        <w:rPr>
          <w:rFonts w:ascii="Arial" w:eastAsia="Arial" w:hAnsi="Arial" w:cs="Arial"/>
          <w:spacing w:val="-1"/>
        </w:rPr>
        <w:t>605599.SH</w:t>
      </w:r>
    </w:p>
    <w:p>
      <w:pPr>
        <w:pStyle w:val="BodyText"/>
        <w:spacing w:before="132" w:line="216" w:lineRule="auto"/>
        <w:ind w:left="263"/>
      </w:pPr>
      <w:r>
        <w:pict>
          <v:shape id="_x0000_s1031" type="#_x0000_t202" style="width:7.1pt;height:6.15pt;margin-top:9.35pt;margin-left:91.81pt;position:absolute;z-index:251671552" filled="f" stroked="f">
            <o:lock v:ext="edit" aspectratio="f"/>
            <v:textbox inset="0,0,0,0">
              <w:txbxContent>
                <w:p>
                  <w:pPr>
                    <w:spacing w:before="20" w:line="82" w:lineRule="exact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position w:val="-2"/>
                      <w:sz w:val="16"/>
                      <w:szCs w:val="16"/>
                    </w:rPr>
                    <w:t>--</w:t>
                  </w:r>
                </w:p>
              </w:txbxContent>
            </v:textbox>
          </v:shape>
        </w:pict>
      </w:r>
      <w:r>
        <w:rPr>
          <w:spacing w:val="-2"/>
        </w:rPr>
        <w:t>前次评级</w:t>
      </w:r>
    </w:p>
    <w:p>
      <w:pPr>
        <w:pStyle w:val="BodyText"/>
        <w:spacing w:before="146" w:line="216" w:lineRule="auto"/>
        <w:ind w:left="261"/>
      </w:pPr>
      <w:r>
        <w:pict>
          <v:shape id="_x0000_s1032" type="#_x0000_t202" style="width:17.6pt;height:11.75pt;margin-top:6.32pt;margin-left:92.06pt;position:absolute;z-index:2516695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4" w:lineRule="auto"/>
                    <w:ind w:left="20"/>
                  </w:pPr>
                  <w:r>
                    <w:rPr>
                      <w:spacing w:val="-3"/>
                    </w:rPr>
                    <w:t>首次</w:t>
                  </w:r>
                </w:p>
              </w:txbxContent>
            </v:textbox>
          </v:shape>
        </w:pict>
      </w:r>
      <w:r>
        <w:rPr>
          <w:spacing w:val="-1"/>
        </w:rPr>
        <w:t>评级变动</w:t>
      </w:r>
    </w:p>
    <w:p>
      <w:pPr>
        <w:pStyle w:val="BodyText"/>
        <w:spacing w:before="147" w:line="220" w:lineRule="auto"/>
        <w:ind w:left="280"/>
      </w:pPr>
      <w:r>
        <w:pict>
          <v:shape id="_x0000_s1033" type="#_x0000_t202" style="width:21.2pt;height:9.5pt;margin-top:6.74pt;margin-left:92.43pt;position:absolute;z-index:251670528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6"/>
                      <w:szCs w:val="16"/>
                    </w:rPr>
                    <w:t>12.98</w:t>
                  </w:r>
                </w:p>
              </w:txbxContent>
            </v:textbox>
          </v:shape>
        </w:pict>
      </w:r>
      <w:r>
        <w:rPr>
          <w:spacing w:val="-5"/>
        </w:rPr>
        <w:t>当前价格</w:t>
      </w:r>
    </w:p>
    <w:p>
      <w:pPr>
        <w:pStyle w:val="BodyText"/>
        <w:spacing w:before="155" w:line="218" w:lineRule="auto"/>
        <w:ind w:left="20"/>
      </w:pPr>
      <w:r>
        <w:rPr>
          <w:color w:val="1C2632"/>
          <w:spacing w:val="-1"/>
          <w14:textOutline w14:w="2917">
            <w14:solidFill>
              <w14:srgbClr w14:val="1C2632"/>
            </w14:solidFill>
            <w14:prstDash w14:val="solid"/>
            <w14:miter w14:lim="10"/>
          </w14:textOutline>
        </w:rPr>
        <w:t>近一年股价走势</w:t>
      </w:r>
    </w:p>
    <w:p>
      <w:pPr>
        <w:pStyle w:val="BodyText"/>
        <w:spacing w:before="116" w:line="214" w:lineRule="auto"/>
        <w:ind w:left="132"/>
        <w:rPr>
          <w:rFonts w:ascii="Arial" w:eastAsia="Arial" w:hAnsi="Arial" w:cs="Arial"/>
          <w:sz w:val="12"/>
          <w:szCs w:val="12"/>
        </w:rPr>
      </w:pPr>
      <w:r>
        <w:rPr>
          <w:position w:val="2"/>
          <w:sz w:val="12"/>
          <w:szCs w:val="12"/>
        </w:rPr>
        <w:drawing>
          <wp:inline distT="0" distB="0" distL="0" distR="0">
            <wp:extent cx="256032" cy="1219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sz w:val="12"/>
          <w:szCs w:val="12"/>
        </w:rPr>
        <w:t xml:space="preserve"> </w:t>
      </w:r>
      <w:r>
        <w:rPr>
          <w:spacing w:val="-2"/>
          <w:sz w:val="12"/>
          <w:szCs w:val="12"/>
        </w:rPr>
        <w:t>菜百股份</w:t>
      </w:r>
      <w:r>
        <w:rPr>
          <w:spacing w:val="-2"/>
          <w:sz w:val="12"/>
          <w:szCs w:val="12"/>
        </w:rPr>
        <w:t xml:space="preserve"> </w:t>
      </w:r>
      <w:r>
        <w:rPr>
          <w:position w:val="2"/>
          <w:sz w:val="12"/>
          <w:szCs w:val="12"/>
        </w:rPr>
        <w:drawing>
          <wp:inline distT="0" distB="0" distL="0" distR="0">
            <wp:extent cx="256032" cy="1219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2"/>
          <w:sz w:val="12"/>
          <w:szCs w:val="12"/>
        </w:rPr>
        <w:t xml:space="preserve"> </w:t>
      </w:r>
      <w:r>
        <w:rPr>
          <w:spacing w:val="-2"/>
          <w:sz w:val="12"/>
          <w:szCs w:val="12"/>
        </w:rPr>
        <w:t>钟表珠宝</w:t>
      </w:r>
      <w:r>
        <w:rPr>
          <w:spacing w:val="-2"/>
          <w:sz w:val="12"/>
          <w:szCs w:val="12"/>
        </w:rPr>
        <w:t xml:space="preserve"> </w:t>
      </w:r>
      <w:r>
        <w:rPr>
          <w:strike/>
          <w:spacing w:val="7"/>
          <w:sz w:val="12"/>
          <w:szCs w:val="12"/>
        </w:rPr>
        <w:t xml:space="preserve">      </w:t>
      </w:r>
      <w:r>
        <w:rPr>
          <w:spacing w:val="-13"/>
          <w:sz w:val="12"/>
          <w:szCs w:val="12"/>
        </w:rPr>
        <w:t xml:space="preserve"> </w:t>
      </w:r>
      <w:r>
        <w:rPr>
          <w:spacing w:val="-2"/>
          <w:sz w:val="12"/>
          <w:szCs w:val="12"/>
        </w:rPr>
        <w:t>沪深</w:t>
      </w:r>
      <w:r>
        <w:rPr>
          <w:rFonts w:ascii="Arial" w:eastAsia="Arial" w:hAnsi="Arial" w:cs="Arial"/>
          <w:spacing w:val="-2"/>
          <w:sz w:val="12"/>
          <w:szCs w:val="12"/>
        </w:rPr>
        <w:t>300</w:t>
      </w:r>
    </w:p>
    <w:p>
      <w:pPr>
        <w:spacing w:before="200" w:line="213" w:lineRule="exact"/>
        <w:ind w:left="177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1"/>
          <w:position w:val="8"/>
          <w:sz w:val="12"/>
          <w:szCs w:val="12"/>
        </w:rPr>
        <w:t>50%</w:t>
      </w:r>
    </w:p>
    <w:p>
      <w:pPr>
        <w:spacing w:line="195" w:lineRule="auto"/>
        <w:ind w:left="177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1"/>
          <w:sz w:val="12"/>
          <w:szCs w:val="12"/>
        </w:rPr>
        <w:t>38%</w:t>
      </w:r>
    </w:p>
    <w:p>
      <w:pPr>
        <w:spacing w:before="100" w:line="196" w:lineRule="auto"/>
        <w:ind w:left="176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1"/>
          <w:sz w:val="12"/>
          <w:szCs w:val="12"/>
        </w:rPr>
        <w:t>26%</w:t>
      </w:r>
    </w:p>
    <w:p>
      <w:pPr>
        <w:spacing w:before="100" w:line="196" w:lineRule="auto"/>
        <w:ind w:left="185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3"/>
          <w:sz w:val="12"/>
          <w:szCs w:val="12"/>
        </w:rPr>
        <w:t>14%</w:t>
      </w:r>
    </w:p>
    <w:p>
      <w:pPr>
        <w:spacing w:before="100" w:line="196" w:lineRule="auto"/>
        <w:ind w:left="243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1"/>
          <w:sz w:val="12"/>
          <w:szCs w:val="12"/>
        </w:rPr>
        <w:t>2%</w:t>
      </w:r>
    </w:p>
    <w:p>
      <w:pPr>
        <w:spacing w:before="100" w:line="196" w:lineRule="auto"/>
        <w:ind w:left="136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2"/>
          <w:sz w:val="12"/>
          <w:szCs w:val="12"/>
        </w:rPr>
        <w:t>-10%</w:t>
      </w:r>
    </w:p>
    <w:p>
      <w:pPr>
        <w:spacing w:before="100" w:line="196" w:lineRule="auto"/>
        <w:ind w:left="136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2"/>
          <w:sz w:val="12"/>
          <w:szCs w:val="12"/>
        </w:rPr>
        <w:t>-22%</w:t>
      </w:r>
    </w:p>
    <w:p>
      <w:pPr>
        <w:spacing w:before="32" w:line="194" w:lineRule="auto"/>
        <w:ind w:left="302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1"/>
          <w:sz w:val="12"/>
          <w:szCs w:val="12"/>
        </w:rPr>
        <w:t>2023-02</w:t>
      </w:r>
      <w:r>
        <w:rPr>
          <w:rFonts w:ascii="Arial" w:eastAsia="Arial" w:hAnsi="Arial" w:cs="Arial"/>
          <w:spacing w:val="3"/>
          <w:sz w:val="12"/>
          <w:szCs w:val="12"/>
        </w:rPr>
        <w:t xml:space="preserve">        </w:t>
      </w:r>
      <w:r>
        <w:rPr>
          <w:rFonts w:ascii="Arial" w:eastAsia="Arial" w:hAnsi="Arial" w:cs="Arial"/>
          <w:spacing w:val="-1"/>
          <w:sz w:val="12"/>
          <w:szCs w:val="12"/>
        </w:rPr>
        <w:t>2023-06</w:t>
      </w:r>
      <w:r>
        <w:rPr>
          <w:rFonts w:ascii="Arial" w:eastAsia="Arial" w:hAnsi="Arial" w:cs="Arial"/>
          <w:spacing w:val="2"/>
          <w:sz w:val="12"/>
          <w:szCs w:val="12"/>
        </w:rPr>
        <w:t xml:space="preserve">        </w:t>
      </w:r>
      <w:r>
        <w:rPr>
          <w:rFonts w:ascii="Arial" w:eastAsia="Arial" w:hAnsi="Arial" w:cs="Arial"/>
          <w:spacing w:val="-1"/>
          <w:sz w:val="12"/>
          <w:szCs w:val="12"/>
        </w:rPr>
        <w:t>2023-10</w:t>
      </w:r>
    </w:p>
    <w:p>
      <w:pPr>
        <w:spacing w:before="17"/>
      </w:pPr>
    </w:p>
    <w:tbl>
      <w:tblPr>
        <w:tblStyle w:val="TableNormal0"/>
        <w:tblW w:w="3184" w:type="dxa"/>
        <w:tblInd w:w="1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184"/>
      </w:tblGrid>
      <w:tr>
        <w:tblPrEx>
          <w:tblW w:w="3184" w:type="dxa"/>
          <w:tblInd w:w="1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8"/>
        </w:trPr>
        <w:tc>
          <w:tcPr>
            <w:tcW w:w="3184" w:type="dxa"/>
            <w:tcBorders>
              <w:top w:val="single" w:sz="2" w:space="0" w:color="808080"/>
              <w:bottom w:val="single" w:sz="2" w:space="0" w:color="808080"/>
            </w:tcBorders>
            <w:vAlign w:val="top"/>
          </w:tcPr>
          <w:p>
            <w:pPr>
              <w:pStyle w:val="TableText"/>
              <w:spacing w:before="49" w:line="218" w:lineRule="auto"/>
              <w:ind w:left="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分析师</w:t>
            </w:r>
          </w:p>
        </w:tc>
      </w:tr>
      <w:tr>
        <w:tblPrEx>
          <w:tblW w:w="3184" w:type="dxa"/>
          <w:tblInd w:w="13" w:type="dxa"/>
          <w:tblLayout w:type="fixed"/>
        </w:tblPrEx>
        <w:trPr>
          <w:trHeight w:val="875"/>
        </w:trPr>
        <w:tc>
          <w:tcPr>
            <w:tcW w:w="3184" w:type="dxa"/>
            <w:tcBorders>
              <w:top w:val="single" w:sz="2" w:space="0" w:color="80808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35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147954" cy="147609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954" cy="147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5"/>
                <w:sz w:val="16"/>
                <w:szCs w:val="16"/>
              </w:rPr>
              <w:t xml:space="preserve">  </w:t>
            </w:r>
            <w:r>
              <w:rPr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李雯</w:t>
            </w:r>
            <w:r>
              <w:rPr>
                <w:spacing w:val="1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</w:rPr>
              <w:t>S0800523020002</w:t>
            </w:r>
          </w:p>
          <w:p>
            <w:pPr>
              <w:spacing w:line="241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drawing>
                <wp:inline distT="0" distB="0" distL="0" distR="0">
                  <wp:extent cx="147954" cy="147954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954" cy="1479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8"/>
                <w:sz w:val="13"/>
                <w:szCs w:val="13"/>
              </w:rPr>
              <w:t xml:space="preserve">    </w:t>
            </w:r>
            <w:r>
              <w:rPr>
                <w:rFonts w:ascii="Arial" w:eastAsia="Arial" w:hAnsi="Arial" w:cs="Arial"/>
                <w:spacing w:val="4"/>
                <w:sz w:val="13"/>
                <w:szCs w:val="13"/>
              </w:rPr>
              <w:t>13418643430</w:t>
            </w:r>
          </w:p>
          <w:p>
            <w:pPr>
              <w:spacing w:before="2" w:line="264" w:lineRule="exac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position w:val="-2"/>
                <w:sz w:val="13"/>
                <w:szCs w:val="13"/>
              </w:rPr>
              <w:drawing>
                <wp:inline distT="0" distB="0" distL="0" distR="0">
                  <wp:extent cx="147954" cy="147954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954" cy="1479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11"/>
                <w:position w:val="-2"/>
                <w:sz w:val="13"/>
                <w:szCs w:val="13"/>
              </w:rPr>
              <w:t xml:space="preserve">    </w:t>
            </w:r>
            <w:r>
              <w:rPr>
                <w:rFonts w:ascii="Arial" w:eastAsia="Arial" w:hAnsi="Arial" w:cs="Arial"/>
                <w:spacing w:val="4"/>
                <w:position w:val="-2"/>
                <w:sz w:val="13"/>
                <w:szCs w:val="13"/>
              </w:rPr>
              <w:t>liwen1@research.xbmail.com.cn</w:t>
            </w:r>
          </w:p>
        </w:tc>
      </w:tr>
      <w:tr>
        <w:tblPrEx>
          <w:tblW w:w="3184" w:type="dxa"/>
          <w:tblInd w:w="13" w:type="dxa"/>
          <w:tblLayout w:type="fixed"/>
        </w:tblPrEx>
        <w:trPr>
          <w:trHeight w:val="217"/>
        </w:trPr>
        <w:tc>
          <w:tcPr>
            <w:tcW w:w="31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6" w:line="208" w:lineRule="auto"/>
              <w:ind w:left="8"/>
              <w:rPr>
                <w:sz w:val="16"/>
                <w:szCs w:val="16"/>
              </w:rPr>
            </w:pPr>
            <w:r>
              <w:rPr>
                <w:color w:val="1C2632"/>
                <w:spacing w:val="-1"/>
                <w:sz w:val="16"/>
                <w:szCs w:val="16"/>
                <w14:textOutline w14:w="2917">
                  <w14:solidFill>
                    <w14:srgbClr w14:val="1C2632"/>
                  </w14:solidFill>
                  <w14:prstDash w14:val="solid"/>
                  <w14:miter w14:lim="10"/>
                </w14:textOutline>
              </w:rPr>
              <w:t>相关研究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8"/>
          <w:type w:val="nextPage"/>
          <w:pgSz w:w="11907" w:h="16839"/>
          <w:pgMar w:top="12" w:right="0" w:bottom="867" w:left="0" w:header="0" w:footer="21" w:gutter="0"/>
          <w:pgNumType w:start="5"/>
          <w:cols w:num="2" w:space="708" w:equalWidth="0">
            <w:col w:w="7908" w:space="100"/>
            <w:col w:w="3899" w:space="0"/>
          </w:cols>
          <w:titlePg w:val="0"/>
        </w:sectPr>
      </w:pPr>
    </w:p>
    <w:p>
      <w:pPr>
        <w:pStyle w:val="BodyText"/>
        <w:spacing w:before="271" w:line="623" w:lineRule="exact"/>
        <w:ind w:left="669"/>
        <w:rPr>
          <w:sz w:val="31"/>
          <w:szCs w:val="31"/>
        </w:rPr>
      </w:pPr>
      <w: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column">
                  <wp:posOffset>425450</wp:posOffset>
                </wp:positionH>
                <wp:positionV relativeFrom="paragraph">
                  <wp:posOffset>514730</wp:posOffset>
                </wp:positionV>
                <wp:extent cx="6696075" cy="53975"/>
                <wp:effectExtent l="0" t="0" r="0" b="0"/>
                <wp:wrapNone/>
                <wp:docPr id="26" name="Rect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25450" y="514730"/>
                          <a:ext cx="6696075" cy="53975"/>
                        </a:xfrm>
                        <a:prstGeom prst="rect">
                          <a:avLst/>
                        </a:prstGeom>
                        <a:solidFill>
                          <a:srgbClr val="C30F1B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6" o:spid="_x0000_s1034" style="width:527.25pt;height:4.25pt;margin-top:40.53pt;margin-left:33.5pt;mso-wrap-distance-bottom:0;mso-wrap-distance-left:0;mso-wrap-distance-right:0;mso-wrap-distance-top:0;position:absolute;v-text-anchor:top;z-index:-251643904" fillcolor="#c30f1b" stroked="f"/>
            </w:pict>
          </mc:Fallback>
        </mc:AlternateContent>
      </w:r>
      <w:r>
        <w:rPr>
          <w:rFonts w:ascii="Arial" w:eastAsia="Arial" w:hAnsi="Arial" w:cs="Arial"/>
          <w:color w:val="C30F1B"/>
          <w:spacing w:val="-3"/>
          <w:position w:val="2"/>
          <w:sz w:val="31"/>
          <w:szCs w:val="31"/>
        </w:rPr>
        <w:t>I</w:t>
      </w:r>
      <w:r>
        <w:rPr>
          <w:rFonts w:ascii="Arial" w:eastAsia="Arial" w:hAnsi="Arial" w:cs="Arial"/>
          <w:color w:val="C30F1B"/>
          <w:spacing w:val="9"/>
          <w:position w:val="2"/>
          <w:sz w:val="31"/>
          <w:szCs w:val="31"/>
        </w:rPr>
        <w:t xml:space="preserve">  </w:t>
      </w:r>
      <w:r>
        <w:rPr>
          <w:color w:val="0D0D0D"/>
          <w:spacing w:val="-3"/>
          <w:position w:val="11"/>
          <w:sz w:val="31"/>
          <w:szCs w:val="31"/>
        </w:rPr>
        <w:t>索引</w:t>
      </w:r>
    </w:p>
    <w:p>
      <w:pPr>
        <w:spacing w:line="422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6434274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spacing w:before="101" w:line="223" w:lineRule="auto"/>
            <w:ind w:left="3123"/>
            <w:rPr>
              <w:sz w:val="31"/>
              <w:szCs w:val="31"/>
            </w:rPr>
          </w:pPr>
          <w:r>
            <w:rPr>
              <w:spacing w:val="-4"/>
              <w:sz w:val="31"/>
              <w:szCs w:val="31"/>
            </w:rPr>
            <w:t>内容目录</w:t>
          </w:r>
        </w:p>
        <w:p>
          <w:pPr>
            <w:pStyle w:val="BodyText"/>
            <w:tabs>
              <w:tab w:val="right" w:leader="dot" w:pos="11205"/>
            </w:tabs>
            <w:spacing w:before="88" w:line="227" w:lineRule="auto"/>
            <w:ind w:left="3077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投资要点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64" w:line="234" w:lineRule="auto"/>
            <w:ind w:left="3387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关键假设</w:t>
          </w:r>
          <w:r>
            <w:rPr>
              <w:spacing w:val="-6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58" w:line="228" w:lineRule="auto"/>
            <w:ind w:left="3404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区别于市场的观点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3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63" w:line="229" w:lineRule="auto"/>
            <w:ind w:left="3372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股价上涨催化剂</w:t>
          </w:r>
          <w:r>
            <w:rPr>
              <w:spacing w:val="-5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4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62" w:line="227" w:lineRule="auto"/>
            <w:ind w:left="3377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投资建议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5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64" w:line="223" w:lineRule="auto"/>
            <w:ind w:left="3072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菜百股份核心指标概览</w:t>
          </w:r>
          <w:r>
            <w:rPr>
              <w:spacing w:val="-7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6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71" w:line="221" w:lineRule="auto"/>
            <w:ind w:left="3079"/>
            <w:rPr>
              <w:rFonts w:ascii="Arial" w:eastAsia="Arial" w:hAnsi="Arial" w:cs="Arial"/>
              <w:sz w:val="19"/>
              <w:szCs w:val="19"/>
            </w:rPr>
          </w:pPr>
          <w:r>
            <w:rPr>
              <w:sz w:val="19"/>
              <w:szCs w:val="19"/>
            </w:rPr>
            <w:t>一、</w:t>
          </w:r>
          <w:r>
            <w:rPr>
              <w:spacing w:val="-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深耕华北地区，</w:t>
          </w:r>
          <w:r>
            <w:rPr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打造</w:t>
          </w:r>
          <w:r>
            <w:rPr>
              <w:rFonts w:ascii="Arial" w:eastAsia="Arial" w:hAnsi="Arial" w:cs="Arial"/>
              <w:sz w:val="19"/>
              <w:szCs w:val="19"/>
            </w:rPr>
            <w:t>“</w:t>
          </w:r>
          <w:r>
            <w:rPr>
              <w:rFonts w:ascii="Arial" w:eastAsia="Arial" w:hAnsi="Arial" w:cs="Arial"/>
              <w:spacing w:val="-2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中华老字号</w:t>
          </w:r>
          <w:r>
            <w:rPr>
              <w:rFonts w:ascii="Arial" w:eastAsia="Arial" w:hAnsi="Arial" w:cs="Arial"/>
              <w:sz w:val="19"/>
              <w:szCs w:val="19"/>
            </w:rPr>
            <w:t>”</w:t>
          </w:r>
          <w:r>
            <w:rPr>
              <w:rFonts w:ascii="Arial" w:eastAsia="Arial" w:hAnsi="Arial" w:cs="Arial"/>
              <w:spacing w:val="9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ab/>
          </w:r>
          <w:hyperlink w:anchor="bookmark7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71" w:line="221" w:lineRule="auto"/>
            <w:ind w:left="3390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2"/>
              <w:sz w:val="19"/>
              <w:szCs w:val="19"/>
            </w:rPr>
            <w:t>1.1</w:t>
          </w:r>
          <w:r>
            <w:rPr>
              <w:rFonts w:ascii="Arial" w:eastAsia="Arial" w:hAnsi="Arial" w:cs="Arial"/>
              <w:spacing w:val="27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百货转型珠宝专营，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IPO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助力数字化转型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8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70" w:line="221" w:lineRule="auto"/>
            <w:ind w:left="3390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1"/>
              <w:sz w:val="19"/>
              <w:szCs w:val="19"/>
            </w:rPr>
            <w:t>1.2</w:t>
          </w:r>
          <w:r>
            <w:rPr>
              <w:rFonts w:ascii="Arial" w:eastAsia="Arial" w:hAnsi="Arial" w:cs="Arial"/>
              <w:spacing w:val="43"/>
              <w:w w:val="10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国资背景股权架构稳定，</w:t>
          </w:r>
          <w:r>
            <w:rPr>
              <w:spacing w:val="67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管理层行业背景深厚经验丰富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9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72" w:line="221" w:lineRule="auto"/>
            <w:ind w:left="3390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7"/>
              <w:sz w:val="19"/>
              <w:szCs w:val="19"/>
            </w:rPr>
            <w:t xml:space="preserve">1.3 </w:t>
          </w:r>
          <w:r>
            <w:rPr>
              <w:spacing w:val="7"/>
              <w:sz w:val="19"/>
              <w:szCs w:val="19"/>
            </w:rPr>
            <w:t>疫后业绩恢复强劲，盈利能力维持稳态</w:t>
          </w:r>
          <w:r>
            <w:rPr>
              <w:spacing w:val="-5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0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71" w:line="221" w:lineRule="auto"/>
            <w:ind w:left="3077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-4"/>
              <w:sz w:val="19"/>
              <w:szCs w:val="19"/>
            </w:rPr>
            <w:t>二、</w:t>
          </w:r>
          <w:r>
            <w:rPr>
              <w:spacing w:val="31"/>
              <w:sz w:val="19"/>
              <w:szCs w:val="19"/>
            </w:rPr>
            <w:t xml:space="preserve"> </w:t>
          </w:r>
          <w:r>
            <w:rPr>
              <w:spacing w:val="-4"/>
              <w:sz w:val="19"/>
              <w:szCs w:val="19"/>
            </w:rPr>
            <w:t>金价持续上行，</w:t>
          </w:r>
          <w:r>
            <w:rPr>
              <w:spacing w:val="33"/>
              <w:sz w:val="19"/>
              <w:szCs w:val="19"/>
            </w:rPr>
            <w:t xml:space="preserve"> </w:t>
          </w:r>
          <w:r>
            <w:rPr>
              <w:spacing w:val="-4"/>
              <w:sz w:val="19"/>
              <w:szCs w:val="19"/>
            </w:rPr>
            <w:t>需求仍在释放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1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70" w:line="221" w:lineRule="auto"/>
            <w:ind w:left="3374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9"/>
              <w:sz w:val="19"/>
              <w:szCs w:val="19"/>
            </w:rPr>
            <w:t xml:space="preserve">2.1 </w:t>
          </w:r>
          <w:r>
            <w:rPr>
              <w:spacing w:val="9"/>
              <w:sz w:val="19"/>
              <w:szCs w:val="19"/>
            </w:rPr>
            <w:t>金价持续上行黄金需求不断增长，国内珠宝消费仍以黄金为主</w:t>
          </w:r>
          <w:r>
            <w:rPr>
              <w:spacing w:val="-2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2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0" w:line="221" w:lineRule="auto"/>
            <w:ind w:left="3374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8"/>
              <w:sz w:val="19"/>
              <w:szCs w:val="19"/>
            </w:rPr>
            <w:t xml:space="preserve">2.2 </w:t>
          </w:r>
          <w:r>
            <w:rPr>
              <w:spacing w:val="8"/>
              <w:sz w:val="19"/>
              <w:szCs w:val="19"/>
            </w:rPr>
            <w:t>市场集中度不断提高，渠道线上化趋势明确</w:t>
          </w:r>
          <w:r>
            <w:rPr>
              <w:spacing w:val="-1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3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2" w:line="221" w:lineRule="auto"/>
            <w:ind w:left="3374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9"/>
              <w:sz w:val="19"/>
              <w:szCs w:val="19"/>
            </w:rPr>
            <w:t>2.3</w:t>
          </w:r>
          <w:r>
            <w:rPr>
              <w:rFonts w:ascii="Arial" w:eastAsia="Arial" w:hAnsi="Arial" w:cs="Arial"/>
              <w:spacing w:val="23"/>
              <w:w w:val="101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消费场景逐渐转向悦己</w:t>
          </w:r>
          <w:r>
            <w:rPr>
              <w:rFonts w:ascii="Arial" w:eastAsia="Arial" w:hAnsi="Arial" w:cs="Arial"/>
              <w:spacing w:val="9"/>
              <w:sz w:val="19"/>
              <w:szCs w:val="19"/>
            </w:rPr>
            <w:t>+</w:t>
          </w:r>
          <w:r>
            <w:rPr>
              <w:spacing w:val="9"/>
              <w:sz w:val="19"/>
              <w:szCs w:val="19"/>
            </w:rPr>
            <w:t>送礼，技术更</w:t>
          </w:r>
          <w:r>
            <w:rPr>
              <w:spacing w:val="8"/>
              <w:sz w:val="19"/>
              <w:szCs w:val="19"/>
            </w:rPr>
            <w:t>迭推动古法金细分赛道增速领先</w:t>
          </w:r>
          <w:r>
            <w:rPr>
              <w:spacing w:val="-2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51"/>
              <w:sz w:val="19"/>
              <w:szCs w:val="19"/>
            </w:rPr>
            <w:t xml:space="preserve"> </w:t>
          </w:r>
          <w:hyperlink w:anchor="bookmark14" w:history="1"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1" w:line="221" w:lineRule="auto"/>
            <w:ind w:left="3073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三、</w:t>
          </w:r>
          <w:r>
            <w:rPr>
              <w:spacing w:val="49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投资类产品受益金价上涨，全直营持续向全国扩张</w:t>
          </w:r>
          <w:r>
            <w:rPr>
              <w:spacing w:val="-6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5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0" w:line="221" w:lineRule="auto"/>
            <w:ind w:left="3376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-2"/>
              <w:sz w:val="19"/>
              <w:szCs w:val="19"/>
            </w:rPr>
            <w:t>3.1</w:t>
          </w:r>
          <w:r>
            <w:rPr>
              <w:rFonts w:ascii="Arial" w:eastAsia="Arial" w:hAnsi="Arial" w:cs="Arial"/>
              <w:spacing w:val="44"/>
              <w:sz w:val="19"/>
              <w:szCs w:val="19"/>
            </w:rPr>
            <w:t xml:space="preserve"> </w:t>
          </w:r>
          <w:r>
            <w:rPr>
              <w:spacing w:val="-2"/>
              <w:sz w:val="19"/>
              <w:szCs w:val="19"/>
            </w:rPr>
            <w:t>中短期：</w:t>
          </w:r>
          <w:r>
            <w:rPr>
              <w:spacing w:val="-2"/>
              <w:sz w:val="19"/>
              <w:szCs w:val="19"/>
            </w:rPr>
            <w:t xml:space="preserve"> </w:t>
          </w:r>
          <w:r>
            <w:rPr>
              <w:spacing w:val="-2"/>
              <w:sz w:val="19"/>
              <w:szCs w:val="19"/>
            </w:rPr>
            <w:t>金价上行周期，</w:t>
          </w:r>
          <w:r>
            <w:rPr>
              <w:spacing w:val="54"/>
              <w:sz w:val="19"/>
              <w:szCs w:val="19"/>
            </w:rPr>
            <w:t xml:space="preserve"> </w:t>
          </w:r>
          <w:r>
            <w:rPr>
              <w:spacing w:val="-2"/>
              <w:sz w:val="19"/>
              <w:szCs w:val="19"/>
            </w:rPr>
            <w:t>产品结构带来更大利润弹性</w:t>
          </w:r>
          <w:r>
            <w:rPr>
              <w:spacing w:val="-5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6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2" w:line="226" w:lineRule="auto"/>
            <w:ind w:left="3376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3"/>
              <w:sz w:val="19"/>
              <w:szCs w:val="19"/>
            </w:rPr>
            <w:t>3.2</w:t>
          </w:r>
          <w:r>
            <w:rPr>
              <w:rFonts w:ascii="Arial" w:eastAsia="Arial" w:hAnsi="Arial" w:cs="Arial"/>
              <w:spacing w:val="34"/>
              <w:w w:val="101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中长期：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全直营渠道布局保证高质高</w:t>
          </w:r>
          <w:r>
            <w:rPr>
              <w:spacing w:val="2"/>
              <w:sz w:val="19"/>
              <w:szCs w:val="19"/>
            </w:rPr>
            <w:t>效扩张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7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5" w:line="221" w:lineRule="auto"/>
            <w:ind w:left="3676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7"/>
              <w:sz w:val="19"/>
              <w:szCs w:val="19"/>
            </w:rPr>
            <w:t>3.2.1</w:t>
          </w:r>
          <w:r>
            <w:rPr>
              <w:rFonts w:ascii="Arial" w:eastAsia="Arial" w:hAnsi="Arial" w:cs="Arial"/>
              <w:spacing w:val="41"/>
              <w:w w:val="101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线下：聚焦华北拓展西北，直营扩张稳步进行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8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0" w:line="221" w:lineRule="auto"/>
            <w:ind w:left="3676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8"/>
              <w:sz w:val="19"/>
              <w:szCs w:val="19"/>
            </w:rPr>
            <w:t>3.2.2</w:t>
          </w:r>
          <w:r>
            <w:rPr>
              <w:rFonts w:ascii="Arial" w:eastAsia="Arial" w:hAnsi="Arial" w:cs="Arial"/>
              <w:spacing w:val="2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线上：投资产品占比提升，全渠道布局深</w:t>
          </w:r>
          <w:r>
            <w:rPr>
              <w:spacing w:val="7"/>
              <w:sz w:val="19"/>
              <w:szCs w:val="19"/>
            </w:rPr>
            <w:t>化品牌建设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9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1" w:line="221" w:lineRule="auto"/>
            <w:ind w:left="3376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8"/>
              <w:sz w:val="19"/>
              <w:szCs w:val="19"/>
            </w:rPr>
            <w:t>3.3</w:t>
          </w:r>
          <w:r>
            <w:rPr>
              <w:rFonts w:ascii="Arial" w:eastAsia="Arial" w:hAnsi="Arial" w:cs="Arial"/>
              <w:spacing w:val="20"/>
              <w:w w:val="101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长期：子品牌聚焦细分赛道，产品矩阵式发展</w:t>
          </w:r>
          <w:r>
            <w:rPr>
              <w:spacing w:val="-5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20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2" w:line="227" w:lineRule="auto"/>
            <w:ind w:left="3085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四、</w:t>
          </w:r>
          <w:r>
            <w:rPr>
              <w:spacing w:val="43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盈利预测与投资建议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21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4" w:line="234" w:lineRule="auto"/>
            <w:ind w:left="3371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5"/>
              <w:sz w:val="19"/>
              <w:szCs w:val="19"/>
            </w:rPr>
            <w:t>4.1</w:t>
          </w:r>
          <w:r>
            <w:rPr>
              <w:rFonts w:ascii="Arial" w:eastAsia="Arial" w:hAnsi="Arial" w:cs="Arial"/>
              <w:spacing w:val="17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盈利预测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22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57" w:line="227" w:lineRule="auto"/>
            <w:ind w:left="3371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6"/>
              <w:sz w:val="19"/>
              <w:szCs w:val="19"/>
            </w:rPr>
            <w:t>4.2</w:t>
          </w:r>
          <w:r>
            <w:rPr>
              <w:rFonts w:ascii="Arial" w:eastAsia="Arial" w:hAnsi="Arial" w:cs="Arial"/>
              <w:spacing w:val="12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投资建议</w:t>
          </w:r>
          <w:r>
            <w:rPr>
              <w:spacing w:val="-6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23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7" w:line="231" w:lineRule="auto"/>
            <w:ind w:left="3077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-5"/>
              <w:sz w:val="19"/>
              <w:szCs w:val="19"/>
            </w:rPr>
            <w:t>五、</w:t>
          </w:r>
          <w:r>
            <w:rPr>
              <w:spacing w:val="39"/>
              <w:sz w:val="19"/>
              <w:szCs w:val="19"/>
            </w:rPr>
            <w:t xml:space="preserve"> </w:t>
          </w:r>
          <w:r>
            <w:rPr>
              <w:spacing w:val="-5"/>
              <w:sz w:val="19"/>
              <w:szCs w:val="19"/>
            </w:rPr>
            <w:t>风险提示</w:t>
          </w:r>
          <w:r>
            <w:rPr>
              <w:spacing w:val="-5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24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18</w:t>
            </w:r>
          </w:hyperlink>
        </w:p>
        <w:p>
          <w:pPr>
            <w:spacing w:line="248" w:lineRule="auto"/>
            <w:rPr>
              <w:rFonts w:ascii="Arial"/>
              <w:sz w:val="21"/>
            </w:rPr>
          </w:pPr>
        </w:p>
        <w:p>
          <w:pPr>
            <w:pStyle w:val="BodyText"/>
            <w:spacing w:before="101" w:line="224" w:lineRule="auto"/>
            <w:ind w:left="3119"/>
            <w:rPr>
              <w:sz w:val="31"/>
              <w:szCs w:val="31"/>
            </w:rPr>
          </w:pPr>
          <w:r>
            <w:rPr>
              <w:spacing w:val="-4"/>
              <w:sz w:val="31"/>
              <w:szCs w:val="31"/>
            </w:rPr>
            <w:t>图表目录</w:t>
          </w:r>
        </w:p>
        <w:p>
          <w:pPr>
            <w:pStyle w:val="BodyText"/>
            <w:tabs>
              <w:tab w:val="right" w:leader="dot" w:pos="11205"/>
            </w:tabs>
            <w:spacing w:before="86" w:line="223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1</w:t>
          </w:r>
          <w:r>
            <w:rPr>
              <w:spacing w:val="5"/>
              <w:sz w:val="19"/>
              <w:szCs w:val="19"/>
            </w:rPr>
            <w:t>：菜百股份核心指标概览图</w:t>
          </w:r>
          <w:r>
            <w:rPr>
              <w:spacing w:val="-6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5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68" w:line="223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2</w:t>
          </w:r>
          <w:r>
            <w:rPr>
              <w:spacing w:val="5"/>
              <w:sz w:val="19"/>
              <w:szCs w:val="19"/>
            </w:rPr>
            <w:t>：菜百股份发展历程</w:t>
          </w:r>
          <w:r>
            <w:rPr>
              <w:spacing w:val="-7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6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68" w:line="223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>3</w:t>
          </w:r>
          <w:r>
            <w:rPr>
              <w:spacing w:val="1"/>
              <w:sz w:val="19"/>
              <w:szCs w:val="19"/>
            </w:rPr>
            <w:t>：菜百股份股权架构（截至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 xml:space="preserve">2023 </w:t>
          </w:r>
          <w:r>
            <w:rPr>
              <w:spacing w:val="1"/>
              <w:sz w:val="19"/>
              <w:szCs w:val="19"/>
            </w:rPr>
            <w:t>年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 xml:space="preserve">9 </w:t>
          </w:r>
          <w:r>
            <w:rPr>
              <w:sz w:val="19"/>
              <w:szCs w:val="19"/>
            </w:rPr>
            <w:t>月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30</w:t>
          </w:r>
          <w:r>
            <w:rPr>
              <w:rFonts w:ascii="Arial" w:eastAsia="Arial" w:hAnsi="Arial" w:cs="Arial"/>
              <w:spacing w:val="4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日）</w:t>
          </w:r>
          <w:r>
            <w:rPr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7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71" w:line="221" w:lineRule="auto"/>
            <w:ind w:left="3100"/>
            <w:rPr>
              <w:rFonts w:ascii="Arial" w:eastAsia="Arial" w:hAnsi="Arial" w:cs="Arial"/>
              <w:sz w:val="19"/>
              <w:szCs w:val="19"/>
            </w:rPr>
            <w:sectPr>
              <w:headerReference w:type="default" r:id="rId19"/>
              <w:footerReference w:type="default" r:id="rId20"/>
              <w:pgSz w:w="11907" w:h="16839"/>
              <w:pgMar w:top="1202" w:right="14" w:bottom="928" w:left="11" w:header="10" w:footer="21" w:gutter="0"/>
              <w:pgNumType w:start="6"/>
              <w:cols w:space="708"/>
            </w:sect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4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23Q1-3</w:t>
          </w:r>
          <w:r>
            <w:rPr>
              <w:rFonts w:ascii="Arial" w:eastAsia="Arial" w:hAnsi="Arial" w:cs="Arial"/>
              <w:spacing w:val="-8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公司实现营收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123.7 </w:t>
          </w:r>
          <w:r>
            <w:rPr>
              <w:spacing w:val="5"/>
              <w:sz w:val="19"/>
              <w:szCs w:val="19"/>
            </w:rPr>
            <w:t>亿元，同比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+45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.1%</w:t>
          </w:r>
          <w:r>
            <w:rPr>
              <w:rFonts w:ascii="Arial" w:eastAsia="Arial" w:hAnsi="Arial" w:cs="Arial"/>
              <w:spacing w:val="-2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ab/>
          </w:r>
          <w:hyperlink w:anchor="bookmark28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8</w:t>
            </w:r>
          </w:hyperlink>
        </w:p>
      </w:sdtContent>
    </w:sdt>
    <w:sdt>
      <w:sdtPr>
        <w:rPr>
          <w:rFonts w:ascii="KaiTi" w:eastAsia="KaiTi" w:hAnsi="KaiTi" w:cs="KaiTi"/>
          <w:sz w:val="31"/>
          <w:szCs w:val="31"/>
        </w:rPr>
        <w:id w:val="1315109883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1205"/>
            </w:tabs>
            <w:spacing w:before="71" w:line="221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>5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>23Q1-3</w:t>
          </w:r>
          <w:r>
            <w:rPr>
              <w:rFonts w:ascii="Arial" w:eastAsia="Arial" w:hAnsi="Arial" w:cs="Arial"/>
              <w:spacing w:val="-9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公司实现归母净利润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 xml:space="preserve">5.9 </w:t>
          </w:r>
          <w:r>
            <w:rPr>
              <w:spacing w:val="2"/>
              <w:sz w:val="19"/>
              <w:szCs w:val="19"/>
            </w:rPr>
            <w:t>亿元，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同比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>+66.4%</w:t>
          </w:r>
          <w:r>
            <w:rPr>
              <w:rFonts w:ascii="Arial" w:eastAsia="Arial" w:hAnsi="Arial" w:cs="Arial"/>
              <w:spacing w:val="-1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ab/>
          </w:r>
          <w:hyperlink w:anchor="bookmark29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69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6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23Q1-3</w:t>
          </w:r>
          <w:r>
            <w:rPr>
              <w:rFonts w:ascii="Arial" w:eastAsia="Arial" w:hAnsi="Arial" w:cs="Arial"/>
              <w:spacing w:val="-8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公司毛利率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/</w:t>
          </w:r>
          <w:r>
            <w:rPr>
              <w:spacing w:val="4"/>
              <w:sz w:val="19"/>
              <w:szCs w:val="19"/>
            </w:rPr>
            <w:t>净利率分别达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11.2%/4.8%</w:t>
          </w:r>
          <w:r>
            <w:rPr>
              <w:rFonts w:ascii="Arial" w:eastAsia="Arial" w:hAnsi="Arial" w:cs="Arial"/>
              <w:spacing w:val="-2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ab/>
          </w:r>
          <w:hyperlink w:anchor="bookmark30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52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7</w:t>
          </w:r>
          <w:r>
            <w:rPr>
              <w:spacing w:val="5"/>
              <w:sz w:val="19"/>
              <w:szCs w:val="19"/>
            </w:rPr>
            <w:t>：公司费用率情况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31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67" w:line="225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8</w:t>
          </w:r>
          <w:r>
            <w:rPr>
              <w:spacing w:val="7"/>
              <w:sz w:val="19"/>
              <w:szCs w:val="19"/>
            </w:rPr>
            <w:t>：公司存货周转率位于行业较高水平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32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66" w:line="225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9</w:t>
          </w:r>
          <w:r>
            <w:rPr>
              <w:spacing w:val="3"/>
              <w:sz w:val="19"/>
              <w:szCs w:val="19"/>
            </w:rPr>
            <w:t>：公司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ROE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位于行业较高水平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33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66" w:line="228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10</w:t>
          </w:r>
          <w:r>
            <w:rPr>
              <w:spacing w:val="3"/>
              <w:sz w:val="19"/>
              <w:szCs w:val="19"/>
            </w:rPr>
            <w:t>：黄金价格趋势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34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5" w:line="225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11</w:t>
          </w:r>
          <w:r>
            <w:rPr>
              <w:spacing w:val="6"/>
              <w:sz w:val="19"/>
              <w:szCs w:val="19"/>
            </w:rPr>
            <w:t>：黄金珠宝社零数据略优于全消费品类</w:t>
          </w:r>
          <w:r>
            <w:rPr>
              <w:spacing w:val="-5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35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6" w:line="225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>12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spacing w:val="-53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中国黄金需求结构情况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36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7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>13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spacing w:val="-53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中国黄金珠宝市场规模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37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4" w:line="221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4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14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2022 </w:t>
          </w:r>
          <w:r>
            <w:rPr>
              <w:spacing w:val="5"/>
              <w:sz w:val="19"/>
              <w:szCs w:val="19"/>
            </w:rPr>
            <w:t>年中国珠宝首饰市场品类占比</w:t>
          </w:r>
          <w:r>
            <w:rPr>
              <w:spacing w:val="-7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38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2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15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-5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中国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/</w:t>
          </w:r>
          <w:r>
            <w:rPr>
              <w:spacing w:val="3"/>
              <w:sz w:val="19"/>
              <w:szCs w:val="19"/>
            </w:rPr>
            <w:t>全球黄金珠宝市场集中度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51"/>
              <w:sz w:val="19"/>
              <w:szCs w:val="19"/>
            </w:rPr>
            <w:t xml:space="preserve"> </w:t>
          </w:r>
          <w:hyperlink w:anchor="bookmark39" w:history="1"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51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4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16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-5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中国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/</w:t>
          </w:r>
          <w:r>
            <w:rPr>
              <w:spacing w:val="3"/>
              <w:sz w:val="19"/>
              <w:szCs w:val="19"/>
            </w:rPr>
            <w:t>全球黄金珠宝市场渠道占比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51"/>
              <w:sz w:val="19"/>
              <w:szCs w:val="19"/>
            </w:rPr>
            <w:t xml:space="preserve"> </w:t>
          </w:r>
          <w:hyperlink w:anchor="bookmark40" w:history="1"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>11</w:t>
            </w:r>
          </w:hyperlink>
        </w:p>
      </w:sdtContent>
    </w:sdt>
    <w:p>
      <w:pPr>
        <w:rPr>
          <w:rFonts w:ascii="Arial" w:eastAsia="Arial" w:hAnsi="Arial" w:cs="Arial"/>
          <w:sz w:val="19"/>
          <w:szCs w:val="19"/>
        </w:rPr>
        <w:sectPr>
          <w:headerReference w:type="default" r:id="rId21"/>
          <w:footerReference w:type="default" r:id="rId22"/>
          <w:type w:val="nextPage"/>
          <w:pgSz w:w="11907" w:h="16839"/>
          <w:pgMar w:top="1202" w:right="14" w:bottom="928" w:left="11" w:header="10" w:footer="21" w:gutter="0"/>
          <w:pgNumType w:start="7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8610999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1204"/>
            </w:tabs>
            <w:spacing w:before="251" w:line="223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17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2022 </w:t>
          </w:r>
          <w:r>
            <w:rPr>
              <w:spacing w:val="5"/>
              <w:sz w:val="19"/>
              <w:szCs w:val="19"/>
            </w:rPr>
            <w:t>年中国主要黄金珠宝品牌门店数</w:t>
          </w:r>
          <w:r>
            <w:rPr>
              <w:spacing w:val="-5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51"/>
              <w:sz w:val="19"/>
              <w:szCs w:val="19"/>
            </w:rPr>
            <w:t xml:space="preserve"> </w:t>
          </w:r>
          <w:hyperlink w:anchor="bookmark41" w:history="1"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8" w:line="221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13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18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 xml:space="preserve">2023 </w:t>
          </w:r>
          <w:r>
            <w:rPr>
              <w:spacing w:val="6"/>
              <w:sz w:val="19"/>
              <w:szCs w:val="19"/>
            </w:rPr>
            <w:t>年中国按重量划分的黄金饰品对收入的贡献</w:t>
          </w:r>
          <w:r>
            <w:rPr>
              <w:spacing w:val="-5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2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0" w:line="224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19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 xml:space="preserve">2023 </w:t>
          </w:r>
          <w:r>
            <w:rPr>
              <w:spacing w:val="6"/>
              <w:sz w:val="19"/>
              <w:szCs w:val="19"/>
            </w:rPr>
            <w:t>年中国不同价格带产品对</w:t>
          </w:r>
          <w:r>
            <w:rPr>
              <w:spacing w:val="5"/>
              <w:sz w:val="19"/>
              <w:szCs w:val="19"/>
            </w:rPr>
            <w:t>销售的贡献</w:t>
          </w:r>
          <w:r>
            <w:rPr>
              <w:spacing w:val="-6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3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9" w:line="223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图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8"/>
              <w:sz w:val="19"/>
              <w:szCs w:val="19"/>
            </w:rPr>
            <w:t>20</w:t>
          </w:r>
          <w:r>
            <w:rPr>
              <w:spacing w:val="8"/>
              <w:sz w:val="19"/>
              <w:szCs w:val="19"/>
            </w:rPr>
            <w:t>：古法黄金成为最受消费者欢迎的黄金</w:t>
          </w:r>
          <w:r>
            <w:rPr>
              <w:spacing w:val="7"/>
              <w:sz w:val="19"/>
              <w:szCs w:val="19"/>
            </w:rPr>
            <w:t>工艺产品</w:t>
          </w:r>
          <w:r>
            <w:rPr>
              <w:spacing w:val="-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4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8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21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-5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中国古法黄金市场规模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5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4" w:line="224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4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22</w:t>
          </w:r>
          <w:r>
            <w:rPr>
              <w:spacing w:val="7"/>
              <w:sz w:val="19"/>
              <w:szCs w:val="19"/>
            </w:rPr>
            <w:t>：公司主营收入按产品拆分的营收及增速</w:t>
          </w:r>
          <w:r>
            <w:rPr>
              <w:spacing w:val="-5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6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0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23</w:t>
          </w:r>
          <w:r>
            <w:rPr>
              <w:spacing w:val="6"/>
              <w:sz w:val="19"/>
              <w:szCs w:val="19"/>
            </w:rPr>
            <w:t>：公司各业务占比情况</w:t>
          </w:r>
          <w:r>
            <w:rPr>
              <w:spacing w:val="-5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7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5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24</w:t>
          </w:r>
          <w:r>
            <w:rPr>
              <w:spacing w:val="7"/>
              <w:sz w:val="19"/>
              <w:szCs w:val="19"/>
            </w:rPr>
            <w:t>：公司综合毛利率与金价趋势高度一致</w:t>
          </w:r>
          <w:r>
            <w:rPr>
              <w:spacing w:val="-7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8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5" w:line="227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25</w:t>
          </w:r>
          <w:r>
            <w:rPr>
              <w:spacing w:val="6"/>
              <w:sz w:val="19"/>
              <w:szCs w:val="19"/>
            </w:rPr>
            <w:t>：公司主营收入按渠道拆分</w:t>
          </w:r>
          <w:r>
            <w:rPr>
              <w:spacing w:val="-6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9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3" w:line="228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26</w:t>
          </w:r>
          <w:r>
            <w:rPr>
              <w:spacing w:val="4"/>
              <w:sz w:val="19"/>
              <w:szCs w:val="19"/>
            </w:rPr>
            <w:t>：公司拓店情况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50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6" w:line="224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27</w:t>
          </w:r>
          <w:r>
            <w:rPr>
              <w:spacing w:val="3"/>
              <w:sz w:val="19"/>
              <w:szCs w:val="19"/>
            </w:rPr>
            <w:t>：公司门店网络布局（截至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 xml:space="preserve">2022 </w:t>
          </w:r>
          <w:r>
            <w:rPr>
              <w:spacing w:val="3"/>
              <w:sz w:val="19"/>
              <w:szCs w:val="19"/>
            </w:rPr>
            <w:t>年年报）</w:t>
          </w:r>
          <w:r>
            <w:rPr>
              <w:spacing w:val="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51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7" w:line="228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28</w:t>
          </w:r>
          <w:r>
            <w:rPr>
              <w:spacing w:val="6"/>
              <w:sz w:val="19"/>
              <w:szCs w:val="19"/>
            </w:rPr>
            <w:t>：公司分地区营收占比</w:t>
          </w:r>
          <w:r>
            <w:rPr>
              <w:spacing w:val="-5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52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3" w:line="228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29</w:t>
          </w:r>
          <w:r>
            <w:rPr>
              <w:spacing w:val="6"/>
              <w:sz w:val="19"/>
              <w:szCs w:val="19"/>
            </w:rPr>
            <w:t>：公司总店营收及增速</w:t>
          </w:r>
          <w:r>
            <w:rPr>
              <w:spacing w:val="-5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53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6" w:line="225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30</w:t>
          </w:r>
          <w:r>
            <w:rPr>
              <w:spacing w:val="6"/>
              <w:sz w:val="19"/>
              <w:szCs w:val="19"/>
            </w:rPr>
            <w:t>：公司平均分店营收及增速</w:t>
          </w:r>
          <w:r>
            <w:rPr>
              <w:spacing w:val="-6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54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6" w:line="223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31</w:t>
          </w:r>
          <w:r>
            <w:rPr>
              <w:spacing w:val="6"/>
              <w:sz w:val="19"/>
              <w:szCs w:val="19"/>
            </w:rPr>
            <w:t>：公司品牌产品的矩阵化布局</w:t>
          </w:r>
          <w:r>
            <w:rPr>
              <w:spacing w:val="-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55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8" w:line="223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32</w:t>
          </w:r>
          <w:r>
            <w:rPr>
              <w:spacing w:val="6"/>
              <w:sz w:val="19"/>
              <w:szCs w:val="19"/>
            </w:rPr>
            <w:t>：上市至今菜百股份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PE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-</w:t>
          </w:r>
          <w:r>
            <w:rPr>
              <w:rFonts w:ascii="Arial" w:eastAsia="Arial" w:hAnsi="Arial" w:cs="Arial"/>
              <w:sz w:val="19"/>
              <w:szCs w:val="19"/>
            </w:rPr>
            <w:t>Band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ab/>
          </w:r>
          <w:r>
            <w:rPr>
              <w:rFonts w:ascii="Arial" w:eastAsia="Arial" w:hAnsi="Arial" w:cs="Arial"/>
              <w:spacing w:val="-24"/>
              <w:sz w:val="19"/>
              <w:szCs w:val="19"/>
            </w:rPr>
            <w:t xml:space="preserve"> </w:t>
          </w:r>
          <w:hyperlink w:anchor="bookmark56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18</w:t>
            </w:r>
          </w:hyperlink>
        </w:p>
        <w:p>
          <w:pPr>
            <w:spacing w:line="280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1205"/>
            </w:tabs>
            <w:spacing w:before="62" w:line="223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表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>：菜百股份募集资金用途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57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71" w:line="226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表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2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 xml:space="preserve">2022 </w:t>
          </w:r>
          <w:r>
            <w:rPr>
              <w:spacing w:val="7"/>
              <w:sz w:val="19"/>
              <w:szCs w:val="19"/>
            </w:rPr>
            <w:t>年分地区线下门店销售增长情况</w:t>
          </w:r>
          <w:r>
            <w:rPr>
              <w:spacing w:val="-4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58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5" w:line="225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8"/>
              <w:sz w:val="19"/>
              <w:szCs w:val="19"/>
            </w:rPr>
            <w:t>3</w:t>
          </w:r>
          <w:r>
            <w:rPr>
              <w:spacing w:val="8"/>
              <w:sz w:val="19"/>
              <w:szCs w:val="19"/>
            </w:rPr>
            <w:t>：线上营收及平台数情况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59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6" w:line="232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8"/>
              <w:sz w:val="19"/>
              <w:szCs w:val="19"/>
            </w:rPr>
            <w:t>4</w:t>
          </w:r>
          <w:r>
            <w:rPr>
              <w:spacing w:val="8"/>
              <w:sz w:val="19"/>
              <w:szCs w:val="19"/>
            </w:rPr>
            <w:t>：盈利预测</w:t>
          </w:r>
          <w:r>
            <w:rPr>
              <w:spacing w:val="-4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60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62" w:line="228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8"/>
              <w:sz w:val="19"/>
              <w:szCs w:val="19"/>
            </w:rPr>
            <w:t>5</w:t>
          </w:r>
          <w:r>
            <w:rPr>
              <w:spacing w:val="8"/>
              <w:sz w:val="19"/>
              <w:szCs w:val="19"/>
            </w:rPr>
            <w:t>：可比公司估值表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61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18</w:t>
            </w:r>
          </w:hyperlink>
        </w:p>
      </w:sdtContent>
    </w:sdt>
    <w:p>
      <w:pPr>
        <w:spacing w:line="228" w:lineRule="auto"/>
        <w:rPr>
          <w:rFonts w:ascii="Arial" w:eastAsia="Arial" w:hAnsi="Arial" w:cs="Arial"/>
          <w:sz w:val="19"/>
          <w:szCs w:val="19"/>
        </w:rPr>
        <w:sectPr>
          <w:headerReference w:type="default" r:id="rId23"/>
          <w:footerReference w:type="default" r:id="rId24"/>
          <w:pgSz w:w="11907" w:h="16839"/>
          <w:pgMar w:top="1202" w:right="14" w:bottom="928" w:left="11" w:header="10" w:footer="21" w:gutter="0"/>
          <w:pgNumType w:start="8"/>
          <w:cols w:space="708"/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01" w:line="531" w:lineRule="exact"/>
        <w:ind w:left="3083"/>
        <w:rPr>
          <w:sz w:val="31"/>
          <w:szCs w:val="31"/>
        </w:rPr>
      </w:pPr>
      <w:bookmarkStart w:id="0" w:name="bookmark1"/>
      <w:bookmarkEnd w:id="0"/>
      <w:bookmarkStart w:id="1" w:name="bookmark2"/>
      <w:bookmarkEnd w:id="1"/>
      <w:bookmarkStart w:id="2" w:name="bookmark3"/>
      <w:bookmarkEnd w:id="2"/>
      <w:bookmarkStart w:id="3" w:name="bookmark4"/>
      <w:bookmarkEnd w:id="3"/>
      <w:bookmarkStart w:id="4" w:name="bookmark5"/>
      <w:bookmarkEnd w:id="4"/>
      <w:r>
        <w:rPr>
          <w:color w:val="C30F1B"/>
          <w:spacing w:val="7"/>
          <w:position w:val="16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投资要点</w:t>
      </w:r>
    </w:p>
    <w:p>
      <w:pPr>
        <w:pStyle w:val="BodyText"/>
        <w:spacing w:line="225" w:lineRule="auto"/>
        <w:ind w:left="3091"/>
        <w:rPr>
          <w:sz w:val="24"/>
          <w:szCs w:val="24"/>
        </w:rPr>
      </w:pPr>
      <w:r>
        <w:rPr>
          <w:color w:val="C30F1B"/>
          <w:spacing w:val="-5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关键假设</w:t>
      </w:r>
    </w:p>
    <w:p>
      <w:pPr>
        <w:pStyle w:val="BodyText"/>
        <w:spacing w:before="209" w:line="224" w:lineRule="auto"/>
        <w:ind w:left="3090"/>
        <w:rPr>
          <w:sz w:val="21"/>
          <w:szCs w:val="21"/>
        </w:rPr>
      </w:pP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营收端假设</w:t>
      </w:r>
    </w:p>
    <w:p>
      <w:pPr>
        <w:pStyle w:val="BodyText"/>
        <w:spacing w:before="235" w:line="280" w:lineRule="auto"/>
        <w:ind w:left="3071" w:right="661" w:firstLine="6"/>
        <w:jc w:val="both"/>
        <w:rPr>
          <w:sz w:val="21"/>
          <w:szCs w:val="21"/>
        </w:rPr>
      </w:pPr>
      <w:r>
        <w:rPr>
          <w:spacing w:val="4"/>
          <w:sz w:val="21"/>
          <w:szCs w:val="21"/>
        </w:rPr>
        <w:t>考虑到公司产品结构上贵金属投资产品占比较高，且随着未来金价的持续上涨，预计投</w:t>
      </w:r>
      <w:r>
        <w:rPr>
          <w:spacing w:val="3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资类产品占比有望进一步提升，营收增速同样也将领先其他产品种类。因此，我们预计</w:t>
      </w:r>
      <w:r>
        <w:rPr>
          <w:spacing w:val="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 xml:space="preserve">2023-2025  </w:t>
      </w:r>
      <w:r>
        <w:rPr>
          <w:spacing w:val="-3"/>
          <w:sz w:val="21"/>
          <w:szCs w:val="21"/>
        </w:rPr>
        <w:t>年</w:t>
      </w:r>
      <w:r>
        <w:rPr>
          <w:spacing w:val="-4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，</w:t>
      </w:r>
      <w:r>
        <w:rPr>
          <w:spacing w:val="-6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贵金属</w:t>
      </w:r>
      <w:r>
        <w:rPr>
          <w:spacing w:val="-5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投</w:t>
      </w:r>
      <w:r>
        <w:rPr>
          <w:spacing w:val="-5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资</w:t>
      </w:r>
      <w:r>
        <w:rPr>
          <w:spacing w:val="-5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产</w:t>
      </w:r>
      <w:r>
        <w:rPr>
          <w:spacing w:val="-4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品</w:t>
      </w:r>
      <w:r>
        <w:rPr>
          <w:spacing w:val="-4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营</w:t>
      </w:r>
      <w:r>
        <w:rPr>
          <w:spacing w:val="-52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收</w:t>
      </w:r>
      <w:r>
        <w:rPr>
          <w:spacing w:val="-56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分</w:t>
      </w:r>
      <w:r>
        <w:rPr>
          <w:spacing w:val="-47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别</w:t>
      </w:r>
      <w:r>
        <w:rPr>
          <w:spacing w:val="-48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为</w:t>
      </w:r>
      <w:r>
        <w:rPr>
          <w:spacing w:val="48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 xml:space="preserve">88.1/103.6/116.2  </w:t>
      </w:r>
      <w:r>
        <w:rPr>
          <w:spacing w:val="-4"/>
          <w:sz w:val="21"/>
          <w:szCs w:val="21"/>
        </w:rPr>
        <w:t>亿</w:t>
      </w:r>
      <w:r>
        <w:rPr>
          <w:spacing w:val="-48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元</w:t>
      </w:r>
      <w:r>
        <w:rPr>
          <w:spacing w:val="-4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，</w:t>
      </w:r>
      <w:r>
        <w:rPr>
          <w:spacing w:val="-33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同</w:t>
      </w:r>
      <w:r>
        <w:rPr>
          <w:spacing w:val="-40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比</w:t>
      </w:r>
      <w:r>
        <w:rPr>
          <w:spacing w:val="-55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增</w:t>
      </w:r>
      <w:r>
        <w:rPr>
          <w:spacing w:val="-50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长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3"/>
          <w:sz w:val="21"/>
          <w:szCs w:val="21"/>
        </w:rPr>
        <w:t>54.6%/17.6%/12.1%</w:t>
      </w:r>
      <w:r>
        <w:rPr>
          <w:spacing w:val="3"/>
          <w:sz w:val="21"/>
          <w:szCs w:val="21"/>
        </w:rPr>
        <w:t>；结构占比第二的黄金饰品同样受到金价上涨因素的推动叠加新技</w:t>
      </w:r>
      <w:r>
        <w:rPr>
          <w:spacing w:val="10"/>
          <w:sz w:val="21"/>
          <w:szCs w:val="21"/>
        </w:rPr>
        <w:t xml:space="preserve"> </w:t>
      </w:r>
      <w:r>
        <w:rPr>
          <w:spacing w:val="13"/>
          <w:sz w:val="21"/>
          <w:szCs w:val="21"/>
        </w:rPr>
        <w:t>术、国潮设计的影响</w:t>
      </w:r>
      <w:r>
        <w:rPr>
          <w:spacing w:val="-33"/>
          <w:sz w:val="21"/>
          <w:szCs w:val="21"/>
        </w:rPr>
        <w:t xml:space="preserve"> </w:t>
      </w:r>
      <w:r>
        <w:rPr>
          <w:spacing w:val="13"/>
          <w:sz w:val="21"/>
          <w:szCs w:val="21"/>
        </w:rPr>
        <w:t>，预计可分别实现营</w:t>
      </w:r>
      <w:r>
        <w:rPr>
          <w:spacing w:val="-39"/>
          <w:sz w:val="21"/>
          <w:szCs w:val="21"/>
        </w:rPr>
        <w:t xml:space="preserve"> </w:t>
      </w:r>
      <w:r>
        <w:rPr>
          <w:spacing w:val="13"/>
          <w:sz w:val="21"/>
          <w:szCs w:val="21"/>
        </w:rPr>
        <w:t>收</w:t>
      </w:r>
      <w:r>
        <w:rPr>
          <w:spacing w:val="54"/>
          <w:sz w:val="21"/>
          <w:szCs w:val="21"/>
        </w:rPr>
        <w:t xml:space="preserve"> </w:t>
      </w:r>
      <w:r>
        <w:rPr>
          <w:rFonts w:ascii="Arial" w:eastAsia="Arial" w:hAnsi="Arial" w:cs="Arial"/>
          <w:spacing w:val="13"/>
          <w:sz w:val="21"/>
          <w:szCs w:val="21"/>
        </w:rPr>
        <w:t xml:space="preserve">58.2/66.0/72.4  </w:t>
      </w:r>
      <w:r>
        <w:rPr>
          <w:spacing w:val="13"/>
          <w:sz w:val="21"/>
          <w:szCs w:val="21"/>
        </w:rPr>
        <w:t>亿</w:t>
      </w:r>
      <w:r>
        <w:rPr>
          <w:spacing w:val="-43"/>
          <w:sz w:val="21"/>
          <w:szCs w:val="21"/>
        </w:rPr>
        <w:t xml:space="preserve"> </w:t>
      </w:r>
      <w:r>
        <w:rPr>
          <w:spacing w:val="13"/>
          <w:sz w:val="21"/>
          <w:szCs w:val="21"/>
        </w:rPr>
        <w:t>元</w:t>
      </w:r>
      <w:r>
        <w:rPr>
          <w:spacing w:val="-42"/>
          <w:sz w:val="21"/>
          <w:szCs w:val="21"/>
        </w:rPr>
        <w:t xml:space="preserve"> </w:t>
      </w:r>
      <w:r>
        <w:rPr>
          <w:spacing w:val="13"/>
          <w:sz w:val="21"/>
          <w:szCs w:val="21"/>
        </w:rPr>
        <w:t>，</w:t>
      </w:r>
      <w:r>
        <w:rPr>
          <w:spacing w:val="-29"/>
          <w:sz w:val="21"/>
          <w:szCs w:val="21"/>
        </w:rPr>
        <w:t xml:space="preserve"> </w:t>
      </w:r>
      <w:r>
        <w:rPr>
          <w:spacing w:val="13"/>
          <w:sz w:val="21"/>
          <w:szCs w:val="21"/>
        </w:rPr>
        <w:t>同</w:t>
      </w:r>
      <w:r>
        <w:rPr>
          <w:spacing w:val="-34"/>
          <w:sz w:val="21"/>
          <w:szCs w:val="21"/>
        </w:rPr>
        <w:t xml:space="preserve"> </w:t>
      </w:r>
      <w:r>
        <w:rPr>
          <w:spacing w:val="13"/>
          <w:sz w:val="21"/>
          <w:szCs w:val="21"/>
        </w:rPr>
        <w:t>比</w:t>
      </w:r>
      <w:r>
        <w:rPr>
          <w:spacing w:val="-52"/>
          <w:sz w:val="21"/>
          <w:szCs w:val="21"/>
        </w:rPr>
        <w:t xml:space="preserve"> </w:t>
      </w:r>
      <w:r>
        <w:rPr>
          <w:spacing w:val="13"/>
          <w:sz w:val="21"/>
          <w:szCs w:val="21"/>
        </w:rPr>
        <w:t>增</w:t>
      </w:r>
      <w:r>
        <w:rPr>
          <w:spacing w:val="-46"/>
          <w:sz w:val="21"/>
          <w:szCs w:val="21"/>
        </w:rPr>
        <w:t xml:space="preserve"> </w:t>
      </w:r>
      <w:r>
        <w:rPr>
          <w:spacing w:val="13"/>
          <w:sz w:val="21"/>
          <w:szCs w:val="21"/>
        </w:rPr>
        <w:t>长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14"/>
          <w:sz w:val="21"/>
          <w:szCs w:val="21"/>
        </w:rPr>
        <w:t>45.6%/13.4%/9.7%</w:t>
      </w:r>
      <w:r>
        <w:rPr>
          <w:rFonts w:ascii="Arial" w:eastAsia="Arial" w:hAnsi="Arial" w:cs="Arial"/>
          <w:spacing w:val="-34"/>
          <w:sz w:val="21"/>
          <w:szCs w:val="21"/>
        </w:rPr>
        <w:t xml:space="preserve"> </w:t>
      </w:r>
      <w:r>
        <w:rPr>
          <w:spacing w:val="14"/>
          <w:sz w:val="21"/>
          <w:szCs w:val="21"/>
        </w:rPr>
        <w:t>；贵金属文化产品则相对表现较为平缓，</w:t>
      </w:r>
      <w:r>
        <w:rPr>
          <w:spacing w:val="-44"/>
          <w:sz w:val="21"/>
          <w:szCs w:val="21"/>
        </w:rPr>
        <w:t xml:space="preserve"> </w:t>
      </w:r>
      <w:r>
        <w:rPr>
          <w:spacing w:val="14"/>
          <w:sz w:val="21"/>
          <w:szCs w:val="21"/>
        </w:rPr>
        <w:t>预计可分别实现营收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11.9/13.1/14.1</w:t>
      </w:r>
      <w:r>
        <w:rPr>
          <w:rFonts w:ascii="Arial" w:eastAsia="Arial" w:hAnsi="Arial" w:cs="Arial"/>
          <w:spacing w:val="55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亿元，</w:t>
      </w:r>
      <w:r>
        <w:rPr>
          <w:spacing w:val="25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同比增长</w:t>
      </w:r>
      <w:r>
        <w:rPr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26.5%/10.3%/8.2%</w:t>
      </w:r>
      <w:r>
        <w:rPr>
          <w:spacing w:val="-3"/>
          <w:sz w:val="21"/>
          <w:szCs w:val="21"/>
        </w:rPr>
        <w:t>；钻翠珠宝饰品作为结构占比最小的</w:t>
      </w:r>
      <w:r>
        <w:rPr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品类受到钻石消费情绪日渐低迷的影响，预计</w:t>
      </w:r>
      <w:r>
        <w:rPr>
          <w:sz w:val="21"/>
          <w:szCs w:val="21"/>
        </w:rPr>
        <w:t>可分别实现营收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2.3/2.5/2.6</w:t>
      </w:r>
      <w:r>
        <w:rPr>
          <w:rFonts w:ascii="Arial" w:eastAsia="Arial" w:hAnsi="Arial" w:cs="Arial"/>
          <w:spacing w:val="40"/>
          <w:sz w:val="21"/>
          <w:szCs w:val="21"/>
        </w:rPr>
        <w:t xml:space="preserve"> </w:t>
      </w:r>
      <w:r>
        <w:rPr>
          <w:sz w:val="21"/>
          <w:szCs w:val="21"/>
        </w:rPr>
        <w:t>亿元，同比增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长</w:t>
      </w:r>
      <w:r>
        <w:rPr>
          <w:spacing w:val="-38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8.0%/7.0%/6.0%</w:t>
      </w:r>
      <w:r>
        <w:rPr>
          <w:spacing w:val="-1"/>
          <w:sz w:val="21"/>
          <w:szCs w:val="21"/>
        </w:rPr>
        <w:t>。</w:t>
      </w:r>
    </w:p>
    <w:p>
      <w:pPr>
        <w:pStyle w:val="BodyText"/>
        <w:spacing w:before="229" w:line="224" w:lineRule="auto"/>
        <w:ind w:left="3081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利润端假设</w:t>
      </w:r>
    </w:p>
    <w:p>
      <w:pPr>
        <w:pStyle w:val="BodyText"/>
        <w:spacing w:before="237" w:line="268" w:lineRule="auto"/>
        <w:ind w:left="3079" w:right="660" w:hanging="2"/>
        <w:jc w:val="both"/>
        <w:rPr>
          <w:sz w:val="21"/>
          <w:szCs w:val="21"/>
        </w:rPr>
      </w:pPr>
      <w:r>
        <w:rPr>
          <w:spacing w:val="-1"/>
          <w:sz w:val="21"/>
          <w:szCs w:val="21"/>
        </w:rPr>
        <w:t>考虑到</w:t>
      </w:r>
      <w:r>
        <w:rPr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23-24</w:t>
      </w:r>
      <w:r>
        <w:rPr>
          <w:rFonts w:ascii="Arial" w:eastAsia="Arial" w:hAnsi="Arial" w:cs="Arial"/>
          <w:spacing w:val="32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年金价有望持续上涨的预期，我们预计公司各产品毛利率在</w:t>
      </w:r>
      <w:r>
        <w:rPr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23-25</w:t>
      </w:r>
      <w:r>
        <w:rPr>
          <w:rFonts w:ascii="Arial" w:eastAsia="Arial" w:hAnsi="Arial" w:cs="Arial"/>
          <w:spacing w:val="32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年将有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一定程度的提升。但同时由于低毛利产品（投资类产品</w:t>
      </w:r>
      <w:r>
        <w:rPr>
          <w:spacing w:val="2"/>
          <w:sz w:val="21"/>
          <w:szCs w:val="21"/>
        </w:rPr>
        <w:t>）</w:t>
      </w:r>
      <w:r>
        <w:rPr>
          <w:spacing w:val="-59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占比可能提升，预计未来公司</w:t>
      </w:r>
      <w:r>
        <w:rPr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综</w:t>
      </w:r>
      <w:r>
        <w:rPr>
          <w:spacing w:val="-28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合</w:t>
      </w:r>
      <w:r>
        <w:rPr>
          <w:spacing w:val="-41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毛</w:t>
      </w:r>
      <w:r>
        <w:rPr>
          <w:spacing w:val="-36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利</w:t>
      </w:r>
      <w:r>
        <w:rPr>
          <w:spacing w:val="-36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率</w:t>
      </w:r>
      <w:r>
        <w:rPr>
          <w:spacing w:val="-44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将</w:t>
      </w:r>
      <w:r>
        <w:rPr>
          <w:spacing w:val="-44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基</w:t>
      </w:r>
      <w:r>
        <w:rPr>
          <w:spacing w:val="-35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本</w:t>
      </w:r>
      <w:r>
        <w:rPr>
          <w:spacing w:val="-33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维</w:t>
      </w:r>
      <w:r>
        <w:rPr>
          <w:spacing w:val="-43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持</w:t>
      </w:r>
      <w:r>
        <w:rPr>
          <w:spacing w:val="-40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稳</w:t>
      </w:r>
      <w:r>
        <w:rPr>
          <w:spacing w:val="-32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定</w:t>
      </w:r>
      <w:r>
        <w:rPr>
          <w:spacing w:val="-25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，</w:t>
      </w:r>
      <w:r>
        <w:rPr>
          <w:spacing w:val="-37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预</w:t>
      </w:r>
      <w:r>
        <w:rPr>
          <w:spacing w:val="-36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计</w:t>
      </w:r>
      <w:r>
        <w:rPr>
          <w:spacing w:val="6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9"/>
          <w:sz w:val="21"/>
          <w:szCs w:val="21"/>
        </w:rPr>
        <w:t>2023-2025</w:t>
      </w:r>
      <w:r>
        <w:rPr>
          <w:rFonts w:ascii="Arial" w:eastAsia="Arial" w:hAnsi="Arial" w:cs="Arial"/>
          <w:spacing w:val="21"/>
          <w:sz w:val="21"/>
          <w:szCs w:val="21"/>
        </w:rPr>
        <w:t xml:space="preserve">  </w:t>
      </w:r>
      <w:r>
        <w:rPr>
          <w:spacing w:val="-9"/>
          <w:sz w:val="21"/>
          <w:szCs w:val="21"/>
        </w:rPr>
        <w:t>年</w:t>
      </w:r>
      <w:r>
        <w:rPr>
          <w:spacing w:val="-49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公</w:t>
      </w:r>
      <w:r>
        <w:rPr>
          <w:spacing w:val="-9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司</w:t>
      </w:r>
      <w:r>
        <w:rPr>
          <w:spacing w:val="-33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综</w:t>
      </w:r>
      <w:r>
        <w:rPr>
          <w:spacing w:val="-46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合</w:t>
      </w:r>
      <w:r>
        <w:rPr>
          <w:spacing w:val="-41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毛</w:t>
      </w:r>
      <w:r>
        <w:rPr>
          <w:spacing w:val="-37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利</w:t>
      </w:r>
      <w:r>
        <w:rPr>
          <w:spacing w:val="-36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率</w:t>
      </w:r>
      <w:r>
        <w:rPr>
          <w:spacing w:val="-37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分</w:t>
      </w:r>
      <w:r>
        <w:rPr>
          <w:spacing w:val="-31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别</w:t>
      </w:r>
      <w:r>
        <w:rPr>
          <w:spacing w:val="-34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为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11.1%/11.0%/11.2%</w:t>
      </w:r>
      <w:r>
        <w:rPr>
          <w:spacing w:val="-3"/>
          <w:sz w:val="21"/>
          <w:szCs w:val="21"/>
        </w:rPr>
        <w:t>。</w:t>
      </w:r>
    </w:p>
    <w:p>
      <w:pPr>
        <w:pStyle w:val="BodyText"/>
        <w:spacing w:before="229" w:line="219" w:lineRule="auto"/>
        <w:ind w:left="3111"/>
        <w:rPr>
          <w:sz w:val="24"/>
          <w:szCs w:val="24"/>
        </w:rPr>
      </w:pPr>
      <w:r>
        <w:rPr>
          <w:color w:val="C30F1B"/>
          <w:spacing w:val="-5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区别于市场的观点</w:t>
      </w:r>
    </w:p>
    <w:p>
      <w:pPr>
        <w:pStyle w:val="BodyText"/>
        <w:spacing w:before="220" w:line="252" w:lineRule="auto"/>
        <w:ind w:left="3080" w:right="667" w:hanging="1"/>
        <w:rPr>
          <w:sz w:val="21"/>
          <w:szCs w:val="21"/>
        </w:rPr>
      </w:pPr>
      <w:r>
        <w:rPr>
          <w:spacing w:val="4"/>
          <w:sz w:val="21"/>
          <w:szCs w:val="21"/>
        </w:rPr>
        <w:t>市场普遍认为在消费环境不景气的大背景下，可选消费将受到更大冲击。但忽略了投资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性黄金产品在经济、政治环境不稳定的前提下所展示出的高利润弹性与对冲属性。</w:t>
      </w:r>
    </w:p>
    <w:p>
      <w:pPr>
        <w:pStyle w:val="BodyText"/>
        <w:spacing w:before="229" w:line="220" w:lineRule="auto"/>
        <w:ind w:left="3073"/>
        <w:rPr>
          <w:sz w:val="24"/>
          <w:szCs w:val="24"/>
        </w:rPr>
      </w:pPr>
      <w:r>
        <w:rPr>
          <w:color w:val="C30F1B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股价上涨催化剂</w:t>
      </w:r>
    </w:p>
    <w:p>
      <w:pPr>
        <w:pStyle w:val="BodyText"/>
        <w:spacing w:before="219" w:line="252" w:lineRule="auto"/>
        <w:ind w:left="3434" w:right="711" w:hanging="343"/>
        <w:rPr>
          <w:sz w:val="21"/>
          <w:szCs w:val="21"/>
        </w:rPr>
      </w:pPr>
      <w:r>
        <w:rPr>
          <w:rFonts w:ascii="Arial" w:eastAsia="Arial" w:hAnsi="Arial" w:cs="Arial"/>
          <w:spacing w:val="-3"/>
          <w:sz w:val="21"/>
          <w:szCs w:val="21"/>
        </w:rPr>
        <w:t>1</w:t>
      </w:r>
      <w:r>
        <w:rPr>
          <w:spacing w:val="-3"/>
          <w:sz w:val="21"/>
          <w:szCs w:val="21"/>
        </w:rPr>
        <w:t>）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量增：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随着公司线下门店的逐渐拓展，门店覆盖率提升带来线下市场渗透</w:t>
      </w:r>
      <w:r>
        <w:rPr>
          <w:spacing w:val="-4"/>
          <w:sz w:val="21"/>
          <w:szCs w:val="21"/>
        </w:rPr>
        <w:t>率的增长，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从而推动公司营收的增速。</w:t>
      </w:r>
    </w:p>
    <w:p>
      <w:pPr>
        <w:pStyle w:val="BodyText"/>
        <w:spacing w:before="239" w:line="255" w:lineRule="auto"/>
        <w:ind w:left="3450" w:right="665" w:hanging="376"/>
        <w:rPr>
          <w:sz w:val="21"/>
          <w:szCs w:val="21"/>
        </w:rPr>
      </w:pPr>
      <w:r>
        <w:rPr>
          <w:rFonts w:ascii="Arial" w:eastAsia="Arial" w:hAnsi="Arial" w:cs="Arial"/>
          <w:spacing w:val="-4"/>
          <w:sz w:val="21"/>
          <w:szCs w:val="21"/>
        </w:rPr>
        <w:t>2</w:t>
      </w:r>
      <w:r>
        <w:rPr>
          <w:spacing w:val="-4"/>
          <w:sz w:val="21"/>
          <w:szCs w:val="21"/>
        </w:rPr>
        <w:t>）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价增：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金价持续上涨，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公司利润空间得以同步释放，产品提价有望稳步进行带</w:t>
      </w:r>
      <w:r>
        <w:rPr>
          <w:spacing w:val="-5"/>
          <w:sz w:val="21"/>
          <w:szCs w:val="21"/>
        </w:rPr>
        <w:t>来公司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营收的增长。</w:t>
      </w:r>
    </w:p>
    <w:p>
      <w:pPr>
        <w:pStyle w:val="BodyText"/>
        <w:spacing w:before="221" w:line="218" w:lineRule="auto"/>
        <w:ind w:left="3079"/>
        <w:rPr>
          <w:sz w:val="24"/>
          <w:szCs w:val="24"/>
        </w:rPr>
      </w:pPr>
      <w:r>
        <w:rPr>
          <w:color w:val="C30F1B"/>
          <w:spacing w:val="-2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投资建议</w:t>
      </w:r>
    </w:p>
    <w:p>
      <w:pPr>
        <w:pStyle w:val="BodyText"/>
        <w:spacing w:before="219" w:line="272" w:lineRule="auto"/>
        <w:ind w:left="3075" w:right="664" w:firstLine="31"/>
        <w:jc w:val="both"/>
        <w:rPr>
          <w:sz w:val="21"/>
          <w:szCs w:val="21"/>
        </w:rPr>
      </w:pPr>
      <w:r>
        <w:rPr>
          <w:spacing w:val="3"/>
          <w:sz w:val="21"/>
          <w:szCs w:val="21"/>
        </w:rPr>
        <w:t>区域龙头持续扩大线上线下市场渗透，坚持直营打造差异化竞争优势，考虑到菜百股份</w:t>
      </w:r>
      <w:r>
        <w:rPr>
          <w:spacing w:val="15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是</w:t>
      </w:r>
      <w:r>
        <w:rPr>
          <w:spacing w:val="-19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金</w:t>
      </w:r>
      <w:r>
        <w:rPr>
          <w:spacing w:val="-29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价</w:t>
      </w:r>
      <w:r>
        <w:rPr>
          <w:spacing w:val="-1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上</w:t>
      </w:r>
      <w:r>
        <w:rPr>
          <w:spacing w:val="-1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涨</w:t>
      </w:r>
      <w:r>
        <w:rPr>
          <w:spacing w:val="-1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受</w:t>
      </w:r>
      <w:r>
        <w:rPr>
          <w:spacing w:val="-24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益</w:t>
      </w:r>
      <w:r>
        <w:rPr>
          <w:spacing w:val="-1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的</w:t>
      </w:r>
      <w:r>
        <w:rPr>
          <w:spacing w:val="-26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珠</w:t>
      </w:r>
      <w:r>
        <w:rPr>
          <w:spacing w:val="-1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宝</w:t>
      </w:r>
      <w:r>
        <w:rPr>
          <w:spacing w:val="-25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企</w:t>
      </w:r>
      <w:r>
        <w:rPr>
          <w:spacing w:val="-13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业</w:t>
      </w:r>
      <w:r>
        <w:rPr>
          <w:spacing w:val="-7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，</w:t>
      </w:r>
      <w:r>
        <w:rPr>
          <w:spacing w:val="-1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我</w:t>
      </w:r>
      <w:r>
        <w:rPr>
          <w:spacing w:val="-29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们</w:t>
      </w:r>
      <w:r>
        <w:rPr>
          <w:spacing w:val="-19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预</w:t>
      </w:r>
      <w:r>
        <w:rPr>
          <w:spacing w:val="-21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计</w:t>
      </w:r>
      <w:r>
        <w:rPr>
          <w:spacing w:val="-3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公</w:t>
      </w:r>
      <w:r>
        <w:rPr>
          <w:spacing w:val="-1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司</w:t>
      </w:r>
      <w:r>
        <w:rPr>
          <w:spacing w:val="8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0"/>
          <w:sz w:val="21"/>
          <w:szCs w:val="21"/>
        </w:rPr>
        <w:t xml:space="preserve">23-25   </w:t>
      </w:r>
      <w:r>
        <w:rPr>
          <w:spacing w:val="-10"/>
          <w:sz w:val="21"/>
          <w:szCs w:val="21"/>
        </w:rPr>
        <w:t>年</w:t>
      </w:r>
      <w:r>
        <w:rPr>
          <w:spacing w:val="-1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实</w:t>
      </w:r>
      <w:r>
        <w:rPr>
          <w:spacing w:val="-24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现</w:t>
      </w:r>
      <w:r>
        <w:rPr>
          <w:spacing w:val="-1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营</w:t>
      </w:r>
      <w:r>
        <w:rPr>
          <w:spacing w:val="-1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业</w:t>
      </w:r>
      <w:r>
        <w:rPr>
          <w:spacing w:val="-15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收</w:t>
      </w:r>
      <w:r>
        <w:rPr>
          <w:spacing w:val="-19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入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>162.23/187.36/208.20</w:t>
      </w:r>
      <w:r>
        <w:rPr>
          <w:rFonts w:ascii="Arial" w:eastAsia="Arial" w:hAnsi="Arial" w:cs="Arial"/>
          <w:spacing w:val="16"/>
          <w:sz w:val="21"/>
          <w:szCs w:val="21"/>
        </w:rPr>
        <w:t xml:space="preserve">  </w:t>
      </w:r>
      <w:r>
        <w:rPr>
          <w:spacing w:val="-5"/>
          <w:sz w:val="21"/>
          <w:szCs w:val="21"/>
        </w:rPr>
        <w:t>亿</w:t>
      </w:r>
      <w:r>
        <w:rPr>
          <w:spacing w:val="-33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元</w:t>
      </w:r>
      <w:r>
        <w:rPr>
          <w:spacing w:val="-29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同</w:t>
      </w:r>
      <w:r>
        <w:rPr>
          <w:spacing w:val="-26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比</w:t>
      </w:r>
      <w:r>
        <w:rPr>
          <w:spacing w:val="-42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增</w:t>
      </w:r>
      <w:r>
        <w:rPr>
          <w:spacing w:val="-34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长</w:t>
      </w:r>
      <w:r>
        <w:rPr>
          <w:spacing w:val="58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>47.6</w:t>
      </w:r>
      <w:r>
        <w:rPr>
          <w:rFonts w:ascii="Arial" w:eastAsia="Arial" w:hAnsi="Arial" w:cs="Arial"/>
          <w:spacing w:val="-6"/>
          <w:sz w:val="21"/>
          <w:szCs w:val="21"/>
        </w:rPr>
        <w:t>%/15.5%/11.1%</w:t>
      </w:r>
      <w:r>
        <w:rPr>
          <w:rFonts w:ascii="Arial" w:eastAsia="Arial" w:hAnsi="Arial" w:cs="Arial"/>
          <w:spacing w:val="18"/>
          <w:w w:val="10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，</w:t>
      </w:r>
      <w:r>
        <w:rPr>
          <w:spacing w:val="-35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实</w:t>
      </w:r>
      <w:r>
        <w:rPr>
          <w:spacing w:val="-43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现</w:t>
      </w:r>
      <w:r>
        <w:rPr>
          <w:spacing w:val="-27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归</w:t>
      </w:r>
      <w:r>
        <w:rPr>
          <w:spacing w:val="-47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母</w:t>
      </w:r>
      <w:r>
        <w:rPr>
          <w:spacing w:val="-35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净</w:t>
      </w:r>
      <w:r>
        <w:rPr>
          <w:spacing w:val="-40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利</w:t>
      </w:r>
      <w:r>
        <w:rPr>
          <w:spacing w:val="-33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润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7.10/8.19/9.28</w:t>
      </w:r>
      <w:r>
        <w:rPr>
          <w:rFonts w:ascii="Arial" w:eastAsia="Arial" w:hAnsi="Arial" w:cs="Arial"/>
          <w:spacing w:val="3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亿元，同比增长</w:t>
      </w:r>
      <w:r>
        <w:rPr>
          <w:spacing w:val="-4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54.2%/15.3%/13.4%</w:t>
      </w:r>
      <w:r>
        <w:rPr>
          <w:rFonts w:ascii="Arial" w:eastAsia="Arial" w:hAnsi="Arial" w:cs="Arial"/>
          <w:spacing w:val="-34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。首次覆盖给予“买入”评级。</w:t>
      </w:r>
    </w:p>
    <w:p>
      <w:pPr>
        <w:spacing w:line="272" w:lineRule="auto"/>
        <w:rPr>
          <w:sz w:val="21"/>
          <w:szCs w:val="21"/>
        </w:rPr>
        <w:sectPr>
          <w:headerReference w:type="default" r:id="rId25"/>
          <w:footerReference w:type="default" r:id="rId26"/>
          <w:pgSz w:w="11907" w:h="16839"/>
          <w:pgMar w:top="1202" w:right="14" w:bottom="928" w:left="11" w:header="10" w:footer="21" w:gutter="0"/>
          <w:pgNumType w:start="9"/>
          <w:cols w:space="708"/>
        </w:sectPr>
      </w:pPr>
    </w:p>
    <w:p>
      <w:pPr>
        <w:spacing w:line="243" w:lineRule="auto"/>
        <w:rPr>
          <w:rFonts w:ascii="Arial"/>
          <w:sz w:val="21"/>
        </w:rPr>
      </w:pP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1031132</wp:posOffset>
            </wp:positionH>
            <wp:positionV relativeFrom="page">
              <wp:posOffset>4641963</wp:posOffset>
            </wp:positionV>
            <wp:extent cx="6529431" cy="5276229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529431" cy="5276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845"/>
        <w:rPr>
          <w:sz w:val="24"/>
          <w:szCs w:val="24"/>
        </w:rPr>
      </w:pPr>
      <w:r>
        <w:rPr>
          <w:color w:val="7F7F7F"/>
          <w:spacing w:val="-2"/>
          <w:sz w:val="24"/>
          <w:szCs w:val="24"/>
        </w:rPr>
        <w:t>公司深度研究</w:t>
      </w:r>
      <w:r>
        <w:rPr>
          <w:color w:val="7F7F7F"/>
          <w:spacing w:val="-30"/>
          <w:sz w:val="24"/>
          <w:szCs w:val="24"/>
        </w:rPr>
        <w:t xml:space="preserve"> </w:t>
      </w:r>
      <w:r>
        <w:rPr>
          <w:rFonts w:ascii="Arial" w:eastAsia="Arial" w:hAnsi="Arial" w:cs="Arial"/>
          <w:color w:val="7F7F7F"/>
          <w:spacing w:val="-2"/>
          <w:sz w:val="24"/>
          <w:szCs w:val="24"/>
        </w:rPr>
        <w:t xml:space="preserve">| </w:t>
      </w:r>
      <w:r>
        <w:rPr>
          <w:color w:val="7F7F7F"/>
          <w:spacing w:val="-2"/>
          <w:sz w:val="24"/>
          <w:szCs w:val="24"/>
        </w:rPr>
        <w:t>菜百股份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250"/>
        <w:rPr>
          <w:sz w:val="31"/>
          <w:szCs w:val="31"/>
        </w:rPr>
      </w:pPr>
      <w:bookmarkStart w:id="5" w:name="bookmark25"/>
      <w:bookmarkEnd w:id="5"/>
      <w:bookmarkStart w:id="6" w:name="bookmark6"/>
      <w:bookmarkEnd w:id="6"/>
      <w:r>
        <w:rPr>
          <w:color w:val="C30F1B"/>
          <w:spacing w:val="10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菜百股份核心指标概览</w:t>
      </w:r>
    </w:p>
    <w:p>
      <w:pPr>
        <w:pStyle w:val="BodyText"/>
        <w:spacing w:before="144" w:line="213" w:lineRule="auto"/>
        <w:ind w:left="1439"/>
        <w:rPr>
          <w:sz w:val="18"/>
          <w:szCs w:val="18"/>
        </w:rPr>
        <w:sectPr>
          <w:headerReference w:type="default" r:id="rId28"/>
          <w:footerReference w:type="default" r:id="rId29"/>
          <w:pgSz w:w="11907" w:h="16839"/>
          <w:pgMar w:top="400" w:right="0" w:bottom="868" w:left="8" w:header="0" w:footer="18" w:gutter="0"/>
          <w:pgNumType w:start="10"/>
          <w:cols w:space="708"/>
        </w:sectPr>
      </w:pPr>
      <w:r>
        <w:rPr>
          <w:color w:val="0D0D0D"/>
          <w:spacing w:val="-4"/>
          <w:sz w:val="18"/>
          <w:szCs w:val="18"/>
        </w:rPr>
        <w:t>图</w:t>
      </w:r>
      <w:r>
        <w:rPr>
          <w:color w:val="0D0D0D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4"/>
          <w:sz w:val="18"/>
          <w:szCs w:val="18"/>
        </w:rPr>
        <w:t>1</w:t>
      </w:r>
      <w:r>
        <w:rPr>
          <w:color w:val="0D0D0D"/>
          <w:spacing w:val="-4"/>
          <w:sz w:val="18"/>
          <w:szCs w:val="18"/>
        </w:rPr>
        <w:t>：菜百股份核心指标概览图</w:t>
      </w:r>
    </w:p>
    <w:p>
      <w:pPr>
        <w:spacing w:line="8392" w:lineRule="exact"/>
        <w:ind w:firstLine="1410"/>
      </w:pPr>
      <w:r>
        <w:rPr>
          <w:position w:val="-167"/>
        </w:rPr>
        <w:pict>
          <v:group id="_x0000_i1035" style="width:524.45pt;height:419.6pt;mso-position-horizontal-relative:char;mso-position-vertical-relative:line" coordorigin="0,0" coordsize="10489,8392" filled="f" stroked="f">
            <v:rect id="_x0000_s1036" style="width:10489;height:10;position:absolute;top:8382" filled="t" fillcolor="black" stroked="f"/>
            <v:rect id="_x0000_s1037" style="width:10489;height:10;position:absolute" filled="t" fillcolor="black" stroked="f"/>
            <w10:wrap type="none"/>
          </v:group>
        </w:pict>
      </w:r>
    </w:p>
    <w:p>
      <w:pPr>
        <w:pStyle w:val="BodyText"/>
        <w:spacing w:before="20" w:line="225" w:lineRule="auto"/>
        <w:ind w:left="1419"/>
        <w:rPr>
          <w:sz w:val="13"/>
          <w:szCs w:val="13"/>
        </w:rPr>
      </w:pPr>
      <w:r>
        <w:rPr>
          <w:spacing w:val="7"/>
          <w:sz w:val="13"/>
          <w:szCs w:val="13"/>
        </w:rPr>
        <w:t>资料来源：菜百股份招股说明书，同花顺，</w:t>
      </w:r>
      <w:r>
        <w:rPr>
          <w:spacing w:val="7"/>
          <w:sz w:val="13"/>
          <w:szCs w:val="13"/>
        </w:rPr>
        <w:t xml:space="preserve"> </w:t>
      </w:r>
      <w:r>
        <w:rPr>
          <w:spacing w:val="7"/>
          <w:sz w:val="13"/>
          <w:szCs w:val="13"/>
        </w:rPr>
        <w:t>西部</w:t>
      </w:r>
      <w:r>
        <w:rPr>
          <w:spacing w:val="6"/>
          <w:sz w:val="13"/>
          <w:szCs w:val="13"/>
        </w:rPr>
        <w:t>证券研发中心</w:t>
      </w:r>
    </w:p>
    <w:p>
      <w:pPr>
        <w:spacing w:line="225" w:lineRule="auto"/>
        <w:rPr>
          <w:sz w:val="13"/>
          <w:szCs w:val="13"/>
        </w:rPr>
        <w:sectPr>
          <w:headerReference w:type="default" r:id="rId30"/>
          <w:footerReference w:type="default" r:id="rId31"/>
          <w:type w:val="nextPage"/>
          <w:pgSz w:w="11907" w:h="16839"/>
          <w:pgMar w:top="400" w:right="0" w:bottom="868" w:left="8" w:header="0" w:footer="18" w:gutter="0"/>
          <w:pgNumType w:start="11"/>
          <w:cols w:space="708"/>
          <w:titlePg w:val="0"/>
        </w:sectPr>
      </w:pPr>
    </w:p>
    <w:p>
      <w:pPr>
        <w:spacing w:line="283" w:lineRule="auto"/>
        <w:rPr>
          <w:rFonts w:ascii="Arial"/>
          <w:sz w:val="21"/>
        </w:rPr>
      </w:pPr>
      <w:r>
        <w:drawing>
          <wp:anchor distT="0" distB="0" distL="0" distR="0" simplePos="0" relativeHeight="251675648" behindDoc="1" locked="0" layoutInCell="0" allowOverlap="1">
            <wp:simplePos x="0" y="0"/>
            <wp:positionH relativeFrom="page">
              <wp:posOffset>2029967</wp:posOffset>
            </wp:positionH>
            <wp:positionV relativeFrom="page">
              <wp:posOffset>5332476</wp:posOffset>
            </wp:positionV>
            <wp:extent cx="5099303" cy="1994915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99303" cy="1994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1" w:line="531" w:lineRule="exact"/>
        <w:ind w:left="3086"/>
        <w:rPr>
          <w:sz w:val="31"/>
          <w:szCs w:val="31"/>
        </w:rPr>
      </w:pPr>
      <w:bookmarkStart w:id="7" w:name="bookmark26"/>
      <w:bookmarkEnd w:id="7"/>
      <w:bookmarkStart w:id="8" w:name="bookmark7"/>
      <w:bookmarkEnd w:id="8"/>
      <w:bookmarkStart w:id="9" w:name="bookmark8"/>
      <w:bookmarkEnd w:id="9"/>
      <w:r>
        <w:rPr>
          <w:color w:val="C30F1B"/>
          <w:spacing w:val="18"/>
          <w:position w:val="16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一、深耕华北地区，打造“中华老字号”</w:t>
      </w:r>
    </w:p>
    <w:p>
      <w:pPr>
        <w:pStyle w:val="BodyText"/>
        <w:spacing w:line="212" w:lineRule="auto"/>
        <w:ind w:left="3087"/>
        <w:rPr>
          <w:sz w:val="24"/>
          <w:szCs w:val="24"/>
        </w:rPr>
      </w:pPr>
      <w:r>
        <w:rPr>
          <w:rFonts w:ascii="Arial" w:eastAsia="Arial" w:hAnsi="Arial" w:cs="Arial"/>
          <w:b/>
          <w:bCs/>
          <w:color w:val="C30F1B"/>
          <w:spacing w:val="-2"/>
          <w:sz w:val="24"/>
          <w:szCs w:val="24"/>
        </w:rPr>
        <w:t>1.1</w:t>
      </w:r>
      <w:r>
        <w:rPr>
          <w:rFonts w:ascii="Arial" w:eastAsia="Arial" w:hAnsi="Arial" w:cs="Arial"/>
          <w:b/>
          <w:bCs/>
          <w:color w:val="C30F1B"/>
          <w:spacing w:val="40"/>
          <w:sz w:val="24"/>
          <w:szCs w:val="24"/>
        </w:rPr>
        <w:t xml:space="preserve"> </w:t>
      </w:r>
      <w:r>
        <w:rPr>
          <w:color w:val="C30F1B"/>
          <w:spacing w:val="-2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百货转型珠宝专营，</w:t>
      </w:r>
      <w:r>
        <w:rPr>
          <w:rFonts w:ascii="Arial" w:eastAsia="Arial" w:hAnsi="Arial" w:cs="Arial"/>
          <w:b/>
          <w:bCs/>
          <w:color w:val="C30F1B"/>
          <w:spacing w:val="-2"/>
          <w:sz w:val="24"/>
          <w:szCs w:val="24"/>
        </w:rPr>
        <w:t>IPO</w:t>
      </w:r>
      <w:r>
        <w:rPr>
          <w:color w:val="C30F1B"/>
          <w:spacing w:val="-2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助力数字化转型</w:t>
      </w:r>
    </w:p>
    <w:p>
      <w:pPr>
        <w:pStyle w:val="BodyText"/>
        <w:spacing w:before="226" w:line="264" w:lineRule="auto"/>
        <w:ind w:left="3071" w:right="497"/>
        <w:jc w:val="both"/>
        <w:rPr>
          <w:sz w:val="21"/>
          <w:szCs w:val="21"/>
        </w:rPr>
      </w:pP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历经半个世纪，成就黄金饰品区域性翘楚。</w:t>
      </w:r>
      <w:r>
        <w:rPr>
          <w:spacing w:val="-2"/>
          <w:sz w:val="21"/>
          <w:szCs w:val="21"/>
        </w:rPr>
        <w:t>公司成立于</w:t>
      </w:r>
      <w:r>
        <w:rPr>
          <w:spacing w:val="-25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 xml:space="preserve">1956 </w:t>
      </w:r>
      <w:r>
        <w:rPr>
          <w:spacing w:val="-2"/>
          <w:sz w:val="21"/>
          <w:szCs w:val="21"/>
        </w:rPr>
        <w:t>年，前身为菜市口百货商场，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初期经营综合性百货业务，后来于</w:t>
      </w:r>
      <w:r>
        <w:rPr>
          <w:spacing w:val="-2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 xml:space="preserve">2000 </w:t>
      </w:r>
      <w:r>
        <w:rPr>
          <w:spacing w:val="-1"/>
          <w:sz w:val="21"/>
          <w:szCs w:val="21"/>
        </w:rPr>
        <w:t>年进行股改，正式更名为菜百股份。公司的发展</w:t>
      </w:r>
      <w:r>
        <w:rPr>
          <w:spacing w:val="-1"/>
          <w:sz w:val="21"/>
          <w:szCs w:val="21"/>
        </w:rPr>
        <w:t xml:space="preserve">  </w:t>
      </w:r>
      <w:r>
        <w:rPr>
          <w:sz w:val="21"/>
          <w:szCs w:val="21"/>
        </w:rPr>
        <w:t>历程可基本分为三大阶段：</w:t>
      </w:r>
    </w:p>
    <w:p>
      <w:pPr>
        <w:pStyle w:val="BodyText"/>
        <w:spacing w:before="241" w:line="268" w:lineRule="auto"/>
        <w:ind w:left="3099" w:right="497" w:firstLine="7"/>
        <w:jc w:val="both"/>
        <w:rPr>
          <w:sz w:val="21"/>
          <w:szCs w:val="21"/>
        </w:rPr>
      </w:pP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初创阶段（1956</w:t>
      </w:r>
      <w:r>
        <w:rPr>
          <w:spacing w:val="-28"/>
          <w:sz w:val="21"/>
          <w:szCs w:val="21"/>
        </w:rPr>
        <w:t xml:space="preserve">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年-1999</w:t>
      </w:r>
      <w:r>
        <w:rPr>
          <w:spacing w:val="-29"/>
          <w:sz w:val="21"/>
          <w:szCs w:val="21"/>
        </w:rPr>
        <w:t xml:space="preserve">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18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）：</w:t>
      </w:r>
      <w:r>
        <w:rPr>
          <w:spacing w:val="-4"/>
          <w:sz w:val="21"/>
          <w:szCs w:val="21"/>
        </w:rPr>
        <w:t>公司成立于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1956</w:t>
      </w:r>
      <w:r>
        <w:rPr>
          <w:spacing w:val="-29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年，1985</w:t>
      </w:r>
      <w:r>
        <w:rPr>
          <w:spacing w:val="-29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年国家放开黄金饰品销售政策，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公司抓住机遇取得《黄金内销零售许可证》,开始发展黄金饰</w:t>
      </w:r>
      <w:r>
        <w:rPr>
          <w:spacing w:val="2"/>
          <w:sz w:val="21"/>
          <w:szCs w:val="21"/>
        </w:rPr>
        <w:t>品零售业务。1994</w:t>
      </w:r>
      <w:r>
        <w:rPr>
          <w:spacing w:val="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年公司</w:t>
      </w:r>
      <w:r>
        <w:rPr>
          <w:spacing w:val="2"/>
          <w:sz w:val="21"/>
          <w:szCs w:val="21"/>
        </w:rPr>
        <w:t xml:space="preserve">  </w:t>
      </w:r>
      <w:r>
        <w:rPr>
          <w:spacing w:val="-2"/>
          <w:sz w:val="21"/>
          <w:szCs w:val="21"/>
        </w:rPr>
        <w:t>进行公司制改革，后于</w:t>
      </w:r>
      <w:r>
        <w:rPr>
          <w:spacing w:val="-1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1997</w:t>
      </w:r>
      <w:r>
        <w:rPr>
          <w:spacing w:val="-2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年获北京市商业委员会正式命名为“京城黄金第一家</w:t>
      </w:r>
      <w:r>
        <w:rPr>
          <w:spacing w:val="-77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”，以</w:t>
      </w:r>
      <w:r>
        <w:rPr>
          <w:spacing w:val="-2"/>
          <w:sz w:val="21"/>
          <w:szCs w:val="21"/>
        </w:rPr>
        <w:t xml:space="preserve">  </w:t>
      </w:r>
      <w:r>
        <w:rPr>
          <w:sz w:val="21"/>
          <w:szCs w:val="21"/>
        </w:rPr>
        <w:t>表彰公司在黄金饰品销售领域所做出的贡献</w:t>
      </w:r>
    </w:p>
    <w:p>
      <w:pPr>
        <w:pStyle w:val="BodyText"/>
        <w:spacing w:before="246" w:line="269" w:lineRule="auto"/>
        <w:ind w:left="3101" w:right="660" w:firstLine="4"/>
        <w:jc w:val="both"/>
        <w:rPr>
          <w:sz w:val="21"/>
          <w:szCs w:val="21"/>
        </w:rPr>
      </w:pP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成长阶段</w:t>
      </w:r>
      <w:r>
        <w:rPr>
          <w:spacing w:val="50"/>
          <w:sz w:val="21"/>
          <w:szCs w:val="21"/>
        </w:rPr>
        <w:t xml:space="preserve">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(2000</w:t>
      </w:r>
      <w:r>
        <w:rPr>
          <w:spacing w:val="-22"/>
          <w:sz w:val="21"/>
          <w:szCs w:val="21"/>
        </w:rPr>
        <w:t xml:space="preserve">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年-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2010</w:t>
      </w:r>
      <w:r>
        <w:rPr>
          <w:spacing w:val="-21"/>
          <w:sz w:val="21"/>
          <w:szCs w:val="21"/>
        </w:rPr>
        <w:t xml:space="preserve">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年)：</w:t>
      </w:r>
      <w:r>
        <w:rPr>
          <w:spacing w:val="-5"/>
          <w:sz w:val="21"/>
          <w:szCs w:val="21"/>
        </w:rPr>
        <w:t>2000</w:t>
      </w:r>
      <w:r>
        <w:rPr>
          <w:spacing w:val="-24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年，</w:t>
      </w:r>
      <w:r>
        <w:rPr>
          <w:spacing w:val="-33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公司进行股份制改革，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引入外</w:t>
      </w:r>
      <w:r>
        <w:rPr>
          <w:spacing w:val="-6"/>
          <w:sz w:val="21"/>
          <w:szCs w:val="21"/>
        </w:rPr>
        <w:t>部投资者增资扩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股。次年，公司注册“菜百</w:t>
      </w:r>
      <w:r>
        <w:rPr>
          <w:spacing w:val="-75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”首饰商标，并被中国宝玉石协会评为“</w:t>
      </w:r>
      <w:r>
        <w:rPr>
          <w:spacing w:val="-69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中国</w:t>
      </w:r>
      <w:r>
        <w:rPr>
          <w:spacing w:val="1"/>
          <w:sz w:val="21"/>
          <w:szCs w:val="21"/>
        </w:rPr>
        <w:t>珠宝业驰名品</w:t>
      </w:r>
      <w:r>
        <w:rPr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牌</w:t>
      </w:r>
      <w:r>
        <w:rPr>
          <w:spacing w:val="-69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”。随着公司品牌价值的不断提升，公司先后在</w:t>
      </w:r>
      <w:r>
        <w:rPr>
          <w:spacing w:val="4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2005-2006</w:t>
      </w:r>
      <w:r>
        <w:rPr>
          <w:spacing w:val="4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年荣获“</w:t>
      </w:r>
      <w:r>
        <w:rPr>
          <w:spacing w:val="-68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中国</w:t>
      </w:r>
      <w:r>
        <w:rPr>
          <w:spacing w:val="3"/>
          <w:sz w:val="21"/>
          <w:szCs w:val="21"/>
        </w:rPr>
        <w:t>黄金第一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家</w:t>
      </w:r>
      <w:r>
        <w:rPr>
          <w:spacing w:val="-65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”、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“</w:t>
      </w:r>
      <w:r>
        <w:rPr>
          <w:spacing w:val="-74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中华老字号</w:t>
      </w:r>
      <w:r>
        <w:rPr>
          <w:spacing w:val="-77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”的荣誉称号。</w:t>
      </w:r>
    </w:p>
    <w:p>
      <w:pPr>
        <w:pStyle w:val="BodyText"/>
        <w:spacing w:before="244" w:line="250" w:lineRule="auto"/>
        <w:ind w:left="3079" w:right="660" w:hanging="4"/>
        <w:rPr>
          <w:sz w:val="21"/>
          <w:szCs w:val="21"/>
        </w:rPr>
      </w:pP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转型升级阶段</w:t>
      </w:r>
      <w:r>
        <w:rPr>
          <w:spacing w:val="50"/>
          <w:sz w:val="21"/>
          <w:szCs w:val="21"/>
        </w:rPr>
        <w:t xml:space="preserve"> 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(2010</w:t>
      </w:r>
      <w:r>
        <w:rPr>
          <w:spacing w:val="-20"/>
          <w:sz w:val="21"/>
          <w:szCs w:val="21"/>
        </w:rPr>
        <w:t xml:space="preserve"> 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年-至今)：</w:t>
      </w:r>
      <w:r>
        <w:rPr>
          <w:spacing w:val="-1"/>
          <w:sz w:val="21"/>
          <w:szCs w:val="21"/>
        </w:rPr>
        <w:t>2010</w:t>
      </w:r>
      <w:r>
        <w:rPr>
          <w:spacing w:val="-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年，公司由传统百货</w:t>
      </w:r>
      <w:r>
        <w:rPr>
          <w:spacing w:val="-2"/>
          <w:sz w:val="21"/>
          <w:szCs w:val="21"/>
        </w:rPr>
        <w:t>业务向黄金珠宝专业化运营转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型。</w:t>
      </w:r>
      <w:r>
        <w:rPr>
          <w:spacing w:val="-35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2013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年，</w:t>
      </w:r>
      <w:r>
        <w:rPr>
          <w:spacing w:val="-29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公司在天猫平台开设旗舰店，次年开设京东旗舰</w:t>
      </w:r>
      <w:r>
        <w:rPr>
          <w:spacing w:val="-8"/>
          <w:sz w:val="21"/>
          <w:szCs w:val="21"/>
        </w:rPr>
        <w:t>店，</w:t>
      </w:r>
      <w:r>
        <w:rPr>
          <w:spacing w:val="62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并成立电商子公司，</w:t>
      </w:r>
    </w:p>
    <w:p>
      <w:pPr>
        <w:pStyle w:val="BodyText"/>
        <w:spacing w:before="83" w:line="253" w:lineRule="auto"/>
        <w:ind w:left="3070" w:right="497" w:firstLine="7"/>
        <w:rPr>
          <w:sz w:val="21"/>
          <w:szCs w:val="21"/>
        </w:rPr>
      </w:pPr>
      <w:r>
        <w:rPr>
          <w:spacing w:val="-7"/>
          <w:sz w:val="21"/>
          <w:szCs w:val="21"/>
        </w:rPr>
        <w:t>打造线上线下相融合的全渠道销售网络。</w:t>
      </w:r>
      <w:r>
        <w:rPr>
          <w:spacing w:val="53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随着公司黄金珠宝</w:t>
      </w:r>
      <w:r>
        <w:rPr>
          <w:spacing w:val="-8"/>
          <w:sz w:val="21"/>
          <w:szCs w:val="21"/>
        </w:rPr>
        <w:t>业务逐渐稳步发展，</w:t>
      </w:r>
      <w:r>
        <w:rPr>
          <w:spacing w:val="56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2021</w:t>
      </w:r>
      <w:r>
        <w:rPr>
          <w:spacing w:val="-8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年，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公司成功在上海证券交易所主板上市。</w:t>
      </w:r>
    </w:p>
    <w:p>
      <w:pPr>
        <w:pStyle w:val="BodyText"/>
        <w:spacing w:before="205" w:line="214" w:lineRule="auto"/>
        <w:ind w:left="3106"/>
        <w:rPr>
          <w:sz w:val="18"/>
          <w:szCs w:val="18"/>
        </w:rPr>
      </w:pPr>
      <w:r>
        <w:rPr>
          <w:color w:val="0D0D0D"/>
          <w:spacing w:val="-4"/>
          <w:sz w:val="18"/>
          <w:szCs w:val="18"/>
        </w:rPr>
        <w:t>图</w:t>
      </w:r>
      <w:r>
        <w:rPr>
          <w:color w:val="0D0D0D"/>
          <w:spacing w:val="-30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4"/>
          <w:sz w:val="18"/>
          <w:szCs w:val="18"/>
        </w:rPr>
        <w:t>2</w:t>
      </w:r>
      <w:r>
        <w:rPr>
          <w:color w:val="0D0D0D"/>
          <w:spacing w:val="-4"/>
          <w:sz w:val="18"/>
          <w:szCs w:val="18"/>
        </w:rPr>
        <w:t>：菜百股份发展历程</w:t>
      </w:r>
    </w:p>
    <w:p>
      <w:pPr>
        <w:spacing w:before="50" w:line="3194" w:lineRule="exact"/>
        <w:ind w:firstLine="3078"/>
      </w:pPr>
      <w:r>
        <w:rPr>
          <w:position w:val="-63"/>
        </w:rPr>
        <w:pict>
          <v:group id="_x0000_i1038" style="width:406.9pt;height:159.75pt;mso-position-horizontal-relative:char;mso-position-vertical-relative:line" coordorigin="0,0" coordsize="8137,3195" filled="f" stroked="f">
            <v:rect id="_x0000_s1039" style="width:8137;height:10;position:absolute;top:3185" filled="t" fillcolor="black" stroked="f"/>
            <v:rect id="_x0000_s1040" style="width:8137;height:10;position:absolute" filled="t" fillcolor="black" stroked="f"/>
            <w10:wrap type="none"/>
          </v:group>
        </w:pict>
      </w:r>
    </w:p>
    <w:p>
      <w:pPr>
        <w:pStyle w:val="BodyText"/>
        <w:spacing w:before="21" w:line="214" w:lineRule="auto"/>
        <w:ind w:left="3090"/>
        <w:rPr>
          <w:sz w:val="15"/>
          <w:szCs w:val="15"/>
        </w:rPr>
      </w:pPr>
      <w:r>
        <w:rPr>
          <w:spacing w:val="-6"/>
          <w:sz w:val="15"/>
          <w:szCs w:val="15"/>
        </w:rPr>
        <w:t>资料来源：</w:t>
      </w:r>
      <w:r>
        <w:rPr>
          <w:spacing w:val="-1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菜百股份招股说明书，</w:t>
      </w:r>
      <w:r>
        <w:rPr>
          <w:spacing w:val="-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西部证券研发中心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69" w:line="278" w:lineRule="auto"/>
        <w:ind w:left="3071" w:right="660" w:firstLine="10"/>
        <w:rPr>
          <w:sz w:val="21"/>
          <w:szCs w:val="21"/>
        </w:rPr>
        <w:sectPr>
          <w:headerReference w:type="default" r:id="rId33"/>
          <w:footerReference w:type="default" r:id="rId34"/>
          <w:pgSz w:w="11907" w:h="16839"/>
          <w:pgMar w:top="1202" w:right="14" w:bottom="928" w:left="11" w:header="10" w:footer="21" w:gutter="0"/>
          <w:pgNumType w:start="12"/>
          <w:cols w:space="708"/>
        </w:sectPr>
      </w:pPr>
      <w:r>
        <w:rPr>
          <w:rFonts w:ascii="Arial" w:eastAsia="Arial" w:hAnsi="Arial" w:cs="Arial"/>
          <w:b/>
          <w:bCs/>
          <w:spacing w:val="-8"/>
          <w:sz w:val="21"/>
          <w:szCs w:val="21"/>
        </w:rPr>
        <w:t>IPO</w:t>
      </w:r>
      <w:r>
        <w:rPr>
          <w:rFonts w:ascii="Arial" w:eastAsia="Arial" w:hAnsi="Arial" w:cs="Arial"/>
          <w:b/>
          <w:bCs/>
          <w:spacing w:val="34"/>
          <w:sz w:val="21"/>
          <w:szCs w:val="21"/>
        </w:rPr>
        <w:t xml:space="preserve"> </w:t>
      </w:r>
      <w:r>
        <w:rPr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募投加强系统建设，</w:t>
      </w:r>
      <w:r>
        <w:rPr>
          <w:spacing w:val="52"/>
          <w:sz w:val="21"/>
          <w:szCs w:val="21"/>
        </w:rPr>
        <w:t xml:space="preserve"> </w:t>
      </w:r>
      <w:r>
        <w:rPr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助力数字化转型。</w:t>
      </w:r>
      <w:r>
        <w:rPr>
          <w:spacing w:val="-8"/>
          <w:sz w:val="21"/>
          <w:szCs w:val="21"/>
        </w:rPr>
        <w:t>公司在系统建设方面，</w:t>
      </w:r>
      <w:r>
        <w:rPr>
          <w:spacing w:val="-21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通过优化完善</w:t>
      </w:r>
      <w:r>
        <w:rPr>
          <w:spacing w:val="-2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8"/>
          <w:sz w:val="21"/>
          <w:szCs w:val="21"/>
        </w:rPr>
        <w:t>POS</w:t>
      </w:r>
      <w:r>
        <w:rPr>
          <w:rFonts w:ascii="Arial" w:eastAsia="Arial" w:hAnsi="Arial" w:cs="Arial"/>
          <w:spacing w:val="36"/>
          <w:w w:val="101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系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统、</w:t>
      </w:r>
      <w:r>
        <w:rPr>
          <w:spacing w:val="-2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 xml:space="preserve">SCM  </w:t>
      </w:r>
      <w:r>
        <w:rPr>
          <w:spacing w:val="-2"/>
          <w:sz w:val="21"/>
          <w:szCs w:val="21"/>
        </w:rPr>
        <w:t>系统功能，有效提升业务系统的稳定性和响应效率。在创新应用方面，公司自</w:t>
      </w:r>
      <w:r>
        <w:rPr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主设计研发的智能奉客盘试点应用，可在为顾客展示商品信息的同时记录试戴款式，并</w:t>
      </w:r>
      <w:r>
        <w:rPr>
          <w:spacing w:val="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支持线上购买功能，丰富顾客购买体验。应用</w:t>
      </w:r>
      <w:r>
        <w:rPr>
          <w:spacing w:val="2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RFID</w:t>
      </w:r>
      <w:r>
        <w:rPr>
          <w:rFonts w:ascii="Arial" w:eastAsia="Arial" w:hAnsi="Arial" w:cs="Arial"/>
          <w:spacing w:val="2"/>
          <w:sz w:val="21"/>
          <w:szCs w:val="21"/>
        </w:rPr>
        <w:t xml:space="preserve">  </w:t>
      </w:r>
      <w:r>
        <w:rPr>
          <w:spacing w:val="2"/>
          <w:sz w:val="21"/>
          <w:szCs w:val="21"/>
        </w:rPr>
        <w:t>技术的智能盘点设备多试点运行，</w:t>
      </w:r>
      <w:r>
        <w:rPr>
          <w:spacing w:val="2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可有效提升工作效率。针对线上渠道的自动化发货设备投入试运行，全面应用后将有效</w:t>
      </w:r>
      <w:r>
        <w:rPr>
          <w:spacing w:val="2"/>
          <w:sz w:val="21"/>
          <w:szCs w:val="21"/>
        </w:rPr>
        <w:t xml:space="preserve"> </w:t>
      </w:r>
    </w:p>
    <w:p>
      <w:pPr>
        <w:pStyle w:val="BodyText"/>
        <w:spacing w:before="69" w:line="278" w:lineRule="auto"/>
        <w:ind w:left="3071" w:right="660" w:firstLine="10"/>
        <w:rPr>
          <w:sz w:val="21"/>
          <w:szCs w:val="21"/>
        </w:rPr>
      </w:pPr>
      <w:r>
        <w:rPr>
          <w:spacing w:val="-1"/>
          <w:sz w:val="21"/>
          <w:szCs w:val="21"/>
        </w:rPr>
        <w:t>提升仓储发货效率，支撑线上业务快速发展。</w:t>
      </w:r>
      <w:r>
        <w:rPr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2023H1</w:t>
      </w:r>
      <w:r>
        <w:rPr>
          <w:spacing w:val="-1"/>
          <w:sz w:val="21"/>
          <w:szCs w:val="21"/>
        </w:rPr>
        <w:t>，菜百股份智慧零售平</w:t>
      </w:r>
      <w:r>
        <w:rPr>
          <w:spacing w:val="-2"/>
          <w:sz w:val="21"/>
          <w:szCs w:val="21"/>
        </w:rPr>
        <w:t>台智慧销售</w:t>
      </w:r>
      <w:r>
        <w:rPr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电子奉客工具荣获中国黄金协会技术创新评选一线职工技术创新奖，数字化转型案例被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中国上市公司协会评为典型案例。</w:t>
      </w:r>
    </w:p>
    <w:p>
      <w:pPr>
        <w:spacing w:line="278" w:lineRule="auto"/>
        <w:rPr>
          <w:sz w:val="21"/>
          <w:szCs w:val="21"/>
        </w:rPr>
        <w:sectPr>
          <w:headerReference w:type="default" r:id="rId35"/>
          <w:footerReference w:type="default" r:id="rId36"/>
          <w:type w:val="nextPage"/>
          <w:pgSz w:w="11907" w:h="16839"/>
          <w:pgMar w:top="1202" w:right="14" w:bottom="928" w:left="11" w:header="10" w:footer="21" w:gutter="0"/>
          <w:pgNumType w:start="13"/>
          <w:cols w:space="708"/>
          <w:titlePg w:val="0"/>
        </w:sectPr>
      </w:pPr>
    </w:p>
    <w:p>
      <w:pPr>
        <w:pStyle w:val="BodyText"/>
        <w:spacing w:before="282" w:line="223" w:lineRule="auto"/>
        <w:ind w:left="3071"/>
        <w:rPr>
          <w:sz w:val="19"/>
          <w:szCs w:val="19"/>
        </w:rPr>
      </w:pPr>
      <w:r>
        <w:rPr>
          <w:color w:val="0D0D0D"/>
          <w:spacing w:val="7"/>
          <w:sz w:val="19"/>
          <w:szCs w:val="19"/>
        </w:rPr>
        <w:t>表</w:t>
      </w:r>
      <w:r>
        <w:rPr>
          <w:color w:val="0D0D0D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pacing w:val="7"/>
          <w:sz w:val="19"/>
          <w:szCs w:val="19"/>
        </w:rPr>
        <w:t>1</w:t>
      </w:r>
      <w:r>
        <w:rPr>
          <w:color w:val="0D0D0D"/>
          <w:spacing w:val="7"/>
          <w:sz w:val="19"/>
          <w:szCs w:val="19"/>
        </w:rPr>
        <w:t>：菜百股份募集资金用途</w:t>
      </w:r>
    </w:p>
    <w:p>
      <w:pPr>
        <w:pStyle w:val="BodyText"/>
        <w:spacing w:before="90" w:line="228" w:lineRule="auto"/>
        <w:ind w:left="4111"/>
      </w:pPr>
      <w: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column">
                  <wp:posOffset>1954656</wp:posOffset>
                </wp:positionH>
                <wp:positionV relativeFrom="paragraph">
                  <wp:posOffset>23021</wp:posOffset>
                </wp:positionV>
                <wp:extent cx="5173979" cy="172720"/>
                <wp:effectExtent l="0" t="0" r="0" b="0"/>
                <wp:wrapNone/>
                <wp:docPr id="40" name="Rect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954656" y="23021"/>
                          <a:ext cx="5173979" cy="172720"/>
                        </a:xfrm>
                        <a:prstGeom prst="rect">
                          <a:avLst/>
                        </a:prstGeom>
                        <a:solidFill>
                          <a:srgbClr val="C30F1B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0" o:spid="_x0000_s1041" style="width:407.4pt;height:13.6pt;margin-top:1.81pt;margin-left:153.91pt;mso-wrap-distance-bottom:0;mso-wrap-distance-left:0;mso-wrap-distance-right:0;mso-wrap-distance-top:0;position:absolute;v-text-anchor:top;z-index:-251639808" fillcolor="#c30f1b" stroked="f"/>
            </w:pict>
          </mc:Fallback>
        </mc:AlternateContent>
      </w:r>
      <w:r>
        <w:pict>
          <v:shape id="_x0000_s1042" type="#_x0000_t202" style="width:73.15pt;height:11.5pt;margin-top:3.51pt;margin-left:322.78pt;position:absolute;z-index:2516797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</w:pPr>
                  <w:r>
                    <w:rPr>
                      <w:color w:val="FFFFFF"/>
                      <w:spacing w:val="-2"/>
                      <w14:textOutline w14:w="2917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项目总投资（万元）</w:t>
                  </w:r>
                </w:p>
              </w:txbxContent>
            </v:textbox>
          </v:shape>
        </w:pict>
      </w:r>
      <w:r>
        <w:pict>
          <v:shape id="_x0000_s1043" type="#_x0000_t202" style="width:81.1pt;height:11.5pt;margin-top:3.51pt;margin-left:455.18pt;position:absolute;z-index:2516787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</w:pPr>
                  <w:r>
                    <w:rPr>
                      <w:color w:val="FFFFFF"/>
                      <w:spacing w:val="-2"/>
                      <w14:textOutline w14:w="2917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募集资金投资（万元）</w:t>
                  </w:r>
                </w:p>
              </w:txbxContent>
            </v:textbox>
          </v:shape>
        </w:pict>
      </w:r>
      <w:r>
        <w:rPr>
          <w:color w:val="FFFFFF"/>
          <w:spacing w:val="-1"/>
          <w14:textOutline w14:w="2917">
            <w14:solidFill>
              <w14:srgbClr w14:val="FFFFFF"/>
            </w14:solidFill>
            <w14:prstDash w14:val="solid"/>
            <w14:miter w14:lim="10"/>
          </w14:textOutline>
        </w:rPr>
        <w:t>项目名称</w:t>
      </w:r>
    </w:p>
    <w:p>
      <w:pPr>
        <w:spacing w:line="43" w:lineRule="exact"/>
      </w:pPr>
    </w:p>
    <w:p>
      <w:pPr>
        <w:spacing w:line="43" w:lineRule="exact"/>
        <w:sectPr>
          <w:headerReference w:type="default" r:id="rId37"/>
          <w:footerReference w:type="default" r:id="rId38"/>
          <w:pgSz w:w="11907" w:h="16839"/>
          <w:pgMar w:top="1202" w:right="14" w:bottom="928" w:left="11" w:header="10" w:footer="21" w:gutter="0"/>
          <w:pgNumType w:start="14"/>
          <w:cols w:num="1" w:space="708" w:equalWidth="0">
            <w:col w:w="11881" w:space="0"/>
          </w:cols>
        </w:sectPr>
      </w:pPr>
    </w:p>
    <w:p>
      <w:pPr>
        <w:pStyle w:val="BodyText"/>
        <w:spacing w:before="32" w:line="222" w:lineRule="auto"/>
        <w:ind w:left="3095"/>
      </w:pPr>
      <w:r>
        <w:rPr>
          <w:spacing w:val="-2"/>
        </w:rPr>
        <w:t>营销网络建设项目</w:t>
      </w:r>
    </w:p>
    <w:p>
      <w:pPr>
        <w:pStyle w:val="BodyText"/>
        <w:spacing w:before="78" w:line="272" w:lineRule="exact"/>
        <w:ind w:left="3083"/>
      </w:pPr>
      <w:r>
        <w:rPr>
          <w:spacing w:val="-1"/>
          <w:position w:val="8"/>
        </w:rPr>
        <w:t>信息化平台升级建设项目</w:t>
      </w:r>
    </w:p>
    <w:p>
      <w:pPr>
        <w:pStyle w:val="BodyText"/>
        <w:spacing w:line="216" w:lineRule="auto"/>
        <w:ind w:left="3087"/>
      </w:pPr>
      <w:r>
        <w:rPr>
          <w:spacing w:val="-1"/>
        </w:rPr>
        <w:t>智慧物流建设项目</w:t>
      </w:r>
    </w:p>
    <w:p>
      <w:pPr>
        <w:pStyle w:val="BodyText"/>
        <w:spacing w:before="85" w:line="186" w:lineRule="auto"/>
        <w:ind w:left="3092"/>
      </w:pPr>
      <w:r>
        <w:rPr>
          <w:spacing w:val="-2"/>
        </w:rPr>
        <w:t>定制及设计中心项目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74" w:lineRule="exac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position w:val="10"/>
          <w:sz w:val="16"/>
          <w:szCs w:val="16"/>
        </w:rPr>
        <w:t>95,058.16</w:t>
      </w:r>
    </w:p>
    <w:p>
      <w:pPr>
        <w:spacing w:line="195" w:lineRule="auto"/>
        <w:ind w:left="1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12,146.42</w:t>
      </w:r>
    </w:p>
    <w:p>
      <w:pPr>
        <w:spacing w:before="121" w:line="195" w:lineRule="auto"/>
        <w:ind w:left="1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4"/>
          <w:sz w:val="16"/>
          <w:szCs w:val="16"/>
        </w:rPr>
        <w:t>11,784.22</w:t>
      </w:r>
    </w:p>
    <w:p>
      <w:pPr>
        <w:spacing w:before="121" w:line="187" w:lineRule="auto"/>
        <w:ind w:left="4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6,055.25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74" w:lineRule="exac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position w:val="10"/>
          <w:sz w:val="16"/>
          <w:szCs w:val="16"/>
        </w:rPr>
        <w:t>58,000.00</w:t>
      </w:r>
    </w:p>
    <w:p>
      <w:pPr>
        <w:spacing w:line="195" w:lineRule="auto"/>
        <w:ind w:left="4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6,150.00</w:t>
      </w:r>
    </w:p>
    <w:p>
      <w:pPr>
        <w:spacing w:before="121" w:line="195" w:lineRule="auto"/>
        <w:ind w:left="4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4,917.92</w:t>
      </w:r>
    </w:p>
    <w:p>
      <w:pPr>
        <w:spacing w:before="121" w:line="187" w:lineRule="auto"/>
        <w:ind w:left="4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3,242.20</w:t>
      </w:r>
    </w:p>
    <w:p>
      <w:pPr>
        <w:spacing w:line="187" w:lineRule="auto"/>
        <w:rPr>
          <w:rFonts w:ascii="Arial" w:eastAsia="Arial" w:hAnsi="Arial" w:cs="Arial"/>
          <w:sz w:val="16"/>
          <w:szCs w:val="16"/>
        </w:rPr>
        <w:sectPr>
          <w:headerReference w:type="default" r:id="rId39"/>
          <w:footerReference w:type="default" r:id="rId40"/>
          <w:type w:val="continuous"/>
          <w:pgSz w:w="11907" w:h="16839"/>
          <w:pgMar w:top="1202" w:right="14" w:bottom="928" w:left="11" w:header="10" w:footer="21" w:gutter="0"/>
          <w:pgNumType w:start="15"/>
          <w:cols w:num="3" w:space="708" w:equalWidth="0">
            <w:col w:w="6742" w:space="100"/>
            <w:col w:w="2625" w:space="100"/>
            <w:col w:w="2315" w:space="0"/>
          </w:cols>
        </w:sectPr>
      </w:pPr>
    </w:p>
    <w:p>
      <w:pPr>
        <w:spacing w:line="56" w:lineRule="exact"/>
      </w:pPr>
    </w:p>
    <w:tbl>
      <w:tblPr>
        <w:tblStyle w:val="TableNormal1"/>
        <w:tblW w:w="8250" w:type="dxa"/>
        <w:tblInd w:w="306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250"/>
      </w:tblGrid>
      <w:tr>
        <w:tblPrEx>
          <w:tblW w:w="8250" w:type="dxa"/>
          <w:tblInd w:w="306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10"/>
        </w:trPr>
        <w:tc>
          <w:tcPr>
            <w:tcW w:w="82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0" w:line="214" w:lineRule="auto"/>
              <w:ind w:left="17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资料来源：</w:t>
            </w:r>
            <w:r>
              <w:rPr>
                <w:spacing w:val="-22"/>
                <w:sz w:val="15"/>
                <w:szCs w:val="15"/>
              </w:rPr>
              <w:t xml:space="preserve"> </w:t>
            </w:r>
            <w:r>
              <w:rPr>
                <w:spacing w:val="-4"/>
                <w:sz w:val="15"/>
                <w:szCs w:val="15"/>
              </w:rPr>
              <w:t>菜百股份招股说明书，《菜百股</w:t>
            </w:r>
            <w:r>
              <w:rPr>
                <w:spacing w:val="-5"/>
                <w:sz w:val="15"/>
                <w:szCs w:val="15"/>
              </w:rPr>
              <w:t>份变更部分募集资金投资项目实施和投资计划的公告》，</w:t>
            </w:r>
            <w:r>
              <w:rPr>
                <w:spacing w:val="-45"/>
                <w:sz w:val="15"/>
                <w:szCs w:val="15"/>
              </w:rPr>
              <w:t xml:space="preserve"> </w:t>
            </w:r>
            <w:r>
              <w:rPr>
                <w:spacing w:val="-5"/>
                <w:sz w:val="15"/>
                <w:szCs w:val="15"/>
              </w:rPr>
              <w:t>西部证券研发中心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2" w:lineRule="auto"/>
              <w:ind w:left="23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C30F1B"/>
                <w:spacing w:val="-6"/>
                <w:sz w:val="24"/>
                <w:szCs w:val="24"/>
              </w:rPr>
              <w:t>1.2</w:t>
            </w:r>
            <w:r>
              <w:rPr>
                <w:rFonts w:ascii="Arial" w:eastAsia="Arial" w:hAnsi="Arial" w:cs="Arial"/>
                <w:b/>
                <w:bCs/>
                <w:color w:val="C30F1B"/>
                <w:spacing w:val="50"/>
                <w:sz w:val="24"/>
                <w:szCs w:val="24"/>
              </w:rPr>
              <w:t xml:space="preserve"> </w:t>
            </w:r>
            <w:r>
              <w:rPr>
                <w:color w:val="C30F1B"/>
                <w:spacing w:val="-6"/>
                <w:sz w:val="24"/>
                <w:szCs w:val="24"/>
                <w14:textOutline w14:w="4354">
                  <w14:solidFill>
                    <w14:srgbClr w14:val="C30F1B"/>
                  </w14:solidFill>
                  <w14:prstDash w14:val="solid"/>
                  <w14:miter w14:lim="10"/>
                </w14:textOutline>
              </w:rPr>
              <w:t>国资背景股权架构稳定，</w:t>
            </w:r>
            <w:r>
              <w:rPr>
                <w:color w:val="C30F1B"/>
                <w:spacing w:val="-6"/>
                <w:sz w:val="24"/>
                <w:szCs w:val="24"/>
              </w:rPr>
              <w:t xml:space="preserve"> </w:t>
            </w:r>
            <w:r>
              <w:rPr>
                <w:color w:val="C30F1B"/>
                <w:spacing w:val="-6"/>
                <w:sz w:val="24"/>
                <w:szCs w:val="24"/>
                <w14:textOutline w14:w="4354">
                  <w14:solidFill>
                    <w14:srgbClr w14:val="C30F1B"/>
                  </w14:solidFill>
                  <w14:prstDash w14:val="solid"/>
                  <w14:miter w14:lim="10"/>
                </w14:textOutline>
              </w:rPr>
              <w:t>管理层行业背景深厚经验丰富</w:t>
            </w:r>
          </w:p>
          <w:p>
            <w:pPr>
              <w:pStyle w:val="TableText"/>
              <w:spacing w:before="228" w:line="269" w:lineRule="auto"/>
              <w:ind w:left="13" w:right="93" w:hanging="7"/>
              <w:jc w:val="both"/>
            </w:pP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公司实控人为背景西城区国资委，股权结构稳定。</w:t>
            </w:r>
            <w:r>
              <w:rPr>
                <w:spacing w:val="-38"/>
              </w:rPr>
              <w:t xml:space="preserve"> </w:t>
            </w:r>
            <w:r>
              <w:rPr>
                <w:spacing w:val="-1"/>
              </w:rPr>
              <w:t>公司股权架构清</w:t>
            </w:r>
            <w:r>
              <w:rPr>
                <w:spacing w:val="-2"/>
              </w:rPr>
              <w:t>晰且稳定，截止</w:t>
            </w:r>
            <w:r>
              <w:rPr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2023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pacing w:val="-4"/>
              </w:rPr>
              <w:t>年三季报，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实控人西城区国资委通过金融街资本运营中心间接持股</w:t>
            </w:r>
            <w:r>
              <w:rPr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</w:rPr>
              <w:t>24.57%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spacing w:val="-4"/>
              </w:rPr>
              <w:t>。此外，公司</w:t>
            </w:r>
            <w:r>
              <w:t xml:space="preserve"> </w:t>
            </w:r>
            <w:r>
              <w:rPr>
                <w:spacing w:val="4"/>
              </w:rPr>
              <w:t>管理团队履历背景丰富，具备黄金珠宝行业多年从业经验，为公司稳健发展提供</w:t>
            </w:r>
            <w:r>
              <w:rPr>
                <w:spacing w:val="3"/>
              </w:rPr>
              <w:t>了坚实</w:t>
            </w:r>
            <w:r>
              <w:t xml:space="preserve"> </w:t>
            </w:r>
            <w:r>
              <w:rPr>
                <w:spacing w:val="-4"/>
              </w:rPr>
              <w:t>管理支持。</w:t>
            </w:r>
          </w:p>
          <w:p>
            <w:pPr>
              <w:pStyle w:val="TableText"/>
              <w:spacing w:before="210" w:line="205" w:lineRule="auto"/>
              <w:ind w:left="43"/>
              <w:rPr>
                <w:sz w:val="18"/>
                <w:szCs w:val="18"/>
              </w:rPr>
            </w:pPr>
            <w:r>
              <w:rPr>
                <w:color w:val="0D0D0D"/>
                <w:spacing w:val="-7"/>
                <w:sz w:val="18"/>
                <w:szCs w:val="18"/>
              </w:rPr>
              <w:t>图</w:t>
            </w:r>
            <w:r>
              <w:rPr>
                <w:color w:val="0D0D0D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0D0D0D"/>
                <w:spacing w:val="-7"/>
                <w:sz w:val="18"/>
                <w:szCs w:val="18"/>
              </w:rPr>
              <w:t>3</w:t>
            </w:r>
            <w:r>
              <w:rPr>
                <w:color w:val="0D0D0D"/>
                <w:spacing w:val="-7"/>
                <w:sz w:val="18"/>
                <w:szCs w:val="18"/>
              </w:rPr>
              <w:t>：菜百股份股权架构</w:t>
            </w:r>
            <w:r>
              <w:rPr>
                <w:color w:val="0D0D0D"/>
                <w:spacing w:val="-22"/>
                <w:sz w:val="18"/>
                <w:szCs w:val="18"/>
              </w:rPr>
              <w:t xml:space="preserve"> </w:t>
            </w:r>
            <w:r>
              <w:rPr>
                <w:color w:val="0D0D0D"/>
                <w:spacing w:val="-7"/>
                <w:sz w:val="18"/>
                <w:szCs w:val="18"/>
              </w:rPr>
              <w:t>（截至</w:t>
            </w:r>
            <w:r>
              <w:rPr>
                <w:color w:val="0D0D0D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0D0D0D"/>
                <w:spacing w:val="-7"/>
                <w:sz w:val="18"/>
                <w:szCs w:val="18"/>
              </w:rPr>
              <w:t xml:space="preserve">2023 </w:t>
            </w:r>
            <w:r>
              <w:rPr>
                <w:color w:val="0D0D0D"/>
                <w:spacing w:val="-7"/>
                <w:sz w:val="18"/>
                <w:szCs w:val="18"/>
              </w:rPr>
              <w:t>年</w:t>
            </w:r>
            <w:r>
              <w:rPr>
                <w:color w:val="0D0D0D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0D0D0D"/>
                <w:spacing w:val="-8"/>
                <w:sz w:val="18"/>
                <w:szCs w:val="18"/>
              </w:rPr>
              <w:t xml:space="preserve">9 </w:t>
            </w:r>
            <w:r>
              <w:rPr>
                <w:color w:val="0D0D0D"/>
                <w:spacing w:val="-8"/>
                <w:sz w:val="18"/>
                <w:szCs w:val="18"/>
              </w:rPr>
              <w:t>月</w:t>
            </w:r>
            <w:r>
              <w:rPr>
                <w:color w:val="0D0D0D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0D0D0D"/>
                <w:spacing w:val="-8"/>
                <w:sz w:val="18"/>
                <w:szCs w:val="18"/>
              </w:rPr>
              <w:t>30</w:t>
            </w:r>
            <w:r>
              <w:rPr>
                <w:rFonts w:ascii="Arial" w:eastAsia="Arial" w:hAnsi="Arial" w:cs="Arial"/>
                <w:color w:val="0D0D0D"/>
                <w:spacing w:val="34"/>
                <w:sz w:val="18"/>
                <w:szCs w:val="18"/>
              </w:rPr>
              <w:t xml:space="preserve"> </w:t>
            </w:r>
            <w:r>
              <w:rPr>
                <w:color w:val="0D0D0D"/>
                <w:spacing w:val="-8"/>
                <w:sz w:val="18"/>
                <w:szCs w:val="18"/>
              </w:rPr>
              <w:t>日）</w:t>
            </w:r>
          </w:p>
        </w:tc>
      </w:tr>
      <w:tr>
        <w:tblPrEx>
          <w:tblW w:w="8250" w:type="dxa"/>
          <w:tblInd w:w="3063" w:type="dxa"/>
          <w:tblLayout w:type="fixed"/>
        </w:tblPrEx>
        <w:trPr>
          <w:trHeight w:val="3664"/>
        </w:trPr>
        <w:tc>
          <w:tcPr>
            <w:tcW w:w="82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" w:line="3619" w:lineRule="exact"/>
              <w:ind w:firstLine="122"/>
            </w:pPr>
            <w:r>
              <w:rPr>
                <w:position w:val="-72"/>
              </w:rPr>
              <w:drawing>
                <wp:inline distT="0" distB="0" distL="0" distR="0">
                  <wp:extent cx="5091684" cy="2298191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1684" cy="2298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24" w:line="214" w:lineRule="auto"/>
        <w:ind w:left="3090"/>
        <w:rPr>
          <w:sz w:val="15"/>
          <w:szCs w:val="15"/>
        </w:rPr>
      </w:pPr>
      <w:r>
        <w:rPr>
          <w:spacing w:val="-9"/>
          <w:sz w:val="15"/>
          <w:szCs w:val="15"/>
        </w:rPr>
        <w:t>资料来源：</w:t>
      </w:r>
      <w:r>
        <w:rPr>
          <w:spacing w:val="-9"/>
          <w:sz w:val="15"/>
          <w:szCs w:val="15"/>
        </w:rPr>
        <w:t xml:space="preserve"> </w:t>
      </w:r>
      <w:r>
        <w:rPr>
          <w:spacing w:val="-9"/>
          <w:sz w:val="15"/>
          <w:szCs w:val="15"/>
        </w:rPr>
        <w:t>同花顺，</w:t>
      </w:r>
      <w:r>
        <w:rPr>
          <w:spacing w:val="-9"/>
          <w:sz w:val="15"/>
          <w:szCs w:val="15"/>
        </w:rPr>
        <w:t xml:space="preserve"> </w:t>
      </w:r>
      <w:r>
        <w:rPr>
          <w:spacing w:val="-9"/>
          <w:sz w:val="15"/>
          <w:szCs w:val="15"/>
        </w:rPr>
        <w:t>西部证券研发中心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3087"/>
        <w:outlineLvl w:val="0"/>
        <w:rPr>
          <w:sz w:val="24"/>
          <w:szCs w:val="24"/>
        </w:rPr>
      </w:pPr>
      <w:r>
        <w:rPr>
          <w:rFonts w:ascii="Arial" w:eastAsia="Arial" w:hAnsi="Arial" w:cs="Arial"/>
          <w:b/>
          <w:bCs/>
          <w:color w:val="C30F1B"/>
          <w:spacing w:val="-1"/>
          <w:sz w:val="24"/>
          <w:szCs w:val="24"/>
        </w:rPr>
        <w:t xml:space="preserve">1.3 </w:t>
      </w:r>
      <w:r>
        <w:rPr>
          <w:color w:val="C30F1B"/>
          <w:spacing w:val="-1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疫后业绩恢复强劲，盈利能力维持稳态</w:t>
      </w:r>
    </w:p>
    <w:p>
      <w:pPr>
        <w:pStyle w:val="BodyText"/>
        <w:spacing w:before="229" w:line="269" w:lineRule="auto"/>
        <w:ind w:left="3076" w:right="660"/>
        <w:jc w:val="both"/>
        <w:rPr>
          <w:sz w:val="21"/>
          <w:szCs w:val="21"/>
        </w:rPr>
      </w:pPr>
      <w:r>
        <w:rPr>
          <w:spacing w:val="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迅速从疫情冲击中恢复，业绩增势明显。</w:t>
      </w:r>
      <w:r>
        <w:rPr>
          <w:spacing w:val="4"/>
          <w:sz w:val="21"/>
          <w:szCs w:val="21"/>
        </w:rPr>
        <w:t>受疫情影响，</w:t>
      </w:r>
      <w:r>
        <w:rPr>
          <w:rFonts w:ascii="Arial" w:eastAsia="Arial" w:hAnsi="Arial" w:cs="Arial"/>
          <w:spacing w:val="4"/>
          <w:sz w:val="21"/>
          <w:szCs w:val="21"/>
        </w:rPr>
        <w:t>2020</w:t>
      </w:r>
      <w:r>
        <w:rPr>
          <w:rFonts w:ascii="Arial" w:eastAsia="Arial" w:hAnsi="Arial" w:cs="Arial"/>
          <w:spacing w:val="48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年公司实现营业收入</w:t>
      </w:r>
      <w:r>
        <w:rPr>
          <w:rFonts w:ascii="Arial" w:eastAsia="Arial" w:hAnsi="Arial" w:cs="Arial"/>
          <w:spacing w:val="4"/>
          <w:sz w:val="21"/>
          <w:szCs w:val="21"/>
        </w:rPr>
        <w:t>/</w:t>
      </w:r>
      <w:r>
        <w:rPr>
          <w:spacing w:val="3"/>
          <w:sz w:val="21"/>
          <w:szCs w:val="21"/>
        </w:rPr>
        <w:t>归母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净利润</w:t>
      </w:r>
      <w:r>
        <w:rPr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 xml:space="preserve">70.7/3.62 </w:t>
      </w:r>
      <w:r>
        <w:rPr>
          <w:spacing w:val="-1"/>
          <w:sz w:val="21"/>
          <w:szCs w:val="21"/>
        </w:rPr>
        <w:t>亿元，同比下滑</w:t>
      </w:r>
      <w:r>
        <w:rPr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15.9%/10.0</w:t>
      </w:r>
      <w:r>
        <w:rPr>
          <w:rFonts w:ascii="Arial" w:eastAsia="Arial" w:hAnsi="Arial" w:cs="Arial"/>
          <w:spacing w:val="-2"/>
          <w:sz w:val="21"/>
          <w:szCs w:val="21"/>
        </w:rPr>
        <w:t>%</w:t>
      </w:r>
      <w:r>
        <w:rPr>
          <w:rFonts w:ascii="Arial" w:eastAsia="Arial" w:hAnsi="Arial" w:cs="Arial"/>
          <w:spacing w:val="-3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。</w:t>
      </w:r>
      <w:r>
        <w:rPr>
          <w:rFonts w:ascii="Arial" w:eastAsia="Arial" w:hAnsi="Arial" w:cs="Arial"/>
          <w:spacing w:val="-2"/>
          <w:sz w:val="21"/>
          <w:szCs w:val="21"/>
        </w:rPr>
        <w:t>2021</w:t>
      </w:r>
      <w:r>
        <w:rPr>
          <w:rFonts w:ascii="Arial" w:eastAsia="Arial" w:hAnsi="Arial" w:cs="Arial"/>
          <w:spacing w:val="18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年公司销售得到恢复，实现营业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收入</w:t>
      </w:r>
      <w:r>
        <w:rPr>
          <w:spacing w:val="33"/>
          <w:sz w:val="21"/>
          <w:szCs w:val="21"/>
        </w:rPr>
        <w:t xml:space="preserve"> </w:t>
      </w:r>
      <w:r>
        <w:rPr>
          <w:rFonts w:ascii="Arial" w:eastAsia="Arial" w:hAnsi="Arial" w:cs="Arial"/>
          <w:spacing w:val="2"/>
          <w:sz w:val="21"/>
          <w:szCs w:val="21"/>
        </w:rPr>
        <w:t>104.1/3.64</w:t>
      </w:r>
      <w:r>
        <w:rPr>
          <w:rFonts w:ascii="Arial" w:eastAsia="Arial" w:hAnsi="Arial" w:cs="Arial"/>
          <w:spacing w:val="49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亿元，</w:t>
      </w:r>
      <w:r>
        <w:rPr>
          <w:spacing w:val="-5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同比增长</w:t>
      </w:r>
      <w:r>
        <w:rPr>
          <w:spacing w:val="2"/>
          <w:sz w:val="21"/>
          <w:szCs w:val="21"/>
        </w:rPr>
        <w:t xml:space="preserve"> </w:t>
      </w:r>
      <w:r>
        <w:rPr>
          <w:rFonts w:ascii="Arial" w:eastAsia="Arial" w:hAnsi="Arial" w:cs="Arial"/>
          <w:spacing w:val="2"/>
          <w:sz w:val="21"/>
          <w:szCs w:val="21"/>
        </w:rPr>
        <w:t>47.2%/0.6</w:t>
      </w:r>
      <w:r>
        <w:rPr>
          <w:rFonts w:ascii="Arial" w:eastAsia="Arial" w:hAnsi="Arial" w:cs="Arial"/>
          <w:spacing w:val="-19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。</w:t>
      </w:r>
      <w:r>
        <w:rPr>
          <w:rFonts w:ascii="Arial" w:eastAsia="Arial" w:hAnsi="Arial" w:cs="Arial"/>
          <w:spacing w:val="2"/>
          <w:sz w:val="21"/>
          <w:szCs w:val="21"/>
        </w:rPr>
        <w:t xml:space="preserve">2022  </w:t>
      </w:r>
      <w:r>
        <w:rPr>
          <w:spacing w:val="2"/>
          <w:sz w:val="21"/>
          <w:szCs w:val="21"/>
        </w:rPr>
        <w:t>年</w:t>
      </w:r>
      <w:r>
        <w:rPr>
          <w:spacing w:val="1"/>
          <w:sz w:val="21"/>
          <w:szCs w:val="21"/>
        </w:rPr>
        <w:t>延续增长态势，</w:t>
      </w:r>
      <w:r>
        <w:rPr>
          <w:spacing w:val="-6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营收同比增长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5.61%</w:t>
      </w:r>
      <w:r>
        <w:rPr>
          <w:spacing w:val="-1"/>
          <w:sz w:val="21"/>
          <w:szCs w:val="21"/>
        </w:rPr>
        <w:t>，主要系线上销售增长及门店拓展较快所致。</w:t>
      </w:r>
      <w:r>
        <w:rPr>
          <w:rFonts w:ascii="Arial" w:eastAsia="Arial" w:hAnsi="Arial" w:cs="Arial"/>
          <w:spacing w:val="-1"/>
          <w:sz w:val="21"/>
          <w:szCs w:val="21"/>
        </w:rPr>
        <w:t>23Q1-3</w:t>
      </w:r>
      <w:r>
        <w:rPr>
          <w:rFonts w:ascii="Arial" w:eastAsia="Arial" w:hAnsi="Arial" w:cs="Arial"/>
          <w:spacing w:val="34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实现营收</w:t>
      </w:r>
      <w:r>
        <w:rPr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123.7</w:t>
      </w:r>
      <w:r>
        <w:rPr>
          <w:rFonts w:ascii="Arial" w:eastAsia="Arial" w:hAnsi="Arial" w:cs="Arial"/>
          <w:spacing w:val="2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亿元，归母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净利润</w:t>
      </w:r>
      <w:r>
        <w:rPr>
          <w:spacing w:val="-4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 xml:space="preserve">5.9 </w:t>
      </w:r>
      <w:r>
        <w:rPr>
          <w:spacing w:val="-5"/>
          <w:sz w:val="21"/>
          <w:szCs w:val="21"/>
        </w:rPr>
        <w:t>亿元，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同比增长</w:t>
      </w:r>
      <w:r>
        <w:rPr>
          <w:spacing w:val="-5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>45.1%/66.4</w:t>
      </w:r>
      <w:r>
        <w:rPr>
          <w:rFonts w:ascii="Arial" w:eastAsia="Arial" w:hAnsi="Arial" w:cs="Arial"/>
          <w:spacing w:val="-6"/>
          <w:sz w:val="21"/>
          <w:szCs w:val="21"/>
        </w:rPr>
        <w:t>%</w:t>
      </w:r>
      <w:r>
        <w:rPr>
          <w:spacing w:val="-6"/>
          <w:sz w:val="21"/>
          <w:szCs w:val="21"/>
        </w:rPr>
        <w:t>。</w:t>
      </w:r>
    </w:p>
    <w:p>
      <w:pPr>
        <w:spacing w:line="269" w:lineRule="auto"/>
        <w:rPr>
          <w:sz w:val="21"/>
          <w:szCs w:val="21"/>
        </w:rPr>
        <w:sectPr>
          <w:headerReference w:type="default" r:id="rId42"/>
          <w:footerReference w:type="default" r:id="rId43"/>
          <w:type w:val="continuous"/>
          <w:pgSz w:w="11907" w:h="16839"/>
          <w:pgMar w:top="1202" w:right="14" w:bottom="928" w:left="11" w:header="10" w:footer="21" w:gutter="0"/>
          <w:pgNumType w:start="16"/>
          <w:cols w:num="1" w:space="708" w:equalWidth="0">
            <w:col w:w="11881" w:space="0"/>
          </w:cols>
        </w:sectPr>
      </w:pPr>
    </w:p>
    <w:p>
      <w:pPr>
        <w:spacing w:before="4"/>
      </w:pPr>
      <w:r>
        <w:pict>
          <v:shape id="_x0000_s1044" style="width:257.85pt;height:0.5pt;margin-top:385.49pt;margin-left:33.96pt;mso-position-horizontal-relative:page;mso-position-vertical-relative:page;position:absolute;z-index:251682816" coordorigin="0,0" coordsize="5157,10" o:allowincell="f" path="m,9l5156,9l5156,l,l,9xe" filled="t" fillcolor="black" stroked="f"/>
        </w:pict>
      </w:r>
      <w:r>
        <w:pict>
          <v:shape id="_x0000_s1045" style="width:257.85pt;height:0.5pt;margin-top:557.71pt;margin-left:33.96pt;mso-position-horizontal-relative:page;mso-position-vertical-relative:page;position:absolute;z-index:251680768" coordorigin="0,0" coordsize="5157,10" o:allowincell="f" path="m,9l5156,9l5156,l,l,9xe" filled="t" fillcolor="black" stroked="f"/>
        </w:pict>
      </w:r>
      <w:r>
        <w:pict>
          <v:shape id="_x0000_s1046" style="width:257.85pt;height:0.5pt;margin-top:385.49pt;margin-left:303.53pt;mso-position-horizontal-relative:page;mso-position-vertical-relative:page;position:absolute;z-index:251683840" coordorigin="0,0" coordsize="5157,10" o:allowincell="f" path="m,9l5156,9l5156,l,l,9xe" filled="t" fillcolor="black" stroked="f"/>
        </w:pict>
      </w:r>
      <w:r>
        <w:pict>
          <v:shape id="_x0000_s1047" style="width:257.85pt;height:0.5pt;margin-top:557.71pt;margin-left:303.53pt;mso-position-horizontal-relative:page;mso-position-vertical-relative:page;position:absolute;z-index:251681792" coordorigin="0,0" coordsize="5157,10" o:allowincell="f" path="m,9l5156,9l5156,l,l,9xe" filled="t" fillcolor="black" stroked="f"/>
        </w:pict>
      </w:r>
    </w:p>
    <w:p>
      <w:pPr>
        <w:sectPr>
          <w:headerReference w:type="default" r:id="rId44"/>
          <w:footerReference w:type="default" r:id="rId45"/>
          <w:pgSz w:w="11907" w:h="16839"/>
          <w:pgMar w:top="1202" w:right="14" w:bottom="928" w:left="11" w:header="10" w:footer="21" w:gutter="0"/>
          <w:pgNumType w:start="17"/>
          <w:cols w:num="1" w:space="708" w:equalWidth="0">
            <w:col w:w="11881" w:space="0"/>
          </w:cols>
        </w:sectPr>
      </w:pPr>
    </w:p>
    <w:tbl>
      <w:tblPr>
        <w:tblStyle w:val="TableNormal2"/>
        <w:tblW w:w="5156" w:type="dxa"/>
        <w:tblInd w:w="66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30"/>
        <w:gridCol w:w="4726"/>
      </w:tblGrid>
      <w:tr>
        <w:tblPrEx>
          <w:tblW w:w="5156" w:type="dxa"/>
          <w:tblInd w:w="66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2"/>
        </w:trPr>
        <w:tc>
          <w:tcPr>
            <w:tcW w:w="5156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207" w:lineRule="auto"/>
              <w:ind w:left="3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color w:val="0D0D0D"/>
                <w:spacing w:val="-2"/>
                <w:sz w:val="18"/>
                <w:szCs w:val="18"/>
              </w:rPr>
              <w:t>图</w:t>
            </w:r>
            <w:r>
              <w:rPr>
                <w:color w:val="0D0D0D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0D0D0D"/>
                <w:spacing w:val="-2"/>
                <w:sz w:val="18"/>
                <w:szCs w:val="18"/>
              </w:rPr>
              <w:t>4</w:t>
            </w:r>
            <w:r>
              <w:rPr>
                <w:color w:val="0D0D0D"/>
                <w:spacing w:val="-2"/>
                <w:sz w:val="18"/>
                <w:szCs w:val="18"/>
              </w:rPr>
              <w:t>：</w:t>
            </w:r>
            <w:r>
              <w:rPr>
                <w:rFonts w:ascii="Arial" w:eastAsia="Arial" w:hAnsi="Arial" w:cs="Arial"/>
                <w:color w:val="0D0D0D"/>
                <w:spacing w:val="-2"/>
                <w:sz w:val="18"/>
                <w:szCs w:val="18"/>
              </w:rPr>
              <w:t>23Q1-3</w:t>
            </w:r>
            <w:r>
              <w:rPr>
                <w:rFonts w:ascii="Arial" w:eastAsia="Arial" w:hAnsi="Arial" w:cs="Arial"/>
                <w:color w:val="0D0D0D"/>
                <w:spacing w:val="-9"/>
                <w:sz w:val="18"/>
                <w:szCs w:val="18"/>
              </w:rPr>
              <w:t xml:space="preserve"> </w:t>
            </w:r>
            <w:r>
              <w:rPr>
                <w:color w:val="0D0D0D"/>
                <w:spacing w:val="-2"/>
                <w:sz w:val="18"/>
                <w:szCs w:val="18"/>
              </w:rPr>
              <w:t>公司实现营收</w:t>
            </w:r>
            <w:r>
              <w:rPr>
                <w:color w:val="0D0D0D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0D0D0D"/>
                <w:spacing w:val="-2"/>
                <w:sz w:val="18"/>
                <w:szCs w:val="18"/>
              </w:rPr>
              <w:t xml:space="preserve">123.7 </w:t>
            </w:r>
            <w:r>
              <w:rPr>
                <w:color w:val="0D0D0D"/>
                <w:spacing w:val="-2"/>
                <w:sz w:val="18"/>
                <w:szCs w:val="18"/>
              </w:rPr>
              <w:t>亿元，同比</w:t>
            </w:r>
            <w:r>
              <w:rPr>
                <w:rFonts w:ascii="Arial" w:eastAsia="Arial" w:hAnsi="Arial" w:cs="Arial"/>
                <w:color w:val="0D0D0D"/>
                <w:spacing w:val="-2"/>
                <w:sz w:val="18"/>
                <w:szCs w:val="18"/>
              </w:rPr>
              <w:t>+45.1%</w:t>
            </w:r>
          </w:p>
        </w:tc>
      </w:tr>
      <w:tr>
        <w:tblPrEx>
          <w:tblW w:w="5156" w:type="dxa"/>
          <w:tblInd w:w="668" w:type="dxa"/>
          <w:tblLayout w:type="fixed"/>
        </w:tblPrEx>
        <w:trPr>
          <w:trHeight w:val="3316"/>
        </w:trPr>
        <w:tc>
          <w:tcPr>
            <w:tcW w:w="4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52" w:line="199" w:lineRule="auto"/>
              <w:ind w:left="6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>135</w:t>
            </w:r>
          </w:p>
          <w:p>
            <w:pPr>
              <w:spacing w:before="148" w:line="199" w:lineRule="auto"/>
              <w:ind w:left="6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>120</w:t>
            </w:r>
          </w:p>
          <w:p>
            <w:pPr>
              <w:spacing w:before="148" w:line="199" w:lineRule="auto"/>
              <w:ind w:left="6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>105</w:t>
            </w:r>
          </w:p>
          <w:p>
            <w:pPr>
              <w:spacing w:before="148" w:line="199" w:lineRule="auto"/>
              <w:ind w:left="15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90</w:t>
            </w:r>
          </w:p>
          <w:p>
            <w:pPr>
              <w:spacing w:before="151" w:line="196" w:lineRule="auto"/>
              <w:ind w:left="15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75</w:t>
            </w:r>
          </w:p>
          <w:p>
            <w:pPr>
              <w:spacing w:before="149" w:line="199" w:lineRule="auto"/>
              <w:ind w:left="15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60</w:t>
            </w:r>
          </w:p>
        </w:tc>
        <w:tc>
          <w:tcPr>
            <w:tcW w:w="472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52" w:line="217" w:lineRule="auto"/>
              <w:ind w:left="459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rect id="_x0000_s1048" style="width:2.55pt;height:0.85pt;margin-top:94.52pt;margin-left:-33.71pt;mso-position-horizontal-relative:right-margin-area;mso-position-vertical-relative:top-margin-area;position:absolute;z-index:251720704" filled="t" fillcolor="#868686" stroked="f"/>
              </w:pict>
            </w:r>
            <w:r>
              <w:pict>
                <v:rect id="_x0000_s1049" style="width:13.5pt;height:2.25pt;margin-top:102.22pt;margin-left:-154.94pt;mso-position-horizontal-relative:right-margin-area;mso-position-vertical-relative:top-margin-area;position:absolute;z-index:251719680" filled="t" fillcolor="#c30f1b" stroked="f"/>
              </w:pict>
            </w:r>
            <w:r>
              <w:pict>
                <v:rect id="_x0000_s1050" style="width:2.55pt;height:0.3pt;margin-top:99pt;margin-left:-232.4pt;mso-position-horizontal-relative:right-margin-area;mso-position-vertical-relative:top-margin-area;position:absolute;z-index:251721728" filled="t" fillcolor="black" stroked="f"/>
              </w:pict>
            </w:r>
            <w:r>
              <mc:AlternateContent>
                <mc:Choice Requires="wps">
                  <w:drawing>
                    <wp:anchor distT="0" distB="0" distL="0" distR="0" simplePos="0" relativeHeight="251710464" behindDoc="0" locked="0" layoutInCell="1" allowOverlap="1">
                      <wp:simplePos x="0" y="0"/>
                      <wp:positionH relativeFrom="rightMargin">
                        <wp:posOffset>-2879308</wp:posOffset>
                      </wp:positionH>
                      <wp:positionV relativeFrom="topMargin">
                        <wp:posOffset>1577988</wp:posOffset>
                      </wp:positionV>
                      <wp:extent cx="280670" cy="157479"/>
                      <wp:effectExtent l="0" t="0" r="0" b="0"/>
                      <wp:wrapNone/>
                      <wp:docPr id="46" name="TextBox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879308" y="1577988"/>
                                <a:ext cx="280670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5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6" o:spid="_x0000_s1051" type="#_x0000_t202" style="width:22.1pt;height:12.4pt;margin-top:124.25pt;margin-left:-226.72pt;mso-position-horizontal-relative:right-margin-area;mso-position-vertical-relative:top-margin-area;mso-wrap-distance-bottom:0;mso-wrap-distance-left:0;mso-wrap-distance-right:0;mso-wrap-distance-top:0;position:absolute;rotation:270;v-text-anchor:top;z-index:251709440" filled="f" fillcolor="this" stroked="f">
                      <v:textbox inset="0,0,0,0">
                        <w:txbxContent>
                          <w:p>
                            <w:pPr>
                              <w:spacing w:before="55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2512" behindDoc="0" locked="0" layoutInCell="1" allowOverlap="1">
                      <wp:simplePos x="0" y="0"/>
                      <wp:positionH relativeFrom="rightMargin">
                        <wp:posOffset>-2451973</wp:posOffset>
                      </wp:positionH>
                      <wp:positionV relativeFrom="topMargin">
                        <wp:posOffset>1577988</wp:posOffset>
                      </wp:positionV>
                      <wp:extent cx="280670" cy="157479"/>
                      <wp:effectExtent l="0" t="0" r="0" b="0"/>
                      <wp:wrapNone/>
                      <wp:docPr id="48" name="TextBox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451973" y="1577988"/>
                                <a:ext cx="280670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5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8" o:spid="_x0000_s1052" type="#_x0000_t202" style="width:22.1pt;height:12.4pt;margin-top:124.25pt;margin-left:-193.07pt;mso-position-horizontal-relative:right-margin-area;mso-position-vertical-relative:top-margin-area;mso-wrap-distance-bottom:0;mso-wrap-distance-left:0;mso-wrap-distance-right:0;mso-wrap-distance-top:0;position:absolute;rotation:270;v-text-anchor:top;z-index:251711488" filled="f" fillcolor="this" stroked="f">
                      <v:textbox inset="0,0,0,0">
                        <w:txbxContent>
                          <w:p>
                            <w:pPr>
                              <w:spacing w:before="55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4560" behindDoc="0" locked="0" layoutInCell="1" allowOverlap="1">
                      <wp:simplePos x="0" y="0"/>
                      <wp:positionH relativeFrom="rightMargin">
                        <wp:posOffset>-2024638</wp:posOffset>
                      </wp:positionH>
                      <wp:positionV relativeFrom="topMargin">
                        <wp:posOffset>1577989</wp:posOffset>
                      </wp:positionV>
                      <wp:extent cx="280670" cy="157479"/>
                      <wp:effectExtent l="0" t="0" r="0" b="0"/>
                      <wp:wrapNone/>
                      <wp:docPr id="50" name="TextBox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024638" y="1577989"/>
                                <a:ext cx="280670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5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0" o:spid="_x0000_s1053" type="#_x0000_t202" style="width:22.1pt;height:12.4pt;margin-top:124.25pt;margin-left:-159.42pt;mso-position-horizontal-relative:right-margin-area;mso-position-vertical-relative:top-margin-area;mso-wrap-distance-bottom:0;mso-wrap-distance-left:0;mso-wrap-distance-right:0;mso-wrap-distance-top:0;position:absolute;rotation:270;v-text-anchor:top;z-index:251713536" filled="f" fillcolor="this" stroked="f">
                      <v:textbox inset="0,0,0,0">
                        <w:txbxContent>
                          <w:p>
                            <w:pPr>
                              <w:spacing w:before="55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8656" behindDoc="0" locked="0" layoutInCell="1" allowOverlap="1">
                      <wp:simplePos x="0" y="0"/>
                      <wp:positionH relativeFrom="rightMargin">
                        <wp:posOffset>-1597660</wp:posOffset>
                      </wp:positionH>
                      <wp:positionV relativeFrom="topMargin">
                        <wp:posOffset>1577989</wp:posOffset>
                      </wp:positionV>
                      <wp:extent cx="280670" cy="157479"/>
                      <wp:effectExtent l="0" t="0" r="0" b="0"/>
                      <wp:wrapNone/>
                      <wp:docPr id="52" name="TextBox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597660" y="1577989"/>
                                <a:ext cx="280670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5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2" o:spid="_x0000_s1054" type="#_x0000_t202" style="width:22.1pt;height:12.4pt;margin-top:124.25pt;margin-left:-125.8pt;mso-position-horizontal-relative:right-margin-area;mso-position-vertical-relative:top-margin-area;mso-wrap-distance-bottom:0;mso-wrap-distance-left:0;mso-wrap-distance-right:0;mso-wrap-distance-top:0;position:absolute;rotation:270;v-text-anchor:top;z-index:251717632" filled="f" fillcolor="this" stroked="f">
                      <v:textbox inset="0,0,0,0">
                        <w:txbxContent>
                          <w:p>
                            <w:pPr>
                              <w:spacing w:before="55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6608" behindDoc="0" locked="0" layoutInCell="1" allowOverlap="1">
                      <wp:simplePos x="0" y="0"/>
                      <wp:positionH relativeFrom="rightMargin">
                        <wp:posOffset>-1170254</wp:posOffset>
                      </wp:positionH>
                      <wp:positionV relativeFrom="topMargin">
                        <wp:posOffset>1577989</wp:posOffset>
                      </wp:positionV>
                      <wp:extent cx="280670" cy="157479"/>
                      <wp:effectExtent l="0" t="0" r="0" b="0"/>
                      <wp:wrapNone/>
                      <wp:docPr id="54" name="Text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170254" y="1577989"/>
                                <a:ext cx="280670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5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4" o:spid="_x0000_s1055" type="#_x0000_t202" style="width:22.1pt;height:12.4pt;margin-top:124.25pt;margin-left:-92.15pt;mso-position-horizontal-relative:right-margin-area;mso-position-vertical-relative:top-margin-area;mso-wrap-distance-bottom:0;mso-wrap-distance-left:0;mso-wrap-distance-right:0;mso-wrap-distance-top:0;position:absolute;rotation:270;v-text-anchor:top;z-index:251715584" filled="f" fillcolor="this" stroked="f">
                      <v:textbox inset="0,0,0,0">
                        <w:txbxContent>
                          <w:p>
                            <w:pPr>
                              <w:spacing w:before="55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96128" behindDoc="0" locked="0" layoutInCell="1" allowOverlap="1">
                      <wp:simplePos x="0" y="0"/>
                      <wp:positionH relativeFrom="rightMargin">
                        <wp:posOffset>-870181</wp:posOffset>
                      </wp:positionH>
                      <wp:positionV relativeFrom="topMargin">
                        <wp:posOffset>1705463</wp:posOffset>
                      </wp:positionV>
                      <wp:extent cx="538480" cy="153670"/>
                      <wp:effectExtent l="0" t="0" r="0" b="0"/>
                      <wp:wrapNone/>
                      <wp:docPr id="56" name="TextBox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870181" y="1705463"/>
                                <a:ext cx="538480" cy="15367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8" w:line="201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2023Q1-3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6" o:spid="_x0000_s1056" type="#_x0000_t202" style="width:42.4pt;height:12.1pt;margin-top:134.29pt;margin-left:-68.52pt;mso-position-horizontal-relative:right-margin-area;mso-position-vertical-relative:top-margin-area;mso-wrap-distance-bottom:0;mso-wrap-distance-left:0;mso-wrap-distance-right:0;mso-wrap-distance-top:0;position:absolute;rotation:270;v-text-anchor:top;z-index:251695104" filled="f" fillcolor="this" stroked="f">
                      <v:textbox inset="0,0,0,0">
                        <w:txbxContent>
                          <w:p>
                            <w:pPr>
                              <w:spacing w:before="48" w:line="201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2023Q1-3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anchor distT="0" distB="0" distL="0" distR="0" simplePos="0" relativeHeight="251692032" behindDoc="1" locked="0" layoutInCell="1" allowOverlap="1">
                  <wp:simplePos x="0" y="0"/>
                  <wp:positionH relativeFrom="rightMargin">
                    <wp:posOffset>-709669</wp:posOffset>
                  </wp:positionH>
                  <wp:positionV relativeFrom="topMargin">
                    <wp:posOffset>583407</wp:posOffset>
                  </wp:positionV>
                  <wp:extent cx="199589" cy="878349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89" cy="878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7" style="width:2.7pt;height:79.95pt;margin-top:35.16pt;margin-left:-232.54pt;mso-position-horizontal-relative:right-margin-area;mso-position-vertical-relative:top-margin-area;position:absolute;z-index:251697152" coordorigin="0,0" coordsize="54,1598" path="m2,1598l2,2m2,960l53,960m2,641l53,641m2,322l53,322m2,2l53,2e" filled="f" strokecolor="black" strokeweight="0.28pt"/>
              </w:pict>
            </w:r>
            <w:r>
              <w:drawing>
                <wp:anchor distT="0" distB="0" distL="0" distR="0" simplePos="0" relativeHeight="251691008" behindDoc="1" locked="0" layoutInCell="1" allowOverlap="1">
                  <wp:simplePos x="0" y="0"/>
                  <wp:positionH relativeFrom="rightMargin">
                    <wp:posOffset>-1554358</wp:posOffset>
                  </wp:positionH>
                  <wp:positionV relativeFrom="topMargin">
                    <wp:posOffset>789703</wp:posOffset>
                  </wp:positionV>
                  <wp:extent cx="616587" cy="672052"/>
                  <wp:effectExtent l="0" t="0" r="0" b="0"/>
                  <wp:wrapNone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587" cy="672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8176" behindDoc="0" locked="0" layoutInCell="1" allowOverlap="1">
                  <wp:simplePos x="0" y="0"/>
                  <wp:positionH relativeFrom="rightMargin">
                    <wp:posOffset>-1982049</wp:posOffset>
                  </wp:positionH>
                  <wp:positionV relativeFrom="topMargin">
                    <wp:posOffset>1312411</wp:posOffset>
                  </wp:positionV>
                  <wp:extent cx="199589" cy="149345"/>
                  <wp:effectExtent l="0" t="0" r="0" b="0"/>
                  <wp:wrapNone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89" cy="149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31968" behindDoc="0" locked="0" layoutInCell="1" allowOverlap="1">
                  <wp:simplePos x="0" y="0"/>
                  <wp:positionH relativeFrom="rightMargin">
                    <wp:posOffset>-2951482</wp:posOffset>
                  </wp:positionH>
                  <wp:positionV relativeFrom="topMargin">
                    <wp:posOffset>1447533</wp:posOffset>
                  </wp:positionV>
                  <wp:extent cx="2555453" cy="19557"/>
                  <wp:effectExtent l="0" t="0" r="0" b="0"/>
                  <wp:wrapNone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5453" cy="195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"/>
                <w:sz w:val="18"/>
                <w:szCs w:val="18"/>
              </w:rPr>
              <w:drawing>
                <wp:inline distT="0" distB="0" distL="0" distR="0">
                  <wp:extent cx="295819" cy="92451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19" cy="92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营业收入（亿元）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position w:val="3"/>
                <w:sz w:val="18"/>
                <w:szCs w:val="18"/>
              </w:rPr>
              <w:drawing>
                <wp:inline distT="0" distB="0" distL="0" distR="0">
                  <wp:extent cx="295819" cy="28446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19" cy="28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YOY(%)</w:t>
            </w:r>
          </w:p>
          <w:p>
            <w:pPr>
              <w:spacing w:before="167" w:line="283" w:lineRule="auto"/>
              <w:ind w:left="3962" w:right="91" w:hanging="395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shape id="_x0000_s1058" type="#_x0000_t202" style="width:23.85pt;height:10.6pt;margin-top:24.15pt;margin-left:143.76pt;position:absolute;z-index:25173094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9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3"/>
                            <w:sz w:val="18"/>
                            <w:szCs w:val="18"/>
                          </w:rPr>
                          <w:t>109.9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9" type="#_x0000_t202" style="width:24pt;height:10.6pt;margin-top:30.41pt;margin-left:110.1pt;position:absolute;z-index:2517248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9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3"/>
                            <w:sz w:val="18"/>
                            <w:szCs w:val="18"/>
                          </w:rPr>
                          <w:t>104.1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0" style="width:2.95pt;height:80.25pt;margin-top:11.66pt;margin-left:202.59pt;position:absolute;z-index:-251630592" coordorigin="0,0" coordsize="59,1605" path="m50,1604l50,8m,814l50,814m,411l50,411m,8l50,8e" filled="f" strokecolor="#868686" strokeweight="0.84pt"/>
              </w:pict>
            </w:r>
            <w:r>
              <w:rPr>
                <w:rFonts w:ascii="Arial" w:eastAsia="Arial" w:hAnsi="Arial" w:cs="Arial"/>
                <w:spacing w:val="-2"/>
                <w:position w:val="-1"/>
                <w:sz w:val="18"/>
                <w:szCs w:val="18"/>
              </w:rPr>
              <w:t>123.7</w:t>
            </w:r>
            <w:r>
              <w:rPr>
                <w:rFonts w:ascii="Arial" w:eastAsia="Arial" w:hAnsi="Arial" w:cs="Arial"/>
                <w:spacing w:val="4"/>
                <w:position w:val="-1"/>
                <w:sz w:val="18"/>
                <w:szCs w:val="18"/>
              </w:rPr>
              <w:t xml:space="preserve">     </w:t>
            </w:r>
            <w:r>
              <w:rPr>
                <w:rFonts w:ascii="Arial" w:eastAsia="Arial" w:hAnsi="Arial" w:cs="Arial"/>
                <w:spacing w:val="-2"/>
                <w:position w:val="2"/>
                <w:sz w:val="18"/>
                <w:szCs w:val="18"/>
              </w:rPr>
              <w:t>60%</w:t>
            </w:r>
            <w:r>
              <w:rPr>
                <w:rFonts w:ascii="Arial" w:eastAsia="Arial" w:hAnsi="Arial" w:cs="Arial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  <w:position w:val="4"/>
                <w:sz w:val="18"/>
                <w:szCs w:val="18"/>
              </w:rPr>
              <w:t>45.</w:t>
            </w:r>
            <w:r>
              <w:rPr>
                <w:rFonts w:ascii="Arial" w:eastAsia="Arial" w:hAnsi="Arial" w:cs="Arial"/>
                <w:spacing w:val="-9"/>
                <w:sz w:val="18"/>
                <w:szCs w:val="18"/>
              </w:rPr>
              <w:t>14</w:t>
            </w:r>
            <w:r>
              <w:rPr>
                <w:position w:val="-5"/>
                <w:sz w:val="18"/>
                <w:szCs w:val="18"/>
              </w:rPr>
              <w:drawing>
                <wp:inline distT="0" distB="0" distL="0" distR="0">
                  <wp:extent cx="71518" cy="149920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18" cy="149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-9"/>
                <w:position w:val="-5"/>
                <w:sz w:val="18"/>
                <w:szCs w:val="18"/>
              </w:rPr>
              <w:t>%</w:t>
            </w:r>
          </w:p>
          <w:p>
            <w:pPr>
              <w:spacing w:before="98" w:line="45" w:lineRule="exact"/>
              <w:ind w:left="2300"/>
            </w:pPr>
            <w:r>
              <w:drawing>
                <wp:anchor distT="0" distB="0" distL="0" distR="0" simplePos="0" relativeHeight="251684864" behindDoc="1" locked="0" layoutInCell="1" allowOverlap="1">
                  <wp:simplePos x="0" y="0"/>
                  <wp:positionH relativeFrom="column">
                    <wp:posOffset>177834</wp:posOffset>
                  </wp:positionH>
                  <wp:positionV relativeFrom="paragraph">
                    <wp:posOffset>-193339</wp:posOffset>
                  </wp:positionV>
                  <wp:extent cx="2298839" cy="867681"/>
                  <wp:effectExtent l="0" t="0" r="0" b="0"/>
                  <wp:wrapNone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839" cy="867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"/>
              </w:rPr>
              <w:drawing>
                <wp:inline distT="0" distB="0" distL="0" distR="0">
                  <wp:extent cx="160384" cy="28447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384" cy="28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49" w:line="201" w:lineRule="auto"/>
              <w:ind w:left="4270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shape id="_x0000_s1061" type="#_x0000_t202" style="width:19.45pt;height:10.6pt;margin-top:3.55pt;margin-left:11.12pt;position:absolute;z-index:25172787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9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  <w:sz w:val="18"/>
                            <w:szCs w:val="18"/>
                          </w:rPr>
                          <w:t>86.1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2" type="#_x0000_t202" style="width:19.55pt;height:10.6pt;margin-top:5.87pt;margin-left:44.74pt;position:absolute;z-index:25172582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9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  <w:sz w:val="18"/>
                            <w:szCs w:val="18"/>
                          </w:rPr>
                          <w:t>84.0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20%</w:t>
            </w:r>
          </w:p>
          <w:p>
            <w:pPr>
              <w:spacing w:before="227" w:line="201" w:lineRule="auto"/>
              <w:ind w:left="4273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shape id="_x0000_s1063" type="#_x0000_t202" style="width:15.5pt;height:14.1pt;margin-top:-3.77pt;margin-left:13pt;position:absolute;z-index:25172275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288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4" type="#_x0000_t202" style="width:19.4pt;height:10.6pt;margin-top:8.92pt;margin-left:78.44pt;position:absolute;z-index:25172377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9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  <w:sz w:val="18"/>
                            <w:szCs w:val="18"/>
                          </w:rPr>
                          <w:t>70.7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5" type="#_x0000_t202" style="width:51.4pt;height:29.75pt;margin-top:6.08pt;margin-left:11.88pt;position:absolute;z-index:25172684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"/>
                          <w:tblW w:w="947" w:type="dxa"/>
                          <w:tblInd w:w="40" w:type="dxa"/>
                          <w:tblBorders>
                            <w:top w:val="single" w:sz="16" w:space="0" w:color="C30F1B"/>
                            <w:left w:val="single" w:sz="16" w:space="0" w:color="C30F1B"/>
                            <w:bottom w:val="single" w:sz="16" w:space="0" w:color="C30F1B"/>
                            <w:right w:val="single" w:sz="16" w:space="0" w:color="C30F1B"/>
                            <w:insideH w:val="single" w:sz="16" w:space="0" w:color="C30F1B"/>
                            <w:insideV w:val="single" w:sz="16" w:space="0" w:color="C30F1B"/>
                          </w:tblBorders>
                          <w:tblLayout w:type="fixed"/>
                        </w:tblPr>
                        <w:tblGrid>
                          <w:gridCol w:w="280"/>
                          <w:gridCol w:w="387"/>
                          <w:gridCol w:w="280"/>
                        </w:tblGrid>
                        <w:tr>
                          <w:tblPrEx>
                            <w:tblW w:w="947" w:type="dxa"/>
                            <w:tblInd w:w="40" w:type="dxa"/>
                            <w:tblBorders>
                              <w:top w:val="single" w:sz="16" w:space="0" w:color="C30F1B"/>
                              <w:left w:val="single" w:sz="16" w:space="0" w:color="C30F1B"/>
                              <w:bottom w:val="single" w:sz="16" w:space="0" w:color="C30F1B"/>
                              <w:right w:val="single" w:sz="16" w:space="0" w:color="C30F1B"/>
                              <w:insideH w:val="single" w:sz="16" w:space="0" w:color="C30F1B"/>
                              <w:insideV w:val="single" w:sz="16" w:space="0" w:color="C30F1B"/>
                            </w:tblBorders>
                            <w:tblLayout w:type="fixed"/>
                          </w:tblPrEx>
                          <w:trPr>
                            <w:trHeight w:val="514"/>
                          </w:trPr>
                          <w:tc>
                            <w:tcPr>
                              <w:tcW w:w="280" w:type="dxa"/>
                              <w:tcBorders>
                                <w:top w:val="nil"/>
                                <w:bottom w:val="nil"/>
                              </w:tcBorders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  <w:tc>
                            <w:tcPr>
                              <w:tcW w:w="387" w:type="dxa"/>
                              <w:tcBorders>
                                <w:top w:val="nil"/>
                                <w:bottom w:val="nil"/>
                              </w:tcBorders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  <w:tc>
                            <w:tcPr>
                              <w:tcW w:w="280" w:type="dxa"/>
                              <w:tcBorders>
                                <w:bottom w:val="nil"/>
                              </w:tcBorders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0%</w:t>
            </w:r>
          </w:p>
          <w:p>
            <w:pPr>
              <w:spacing w:before="227" w:line="201" w:lineRule="auto"/>
              <w:ind w:left="427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-20%</w:t>
            </w:r>
          </w:p>
        </w:tc>
      </w:tr>
      <w:tr>
        <w:tblPrEx>
          <w:tblW w:w="5156" w:type="dxa"/>
          <w:tblInd w:w="668" w:type="dxa"/>
          <w:tblLayout w:type="fixed"/>
        </w:tblPrEx>
        <w:trPr>
          <w:trHeight w:val="172"/>
        </w:trPr>
        <w:tc>
          <w:tcPr>
            <w:tcW w:w="5156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2" w:line="172" w:lineRule="auto"/>
              <w:ind w:left="14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资料来源：</w:t>
            </w:r>
            <w:r>
              <w:rPr>
                <w:spacing w:val="-20"/>
                <w:sz w:val="15"/>
                <w:szCs w:val="15"/>
              </w:rPr>
              <w:t xml:space="preserve"> </w:t>
            </w:r>
            <w:r>
              <w:rPr>
                <w:spacing w:val="-5"/>
                <w:sz w:val="15"/>
                <w:szCs w:val="15"/>
              </w:rPr>
              <w:t>菜百股份招股说明书，</w:t>
            </w:r>
            <w:r>
              <w:rPr>
                <w:spacing w:val="-5"/>
                <w:sz w:val="15"/>
                <w:szCs w:val="15"/>
              </w:rPr>
              <w:t xml:space="preserve"> </w:t>
            </w:r>
            <w:r>
              <w:rPr>
                <w:spacing w:val="-5"/>
                <w:sz w:val="15"/>
                <w:szCs w:val="15"/>
              </w:rPr>
              <w:t>同花顺，西部证券研发中心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2"/>
        <w:tblW w:w="51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3"/>
        <w:gridCol w:w="4933"/>
      </w:tblGrid>
      <w:tr>
        <w:tblPrEx>
          <w:tblW w:w="51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2"/>
        </w:trPr>
        <w:tc>
          <w:tcPr>
            <w:tcW w:w="5156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207" w:lineRule="auto"/>
              <w:ind w:left="3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color w:val="0D0D0D"/>
                <w:spacing w:val="-2"/>
                <w:sz w:val="18"/>
                <w:szCs w:val="18"/>
              </w:rPr>
              <w:t>图</w:t>
            </w:r>
            <w:r>
              <w:rPr>
                <w:color w:val="0D0D0D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0D0D0D"/>
                <w:spacing w:val="-2"/>
                <w:sz w:val="18"/>
                <w:szCs w:val="18"/>
              </w:rPr>
              <w:t>5</w:t>
            </w:r>
            <w:r>
              <w:rPr>
                <w:color w:val="0D0D0D"/>
                <w:spacing w:val="-2"/>
                <w:sz w:val="18"/>
                <w:szCs w:val="18"/>
              </w:rPr>
              <w:t>：</w:t>
            </w:r>
            <w:r>
              <w:rPr>
                <w:rFonts w:ascii="Arial" w:eastAsia="Arial" w:hAnsi="Arial" w:cs="Arial"/>
                <w:color w:val="0D0D0D"/>
                <w:spacing w:val="-2"/>
                <w:sz w:val="18"/>
                <w:szCs w:val="18"/>
              </w:rPr>
              <w:t>23Q1-3</w:t>
            </w:r>
            <w:r>
              <w:rPr>
                <w:rFonts w:ascii="Arial" w:eastAsia="Arial" w:hAnsi="Arial" w:cs="Arial"/>
                <w:color w:val="0D0D0D"/>
                <w:spacing w:val="-9"/>
                <w:sz w:val="18"/>
                <w:szCs w:val="18"/>
              </w:rPr>
              <w:t xml:space="preserve"> </w:t>
            </w:r>
            <w:r>
              <w:rPr>
                <w:color w:val="0D0D0D"/>
                <w:spacing w:val="-2"/>
                <w:sz w:val="18"/>
                <w:szCs w:val="18"/>
              </w:rPr>
              <w:t>公司实现归母净利润</w:t>
            </w:r>
            <w:r>
              <w:rPr>
                <w:color w:val="0D0D0D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0D0D0D"/>
                <w:spacing w:val="-2"/>
                <w:sz w:val="18"/>
                <w:szCs w:val="18"/>
              </w:rPr>
              <w:t xml:space="preserve">5.9 </w:t>
            </w:r>
            <w:r>
              <w:rPr>
                <w:color w:val="0D0D0D"/>
                <w:spacing w:val="-2"/>
                <w:sz w:val="18"/>
                <w:szCs w:val="18"/>
              </w:rPr>
              <w:t>亿元，同比</w:t>
            </w:r>
            <w:r>
              <w:rPr>
                <w:rFonts w:ascii="Arial" w:eastAsia="Arial" w:hAnsi="Arial" w:cs="Arial"/>
                <w:color w:val="0D0D0D"/>
                <w:spacing w:val="-2"/>
                <w:sz w:val="18"/>
                <w:szCs w:val="18"/>
              </w:rPr>
              <w:t>+66.4%</w:t>
            </w:r>
          </w:p>
        </w:tc>
      </w:tr>
      <w:tr>
        <w:tblPrEx>
          <w:tblW w:w="5156" w:type="dxa"/>
          <w:tblInd w:w="0" w:type="dxa"/>
          <w:tblLayout w:type="fixed"/>
        </w:tblPrEx>
        <w:trPr>
          <w:trHeight w:val="3314"/>
        </w:trPr>
        <w:tc>
          <w:tcPr>
            <w:tcW w:w="22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52" w:line="199" w:lineRule="auto"/>
              <w:ind w:left="4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  <w:p>
            <w:pPr>
              <w:spacing w:before="229" w:line="199" w:lineRule="auto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  <w:p>
            <w:pPr>
              <w:spacing w:before="230" w:line="198" w:lineRule="auto"/>
              <w:ind w:left="4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  <w:p>
            <w:pPr>
              <w:spacing w:before="229" w:line="199" w:lineRule="auto"/>
              <w:ind w:left="4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  <w:p>
            <w:pPr>
              <w:spacing w:before="229" w:line="199" w:lineRule="auto"/>
              <w:ind w:left="4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493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58" w:line="219" w:lineRule="auto"/>
              <w:ind w:left="463"/>
              <w:rPr>
                <w:rFonts w:ascii="Arial" w:eastAsia="Arial" w:hAnsi="Arial" w:cs="Arial"/>
                <w:sz w:val="18"/>
                <w:szCs w:val="18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00224" behindDoc="0" locked="0" layoutInCell="1" allowOverlap="1">
                      <wp:simplePos x="0" y="0"/>
                      <wp:positionH relativeFrom="rightMargin">
                        <wp:posOffset>-3000141</wp:posOffset>
                      </wp:positionH>
                      <wp:positionV relativeFrom="topMargin">
                        <wp:posOffset>1588181</wp:posOffset>
                      </wp:positionV>
                      <wp:extent cx="281304" cy="157479"/>
                      <wp:effectExtent l="0" t="0" r="0" b="0"/>
                      <wp:wrapNone/>
                      <wp:docPr id="76" name="TextBox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000141" y="1588181"/>
                                <a:ext cx="281304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5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6" o:spid="_x0000_s1066" type="#_x0000_t202" style="width:22.15pt;height:12.4pt;margin-top:125.05pt;margin-left:-236.23pt;mso-position-horizontal-relative:right-margin-area;mso-position-vertical-relative:top-margin-area;mso-wrap-distance-bottom:0;mso-wrap-distance-left:0;mso-wrap-distance-right:0;mso-wrap-distance-top:0;position:absolute;rotation:270;v-text-anchor:top;z-index:251699200" filled="f" fillcolor="this" stroked="f">
                      <v:textbox inset="0,0,0,0">
                        <w:txbxContent>
                          <w:p>
                            <w:pPr>
                              <w:spacing w:before="55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08416" behindDoc="0" locked="0" layoutInCell="1" allowOverlap="1">
                      <wp:simplePos x="0" y="0"/>
                      <wp:positionH relativeFrom="rightMargin">
                        <wp:posOffset>-2549995</wp:posOffset>
                      </wp:positionH>
                      <wp:positionV relativeFrom="topMargin">
                        <wp:posOffset>1588180</wp:posOffset>
                      </wp:positionV>
                      <wp:extent cx="281304" cy="157479"/>
                      <wp:effectExtent l="0" t="0" r="0" b="0"/>
                      <wp:wrapNone/>
                      <wp:docPr id="78" name="TextBox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549995" y="1588180"/>
                                <a:ext cx="281304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5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8" o:spid="_x0000_s1067" type="#_x0000_t202" style="width:22.15pt;height:12.4pt;margin-top:125.05pt;margin-left:-200.79pt;mso-position-horizontal-relative:right-margin-area;mso-position-vertical-relative:top-margin-area;mso-wrap-distance-bottom:0;mso-wrap-distance-left:0;mso-wrap-distance-right:0;mso-wrap-distance-top:0;position:absolute;rotation:270;v-text-anchor:top;z-index:251707392" filled="f" fillcolor="this" stroked="f">
                      <v:textbox inset="0,0,0,0">
                        <w:txbxContent>
                          <w:p>
                            <w:pPr>
                              <w:spacing w:before="55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04320" behindDoc="0" locked="0" layoutInCell="1" allowOverlap="1">
                      <wp:simplePos x="0" y="0"/>
                      <wp:positionH relativeFrom="rightMargin">
                        <wp:posOffset>-2099851</wp:posOffset>
                      </wp:positionH>
                      <wp:positionV relativeFrom="topMargin">
                        <wp:posOffset>1588180</wp:posOffset>
                      </wp:positionV>
                      <wp:extent cx="281304" cy="157479"/>
                      <wp:effectExtent l="0" t="0" r="0" b="0"/>
                      <wp:wrapNone/>
                      <wp:docPr id="80" name="TextBox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099851" y="1588180"/>
                                <a:ext cx="281304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5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0" o:spid="_x0000_s1068" type="#_x0000_t202" style="width:22.15pt;height:12.4pt;margin-top:125.05pt;margin-left:-165.34pt;mso-position-horizontal-relative:right-margin-area;mso-position-vertical-relative:top-margin-area;mso-wrap-distance-bottom:0;mso-wrap-distance-left:0;mso-wrap-distance-right:0;mso-wrap-distance-top:0;position:absolute;rotation:270;v-text-anchor:top;z-index:251703296" filled="f" fillcolor="this" stroked="f">
                      <v:textbox inset="0,0,0,0">
                        <w:txbxContent>
                          <w:p>
                            <w:pPr>
                              <w:spacing w:before="55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06368" behindDoc="0" locked="0" layoutInCell="1" allowOverlap="1">
                      <wp:simplePos x="0" y="0"/>
                      <wp:positionH relativeFrom="rightMargin">
                        <wp:posOffset>-1650134</wp:posOffset>
                      </wp:positionH>
                      <wp:positionV relativeFrom="topMargin">
                        <wp:posOffset>1588180</wp:posOffset>
                      </wp:positionV>
                      <wp:extent cx="281304" cy="157479"/>
                      <wp:effectExtent l="0" t="0" r="0" b="0"/>
                      <wp:wrapNone/>
                      <wp:docPr id="82" name="TextBox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650134" y="1588180"/>
                                <a:ext cx="281304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5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2" o:spid="_x0000_s1069" type="#_x0000_t202" style="width:22.15pt;height:12.4pt;margin-top:125.05pt;margin-left:-129.93pt;mso-position-horizontal-relative:right-margin-area;mso-position-vertical-relative:top-margin-area;mso-wrap-distance-bottom:0;mso-wrap-distance-left:0;mso-wrap-distance-right:0;mso-wrap-distance-top:0;position:absolute;rotation:270;v-text-anchor:top;z-index:251705344" filled="f" fillcolor="this" stroked="f">
                      <v:textbox inset="0,0,0,0">
                        <w:txbxContent>
                          <w:p>
                            <w:pPr>
                              <w:spacing w:before="55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02272" behindDoc="0" locked="0" layoutInCell="1" allowOverlap="1">
                      <wp:simplePos x="0" y="0"/>
                      <wp:positionH relativeFrom="rightMargin">
                        <wp:posOffset>-1199918</wp:posOffset>
                      </wp:positionH>
                      <wp:positionV relativeFrom="topMargin">
                        <wp:posOffset>1588181</wp:posOffset>
                      </wp:positionV>
                      <wp:extent cx="281304" cy="157479"/>
                      <wp:effectExtent l="0" t="0" r="0" b="0"/>
                      <wp:wrapNone/>
                      <wp:docPr id="84" name="TextBox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199918" y="1588181"/>
                                <a:ext cx="281304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5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4" o:spid="_x0000_s1070" type="#_x0000_t202" style="width:22.15pt;height:12.4pt;margin-top:125.05pt;margin-left:-94.48pt;mso-position-horizontal-relative:right-margin-area;mso-position-vertical-relative:top-margin-area;mso-wrap-distance-bottom:0;mso-wrap-distance-left:0;mso-wrap-distance-right:0;mso-wrap-distance-top:0;position:absolute;rotation:270;v-text-anchor:top;z-index:251701248" filled="f" fillcolor="this" stroked="f">
                      <v:textbox inset="0,0,0,0">
                        <w:txbxContent>
                          <w:p>
                            <w:pPr>
                              <w:spacing w:before="55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94080" behindDoc="0" locked="0" layoutInCell="1" allowOverlap="1">
                      <wp:simplePos x="0" y="0"/>
                      <wp:positionH relativeFrom="rightMargin">
                        <wp:posOffset>-876661</wp:posOffset>
                      </wp:positionH>
                      <wp:positionV relativeFrom="topMargin">
                        <wp:posOffset>1715565</wp:posOffset>
                      </wp:positionV>
                      <wp:extent cx="538480" cy="153670"/>
                      <wp:effectExtent l="0" t="0" r="0" b="0"/>
                      <wp:wrapNone/>
                      <wp:docPr id="86" name="TextBox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876661" y="1715565"/>
                                <a:ext cx="538480" cy="15367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8" w:line="201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2023Q1-3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6" o:spid="_x0000_s1071" type="#_x0000_t202" style="width:42.4pt;height:12.1pt;margin-top:135.08pt;margin-left:-69.03pt;mso-position-horizontal-relative:right-margin-area;mso-position-vertical-relative:top-margin-area;mso-wrap-distance-bottom:0;mso-wrap-distance-left:0;mso-wrap-distance-right:0;mso-wrap-distance-top:0;position:absolute;rotation:270;v-text-anchor:top;z-index:251693056" filled="f" fillcolor="this" stroked="f">
                      <v:textbox inset="0,0,0,0">
                        <w:txbxContent>
                          <w:p>
                            <w:pPr>
                              <w:spacing w:before="48" w:line="201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2023Q1-3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072" style="width:2.7pt;height:80pt;margin-top:35.96pt;margin-left:-242.69pt;mso-position-horizontal-relative:right-margin-area;mso-position-vertical-relative:top-margin-area;position:absolute;z-index:-251629568" coordorigin="0,0" coordsize="54,1600" path="m2,1599l2,2m2,792l53,792m2,406l53,406m2,2l53,2e" filled="f" strokecolor="black" strokeweight="0.28pt"/>
              </w:pict>
            </w:r>
            <w:r>
              <w:rPr>
                <w:sz w:val="18"/>
                <w:szCs w:val="18"/>
              </w:rPr>
              <w:drawing>
                <wp:inline distT="0" distB="0" distL="0" distR="0">
                  <wp:extent cx="295819" cy="81840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19" cy="8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归母净利润（亿元）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position w:val="2"/>
                <w:sz w:val="18"/>
                <w:szCs w:val="18"/>
              </w:rPr>
              <w:drawing>
                <wp:inline distT="0" distB="0" distL="0" distR="0">
                  <wp:extent cx="295819" cy="28465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19" cy="28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YOY(%)</w:t>
            </w:r>
          </w:p>
          <w:p>
            <w:pPr>
              <w:spacing w:before="172" w:line="201" w:lineRule="auto"/>
              <w:ind w:left="4257"/>
              <w:rPr>
                <w:rFonts w:ascii="Arial" w:eastAsia="Arial" w:hAnsi="Arial" w:cs="Arial"/>
                <w:sz w:val="18"/>
                <w:szCs w:val="18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88960" behindDoc="1" locked="0" layoutInCell="1" allowOverlap="1">
                      <wp:simplePos x="0" y="0"/>
                      <wp:positionH relativeFrom="column">
                        <wp:posOffset>2741137</wp:posOffset>
                      </wp:positionH>
                      <wp:positionV relativeFrom="paragraph">
                        <wp:posOffset>159050</wp:posOffset>
                      </wp:positionV>
                      <wp:extent cx="10795" cy="1014094"/>
                      <wp:effectExtent l="0" t="0" r="0" b="0"/>
                      <wp:wrapNone/>
                      <wp:docPr id="92" name="Rect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2741137" y="159050"/>
                                <a:ext cx="10795" cy="10140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868686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92" o:spid="_x0000_s1073" style="width:0.85pt;height:79.85pt;margin-top:12.52pt;margin-left:215.84pt;mso-wrap-distance-bottom:0;mso-wrap-distance-left:0;mso-wrap-distance-right:0;mso-wrap-distance-top:0;position:absolute;v-text-anchor:top;z-index:-251628544" fillcolor="#868686" stroked="f"/>
                  </w:pict>
                </mc:Fallback>
              </mc:AlternateContent>
            </w:r>
            <w:r>
              <w:rPr>
                <w:rFonts w:ascii="Arial" w:eastAsia="Arial" w:hAnsi="Arial" w:cs="Arial"/>
                <w:position w:val="4"/>
                <w:sz w:val="18"/>
                <w:szCs w:val="18"/>
              </w:rPr>
              <w:drawing>
                <wp:inline distT="0" distB="0" distL="0" distR="0">
                  <wp:extent cx="42768" cy="10675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8" cy="1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4"/>
                <w:sz w:val="18"/>
                <w:szCs w:val="18"/>
              </w:rPr>
              <w:t xml:space="preserve">   </w:t>
            </w:r>
            <w:r>
              <w:rPr>
                <w:rFonts w:ascii="Arial" w:eastAsia="Arial" w:hAnsi="Arial" w:cs="Arial"/>
                <w:sz w:val="18"/>
                <w:szCs w:val="18"/>
              </w:rPr>
              <w:t>80%</w:t>
            </w:r>
          </w:p>
          <w:p>
            <w:pPr>
              <w:spacing w:before="43" w:line="124" w:lineRule="exact"/>
              <w:ind w:left="385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position w:val="-3"/>
                <w:sz w:val="18"/>
                <w:szCs w:val="18"/>
              </w:rPr>
              <w:t>5.9</w:t>
            </w:r>
            <w:r>
              <w:rPr>
                <w:rFonts w:ascii="Arial" w:eastAsia="Arial" w:hAnsi="Arial" w:cs="Arial"/>
                <w:spacing w:val="13"/>
                <w:w w:val="101"/>
                <w:position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position w:val="-3"/>
                <w:sz w:val="18"/>
                <w:szCs w:val="18"/>
              </w:rPr>
              <w:t>66.4%</w:t>
            </w:r>
          </w:p>
          <w:p>
            <w:pPr>
              <w:spacing w:line="134" w:lineRule="exact"/>
              <w:ind w:left="448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position w:val="-2"/>
                <w:sz w:val="18"/>
                <w:szCs w:val="18"/>
              </w:rPr>
              <w:t>60%</w:t>
            </w:r>
          </w:p>
          <w:p>
            <w:pPr>
              <w:spacing w:line="163" w:lineRule="auto"/>
              <w:ind w:left="3137"/>
              <w:rPr>
                <w:sz w:val="18"/>
                <w:szCs w:val="18"/>
              </w:rPr>
            </w:pPr>
            <w:r>
              <w:drawing>
                <wp:anchor distT="0" distB="0" distL="0" distR="0" simplePos="0" relativeHeight="251689984" behindDoc="1" locked="0" layoutInCell="1" allowOverlap="1">
                  <wp:simplePos x="0" y="0"/>
                  <wp:positionH relativeFrom="column">
                    <wp:posOffset>52030</wp:posOffset>
                  </wp:positionH>
                  <wp:positionV relativeFrom="paragraph">
                    <wp:posOffset>14568</wp:posOffset>
                  </wp:positionV>
                  <wp:extent cx="2694453" cy="752578"/>
                  <wp:effectExtent l="0" t="0" r="0" b="0"/>
                  <wp:wrapNone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453" cy="752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z w:val="18"/>
                <w:szCs w:val="18"/>
              </w:rPr>
              <w:t>4.6</w:t>
            </w:r>
            <w:r>
              <w:rPr>
                <w:rFonts w:ascii="Arial" w:eastAsia="Arial" w:hAnsi="Arial" w:cs="Arial"/>
                <w:spacing w:val="3"/>
                <w:sz w:val="18"/>
                <w:szCs w:val="18"/>
              </w:rPr>
              <w:t xml:space="preserve">        </w:t>
            </w:r>
            <w:r>
              <w:rPr>
                <w:position w:val="9"/>
                <w:sz w:val="18"/>
                <w:szCs w:val="18"/>
              </w:rPr>
              <w:drawing>
                <wp:inline distT="0" distB="0" distL="0" distR="0">
                  <wp:extent cx="181768" cy="28465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68" cy="28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6" w:line="201" w:lineRule="auto"/>
              <w:ind w:left="3112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shape id="_x0000_s1074" type="#_x0000_t202" style="width:49.8pt;height:14.65pt;margin-top:-1.96pt;margin-left:14.41pt;position:absolute;z-index:25172889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00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position w:val="-3"/>
                            <w:sz w:val="18"/>
                            <w:szCs w:val="18"/>
                          </w:rPr>
                          <w:t>3.7</w:t>
                        </w:r>
                        <w:r>
                          <w:rPr>
                            <w:rFonts w:ascii="Arial" w:eastAsia="Arial" w:hAnsi="Arial" w:cs="Arial"/>
                            <w:spacing w:val="4"/>
                            <w:position w:val="-3"/>
                            <w:sz w:val="18"/>
                            <w:szCs w:val="18"/>
                          </w:rPr>
                          <w:t xml:space="preserve">        </w:t>
                        </w:r>
                        <w:r>
                          <w:rPr>
                            <w:rFonts w:ascii="Arial" w:eastAsia="Arial" w:hAnsi="Arial" w:cs="Arial"/>
                            <w:spacing w:val="-28"/>
                            <w:position w:val="3"/>
                            <w:sz w:val="18"/>
                            <w:szCs w:val="18"/>
                            <w:u w:val="single" w:color="C30F1B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position w:val="3"/>
                            <w:sz w:val="18"/>
                            <w:szCs w:val="18"/>
                            <w:u w:val="single" w:color="C30F1B"/>
                          </w:rPr>
                          <w:t>4.0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5" type="#_x0000_t202" style="width:49.85pt;height:10.85pt;margin-top:1.83pt;margin-left:85.3pt;position:absolute;z-index:25172992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04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  <w:sz w:val="18"/>
                            <w:szCs w:val="18"/>
                          </w:rPr>
                          <w:t>3.6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sz w:val="18"/>
                            <w:szCs w:val="18"/>
                          </w:rPr>
                          <w:t xml:space="preserve">         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  <w:sz w:val="18"/>
                            <w:szCs w:val="18"/>
                          </w:rPr>
                          <w:t>3.6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z w:val="18"/>
                <w:szCs w:val="18"/>
              </w:rPr>
              <w:drawing>
                <wp:inline distT="0" distB="0" distL="0" distR="0">
                  <wp:extent cx="181768" cy="28466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68" cy="28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                </w:t>
            </w:r>
            <w:r>
              <w:rPr>
                <w:rFonts w:ascii="Arial" w:eastAsia="Arial" w:hAnsi="Arial" w:cs="Arial"/>
                <w:position w:val="5"/>
                <w:sz w:val="18"/>
                <w:szCs w:val="18"/>
              </w:rPr>
              <w:drawing>
                <wp:inline distT="0" distB="0" distL="0" distR="0">
                  <wp:extent cx="42769" cy="10675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9" cy="1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5"/>
                <w:sz w:val="18"/>
                <w:szCs w:val="18"/>
              </w:rPr>
              <w:t xml:space="preserve">   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40%</w:t>
            </w:r>
          </w:p>
          <w:p>
            <w:pPr>
              <w:spacing w:before="147" w:line="321" w:lineRule="exact"/>
              <w:ind w:left="448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1"/>
                <w:position w:val="12"/>
                <w:sz w:val="18"/>
                <w:szCs w:val="18"/>
              </w:rPr>
              <w:t>20%</w:t>
            </w:r>
          </w:p>
          <w:p>
            <w:pPr>
              <w:spacing w:before="1" w:line="200" w:lineRule="auto"/>
              <w:ind w:left="448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0%</w:t>
            </w:r>
          </w:p>
          <w:p>
            <w:pPr>
              <w:spacing w:before="147" w:line="201" w:lineRule="auto"/>
              <w:ind w:left="448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-20%</w:t>
            </w:r>
          </w:p>
        </w:tc>
      </w:tr>
      <w:tr>
        <w:tblPrEx>
          <w:tblW w:w="5156" w:type="dxa"/>
          <w:tblInd w:w="0" w:type="dxa"/>
          <w:tblLayout w:type="fixed"/>
        </w:tblPrEx>
        <w:trPr>
          <w:trHeight w:val="172"/>
        </w:trPr>
        <w:tc>
          <w:tcPr>
            <w:tcW w:w="5156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3" w:line="171" w:lineRule="auto"/>
              <w:ind w:left="14"/>
              <w:rPr>
                <w:sz w:val="15"/>
                <w:szCs w:val="15"/>
              </w:rPr>
            </w:pPr>
            <w:r>
              <w:rPr>
                <w:spacing w:val="-7"/>
                <w:sz w:val="15"/>
                <w:szCs w:val="15"/>
              </w:rPr>
              <w:t>资料来源：</w:t>
            </w:r>
            <w:r>
              <w:rPr>
                <w:spacing w:val="-22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菜百股份招股说明书，</w:t>
            </w:r>
            <w:r>
              <w:rPr>
                <w:spacing w:val="-7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同花顺，</w:t>
            </w:r>
            <w:r>
              <w:rPr>
                <w:spacing w:val="-8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西部证券研发中心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62"/>
          <w:footerReference w:type="default" r:id="rId63"/>
          <w:type w:val="continuous"/>
          <w:pgSz w:w="11907" w:h="16839"/>
          <w:pgMar w:top="1202" w:right="14" w:bottom="928" w:left="11" w:header="10" w:footer="21" w:gutter="0"/>
          <w:pgNumType w:start="18"/>
          <w:cols w:num="2" w:space="708" w:equalWidth="0">
            <w:col w:w="5960" w:space="100"/>
            <w:col w:w="5822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8" w:line="272" w:lineRule="auto"/>
        <w:ind w:left="3074" w:right="662" w:firstLine="24"/>
        <w:rPr>
          <w:sz w:val="21"/>
          <w:szCs w:val="21"/>
        </w:rPr>
      </w:pPr>
      <w:r>
        <w:rPr>
          <w:spacing w:val="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费用控制优化，盈利能力恢复。</w:t>
      </w:r>
      <w:r>
        <w:rPr>
          <w:spacing w:val="4"/>
          <w:sz w:val="21"/>
          <w:szCs w:val="21"/>
        </w:rPr>
        <w:t>受年内金价先抑后</w:t>
      </w:r>
      <w:r>
        <w:rPr>
          <w:spacing w:val="3"/>
          <w:sz w:val="21"/>
          <w:szCs w:val="21"/>
        </w:rPr>
        <w:t>扬随后宽幅震动的影响，公司毛利率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1"/>
          <w:sz w:val="21"/>
          <w:szCs w:val="21"/>
        </w:rPr>
        <w:t>2021</w:t>
      </w:r>
      <w:r>
        <w:rPr>
          <w:rFonts w:ascii="Arial" w:eastAsia="Arial" w:hAnsi="Arial" w:cs="Arial"/>
          <w:spacing w:val="4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年小幅下滑至</w:t>
      </w:r>
      <w:r>
        <w:rPr>
          <w:spacing w:val="1"/>
          <w:sz w:val="21"/>
          <w:szCs w:val="21"/>
        </w:rPr>
        <w:t xml:space="preserve"> </w:t>
      </w:r>
      <w:r>
        <w:rPr>
          <w:rFonts w:ascii="Arial" w:eastAsia="Arial" w:hAnsi="Arial" w:cs="Arial"/>
          <w:spacing w:val="1"/>
          <w:sz w:val="21"/>
          <w:szCs w:val="21"/>
        </w:rPr>
        <w:t>11.34%</w:t>
      </w:r>
      <w:r>
        <w:rPr>
          <w:spacing w:val="1"/>
          <w:sz w:val="21"/>
          <w:szCs w:val="21"/>
        </w:rPr>
        <w:t>，后维持相对稳定。费用端公司费用控制大幅</w:t>
      </w:r>
      <w:r>
        <w:rPr>
          <w:sz w:val="21"/>
          <w:szCs w:val="21"/>
        </w:rPr>
        <w:t>改善，销售费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用率</w:t>
      </w:r>
      <w:r>
        <w:rPr>
          <w:rFonts w:ascii="Arial" w:eastAsia="Arial" w:hAnsi="Arial" w:cs="Arial"/>
          <w:sz w:val="21"/>
          <w:szCs w:val="21"/>
        </w:rPr>
        <w:t xml:space="preserve">/ </w:t>
      </w:r>
      <w:r>
        <w:rPr>
          <w:sz w:val="21"/>
          <w:szCs w:val="21"/>
        </w:rPr>
        <w:t>管</w:t>
      </w:r>
      <w:r>
        <w:rPr>
          <w:spacing w:val="-60"/>
          <w:sz w:val="21"/>
          <w:szCs w:val="21"/>
        </w:rPr>
        <w:t xml:space="preserve"> </w:t>
      </w:r>
      <w:r>
        <w:rPr>
          <w:sz w:val="21"/>
          <w:szCs w:val="21"/>
        </w:rPr>
        <w:t>理</w:t>
      </w:r>
      <w:r>
        <w:rPr>
          <w:spacing w:val="-41"/>
          <w:sz w:val="21"/>
          <w:szCs w:val="21"/>
        </w:rPr>
        <w:t xml:space="preserve"> </w:t>
      </w:r>
      <w:r>
        <w:rPr>
          <w:sz w:val="21"/>
          <w:szCs w:val="21"/>
        </w:rPr>
        <w:t>费</w:t>
      </w:r>
      <w:r>
        <w:rPr>
          <w:spacing w:val="-45"/>
          <w:sz w:val="21"/>
          <w:szCs w:val="21"/>
        </w:rPr>
        <w:t xml:space="preserve"> </w:t>
      </w:r>
      <w:r>
        <w:rPr>
          <w:sz w:val="21"/>
          <w:szCs w:val="21"/>
        </w:rPr>
        <w:t>用</w:t>
      </w:r>
      <w:r>
        <w:rPr>
          <w:spacing w:val="-58"/>
          <w:sz w:val="21"/>
          <w:szCs w:val="21"/>
        </w:rPr>
        <w:t xml:space="preserve"> </w:t>
      </w:r>
      <w:r>
        <w:rPr>
          <w:sz w:val="21"/>
          <w:szCs w:val="21"/>
        </w:rPr>
        <w:t>率</w:t>
      </w:r>
      <w:r>
        <w:rPr>
          <w:rFonts w:ascii="Arial" w:eastAsia="Arial" w:hAnsi="Arial" w:cs="Arial"/>
          <w:sz w:val="21"/>
          <w:szCs w:val="21"/>
        </w:rPr>
        <w:t>/</w:t>
      </w:r>
      <w:r>
        <w:rPr>
          <w:rFonts w:ascii="Arial" w:eastAsia="Arial" w:hAnsi="Arial" w:cs="Arial"/>
          <w:spacing w:val="-12"/>
          <w:sz w:val="21"/>
          <w:szCs w:val="21"/>
        </w:rPr>
        <w:t xml:space="preserve"> </w:t>
      </w:r>
      <w:r>
        <w:rPr>
          <w:sz w:val="21"/>
          <w:szCs w:val="21"/>
        </w:rPr>
        <w:t>财</w:t>
      </w:r>
      <w:r>
        <w:rPr>
          <w:spacing w:val="-55"/>
          <w:sz w:val="21"/>
          <w:szCs w:val="21"/>
        </w:rPr>
        <w:t xml:space="preserve"> </w:t>
      </w:r>
      <w:r>
        <w:rPr>
          <w:sz w:val="21"/>
          <w:szCs w:val="21"/>
        </w:rPr>
        <w:t>务</w:t>
      </w:r>
      <w:r>
        <w:rPr>
          <w:spacing w:val="-41"/>
          <w:sz w:val="21"/>
          <w:szCs w:val="21"/>
        </w:rPr>
        <w:t xml:space="preserve"> </w:t>
      </w:r>
      <w:r>
        <w:rPr>
          <w:sz w:val="21"/>
          <w:szCs w:val="21"/>
        </w:rPr>
        <w:t>费</w:t>
      </w:r>
      <w:r>
        <w:rPr>
          <w:spacing w:val="-46"/>
          <w:sz w:val="21"/>
          <w:szCs w:val="21"/>
        </w:rPr>
        <w:t xml:space="preserve"> </w:t>
      </w:r>
      <w:r>
        <w:rPr>
          <w:sz w:val="21"/>
          <w:szCs w:val="21"/>
        </w:rPr>
        <w:t>用</w:t>
      </w:r>
      <w:r>
        <w:rPr>
          <w:spacing w:val="-55"/>
          <w:sz w:val="21"/>
          <w:szCs w:val="21"/>
        </w:rPr>
        <w:t xml:space="preserve"> </w:t>
      </w:r>
      <w:r>
        <w:rPr>
          <w:sz w:val="21"/>
          <w:szCs w:val="21"/>
        </w:rPr>
        <w:t>率从</w:t>
      </w:r>
      <w:r>
        <w:rPr>
          <w:spacing w:val="44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 xml:space="preserve">2020  </w:t>
      </w:r>
      <w:r>
        <w:rPr>
          <w:sz w:val="21"/>
          <w:szCs w:val="21"/>
        </w:rPr>
        <w:t>年的</w:t>
      </w:r>
      <w:r>
        <w:rPr>
          <w:spacing w:val="46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3.6</w:t>
      </w:r>
      <w:r>
        <w:rPr>
          <w:rFonts w:ascii="Arial" w:eastAsia="Arial" w:hAnsi="Arial" w:cs="Arial"/>
          <w:spacing w:val="-1"/>
          <w:sz w:val="21"/>
          <w:szCs w:val="21"/>
        </w:rPr>
        <w:t xml:space="preserve">%/1.3%/0.5% </w:t>
      </w:r>
      <w:r>
        <w:rPr>
          <w:spacing w:val="-1"/>
          <w:sz w:val="21"/>
          <w:szCs w:val="21"/>
        </w:rPr>
        <w:t>降至</w:t>
      </w:r>
      <w:r>
        <w:rPr>
          <w:spacing w:val="4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2023Q1-3</w:t>
      </w:r>
      <w:r>
        <w:rPr>
          <w:rFonts w:ascii="Arial" w:eastAsia="Arial" w:hAnsi="Arial" w:cs="Arial"/>
          <w:spacing w:val="15"/>
          <w:w w:val="10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的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2.6%/0.6%/0.2%</w:t>
      </w:r>
      <w:r>
        <w:rPr>
          <w:spacing w:val="-2"/>
          <w:sz w:val="21"/>
          <w:szCs w:val="21"/>
        </w:rPr>
        <w:t>，推动整体期间费用率由</w:t>
      </w:r>
      <w:r>
        <w:rPr>
          <w:spacing w:val="-2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2020</w:t>
      </w:r>
      <w:r>
        <w:rPr>
          <w:rFonts w:ascii="Arial" w:eastAsia="Arial" w:hAnsi="Arial" w:cs="Arial"/>
          <w:spacing w:val="16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年的</w:t>
      </w:r>
      <w:r>
        <w:rPr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5.5%</w:t>
      </w:r>
      <w:r>
        <w:rPr>
          <w:spacing w:val="-2"/>
          <w:sz w:val="21"/>
          <w:szCs w:val="21"/>
        </w:rPr>
        <w:t>下降至</w:t>
      </w:r>
      <w:r>
        <w:rPr>
          <w:spacing w:val="-2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2023Q</w:t>
      </w:r>
      <w:r>
        <w:rPr>
          <w:rFonts w:ascii="Arial" w:eastAsia="Arial" w:hAnsi="Arial" w:cs="Arial"/>
          <w:spacing w:val="-3"/>
          <w:sz w:val="21"/>
          <w:szCs w:val="21"/>
        </w:rPr>
        <w:t>1-3</w:t>
      </w:r>
      <w:r>
        <w:rPr>
          <w:rFonts w:ascii="Arial" w:eastAsia="Arial" w:hAnsi="Arial" w:cs="Arial"/>
          <w:spacing w:val="30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的</w:t>
      </w:r>
      <w:r>
        <w:rPr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3.4%</w:t>
      </w:r>
      <w:r>
        <w:rPr>
          <w:spacing w:val="-3"/>
          <w:sz w:val="21"/>
          <w:szCs w:val="21"/>
        </w:rPr>
        <w:t>。</w:t>
      </w:r>
    </w:p>
    <w:p>
      <w:pPr>
        <w:pStyle w:val="BodyText"/>
        <w:spacing w:before="67" w:line="215" w:lineRule="auto"/>
        <w:ind w:left="3099"/>
        <w:rPr>
          <w:sz w:val="21"/>
          <w:szCs w:val="21"/>
        </w:rPr>
      </w:pPr>
      <w:r>
        <w:rPr>
          <w:spacing w:val="-2"/>
          <w:sz w:val="21"/>
          <w:szCs w:val="21"/>
        </w:rPr>
        <w:t>费用缩减前提下带来净利润的提升，</w:t>
      </w:r>
      <w:r>
        <w:rPr>
          <w:spacing w:val="-25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2023Q1</w:t>
      </w:r>
      <w:r>
        <w:rPr>
          <w:rFonts w:ascii="Arial" w:eastAsia="Arial" w:hAnsi="Arial" w:cs="Arial"/>
          <w:spacing w:val="-3"/>
          <w:sz w:val="21"/>
          <w:szCs w:val="21"/>
        </w:rPr>
        <w:t>-3</w:t>
      </w:r>
      <w:r>
        <w:rPr>
          <w:rFonts w:ascii="Arial" w:eastAsia="Arial" w:hAnsi="Arial" w:cs="Arial"/>
          <w:spacing w:val="15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公司实现归母净利率</w:t>
      </w:r>
      <w:r>
        <w:rPr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4.8%</w:t>
      </w:r>
      <w:r>
        <w:rPr>
          <w:spacing w:val="-3"/>
          <w:sz w:val="21"/>
          <w:szCs w:val="21"/>
        </w:rPr>
        <w:t>，同比</w:t>
      </w:r>
      <w:r>
        <w:rPr>
          <w:rFonts w:ascii="Arial" w:eastAsia="Arial" w:hAnsi="Arial" w:cs="Arial"/>
          <w:spacing w:val="-3"/>
          <w:sz w:val="21"/>
          <w:szCs w:val="21"/>
        </w:rPr>
        <w:t>+0.6pct</w:t>
      </w:r>
      <w:r>
        <w:rPr>
          <w:spacing w:val="-3"/>
          <w:sz w:val="21"/>
          <w:szCs w:val="21"/>
        </w:rPr>
        <w:t>。</w:t>
      </w:r>
    </w:p>
    <w:p>
      <w:pPr>
        <w:spacing w:line="172" w:lineRule="exact"/>
      </w:pPr>
    </w:p>
    <w:p>
      <w:pPr>
        <w:spacing w:line="172" w:lineRule="exact"/>
        <w:sectPr>
          <w:headerReference w:type="default" r:id="rId64"/>
          <w:footerReference w:type="default" r:id="rId65"/>
          <w:type w:val="continuous"/>
          <w:pgSz w:w="11907" w:h="16839"/>
          <w:pgMar w:top="1202" w:right="14" w:bottom="928" w:left="11" w:header="10" w:footer="21" w:gutter="0"/>
          <w:pgNumType w:start="19"/>
          <w:cols w:num="1" w:space="708" w:equalWidth="0">
            <w:col w:w="11881" w:space="0"/>
          </w:cols>
        </w:sectPr>
      </w:pPr>
    </w:p>
    <w:p>
      <w:pPr>
        <w:pStyle w:val="BodyText"/>
        <w:spacing w:before="38" w:line="230" w:lineRule="auto"/>
        <w:ind w:left="699"/>
        <w:rPr>
          <w:rFonts w:ascii="Arial" w:eastAsia="Arial" w:hAnsi="Arial" w:cs="Arial"/>
          <w:sz w:val="18"/>
          <w:szCs w:val="18"/>
        </w:rPr>
      </w:pPr>
      <w:r>
        <w:rPr>
          <w:color w:val="0D0D0D"/>
          <w:spacing w:val="-2"/>
          <w:sz w:val="18"/>
          <w:szCs w:val="18"/>
        </w:rPr>
        <w:t>图</w:t>
      </w:r>
      <w:r>
        <w:rPr>
          <w:color w:val="0D0D0D"/>
          <w:spacing w:val="-38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2"/>
          <w:sz w:val="18"/>
          <w:szCs w:val="18"/>
        </w:rPr>
        <w:t>6</w:t>
      </w:r>
      <w:r>
        <w:rPr>
          <w:color w:val="0D0D0D"/>
          <w:spacing w:val="-2"/>
          <w:sz w:val="18"/>
          <w:szCs w:val="18"/>
        </w:rPr>
        <w:t>：</w:t>
      </w:r>
      <w:r>
        <w:rPr>
          <w:rFonts w:ascii="Arial" w:eastAsia="Arial" w:hAnsi="Arial" w:cs="Arial"/>
          <w:color w:val="0D0D0D"/>
          <w:spacing w:val="-2"/>
          <w:sz w:val="18"/>
          <w:szCs w:val="18"/>
        </w:rPr>
        <w:t>23Q1-3</w:t>
      </w:r>
      <w:r>
        <w:rPr>
          <w:rFonts w:ascii="Arial" w:eastAsia="Arial" w:hAnsi="Arial" w:cs="Arial"/>
          <w:color w:val="0D0D0D"/>
          <w:spacing w:val="-9"/>
          <w:sz w:val="18"/>
          <w:szCs w:val="18"/>
        </w:rPr>
        <w:t xml:space="preserve"> </w:t>
      </w:r>
      <w:r>
        <w:rPr>
          <w:color w:val="0D0D0D"/>
          <w:spacing w:val="-2"/>
          <w:sz w:val="18"/>
          <w:szCs w:val="18"/>
        </w:rPr>
        <w:t>公司毛利率</w:t>
      </w:r>
      <w:r>
        <w:rPr>
          <w:rFonts w:ascii="Arial" w:eastAsia="Arial" w:hAnsi="Arial" w:cs="Arial"/>
          <w:color w:val="0D0D0D"/>
          <w:spacing w:val="-2"/>
          <w:sz w:val="18"/>
          <w:szCs w:val="18"/>
        </w:rPr>
        <w:t>/</w:t>
      </w:r>
      <w:r>
        <w:rPr>
          <w:color w:val="0D0D0D"/>
          <w:spacing w:val="-2"/>
          <w:sz w:val="18"/>
          <w:szCs w:val="18"/>
        </w:rPr>
        <w:t>净利率分别达</w:t>
      </w:r>
      <w:r>
        <w:rPr>
          <w:color w:val="0D0D0D"/>
          <w:spacing w:val="-22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3"/>
          <w:sz w:val="18"/>
          <w:szCs w:val="18"/>
        </w:rPr>
        <w:t>11.2%/4.8%</w:t>
      </w:r>
    </w:p>
    <w:p>
      <w:pPr>
        <w:spacing w:line="134" w:lineRule="exact"/>
      </w:pPr>
    </w:p>
    <w:tbl>
      <w:tblPr>
        <w:tblStyle w:val="TableNormal2"/>
        <w:tblW w:w="4856" w:type="dxa"/>
        <w:tblInd w:w="7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21"/>
        <w:gridCol w:w="4435"/>
      </w:tblGrid>
      <w:tr>
        <w:tblPrEx>
          <w:tblW w:w="4856" w:type="dxa"/>
          <w:tblInd w:w="73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33"/>
        </w:trPr>
        <w:tc>
          <w:tcPr>
            <w:tcW w:w="421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52" w:line="364" w:lineRule="auto"/>
              <w:ind w:right="72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>15%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>12%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19"/>
                <w:w w:val="119"/>
                <w:sz w:val="18"/>
                <w:szCs w:val="18"/>
              </w:rPr>
              <w:t>9%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17"/>
                <w:w w:val="120"/>
                <w:sz w:val="18"/>
                <w:szCs w:val="18"/>
              </w:rPr>
              <w:t>6%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3%</w:t>
            </w:r>
          </w:p>
          <w:p>
            <w:pPr>
              <w:spacing w:line="201" w:lineRule="auto"/>
              <w:ind w:left="8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0%</w:t>
            </w:r>
          </w:p>
        </w:tc>
        <w:tc>
          <w:tcPr>
            <w:tcW w:w="4435" w:type="dxa"/>
            <w:vAlign w:val="top"/>
          </w:tcPr>
          <w:p>
            <w:pPr>
              <w:pStyle w:val="TableText"/>
              <w:spacing w:line="219" w:lineRule="auto"/>
              <w:ind w:left="781"/>
              <w:rPr>
                <w:rFonts w:ascii="Arial" w:eastAsia="Arial" w:hAnsi="Arial" w:cs="Arial"/>
                <w:sz w:val="18"/>
                <w:szCs w:val="18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46304" behindDoc="0" locked="0" layoutInCell="1" allowOverlap="1">
                      <wp:simplePos x="0" y="0"/>
                      <wp:positionH relativeFrom="rightMargin">
                        <wp:posOffset>-2675284</wp:posOffset>
                      </wp:positionH>
                      <wp:positionV relativeFrom="topMargin">
                        <wp:posOffset>1465074</wp:posOffset>
                      </wp:positionV>
                      <wp:extent cx="281304" cy="157479"/>
                      <wp:effectExtent l="0" t="0" r="0" b="0"/>
                      <wp:wrapNone/>
                      <wp:docPr id="104" name="TextBox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675284" y="1465074"/>
                                <a:ext cx="281304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6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4" o:spid="_x0000_s1076" type="#_x0000_t202" style="width:22.15pt;height:12.4pt;margin-top:115.36pt;margin-left:-210.65pt;mso-position-horizontal-relative:right-margin-area;mso-position-vertical-relative:top-margin-area;mso-wrap-distance-bottom:0;mso-wrap-distance-left:0;mso-wrap-distance-right:0;mso-wrap-distance-top:0;position:absolute;rotation:270;v-text-anchor:top;z-index:251745280" filled="f" fillcolor="this" stroked="f">
                      <v:textbox inset="0,0,0,0">
                        <w:txbxContent>
                          <w:p>
                            <w:pPr>
                              <w:spacing w:before="56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8352" behindDoc="0" locked="0" layoutInCell="1" allowOverlap="1">
                      <wp:simplePos x="0" y="0"/>
                      <wp:positionH relativeFrom="rightMargin">
                        <wp:posOffset>-2212204</wp:posOffset>
                      </wp:positionH>
                      <wp:positionV relativeFrom="topMargin">
                        <wp:posOffset>1465074</wp:posOffset>
                      </wp:positionV>
                      <wp:extent cx="281304" cy="157479"/>
                      <wp:effectExtent l="0" t="0" r="0" b="0"/>
                      <wp:wrapNone/>
                      <wp:docPr id="106" name="TextBox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212204" y="1465074"/>
                                <a:ext cx="281304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6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6" o:spid="_x0000_s1077" type="#_x0000_t202" style="width:22.15pt;height:12.4pt;margin-top:115.36pt;margin-left:-174.19pt;mso-position-horizontal-relative:right-margin-area;mso-position-vertical-relative:top-margin-area;mso-wrap-distance-bottom:0;mso-wrap-distance-left:0;mso-wrap-distance-right:0;mso-wrap-distance-top:0;position:absolute;rotation:270;v-text-anchor:top;z-index:251747328" filled="f" fillcolor="this" stroked="f">
                      <v:textbox inset="0,0,0,0">
                        <w:txbxContent>
                          <w:p>
                            <w:pPr>
                              <w:spacing w:before="56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4256" behindDoc="0" locked="0" layoutInCell="1" allowOverlap="1">
                      <wp:simplePos x="0" y="0"/>
                      <wp:positionH relativeFrom="rightMargin">
                        <wp:posOffset>-1749124</wp:posOffset>
                      </wp:positionH>
                      <wp:positionV relativeFrom="topMargin">
                        <wp:posOffset>1465074</wp:posOffset>
                      </wp:positionV>
                      <wp:extent cx="281304" cy="157479"/>
                      <wp:effectExtent l="0" t="0" r="0" b="0"/>
                      <wp:wrapNone/>
                      <wp:docPr id="108" name="TextBox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749124" y="1465074"/>
                                <a:ext cx="281304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6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8" o:spid="_x0000_s1078" type="#_x0000_t202" style="width:22.15pt;height:12.4pt;margin-top:115.36pt;margin-left:-137.73pt;mso-position-horizontal-relative:right-margin-area;mso-position-vertical-relative:top-margin-area;mso-wrap-distance-bottom:0;mso-wrap-distance-left:0;mso-wrap-distance-right:0;mso-wrap-distance-top:0;position:absolute;rotation:270;v-text-anchor:top;z-index:251743232" filled="f" fillcolor="this" stroked="f">
                      <v:textbox inset="0,0,0,0">
                        <w:txbxContent>
                          <w:p>
                            <w:pPr>
                              <w:spacing w:before="56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0160" behindDoc="0" locked="0" layoutInCell="1" allowOverlap="1">
                      <wp:simplePos x="0" y="0"/>
                      <wp:positionH relativeFrom="rightMargin">
                        <wp:posOffset>-1285973</wp:posOffset>
                      </wp:positionH>
                      <wp:positionV relativeFrom="topMargin">
                        <wp:posOffset>1465074</wp:posOffset>
                      </wp:positionV>
                      <wp:extent cx="281304" cy="157479"/>
                      <wp:effectExtent l="0" t="0" r="0" b="0"/>
                      <wp:wrapNone/>
                      <wp:docPr id="110" name="TextBox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285973" y="1465074"/>
                                <a:ext cx="281304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6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10" o:spid="_x0000_s1079" type="#_x0000_t202" style="width:22.15pt;height:12.4pt;margin-top:115.36pt;margin-left:-101.26pt;mso-position-horizontal-relative:right-margin-area;mso-position-vertical-relative:top-margin-area;mso-wrap-distance-bottom:0;mso-wrap-distance-left:0;mso-wrap-distance-right:0;mso-wrap-distance-top:0;position:absolute;rotation:270;v-text-anchor:top;z-index:251739136" filled="f" fillcolor="this" stroked="f">
                      <v:textbox inset="0,0,0,0">
                        <w:txbxContent>
                          <w:p>
                            <w:pPr>
                              <w:spacing w:before="56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2208" behindDoc="0" locked="0" layoutInCell="1" allowOverlap="1">
                      <wp:simplePos x="0" y="0"/>
                      <wp:positionH relativeFrom="rightMargin">
                        <wp:posOffset>-822964</wp:posOffset>
                      </wp:positionH>
                      <wp:positionV relativeFrom="topMargin">
                        <wp:posOffset>1465074</wp:posOffset>
                      </wp:positionV>
                      <wp:extent cx="281304" cy="157479"/>
                      <wp:effectExtent l="0" t="0" r="0" b="0"/>
                      <wp:wrapNone/>
                      <wp:docPr id="112" name="TextBox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822964" y="1465074"/>
                                <a:ext cx="281304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6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12" o:spid="_x0000_s1080" type="#_x0000_t202" style="width:22.15pt;height:12.4pt;margin-top:115.36pt;margin-left:-64.8pt;mso-position-horizontal-relative:right-margin-area;mso-position-vertical-relative:top-margin-area;mso-wrap-distance-bottom:0;mso-wrap-distance-left:0;mso-wrap-distance-right:0;mso-wrap-distance-top:0;position:absolute;rotation:270;v-text-anchor:top;z-index:251741184" filled="f" fillcolor="this" stroked="f">
                      <v:textbox inset="0,0,0,0">
                        <w:txbxContent>
                          <w:p>
                            <w:pPr>
                              <w:spacing w:before="56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38112" behindDoc="0" locked="0" layoutInCell="1" allowOverlap="1">
                      <wp:simplePos x="0" y="0"/>
                      <wp:positionH relativeFrom="rightMargin">
                        <wp:posOffset>-486819</wp:posOffset>
                      </wp:positionH>
                      <wp:positionV relativeFrom="topMargin">
                        <wp:posOffset>1592635</wp:posOffset>
                      </wp:positionV>
                      <wp:extent cx="539115" cy="154304"/>
                      <wp:effectExtent l="0" t="0" r="0" b="0"/>
                      <wp:wrapNone/>
                      <wp:docPr id="114" name="TextBox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486819" y="1592635"/>
                                <a:ext cx="539115" cy="15430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8" w:line="202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8"/>
                                      <w:szCs w:val="18"/>
                                    </w:rPr>
                                    <w:t>2023Q1-3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14" o:spid="_x0000_s1081" type="#_x0000_t202" style="width:42.45pt;height:12.15pt;margin-top:125.4pt;margin-left:-38.33pt;mso-position-horizontal-relative:right-margin-area;mso-position-vertical-relative:top-margin-area;mso-wrap-distance-bottom:0;mso-wrap-distance-left:0;mso-wrap-distance-right:0;mso-wrap-distance-top:0;position:absolute;rotation:270;v-text-anchor:top;z-index:251737088" filled="f" fillcolor="this" stroked="f">
                      <v:textbox inset="0,0,0,0">
                        <w:txbxContent>
                          <w:p>
                            <w:pPr>
                              <w:spacing w:before="48" w:line="202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8"/>
                                <w:szCs w:val="18"/>
                              </w:rPr>
                              <w:t>2023Q1-3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082" style="width:217.95pt;height:0.3pt;margin-top:105.71pt;margin-left:-217.89pt;mso-position-horizontal-relative:right-margin-area;mso-position-vertical-relative:top-margin-area;position:absolute;z-index:251749376" coordorigin="0,0" coordsize="4358,6" path="m,2l50,2m,2l4358,2e" filled="f" strokecolor="black" strokeweight="0.28pt"/>
              </w:pict>
            </w:r>
            <w:r>
              <w:rPr>
                <w:position w:val="4"/>
                <w:sz w:val="18"/>
                <w:szCs w:val="18"/>
              </w:rPr>
              <w:drawing>
                <wp:inline distT="0" distB="0" distL="0" distR="0">
                  <wp:extent cx="307528" cy="28509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528" cy="2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2"/>
                <w:sz w:val="18"/>
                <w:szCs w:val="18"/>
              </w:rPr>
              <w:t xml:space="preserve"> </w:t>
            </w:r>
            <w:r>
              <w:rPr>
                <w:spacing w:val="7"/>
                <w:sz w:val="18"/>
                <w:szCs w:val="18"/>
              </w:rPr>
              <w:t>毛利率</w:t>
            </w:r>
            <w:r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(%)   </w:t>
            </w:r>
            <w:r>
              <w:rPr>
                <w:position w:val="4"/>
                <w:sz w:val="18"/>
                <w:szCs w:val="18"/>
              </w:rPr>
              <w:drawing>
                <wp:inline distT="0" distB="0" distL="0" distR="0">
                  <wp:extent cx="307528" cy="28509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528" cy="2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-9"/>
                <w:sz w:val="18"/>
                <w:szCs w:val="18"/>
              </w:rPr>
              <w:t xml:space="preserve"> </w:t>
            </w:r>
            <w:r>
              <w:rPr>
                <w:spacing w:val="7"/>
                <w:sz w:val="18"/>
                <w:szCs w:val="18"/>
              </w:rPr>
              <w:t>净利率</w:t>
            </w:r>
            <w:r>
              <w:rPr>
                <w:rFonts w:ascii="Arial" w:eastAsia="Arial" w:hAnsi="Arial" w:cs="Arial"/>
                <w:spacing w:val="7"/>
                <w:sz w:val="18"/>
                <w:szCs w:val="18"/>
              </w:rPr>
              <w:t>(%)</w:t>
            </w:r>
          </w:p>
          <w:p>
            <w:pPr>
              <w:tabs>
                <w:tab w:val="left" w:pos="126"/>
              </w:tabs>
              <w:spacing w:before="128" w:line="172" w:lineRule="auto"/>
              <w:ind w:left="77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shape id="_x0000_s1083" style="width:2.7pt;height:77.5pt;margin-top:17.73pt;margin-left:3.72pt;position:absolute;z-index:-251583488" coordorigin="0,0" coordsize="54,1550" path="m2,1549l2,m2,1245l53,1245m2,926l53,926m2,623l53,623e" filled="f" strokecolor="black" strokeweight="0.28pt"/>
              </w:pict>
            </w:r>
            <w:r>
              <w:rPr>
                <w:rFonts w:ascii="Arial" w:eastAsia="Arial" w:hAnsi="Arial" w:cs="Arial"/>
                <w:position w:val="-8"/>
                <w:sz w:val="18"/>
                <w:szCs w:val="18"/>
                <w:u w:val="single" w:color="auto"/>
              </w:rPr>
              <w:tab/>
            </w:r>
            <w:r>
              <w:rPr>
                <w:rFonts w:ascii="Arial" w:eastAsia="Arial" w:hAnsi="Arial" w:cs="Arial"/>
                <w:spacing w:val="24"/>
                <w:position w:val="-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-8"/>
                <w:sz w:val="18"/>
                <w:szCs w:val="18"/>
              </w:rPr>
              <w:t>12.5%</w:t>
            </w:r>
            <w:r>
              <w:rPr>
                <w:rFonts w:ascii="Arial" w:eastAsia="Arial" w:hAnsi="Arial" w:cs="Arial"/>
                <w:spacing w:val="6"/>
                <w:position w:val="-8"/>
                <w:sz w:val="18"/>
                <w:szCs w:val="18"/>
              </w:rPr>
              <w:t xml:space="preserve">    </w:t>
            </w:r>
            <w:r>
              <w:rPr>
                <w:rFonts w:ascii="Arial" w:eastAsia="Arial" w:hAnsi="Arial" w:cs="Arial"/>
                <w:spacing w:val="-2"/>
                <w:position w:val="2"/>
                <w:sz w:val="18"/>
                <w:szCs w:val="18"/>
              </w:rPr>
              <w:t>13.6%</w:t>
            </w:r>
            <w:r>
              <w:rPr>
                <w:rFonts w:ascii="Arial" w:eastAsia="Arial" w:hAnsi="Arial" w:cs="Arial"/>
                <w:spacing w:val="7"/>
                <w:position w:val="2"/>
                <w:sz w:val="18"/>
                <w:szCs w:val="18"/>
              </w:rPr>
              <w:t xml:space="preserve">    </w:t>
            </w:r>
            <w:r>
              <w:rPr>
                <w:rFonts w:ascii="Arial" w:eastAsia="Arial" w:hAnsi="Arial" w:cs="Arial"/>
                <w:spacing w:val="-2"/>
                <w:position w:val="5"/>
                <w:sz w:val="18"/>
                <w:szCs w:val="18"/>
              </w:rPr>
              <w:t>13.9%</w:t>
            </w:r>
          </w:p>
          <w:p>
            <w:pPr>
              <w:tabs>
                <w:tab w:val="left" w:pos="2386"/>
              </w:tabs>
              <w:spacing w:line="194" w:lineRule="auto"/>
              <w:ind w:left="426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shape id="_x0000_s1084" type="#_x0000_t202" style="width:4.55pt;height:14.1pt;margin-top:1.68pt;margin-left:2.86pt;position:absolute;z-index:25175142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7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z w:val="18"/>
                <w:szCs w:val="18"/>
              </w:rPr>
              <w:tab/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11.3%</w:t>
            </w:r>
            <w:r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   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11.2%</w:t>
            </w:r>
            <w:r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   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11.2%</w:t>
            </w:r>
          </w:p>
          <w:p>
            <w:pPr>
              <w:spacing w:before="144" w:line="45" w:lineRule="exact"/>
              <w:ind w:firstLine="2605"/>
            </w:pPr>
            <w:r>
              <w:pict>
                <v:shape id="_x0000_i1085" style="width:74.9pt;height:2.25pt;mso-position-horizontal-relative:char;mso-position-vertical-relative:line" coordorigin="0,0" coordsize="1498,45" path="m22,22l748,22l1475,22e" filled="f" strokecolor="#c30f1b" strokeweight="2.25pt">
                  <v:stroke endcap="round"/>
                  <w10:wrap type="none"/>
                </v:shape>
              </w:pict>
            </w:r>
          </w:p>
          <w:p>
            <w:pPr>
              <w:spacing w:before="273" w:line="201" w:lineRule="auto"/>
              <w:ind w:left="1696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shape id="_x0000_s1086" type="#_x0000_t202" style="width:22.85pt;height:10.7pt;margin-top:14.82pt;margin-left:47.11pt;position:absolute;z-index:25175449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01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"/>
                            <w:sz w:val="18"/>
                            <w:szCs w:val="18"/>
                          </w:rPr>
                          <w:t>4.8%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87" type="#_x0000_t202" style="width:22.9pt;height:10.7pt;margin-top:14.82pt;margin-left:192.96pt;position:absolute;z-index:25175552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01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"/>
                            <w:sz w:val="18"/>
                            <w:szCs w:val="18"/>
                          </w:rPr>
                          <w:t>4.8%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88" type="#_x0000_t202" style="width:22.9pt;height:10.7pt;margin-top:17.41pt;margin-left:10.65pt;position:absolute;z-index:25175244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01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"/>
                            <w:sz w:val="18"/>
                            <w:szCs w:val="18"/>
                          </w:rPr>
                          <w:t>4.3%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z w:val="18"/>
                <w:szCs w:val="18"/>
              </w:rPr>
              <w:t>5.2%</w:t>
            </w:r>
          </w:p>
          <w:p>
            <w:pPr>
              <w:spacing w:before="4" w:line="134" w:lineRule="exact"/>
              <w:ind w:left="2426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shape id="_x0000_s1089" type="#_x0000_t202" style="width:22.95pt;height:10.7pt;margin-top:-4.47pt;margin-left:156.5pt;position:absolute;z-index:25175347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01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"/>
                            <w:sz w:val="18"/>
                            <w:szCs w:val="18"/>
                          </w:rPr>
                          <w:t>4.2%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position w:val="-2"/>
                <w:sz w:val="18"/>
                <w:szCs w:val="18"/>
              </w:rPr>
              <w:t>3.5%</w:t>
            </w:r>
          </w:p>
          <w:p>
            <w:pPr>
              <w:spacing w:line="223" w:lineRule="exact"/>
              <w:ind w:firstLine="426"/>
            </w:pPr>
            <w:r>
              <w:rPr>
                <w:position w:val="-4"/>
              </w:rPr>
              <w:pict>
                <v:shape id="_x0000_i1090" style="width:183.9pt;height:11.55pt;mso-position-horizontal-relative:char;mso-position-vertical-relative:line" coordorigin="0,0" coordsize="3677,231" path="m22,123l748,72l1475,22l2201,207l2928,123l3654,72e" filled="f" strokecolor="#ba9873" strokeweight="2.25pt">
                  <v:stroke endcap="round"/>
                  <w10:wrap type="none"/>
                </v:shape>
              </w:pict>
            </w:r>
          </w:p>
        </w:tc>
      </w:tr>
    </w:tbl>
    <w:p>
      <w:pPr>
        <w:rPr>
          <w:rFonts w:ascii="Arial"/>
          <w:sz w:val="21"/>
        </w:rPr>
      </w:pPr>
    </w:p>
    <w:p>
      <w:pPr>
        <w:pStyle w:val="BodyText"/>
        <w:spacing w:before="49" w:line="186" w:lineRule="auto"/>
        <w:ind w:left="682"/>
        <w:rPr>
          <w:sz w:val="15"/>
          <w:szCs w:val="15"/>
        </w:rPr>
      </w:pPr>
      <w:r>
        <w:rPr>
          <w:spacing w:val="-7"/>
          <w:sz w:val="15"/>
          <w:szCs w:val="15"/>
        </w:rPr>
        <w:t>资料来源：</w:t>
      </w:r>
      <w:r>
        <w:rPr>
          <w:spacing w:val="-22"/>
          <w:sz w:val="15"/>
          <w:szCs w:val="15"/>
        </w:rPr>
        <w:t xml:space="preserve"> </w:t>
      </w:r>
      <w:r>
        <w:rPr>
          <w:spacing w:val="-7"/>
          <w:sz w:val="15"/>
          <w:szCs w:val="15"/>
        </w:rPr>
        <w:t>菜百股份招股说明书，</w:t>
      </w:r>
      <w:r>
        <w:rPr>
          <w:spacing w:val="-7"/>
          <w:sz w:val="15"/>
          <w:szCs w:val="15"/>
        </w:rPr>
        <w:t xml:space="preserve"> </w:t>
      </w:r>
      <w:r>
        <w:rPr>
          <w:spacing w:val="-7"/>
          <w:sz w:val="15"/>
          <w:szCs w:val="15"/>
        </w:rPr>
        <w:t>同花顺</w:t>
      </w:r>
      <w:r>
        <w:rPr>
          <w:spacing w:val="-8"/>
          <w:sz w:val="15"/>
          <w:szCs w:val="15"/>
        </w:rPr>
        <w:t>，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西部证券研发中心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7" w:line="217" w:lineRule="auto"/>
        <w:ind w:left="31"/>
        <w:rPr>
          <w:sz w:val="18"/>
          <w:szCs w:val="18"/>
        </w:rPr>
      </w:pPr>
      <w:r>
        <w:rPr>
          <w:color w:val="0D0D0D"/>
          <w:spacing w:val="-4"/>
          <w:sz w:val="18"/>
          <w:szCs w:val="18"/>
        </w:rPr>
        <w:t>图</w:t>
      </w:r>
      <w:r>
        <w:rPr>
          <w:color w:val="0D0D0D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4"/>
          <w:sz w:val="18"/>
          <w:szCs w:val="18"/>
        </w:rPr>
        <w:t>7</w:t>
      </w:r>
      <w:r>
        <w:rPr>
          <w:color w:val="0D0D0D"/>
          <w:spacing w:val="-4"/>
          <w:sz w:val="18"/>
          <w:szCs w:val="18"/>
        </w:rPr>
        <w:t>：公司费用率情况</w:t>
      </w:r>
    </w:p>
    <w:p>
      <w:pPr>
        <w:spacing w:line="114" w:lineRule="exact"/>
      </w:pPr>
    </w:p>
    <w:tbl>
      <w:tblPr>
        <w:tblStyle w:val="TableNormal2"/>
        <w:tblW w:w="4804" w:type="dxa"/>
        <w:tblInd w:w="4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54"/>
        <w:gridCol w:w="809"/>
        <w:gridCol w:w="728"/>
        <w:gridCol w:w="708"/>
        <w:gridCol w:w="20"/>
        <w:gridCol w:w="728"/>
        <w:gridCol w:w="727"/>
        <w:gridCol w:w="730"/>
      </w:tblGrid>
      <w:tr>
        <w:tblPrEx>
          <w:tblW w:w="4804" w:type="dxa"/>
          <w:tblInd w:w="4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40"/>
        </w:trPr>
        <w:tc>
          <w:tcPr>
            <w:tcW w:w="354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1" w:line="225" w:lineRule="exact"/>
              <w:ind w:left="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3"/>
                <w:position w:val="5"/>
                <w:sz w:val="18"/>
                <w:szCs w:val="18"/>
              </w:rPr>
              <w:t>6%</w:t>
            </w:r>
          </w:p>
          <w:p>
            <w:pPr>
              <w:spacing w:line="203" w:lineRule="auto"/>
              <w:ind w:left="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3"/>
                <w:sz w:val="18"/>
                <w:szCs w:val="18"/>
              </w:rPr>
              <w:t>5%</w:t>
            </w:r>
          </w:p>
          <w:p>
            <w:pPr>
              <w:spacing w:before="50" w:line="203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6"/>
                <w:sz w:val="18"/>
                <w:szCs w:val="18"/>
              </w:rPr>
              <w:t>4%</w:t>
            </w:r>
          </w:p>
          <w:p>
            <w:pPr>
              <w:spacing w:before="50" w:line="203" w:lineRule="auto"/>
              <w:ind w:left="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3"/>
                <w:sz w:val="18"/>
                <w:szCs w:val="18"/>
              </w:rPr>
              <w:t>3%</w:t>
            </w:r>
          </w:p>
          <w:p>
            <w:pPr>
              <w:spacing w:before="50" w:line="203" w:lineRule="auto"/>
              <w:ind w:left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4"/>
                <w:sz w:val="18"/>
                <w:szCs w:val="18"/>
              </w:rPr>
              <w:t>2%</w:t>
            </w:r>
          </w:p>
          <w:p>
            <w:pPr>
              <w:spacing w:before="50" w:line="203" w:lineRule="auto"/>
              <w:ind w:left="1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1%</w:t>
            </w:r>
          </w:p>
          <w:p>
            <w:pPr>
              <w:spacing w:before="51" w:line="203" w:lineRule="auto"/>
              <w:ind w:left="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3"/>
                <w:sz w:val="18"/>
                <w:szCs w:val="18"/>
              </w:rPr>
              <w:t>0%</w:t>
            </w:r>
          </w:p>
        </w:tc>
        <w:tc>
          <w:tcPr>
            <w:tcW w:w="2245" w:type="dxa"/>
            <w:gridSpan w:val="3"/>
            <w:vAlign w:val="top"/>
          </w:tcPr>
          <w:p>
            <w:pPr>
              <w:pStyle w:val="TableText"/>
              <w:tabs>
                <w:tab w:val="left" w:pos="930"/>
              </w:tabs>
              <w:spacing w:before="1" w:line="215" w:lineRule="auto"/>
              <w:ind w:left="420" w:right="331" w:firstLine="7"/>
              <w:jc w:val="both"/>
              <w:rPr>
                <w:sz w:val="18"/>
                <w:szCs w:val="18"/>
              </w:rPr>
            </w:pPr>
            <w:r>
              <w:rPr>
                <w:position w:val="3"/>
                <w:sz w:val="18"/>
                <w:szCs w:val="18"/>
              </w:rPr>
              <w:drawing>
                <wp:inline distT="0" distB="0" distL="0" distR="0">
                  <wp:extent cx="319982" cy="30261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982" cy="30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9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期间费用率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trike/>
                <w:sz w:val="18"/>
                <w:szCs w:val="18"/>
              </w:rPr>
              <w:tab/>
            </w:r>
            <w:r>
              <w:rPr>
                <w:spacing w:val="-49"/>
                <w:sz w:val="18"/>
                <w:szCs w:val="18"/>
              </w:rPr>
              <w:t xml:space="preserve"> </w:t>
            </w:r>
            <w:r>
              <w:rPr>
                <w:spacing w:val="8"/>
                <w:sz w:val="18"/>
                <w:szCs w:val="18"/>
              </w:rPr>
              <w:t>管理费用率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position w:val="4"/>
                <w:sz w:val="18"/>
                <w:szCs w:val="18"/>
              </w:rPr>
              <w:drawing>
                <wp:inline distT="0" distB="0" distL="0" distR="0">
                  <wp:extent cx="323768" cy="34044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768" cy="34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3"/>
                <w:sz w:val="18"/>
                <w:szCs w:val="18"/>
              </w:rPr>
              <w:t xml:space="preserve"> </w:t>
            </w:r>
            <w:r>
              <w:rPr>
                <w:spacing w:val="9"/>
                <w:sz w:val="18"/>
                <w:szCs w:val="18"/>
              </w:rPr>
              <w:t>财务费用率</w:t>
            </w:r>
          </w:p>
        </w:tc>
        <w:tc>
          <w:tcPr>
            <w:tcW w:w="2205" w:type="dxa"/>
            <w:gridSpan w:val="4"/>
            <w:vAlign w:val="top"/>
          </w:tcPr>
          <w:p>
            <w:pPr>
              <w:pStyle w:val="TableText"/>
              <w:spacing w:line="225" w:lineRule="auto"/>
              <w:ind w:left="339" w:right="370" w:hanging="1"/>
              <w:rPr>
                <w:sz w:val="18"/>
                <w:szCs w:val="18"/>
              </w:rPr>
            </w:pPr>
            <w:r>
              <w:rPr>
                <w:position w:val="3"/>
                <w:sz w:val="18"/>
                <w:szCs w:val="18"/>
              </w:rPr>
              <w:drawing>
                <wp:inline distT="0" distB="0" distL="0" distR="0">
                  <wp:extent cx="325661" cy="30262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661" cy="30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8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销售费用率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position w:val="3"/>
                <w:sz w:val="18"/>
                <w:szCs w:val="18"/>
              </w:rPr>
              <w:drawing>
                <wp:inline distT="0" distB="0" distL="0" distR="0">
                  <wp:extent cx="323693" cy="34044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693" cy="34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3"/>
                <w:sz w:val="18"/>
                <w:szCs w:val="18"/>
              </w:rPr>
              <w:t xml:space="preserve"> </w:t>
            </w:r>
            <w:r>
              <w:rPr>
                <w:spacing w:val="11"/>
                <w:sz w:val="18"/>
                <w:szCs w:val="18"/>
              </w:rPr>
              <w:t>研发费用率</w:t>
            </w:r>
          </w:p>
        </w:tc>
      </w:tr>
      <w:tr>
        <w:tblPrEx>
          <w:tblW w:w="4804" w:type="dxa"/>
          <w:tblInd w:w="46" w:type="dxa"/>
          <w:tblLayout w:type="fixed"/>
        </w:tblPrEx>
        <w:trPr>
          <w:trHeight w:val="1659"/>
        </w:trPr>
        <w:tc>
          <w:tcPr>
            <w:tcW w:w="3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0" w:type="dxa"/>
            <w:gridSpan w:val="7"/>
            <w:vAlign w:val="top"/>
          </w:tcPr>
          <w:p>
            <w:pPr>
              <w:spacing w:before="13" w:line="163" w:lineRule="auto"/>
              <w:ind w:left="1693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shape id="_x0000_s1091" style="width:38.65pt;height:8.65pt;margin-top:23.61pt;margin-left:-201.11pt;mso-position-horizontal-relative:right-margin-area;mso-position-vertical-relative:top-margin-area;position:absolute;z-index:251736064" coordorigin="0,0" coordsize="773,172" path="m23,148l749,23e" filled="f" strokecolor="#c30f1b" strokeweight="2.38pt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4"/>
                <w:sz w:val="18"/>
                <w:szCs w:val="18"/>
              </w:rPr>
              <w:t>5.5%</w:t>
            </w:r>
          </w:p>
          <w:p>
            <w:pPr>
              <w:spacing w:line="190" w:lineRule="auto"/>
              <w:ind w:left="232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shape id="_x0000_s1092" type="#_x0000_t202" style="width:23.75pt;height:10.8pt;margin-top:4.77pt;margin-left:156.18pt;position:absolute;z-index:25175040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03" w:lineRule="auto"/>
                          <w:ind w:left="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6"/>
                            <w:sz w:val="18"/>
                            <w:szCs w:val="18"/>
                          </w:rPr>
                          <w:t>4.4%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3" style="width:38.65pt;height:14.5pt;margin-top:9.17pt;margin-left:93.88pt;position:absolute;z-index:-251581440" coordorigin="0,0" coordsize="773,290" path="m23,23l748,265e" filled="f" strokecolor="#c30f1b" strokeweight="2.38pt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4"/>
                <w:position w:val="-4"/>
                <w:sz w:val="18"/>
                <w:szCs w:val="18"/>
              </w:rPr>
              <w:t>4.3%</w:t>
            </w:r>
            <w:r>
              <w:rPr>
                <w:rFonts w:ascii="Arial" w:eastAsia="Arial" w:hAnsi="Arial" w:cs="Arial"/>
                <w:spacing w:val="12"/>
                <w:position w:val="-4"/>
                <w:sz w:val="18"/>
                <w:szCs w:val="18"/>
              </w:rPr>
              <w:t xml:space="preserve">     </w:t>
            </w:r>
            <w:r>
              <w:rPr>
                <w:rFonts w:ascii="Arial" w:eastAsia="Arial" w:hAnsi="Arial" w:cs="Arial"/>
                <w:spacing w:val="4"/>
                <w:position w:val="7"/>
                <w:sz w:val="18"/>
                <w:szCs w:val="18"/>
              </w:rPr>
              <w:t xml:space="preserve">4.9%                   </w:t>
            </w:r>
            <w:r>
              <w:rPr>
                <w:rFonts w:ascii="Arial" w:eastAsia="Arial" w:hAnsi="Arial" w:cs="Arial"/>
                <w:spacing w:val="4"/>
                <w:position w:val="-2"/>
                <w:sz w:val="18"/>
                <w:szCs w:val="18"/>
              </w:rPr>
              <w:t>4.4%</w:t>
            </w:r>
          </w:p>
          <w:p>
            <w:pPr>
              <w:spacing w:before="63" w:line="203" w:lineRule="auto"/>
              <w:ind w:left="3877"/>
              <w:rPr>
                <w:rFonts w:ascii="Arial" w:eastAsia="Arial" w:hAnsi="Arial" w:cs="Arial"/>
                <w:sz w:val="18"/>
                <w:szCs w:val="18"/>
              </w:rPr>
            </w:pPr>
            <w:r>
              <w:drawing>
                <wp:anchor distT="0" distB="0" distL="0" distR="0" simplePos="0" relativeHeight="251734016" behindDoc="1" locked="0" layoutInCell="1" allowOverlap="1">
                  <wp:simplePos x="0" y="0"/>
                  <wp:positionH relativeFrom="column">
                    <wp:posOffset>52027</wp:posOffset>
                  </wp:positionH>
                  <wp:positionV relativeFrom="paragraph">
                    <wp:posOffset>-114318</wp:posOffset>
                  </wp:positionV>
                  <wp:extent cx="2773838" cy="867123"/>
                  <wp:effectExtent l="0" t="0" r="0" b="0"/>
                  <wp:wrapNone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3838" cy="867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pacing w:val="4"/>
                <w:sz w:val="18"/>
                <w:szCs w:val="18"/>
              </w:rPr>
              <w:t>3.4%</w:t>
            </w:r>
          </w:p>
        </w:tc>
      </w:tr>
      <w:tr>
        <w:tblPrEx>
          <w:tblW w:w="4804" w:type="dxa"/>
          <w:tblInd w:w="46" w:type="dxa"/>
          <w:tblLayout w:type="fixed"/>
        </w:tblPrEx>
        <w:trPr>
          <w:trHeight w:val="898"/>
        </w:trPr>
        <w:tc>
          <w:tcPr>
            <w:tcW w:w="3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textDirection w:val="btLr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2" w:line="201" w:lineRule="auto"/>
              <w:ind w:left="42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5"/>
                <w:sz w:val="18"/>
                <w:szCs w:val="18"/>
              </w:rPr>
              <w:t>2018</w:t>
            </w:r>
          </w:p>
        </w:tc>
        <w:tc>
          <w:tcPr>
            <w:tcW w:w="728" w:type="dxa"/>
            <w:textDirection w:val="btLr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2" w:line="201" w:lineRule="auto"/>
              <w:ind w:left="42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5"/>
                <w:sz w:val="18"/>
                <w:szCs w:val="18"/>
              </w:rPr>
              <w:t>2019</w:t>
            </w:r>
          </w:p>
        </w:tc>
        <w:tc>
          <w:tcPr>
            <w:tcW w:w="728" w:type="dxa"/>
            <w:gridSpan w:val="2"/>
            <w:textDirection w:val="btLr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1" w:line="201" w:lineRule="auto"/>
              <w:ind w:left="42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5"/>
                <w:sz w:val="18"/>
                <w:szCs w:val="18"/>
              </w:rPr>
              <w:t>2020</w:t>
            </w:r>
          </w:p>
        </w:tc>
        <w:tc>
          <w:tcPr>
            <w:tcW w:w="728" w:type="dxa"/>
            <w:textDirection w:val="btLr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1" w:line="201" w:lineRule="auto"/>
              <w:ind w:left="42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5"/>
                <w:sz w:val="18"/>
                <w:szCs w:val="18"/>
              </w:rPr>
              <w:t>2021</w:t>
            </w:r>
          </w:p>
        </w:tc>
        <w:tc>
          <w:tcPr>
            <w:tcW w:w="727" w:type="dxa"/>
            <w:textDirection w:val="btLr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2" w:line="201" w:lineRule="auto"/>
              <w:ind w:left="42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5"/>
                <w:sz w:val="18"/>
                <w:szCs w:val="18"/>
              </w:rPr>
              <w:t>2022</w:t>
            </w:r>
          </w:p>
        </w:tc>
        <w:tc>
          <w:tcPr>
            <w:tcW w:w="730" w:type="dxa"/>
            <w:textDirection w:val="btLr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52" w:line="204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5"/>
                <w:sz w:val="18"/>
                <w:szCs w:val="18"/>
              </w:rPr>
              <w:t>2023Q1-3</w:t>
            </w:r>
          </w:p>
        </w:tc>
      </w:tr>
    </w:tbl>
    <w:p>
      <w:pPr>
        <w:pStyle w:val="BodyText"/>
        <w:spacing w:before="159" w:line="186" w:lineRule="auto"/>
        <w:ind w:left="14"/>
        <w:rPr>
          <w:sz w:val="15"/>
          <w:szCs w:val="15"/>
        </w:rPr>
      </w:pPr>
      <w:r>
        <w:rPr>
          <w:spacing w:val="-7"/>
          <w:sz w:val="15"/>
          <w:szCs w:val="15"/>
        </w:rPr>
        <w:t>资料来源：</w:t>
      </w:r>
      <w:r>
        <w:rPr>
          <w:spacing w:val="-22"/>
          <w:sz w:val="15"/>
          <w:szCs w:val="15"/>
        </w:rPr>
        <w:t xml:space="preserve"> </w:t>
      </w:r>
      <w:r>
        <w:rPr>
          <w:spacing w:val="-7"/>
          <w:sz w:val="15"/>
          <w:szCs w:val="15"/>
        </w:rPr>
        <w:t>菜百股份招股说明书，</w:t>
      </w:r>
      <w:r>
        <w:rPr>
          <w:spacing w:val="-7"/>
          <w:sz w:val="15"/>
          <w:szCs w:val="15"/>
        </w:rPr>
        <w:t xml:space="preserve"> </w:t>
      </w:r>
      <w:r>
        <w:rPr>
          <w:spacing w:val="-7"/>
          <w:sz w:val="15"/>
          <w:szCs w:val="15"/>
        </w:rPr>
        <w:t>同花顺，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西部证券研发中心</w:t>
      </w:r>
    </w:p>
    <w:p>
      <w:pPr>
        <w:spacing w:line="186" w:lineRule="auto"/>
        <w:rPr>
          <w:sz w:val="15"/>
          <w:szCs w:val="15"/>
        </w:rPr>
        <w:sectPr>
          <w:headerReference w:type="default" r:id="rId73"/>
          <w:footerReference w:type="default" r:id="rId74"/>
          <w:type w:val="continuous"/>
          <w:pgSz w:w="11907" w:h="16839"/>
          <w:pgMar w:top="1202" w:right="14" w:bottom="928" w:left="11" w:header="10" w:footer="21" w:gutter="0"/>
          <w:pgNumType w:start="20"/>
          <w:cols w:num="2" w:space="708" w:equalWidth="0">
            <w:col w:w="5960" w:space="100"/>
            <w:col w:w="5822" w:space="0"/>
          </w:cols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  <w:sectPr>
          <w:headerReference w:type="default" r:id="rId75"/>
          <w:footerReference w:type="default" r:id="rId76"/>
          <w:type w:val="continuous"/>
          <w:pgSz w:w="11907" w:h="16839"/>
          <w:pgMar w:top="1202" w:right="14" w:bottom="928" w:left="11" w:header="10" w:footer="21" w:gutter="0"/>
          <w:pgNumType w:start="21"/>
          <w:cols w:num="1" w:space="708" w:equalWidth="0">
            <w:col w:w="11881" w:space="0"/>
          </w:cols>
        </w:sectPr>
      </w:pPr>
    </w:p>
    <w:p>
      <w:pPr>
        <w:pStyle w:val="BodyText"/>
        <w:spacing w:before="69" w:line="262" w:lineRule="auto"/>
        <w:ind w:left="3060" w:right="662" w:firstLine="9"/>
        <w:jc w:val="both"/>
        <w:rPr>
          <w:sz w:val="21"/>
          <w:szCs w:val="21"/>
        </w:rPr>
      </w:pPr>
      <w:r>
        <w:rPr>
          <w:spacing w:val="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公司采用抓两头、控中间的“微笑曲线”经营模式，将业务重心放在能体现黄金珠宝产</w:t>
      </w:r>
      <w:r>
        <w:rPr>
          <w:spacing w:val="4"/>
          <w:sz w:val="21"/>
          <w:szCs w:val="21"/>
        </w:rPr>
        <w:t xml:space="preserve"> </w:t>
      </w:r>
      <w:r>
        <w:rPr>
          <w:spacing w:val="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品附加价值的两端，上游专注原料采购与产品设计，下</w:t>
      </w:r>
      <w:r>
        <w:rPr>
          <w:spacing w:val="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游侧重文化推广与门店管理。</w:t>
      </w:r>
      <w:r>
        <w:rPr>
          <w:spacing w:val="4"/>
          <w:sz w:val="21"/>
          <w:szCs w:val="21"/>
        </w:rPr>
        <w:t>使</w:t>
      </w:r>
      <w:r>
        <w:rPr>
          <w:sz w:val="21"/>
          <w:szCs w:val="21"/>
        </w:rPr>
        <w:t xml:space="preserve"> </w:t>
      </w:r>
      <w:r>
        <w:rPr>
          <w:spacing w:val="10"/>
          <w:sz w:val="21"/>
          <w:szCs w:val="21"/>
        </w:rPr>
        <w:t>得公司将中游高标准化的生产环节交由委托加工和成品采购为主，原料采购上也采用</w:t>
      </w:r>
      <w:r>
        <w:rPr>
          <w:spacing w:val="12"/>
          <w:sz w:val="21"/>
          <w:szCs w:val="21"/>
        </w:rPr>
        <w:t xml:space="preserve"> </w:t>
      </w:r>
      <w:r>
        <w:rPr>
          <w:sz w:val="21"/>
          <w:szCs w:val="21"/>
        </w:rPr>
        <w:t>“以销定采”的采购模式，避免库存积压，维持行业较高的存货周转率。</w:t>
      </w:r>
    </w:p>
    <w:p>
      <w:pPr>
        <w:spacing w:line="262" w:lineRule="auto"/>
        <w:rPr>
          <w:sz w:val="21"/>
          <w:szCs w:val="21"/>
        </w:rPr>
        <w:sectPr>
          <w:headerReference w:type="default" r:id="rId77"/>
          <w:footerReference w:type="default" r:id="rId78"/>
          <w:type w:val="nextPage"/>
          <w:pgSz w:w="11907" w:h="16839"/>
          <w:pgMar w:top="1202" w:right="14" w:bottom="928" w:left="11" w:header="10" w:footer="21" w:gutter="0"/>
          <w:pgNumType w:start="22"/>
          <w:cols w:num="1" w:space="708" w:equalWidth="0">
            <w:col w:w="11881" w:space="0"/>
          </w:cols>
          <w:titlePg w:val="0"/>
        </w:sectPr>
      </w:pPr>
    </w:p>
    <w:p>
      <w:pPr>
        <w:spacing w:before="4"/>
      </w:pPr>
      <w:r>
        <w:pict>
          <v:shape id="_x0000_s1094" style="width:257.85pt;height:0.5pt;margin-top:82.8pt;margin-left:33.96pt;mso-position-horizontal-relative:page;mso-position-vertical-relative:page;position:absolute;z-index:251757568" coordorigin="0,0" coordsize="5157,10" o:allowincell="f" path="m,9l5156,9l5156,l,l,9xe" filled="t" fillcolor="black" stroked="f"/>
        </w:pict>
      </w:r>
      <w:r>
        <w:pict>
          <v:shape id="_x0000_s1095" style="width:257.85pt;height:0.5pt;margin-top:248.9pt;margin-left:33.96pt;mso-position-horizontal-relative:page;mso-position-vertical-relative:page;position:absolute;z-index:251758592" coordorigin="0,0" coordsize="5157,10" o:allowincell="f" path="m,9l5156,9l5156,l,l,9xe" filled="t" fillcolor="black" stroked="f"/>
        </w:pict>
      </w:r>
      <w:r>
        <w:drawing>
          <wp:anchor distT="0" distB="0" distL="0" distR="0" simplePos="0" relativeHeight="251756544" behindDoc="1" locked="0" layoutInCell="0" allowOverlap="1">
            <wp:simplePos x="0" y="0"/>
            <wp:positionH relativeFrom="page">
              <wp:posOffset>2250947</wp:posOffset>
            </wp:positionH>
            <wp:positionV relativeFrom="page">
              <wp:posOffset>7005828</wp:posOffset>
            </wp:positionV>
            <wp:extent cx="4584191" cy="2194559"/>
            <wp:effectExtent l="0" t="0" r="0" b="0"/>
            <wp:wrapNone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584191" cy="2194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80"/>
          <w:footerReference w:type="default" r:id="rId81"/>
          <w:pgSz w:w="11907" w:h="16839"/>
          <w:pgMar w:top="1202" w:right="14" w:bottom="928" w:left="11" w:header="10" w:footer="21" w:gutter="0"/>
          <w:pgNumType w:start="23"/>
          <w:cols w:num="1" w:space="708" w:equalWidth="0">
            <w:col w:w="11881" w:space="0"/>
          </w:cols>
        </w:sectPr>
      </w:pPr>
    </w:p>
    <w:p>
      <w:pPr>
        <w:pStyle w:val="BodyText"/>
        <w:spacing w:line="215" w:lineRule="auto"/>
        <w:ind w:left="699"/>
        <w:rPr>
          <w:sz w:val="18"/>
          <w:szCs w:val="18"/>
        </w:rPr>
      </w:pPr>
      <w:r>
        <w:rPr>
          <w:color w:val="0D0D0D"/>
          <w:spacing w:val="-2"/>
          <w:sz w:val="18"/>
          <w:szCs w:val="18"/>
        </w:rPr>
        <w:t>图</w:t>
      </w:r>
      <w:r>
        <w:rPr>
          <w:color w:val="0D0D0D"/>
          <w:spacing w:val="-38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2"/>
          <w:sz w:val="18"/>
          <w:szCs w:val="18"/>
        </w:rPr>
        <w:t>8</w:t>
      </w:r>
      <w:r>
        <w:rPr>
          <w:color w:val="0D0D0D"/>
          <w:spacing w:val="-2"/>
          <w:sz w:val="18"/>
          <w:szCs w:val="18"/>
        </w:rPr>
        <w:t>：公司存货周转率位于行业较高水平</w:t>
      </w:r>
    </w:p>
    <w:p>
      <w:pPr>
        <w:spacing w:line="188" w:lineRule="exact"/>
      </w:pPr>
    </w:p>
    <w:tbl>
      <w:tblPr>
        <w:tblStyle w:val="TableNormal3"/>
        <w:tblW w:w="4825" w:type="dxa"/>
        <w:tblInd w:w="76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58"/>
        <w:gridCol w:w="4467"/>
      </w:tblGrid>
      <w:tr>
        <w:tblPrEx>
          <w:tblW w:w="4825" w:type="dxa"/>
          <w:tblInd w:w="76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01"/>
        </w:trPr>
        <w:tc>
          <w:tcPr>
            <w:tcW w:w="35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2" w:line="363" w:lineRule="exact"/>
              <w:ind w:left="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position w:val="16"/>
                <w:sz w:val="18"/>
                <w:szCs w:val="18"/>
              </w:rPr>
              <w:t>6.0</w:t>
            </w:r>
          </w:p>
          <w:p>
            <w:pPr>
              <w:spacing w:line="199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4.5</w:t>
            </w:r>
          </w:p>
          <w:p>
            <w:pPr>
              <w:spacing w:before="192" w:line="199" w:lineRule="auto"/>
              <w:ind w:left="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3.0</w:t>
            </w:r>
          </w:p>
          <w:p>
            <w:pPr>
              <w:spacing w:before="190" w:line="200" w:lineRule="auto"/>
              <w:ind w:left="1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>1.5</w:t>
            </w:r>
          </w:p>
          <w:p>
            <w:pPr>
              <w:spacing w:before="191" w:line="199" w:lineRule="auto"/>
              <w:ind w:left="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0.0</w:t>
            </w:r>
          </w:p>
        </w:tc>
        <w:tc>
          <w:tcPr>
            <w:tcW w:w="4467" w:type="dxa"/>
            <w:vAlign w:val="top"/>
          </w:tcPr>
          <w:p>
            <w:pPr>
              <w:pStyle w:val="TableText"/>
              <w:spacing w:line="225" w:lineRule="auto"/>
              <w:ind w:left="2347"/>
              <w:rPr>
                <w:sz w:val="18"/>
                <w:szCs w:val="18"/>
              </w:rPr>
            </w:pPr>
            <w:r>
              <w:pict>
                <v:shape id="_x0000_s1096" type="#_x0000_t202" style="width:81.2pt;height:25pt;margin-top:-0.96pt;margin-left:12.48pt;position:absolute;z-index:2517729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504"/>
                          </w:tabs>
                          <w:spacing w:before="19" w:line="236" w:lineRule="auto"/>
                          <w:ind w:left="20" w:righ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position w:val="3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307527" cy="28591"/>
                              <wp:effectExtent l="0" t="0" r="0" b="0"/>
                              <wp:docPr id="134" name="IM 13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4" name="IM 13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07527" cy="285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-6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老凤祥（次）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trike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spacing w:val="-6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周大生（次）</w:t>
                        </w:r>
                      </w:p>
                    </w:txbxContent>
                  </v:textbox>
                </v:shape>
              </w:pict>
            </w:r>
            <w:r>
              <mc:AlternateContent>
                <mc:Choice Requires="wps">
                  <w:drawing>
                    <wp:anchor distT="0" distB="0" distL="0" distR="0" simplePos="0" relativeHeight="251770880" behindDoc="0" locked="0" layoutInCell="1" allowOverlap="1">
                      <wp:simplePos x="0" y="0"/>
                      <wp:positionH relativeFrom="rightMargin">
                        <wp:posOffset>-2682869</wp:posOffset>
                      </wp:positionH>
                      <wp:positionV relativeFrom="topMargin">
                        <wp:posOffset>1443293</wp:posOffset>
                      </wp:positionV>
                      <wp:extent cx="281940" cy="157479"/>
                      <wp:effectExtent l="0" t="0" r="0" b="0"/>
                      <wp:wrapNone/>
                      <wp:docPr id="136" name="TextBox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682869" y="1443293"/>
                                <a:ext cx="281940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6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36" o:spid="_x0000_s1097" type="#_x0000_t202" style="width:22.2pt;height:12.4pt;margin-top:113.65pt;margin-left:-211.25pt;mso-position-horizontal-relative:right-margin-area;mso-position-vertical-relative:top-margin-area;mso-wrap-distance-bottom:0;mso-wrap-distance-left:0;mso-wrap-distance-right:0;mso-wrap-distance-top:0;position:absolute;rotation:270;v-text-anchor:top;z-index:251769856" filled="f" fillcolor="this" stroked="f">
                      <v:textbox inset="0,0,0,0">
                        <w:txbxContent>
                          <w:p>
                            <w:pPr>
                              <w:spacing w:before="56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2688" behindDoc="0" locked="0" layoutInCell="1" allowOverlap="1">
                      <wp:simplePos x="0" y="0"/>
                      <wp:positionH relativeFrom="rightMargin">
                        <wp:posOffset>-2220009</wp:posOffset>
                      </wp:positionH>
                      <wp:positionV relativeFrom="topMargin">
                        <wp:posOffset>1443058</wp:posOffset>
                      </wp:positionV>
                      <wp:extent cx="282575" cy="158114"/>
                      <wp:effectExtent l="0" t="0" r="0" b="0"/>
                      <wp:wrapNone/>
                      <wp:docPr id="138" name="TextBox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220009" y="1443058"/>
                                <a:ext cx="282575" cy="1581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5" w:line="20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38" o:spid="_x0000_s1098" type="#_x0000_t202" style="width:22.25pt;height:12.45pt;margin-top:113.63pt;margin-left:-174.8pt;mso-position-horizontal-relative:right-margin-area;mso-position-vertical-relative:top-margin-area;mso-wrap-distance-bottom:0;mso-wrap-distance-left:0;mso-wrap-distance-right:0;mso-wrap-distance-top:0;position:absolute;rotation:270;v-text-anchor:top;z-index:251761664" filled="f" fillcolor="this" stroked="f">
                      <v:textbox inset="0,0,0,0">
                        <w:txbxContent>
                          <w:p>
                            <w:pPr>
                              <w:spacing w:before="55" w:line="200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6784" behindDoc="0" locked="0" layoutInCell="1" allowOverlap="1">
                      <wp:simplePos x="0" y="0"/>
                      <wp:positionH relativeFrom="rightMargin">
                        <wp:posOffset>-1756352</wp:posOffset>
                      </wp:positionH>
                      <wp:positionV relativeFrom="topMargin">
                        <wp:posOffset>1443293</wp:posOffset>
                      </wp:positionV>
                      <wp:extent cx="281940" cy="157479"/>
                      <wp:effectExtent l="0" t="0" r="0" b="0"/>
                      <wp:wrapNone/>
                      <wp:docPr id="140" name="TextBox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756352" y="1443293"/>
                                <a:ext cx="281940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6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0" o:spid="_x0000_s1099" type="#_x0000_t202" style="width:22.2pt;height:12.4pt;margin-top:113.65pt;margin-left:-138.3pt;mso-position-horizontal-relative:right-margin-area;mso-position-vertical-relative:top-margin-area;mso-wrap-distance-bottom:0;mso-wrap-distance-left:0;mso-wrap-distance-right:0;mso-wrap-distance-top:0;position:absolute;rotation:270;v-text-anchor:top;z-index:251765760" filled="f" fillcolor="this" stroked="f">
                      <v:textbox inset="0,0,0,0">
                        <w:txbxContent>
                          <w:p>
                            <w:pPr>
                              <w:spacing w:before="56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8832" behindDoc="0" locked="0" layoutInCell="1" allowOverlap="1">
                      <wp:simplePos x="0" y="0"/>
                      <wp:positionH relativeFrom="rightMargin">
                        <wp:posOffset>-1293200</wp:posOffset>
                      </wp:positionH>
                      <wp:positionV relativeFrom="topMargin">
                        <wp:posOffset>1443293</wp:posOffset>
                      </wp:positionV>
                      <wp:extent cx="281940" cy="157479"/>
                      <wp:effectExtent l="0" t="0" r="0" b="0"/>
                      <wp:wrapNone/>
                      <wp:docPr id="142" name="TextBox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293200" y="1443293"/>
                                <a:ext cx="281940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6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2" o:spid="_x0000_s1100" type="#_x0000_t202" style="width:22.2pt;height:12.4pt;margin-top:113.65pt;margin-left:-101.83pt;mso-position-horizontal-relative:right-margin-area;mso-position-vertical-relative:top-margin-area;mso-wrap-distance-bottom:0;mso-wrap-distance-left:0;mso-wrap-distance-right:0;mso-wrap-distance-top:0;position:absolute;rotation:270;v-text-anchor:top;z-index:251767808" filled="f" fillcolor="this" stroked="f">
                      <v:textbox inset="0,0,0,0">
                        <w:txbxContent>
                          <w:p>
                            <w:pPr>
                              <w:spacing w:before="56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4736" behindDoc="0" locked="0" layoutInCell="1" allowOverlap="1">
                      <wp:simplePos x="0" y="0"/>
                      <wp:positionH relativeFrom="rightMargin">
                        <wp:posOffset>-830192</wp:posOffset>
                      </wp:positionH>
                      <wp:positionV relativeFrom="topMargin">
                        <wp:posOffset>1443293</wp:posOffset>
                      </wp:positionV>
                      <wp:extent cx="281940" cy="157479"/>
                      <wp:effectExtent l="0" t="0" r="0" b="0"/>
                      <wp:wrapNone/>
                      <wp:docPr id="144" name="TextBox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830192" y="1443293"/>
                                <a:ext cx="281940" cy="1574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6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  <w:t>2022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4" o:spid="_x0000_s1101" type="#_x0000_t202" style="width:22.2pt;height:12.4pt;margin-top:113.65pt;margin-left:-65.37pt;mso-position-horizontal-relative:right-margin-area;mso-position-vertical-relative:top-margin-area;mso-wrap-distance-bottom:0;mso-wrap-distance-left:0;mso-wrap-distance-right:0;mso-wrap-distance-top:0;position:absolute;rotation:270;v-text-anchor:top;z-index:251763712" filled="f" fillcolor="this" stroked="f">
                      <v:textbox inset="0,0,0,0">
                        <w:txbxContent>
                          <w:p>
                            <w:pPr>
                              <w:spacing w:before="56" w:line="199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2022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0640" behindDoc="0" locked="0" layoutInCell="1" allowOverlap="1">
                      <wp:simplePos x="0" y="0"/>
                      <wp:positionH relativeFrom="rightMargin">
                        <wp:posOffset>-494557</wp:posOffset>
                      </wp:positionH>
                      <wp:positionV relativeFrom="topMargin">
                        <wp:posOffset>1571214</wp:posOffset>
                      </wp:positionV>
                      <wp:extent cx="541019" cy="154304"/>
                      <wp:effectExtent l="0" t="0" r="0" b="0"/>
                      <wp:wrapNone/>
                      <wp:docPr id="146" name="TextBox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494557" y="1571214"/>
                                <a:ext cx="541019" cy="15430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8" w:line="202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8"/>
                                      <w:szCs w:val="18"/>
                                    </w:rPr>
                                    <w:t>2023Q1-3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6" o:spid="_x0000_s1102" type="#_x0000_t202" style="width:42.6pt;height:12.15pt;margin-top:123.72pt;margin-left:-38.94pt;mso-position-horizontal-relative:right-margin-area;mso-position-vertical-relative:top-margin-area;mso-wrap-distance-bottom:0;mso-wrap-distance-left:0;mso-wrap-distance-right:0;mso-wrap-distance-top:0;position:absolute;rotation:270;v-text-anchor:top;z-index:251759616" filled="f" fillcolor="this" stroked="f">
                      <v:textbox inset="0,0,0,0">
                        <w:txbxContent>
                          <w:p>
                            <w:pPr>
                              <w:spacing w:before="48" w:line="202" w:lineRule="auto"/>
                              <w:ind w:left="20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8"/>
                                <w:szCs w:val="18"/>
                              </w:rPr>
                              <w:t>2023Q1-3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group id="_x0000_s1103" style="width:184.15pt;height:25.2pt;margin-top:42.97pt;margin-left:-201.56pt;mso-position-horizontal-relative:right-margin-area;mso-position-vertical-relative:top-margin-area;position:absolute;z-index:251774976" coordorigin="0,0" coordsize="3682,504" filled="f" stroked="f">
                  <v:shape id="_x0000_s1104" style="width:3677;height:298;left:2;position:absolute" coordorigin="0,0" coordsize="3677,298" path="m22,22l748,157l1475,242l2201,157l2928,275l3654,73e" filled="f" strokecolor="#c30f1b" strokeweight="2.25pt">
                    <v:stroke endcap="round"/>
                  </v:shape>
                  <v:shape id="_x0000_s1105" style="width:3682;height:355;position:absolute;top:149" coordorigin="0,0" coordsize="3682,355" path="m25,25l751,211l1478,329l2204,75l2931,211l3657,160e" filled="f" strokecolor="#eab3a7" strokeweight="2.53pt">
                    <v:stroke endcap="round"/>
                  </v:shape>
                </v:group>
              </w:pict>
            </w:r>
            <w:r>
              <w:pict>
                <v:group id="_x0000_s1106" style="width:111.25pt;height:25.9pt;margin-top:68.29pt;margin-left:-165.1pt;mso-position-horizontal-relative:right-margin-area;mso-position-vertical-relative:top-margin-area;position:absolute;z-index:251773952" coordorigin="0,0" coordsize="2225,517" filled="f" stroked="f">
                  <v:shape id="_x0000_s1107" style="width:1498;height:113;position:absolute;top:405" coordorigin="0,0" coordsize="1498,113" path="m22,56l748,90l1475,22e" filled="f" strokecolor="#ba9873" strokeweight="2.25pt">
                    <v:stroke endcap="round"/>
                  </v:shape>
                  <v:shape id="_x0000_s1108" style="width:2225;height:450;position:absolute" coordorigin="0,0" coordsize="2225,450" path="m22,393l748,427l1475,90l2201,22e" filled="f" strokecolor="#c8c8c8" strokeweight="2.25pt">
                    <v:stroke endcap="round"/>
                  </v:shape>
                </v:group>
              </w:pict>
            </w:r>
            <w:r>
              <w:pict>
                <v:shape id="_x0000_s1109" type="#_x0000_t202" style="width:220.25pt;height:77.8pt;margin-top:29.32pt;margin-left:-219.18pt;mso-position-horizontal-relative:right-margin-area;mso-position-vertical-relative:top-margin-area;position:absolute;z-index:25177600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36" w:lineRule="auto"/>
                          <w:ind w:left="3852" w:right="197" w:hanging="2"/>
                          <w:jc w:val="both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"/>
                            <w:sz w:val="18"/>
                            <w:szCs w:val="18"/>
                          </w:rPr>
                          <w:t>4.77</w:t>
                        </w:r>
                        <w:r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  <w:t>3.81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  <w:t>2.96</w:t>
                        </w:r>
                      </w:p>
                      <w:p>
                        <w:pPr>
                          <w:spacing w:before="243" w:line="200" w:lineRule="auto"/>
                          <w:ind w:left="3868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4"/>
                            <w:sz w:val="18"/>
                            <w:szCs w:val="18"/>
                          </w:rPr>
                          <w:t>1.24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3"/>
                <w:sz w:val="18"/>
                <w:szCs w:val="18"/>
              </w:rPr>
              <w:drawing>
                <wp:inline distT="0" distB="0" distL="0" distR="0">
                  <wp:extent cx="296800" cy="28591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800" cy="28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潮宏基（次）</w:t>
            </w:r>
          </w:p>
          <w:p>
            <w:pPr>
              <w:pStyle w:val="TableText"/>
              <w:spacing w:before="18" w:line="221" w:lineRule="auto"/>
              <w:ind w:left="2344"/>
              <w:rPr>
                <w:sz w:val="18"/>
                <w:szCs w:val="18"/>
              </w:rPr>
            </w:pPr>
            <w:r>
              <w:rPr>
                <w:position w:val="3"/>
                <w:sz w:val="18"/>
                <w:szCs w:val="18"/>
              </w:rPr>
              <w:drawing>
                <wp:inline distT="0" distB="0" distL="0" distR="0">
                  <wp:extent cx="300376" cy="32164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376" cy="32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5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菜百股份（次）</w:t>
            </w:r>
          </w:p>
          <w:p>
            <w:pPr>
              <w:spacing w:before="188" w:line="1441" w:lineRule="exact"/>
              <w:ind w:firstLine="103"/>
            </w:pPr>
            <w:r>
              <w:rPr>
                <w:position w:val="-28"/>
              </w:rPr>
              <w:pict>
                <v:group id="_x0000_i1110" style="width:218.25pt;height:72.05pt;mso-position-horizontal-relative:char;mso-position-vertical-relative:line" coordorigin="0,0" coordsize="4365,1441" filled="f" stroked="f">
                  <v:shape id="_x0000_s1111" style="width:4365;height:1441;position:absolute" coordorigin="0,0" coordsize="4365,1441" path="m2,1438l2,2m2,1438l53,1438m2,1083l53,1083m2,728l53,728m2,357l53,357m2,2l53,2m2,1438l4361,1438m2,1387l2,1438m729,1387l729,1438m1455,1387l1455,1438m2182,1387l2182,1438m2908,1387l2908,1438m3635,1387l3635,1438m4361,1387l4361,1438e" filled="f" strokecolor="black" strokeweight="0.28pt"/>
                  <v:shape id="_x0000_s1112" style="width:3677;height:79;left:335;position:absolute;top:1128" coordorigin="0,0" coordsize="3677,79" path="m22,56l748,56m2201,22l2928,39l3654,22e" filled="f" strokecolor="#ba9873" strokeweight="2.25pt">
                    <v:stroke endcap="round"/>
                  </v:shape>
                  <v:shape id="_x0000_s1113" style="width:3677;height:434;left:335;position:absolute;top:706" coordorigin="0,0" coordsize="3677,434" path="m22,410l748,410m2928,39l3654,22e" filled="f" strokecolor="#c8c8c8" strokeweight="2.25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pStyle w:val="BodyText"/>
        <w:spacing w:before="160" w:line="186" w:lineRule="auto"/>
        <w:ind w:left="682"/>
        <w:rPr>
          <w:sz w:val="15"/>
          <w:szCs w:val="15"/>
        </w:rPr>
      </w:pPr>
      <w:r>
        <w:rPr>
          <w:spacing w:val="-7"/>
          <w:sz w:val="15"/>
          <w:szCs w:val="15"/>
        </w:rPr>
        <w:t>资料来源：</w:t>
      </w:r>
      <w:r>
        <w:rPr>
          <w:spacing w:val="-22"/>
          <w:sz w:val="15"/>
          <w:szCs w:val="15"/>
        </w:rPr>
        <w:t xml:space="preserve"> </w:t>
      </w:r>
      <w:r>
        <w:rPr>
          <w:spacing w:val="-7"/>
          <w:sz w:val="15"/>
          <w:szCs w:val="15"/>
        </w:rPr>
        <w:t>菜百股份招股说明书，</w:t>
      </w:r>
      <w:r>
        <w:rPr>
          <w:spacing w:val="-7"/>
          <w:sz w:val="15"/>
          <w:szCs w:val="15"/>
        </w:rPr>
        <w:t xml:space="preserve"> </w:t>
      </w:r>
      <w:r>
        <w:rPr>
          <w:spacing w:val="-7"/>
          <w:sz w:val="15"/>
          <w:szCs w:val="15"/>
        </w:rPr>
        <w:t>同花顺</w:t>
      </w:r>
      <w:r>
        <w:rPr>
          <w:spacing w:val="-8"/>
          <w:sz w:val="15"/>
          <w:szCs w:val="15"/>
        </w:rPr>
        <w:t>，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西部证券研发中心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3"/>
        <w:tblW w:w="51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1"/>
        <w:gridCol w:w="4675"/>
      </w:tblGrid>
      <w:tr>
        <w:tblPrEx>
          <w:tblW w:w="51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2"/>
        </w:trPr>
        <w:tc>
          <w:tcPr>
            <w:tcW w:w="5156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207" w:lineRule="auto"/>
              <w:ind w:left="31"/>
              <w:rPr>
                <w:sz w:val="18"/>
                <w:szCs w:val="18"/>
              </w:rPr>
            </w:pPr>
            <w:r>
              <w:rPr>
                <w:color w:val="0D0D0D"/>
                <w:spacing w:val="-4"/>
                <w:sz w:val="18"/>
                <w:szCs w:val="18"/>
              </w:rPr>
              <w:t>图</w:t>
            </w:r>
            <w:r>
              <w:rPr>
                <w:color w:val="0D0D0D"/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0D0D0D"/>
                <w:spacing w:val="-4"/>
                <w:sz w:val="18"/>
                <w:szCs w:val="18"/>
              </w:rPr>
              <w:t>9</w:t>
            </w:r>
            <w:r>
              <w:rPr>
                <w:color w:val="0D0D0D"/>
                <w:spacing w:val="-4"/>
                <w:sz w:val="18"/>
                <w:szCs w:val="18"/>
              </w:rPr>
              <w:t>：公司</w:t>
            </w:r>
            <w:r>
              <w:rPr>
                <w:color w:val="0D0D0D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0D0D0D"/>
                <w:spacing w:val="-4"/>
                <w:sz w:val="18"/>
                <w:szCs w:val="18"/>
              </w:rPr>
              <w:t xml:space="preserve">ROE </w:t>
            </w:r>
            <w:r>
              <w:rPr>
                <w:color w:val="0D0D0D"/>
                <w:spacing w:val="-4"/>
                <w:sz w:val="18"/>
                <w:szCs w:val="18"/>
              </w:rPr>
              <w:t>位于行业较高水平</w:t>
            </w:r>
          </w:p>
        </w:tc>
      </w:tr>
      <w:tr>
        <w:tblPrEx>
          <w:tblW w:w="5156" w:type="dxa"/>
          <w:tblInd w:w="0" w:type="dxa"/>
          <w:tblLayout w:type="fixed"/>
        </w:tblPrEx>
        <w:trPr>
          <w:trHeight w:val="722"/>
        </w:trPr>
        <w:tc>
          <w:tcPr>
            <w:tcW w:w="481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52" w:line="345" w:lineRule="auto"/>
              <w:ind w:left="41" w:right="74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25%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20%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15%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10%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5%</w:t>
            </w:r>
          </w:p>
          <w:p>
            <w:pPr>
              <w:spacing w:line="201" w:lineRule="auto"/>
              <w:ind w:left="14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0%</w:t>
            </w:r>
          </w:p>
        </w:tc>
        <w:tc>
          <w:tcPr>
            <w:tcW w:w="4675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80"/>
              <w:ind w:left="2316" w:right="588" w:firstLine="2"/>
              <w:rPr>
                <w:sz w:val="18"/>
                <w:szCs w:val="18"/>
              </w:rPr>
            </w:pPr>
            <w:r>
              <w:pict>
                <v:shape id="_x0000_s1114" type="#_x0000_t202" style="width:81.3pt;height:25.65pt;margin-top:8.01pt;margin-left:11.93pt;position:absolute;z-index:2517719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487"/>
                          </w:tabs>
                          <w:spacing w:before="20" w:line="242" w:lineRule="auto"/>
                          <w:ind w:left="20" w:righ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position w:val="3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296800" cy="28591"/>
                              <wp:effectExtent l="0" t="0" r="0" b="0"/>
                              <wp:docPr id="152" name="IM 15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52" name="IM 15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96800" cy="285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-6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5"/>
                            <w:sz w:val="18"/>
                            <w:szCs w:val="18"/>
                          </w:rPr>
                          <w:t>老凤祥（</w:t>
                        </w:r>
                        <w:r>
                          <w:rPr>
                            <w:rFonts w:ascii="Arial" w:eastAsia="Arial" w:hAnsi="Arial" w:cs="Arial"/>
                            <w:spacing w:val="5"/>
                            <w:sz w:val="18"/>
                            <w:szCs w:val="18"/>
                          </w:rPr>
                          <w:t>%</w:t>
                        </w:r>
                        <w:r>
                          <w:rPr>
                            <w:spacing w:val="5"/>
                            <w:sz w:val="18"/>
                            <w:szCs w:val="18"/>
                          </w:rPr>
                          <w:t>）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trike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spacing w:val="-6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5"/>
                            <w:sz w:val="18"/>
                            <w:szCs w:val="18"/>
                          </w:rPr>
                          <w:t>周大生（</w:t>
                        </w:r>
                        <w:r>
                          <w:rPr>
                            <w:rFonts w:ascii="Arial" w:eastAsia="Arial" w:hAnsi="Arial" w:cs="Arial"/>
                            <w:spacing w:val="5"/>
                            <w:sz w:val="18"/>
                            <w:szCs w:val="18"/>
                          </w:rPr>
                          <w:t>%</w:t>
                        </w:r>
                        <w:r>
                          <w:rPr>
                            <w:spacing w:val="5"/>
                            <w:sz w:val="18"/>
                            <w:szCs w:val="18"/>
                          </w:rPr>
                          <w:t>）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3"/>
                <w:sz w:val="18"/>
                <w:szCs w:val="18"/>
              </w:rPr>
              <w:drawing>
                <wp:inline distT="0" distB="0" distL="0" distR="0">
                  <wp:extent cx="296800" cy="28591"/>
                  <wp:effectExtent l="0" t="0" r="0" b="0"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800" cy="28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7"/>
                <w:sz w:val="18"/>
                <w:szCs w:val="18"/>
              </w:rPr>
              <w:t xml:space="preserve"> </w:t>
            </w:r>
            <w:r>
              <w:rPr>
                <w:spacing w:val="9"/>
                <w:sz w:val="18"/>
                <w:szCs w:val="18"/>
              </w:rPr>
              <w:t>潮宏基（</w:t>
            </w:r>
            <w:r>
              <w:rPr>
                <w:rFonts w:ascii="Arial" w:eastAsia="Arial" w:hAnsi="Arial" w:cs="Arial"/>
                <w:spacing w:val="9"/>
                <w:sz w:val="18"/>
                <w:szCs w:val="18"/>
              </w:rPr>
              <w:t>%</w:t>
            </w:r>
            <w:r>
              <w:rPr>
                <w:spacing w:val="9"/>
                <w:sz w:val="18"/>
                <w:szCs w:val="18"/>
              </w:rPr>
              <w:t>）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position w:val="3"/>
                <w:sz w:val="18"/>
                <w:szCs w:val="18"/>
              </w:rPr>
              <w:drawing>
                <wp:inline distT="0" distB="0" distL="0" distR="0">
                  <wp:extent cx="300376" cy="32164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376" cy="32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6"/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菜百股份（</w:t>
            </w:r>
            <w:r>
              <w:rPr>
                <w:rFonts w:ascii="Arial" w:eastAsia="Arial" w:hAnsi="Arial" w:cs="Arial"/>
                <w:spacing w:val="3"/>
                <w:sz w:val="18"/>
                <w:szCs w:val="18"/>
              </w:rPr>
              <w:t>%</w:t>
            </w:r>
            <w:r>
              <w:rPr>
                <w:spacing w:val="3"/>
                <w:sz w:val="18"/>
                <w:szCs w:val="18"/>
              </w:rPr>
              <w:t>）</w:t>
            </w:r>
          </w:p>
        </w:tc>
      </w:tr>
      <w:tr>
        <w:tblPrEx>
          <w:tblW w:w="5156" w:type="dxa"/>
          <w:tblInd w:w="0" w:type="dxa"/>
          <w:tblLayout w:type="fixed"/>
        </w:tblPrEx>
        <w:trPr>
          <w:trHeight w:val="1638"/>
        </w:trPr>
        <w:tc>
          <w:tcPr>
            <w:tcW w:w="4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5" w:type="dxa"/>
            <w:vAlign w:val="top"/>
          </w:tcPr>
          <w:p>
            <w:pPr>
              <w:spacing w:before="101" w:line="1492" w:lineRule="exact"/>
              <w:ind w:firstLine="75"/>
            </w:pPr>
            <w:r>
              <w:rPr>
                <w:position w:val="-29"/>
              </w:rPr>
              <w:pict>
                <v:group id="_x0000_i1115" style="width:218.25pt;height:74.6pt;mso-position-horizontal-relative:char;mso-position-vertical-relative:line" coordorigin="0,0" coordsize="4365,1491" filled="f" stroked="f">
                  <v:shape id="_x0000_s1116" style="width:4365;height:1491;position:absolute" coordorigin="0,0" coordsize="4365,1491" path="m2,1488l2,2m2,1488l53,1488m2,1184l53,1184m2,880l53,880m2,593l53,593m2,289l53,289m2,2l53,2m2,1488l4361,1488m2,1421l2,1488m729,1421l729,1488m1455,1421l1455,1488m2182,1421l2182,1488m2908,1421l2908,1488m3635,1421l3635,1488m4361,1421l4361,1488e" filled="f" strokecolor="black" strokeweight="0.28pt"/>
                  <v:shape id="_x0000_s1117" style="width:3677;height:298;left:351;position:absolute;top:166" coordorigin="0,0" coordsize="3677,298" path="m22,106l748,56l1475,56l2201,22l2928,275l3654,225e" filled="f" strokecolor="#c30f1b" strokeweight="2.25pt">
                    <v:stroke endcap="round"/>
                  </v:shape>
                  <v:shape id="_x0000_s1118" style="width:3677;height:517;left:351;position:absolute;top:858" coordorigin="0,0" coordsize="3677,517" path="m22,495l748,478l1475,377l2201,22l2928,292l3654,106e" filled="f" strokecolor="#ba9873" strokeweight="2.25pt">
                    <v:stroke endcap="round"/>
                  </v:shape>
                  <v:shape id="_x0000_s1119" style="width:3677;height:349;left:351;position:absolute;top:98" coordorigin="0,0" coordsize="3677,349" path="m22,73l748,22l1475,191l2201,90l2928,292l3654,326e" filled="f" strokecolor="#c8c8c8" strokeweight="2.25pt">
                    <v:stroke endcap="round"/>
                  </v:shape>
                  <v:shape id="_x0000_s1120" style="width:3682;height:422;left:349;position:absolute;top:281" coordorigin="0,0" coordsize="3682,422" path="m25,25l751,25l1478,194l2204,396l2931,379l3657,211e" filled="f" strokecolor="#eab3a7" strokeweight="2.53pt">
                    <v:stroke endcap="round"/>
                  </v:shape>
                  <w10:wrap type="none"/>
                </v:group>
              </w:pict>
            </w:r>
          </w:p>
        </w:tc>
      </w:tr>
      <w:tr>
        <w:tblPrEx>
          <w:tblW w:w="5156" w:type="dxa"/>
          <w:tblInd w:w="0" w:type="dxa"/>
          <w:tblLayout w:type="fixed"/>
        </w:tblPrEx>
        <w:trPr>
          <w:trHeight w:val="954"/>
        </w:trPr>
        <w:tc>
          <w:tcPr>
            <w:tcW w:w="481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5" w:type="dxa"/>
            <w:tcBorders>
              <w:bottom w:val="single" w:sz="2" w:space="0" w:color="000000"/>
            </w:tcBorders>
            <w:textDirection w:val="btLr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1" w:line="199" w:lineRule="auto"/>
              <w:ind w:left="50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2018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52" w:line="199" w:lineRule="auto"/>
              <w:ind w:left="50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2019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52" w:line="199" w:lineRule="auto"/>
              <w:ind w:left="50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2020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52" w:line="199" w:lineRule="auto"/>
              <w:ind w:left="50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2021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2" w:line="199" w:lineRule="auto"/>
              <w:ind w:left="50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2022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2" w:line="202" w:lineRule="auto"/>
              <w:ind w:left="9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2023Q1-3</w:t>
            </w:r>
          </w:p>
        </w:tc>
      </w:tr>
      <w:tr>
        <w:tblPrEx>
          <w:tblW w:w="5156" w:type="dxa"/>
          <w:tblInd w:w="0" w:type="dxa"/>
          <w:tblLayout w:type="fixed"/>
        </w:tblPrEx>
        <w:trPr>
          <w:trHeight w:val="172"/>
        </w:trPr>
        <w:tc>
          <w:tcPr>
            <w:tcW w:w="5156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3" w:line="171" w:lineRule="auto"/>
              <w:ind w:left="14"/>
              <w:rPr>
                <w:sz w:val="15"/>
                <w:szCs w:val="15"/>
              </w:rPr>
            </w:pPr>
            <w:r>
              <w:rPr>
                <w:spacing w:val="-7"/>
                <w:sz w:val="15"/>
                <w:szCs w:val="15"/>
              </w:rPr>
              <w:t>资料来源：</w:t>
            </w:r>
            <w:r>
              <w:rPr>
                <w:spacing w:val="-22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菜百股份招股说明书，</w:t>
            </w:r>
            <w:r>
              <w:rPr>
                <w:spacing w:val="-7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同花顺，</w:t>
            </w:r>
            <w:r>
              <w:rPr>
                <w:spacing w:val="-8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西部证券研发中心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88"/>
          <w:footerReference w:type="default" r:id="rId89"/>
          <w:type w:val="continuous"/>
          <w:pgSz w:w="11907" w:h="16839"/>
          <w:pgMar w:top="1202" w:right="14" w:bottom="928" w:left="11" w:header="10" w:footer="21" w:gutter="0"/>
          <w:pgNumType w:start="24"/>
          <w:cols w:num="2" w:space="708" w:equalWidth="0">
            <w:col w:w="5960" w:space="100"/>
            <w:col w:w="5822" w:space="0"/>
          </w:cols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01" w:line="218" w:lineRule="auto"/>
        <w:ind w:left="3082"/>
        <w:outlineLvl w:val="6"/>
        <w:rPr>
          <w:sz w:val="31"/>
          <w:szCs w:val="31"/>
        </w:rPr>
      </w:pPr>
      <w:r>
        <w:rPr>
          <w:color w:val="C30F1B"/>
          <w:spacing w:val="2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二、</w:t>
      </w:r>
      <w:r>
        <w:rPr>
          <w:color w:val="C30F1B"/>
          <w:spacing w:val="-32"/>
          <w:sz w:val="31"/>
          <w:szCs w:val="31"/>
        </w:rPr>
        <w:t xml:space="preserve"> </w:t>
      </w:r>
      <w:r>
        <w:rPr>
          <w:color w:val="C30F1B"/>
          <w:spacing w:val="2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金价持续上行，需求仍在释放</w:t>
      </w:r>
    </w:p>
    <w:p>
      <w:pPr>
        <w:pStyle w:val="BodyText"/>
        <w:spacing w:before="165" w:line="212" w:lineRule="auto"/>
        <w:ind w:left="3074"/>
        <w:outlineLvl w:val="6"/>
        <w:rPr>
          <w:sz w:val="24"/>
          <w:szCs w:val="24"/>
        </w:rPr>
      </w:pPr>
      <w:r>
        <w:rPr>
          <w:rFonts w:ascii="Arial" w:eastAsia="Arial" w:hAnsi="Arial" w:cs="Arial"/>
          <w:b/>
          <w:bCs/>
          <w:color w:val="C30F1B"/>
          <w:spacing w:val="1"/>
          <w:sz w:val="24"/>
          <w:szCs w:val="24"/>
        </w:rPr>
        <w:t xml:space="preserve">2.1 </w:t>
      </w:r>
      <w:r>
        <w:rPr>
          <w:color w:val="C30F1B"/>
          <w:spacing w:val="1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金价持续上行黄金需求不断增长，</w:t>
      </w:r>
      <w:r>
        <w:rPr>
          <w:color w:val="C30F1B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国内珠宝消费仍以黄金为主</w:t>
      </w:r>
    </w:p>
    <w:p>
      <w:pPr>
        <w:pStyle w:val="BodyText"/>
        <w:spacing w:before="225" w:line="272" w:lineRule="auto"/>
        <w:ind w:left="3077" w:right="497" w:hanging="2"/>
        <w:jc w:val="both"/>
        <w:rPr>
          <w:sz w:val="21"/>
          <w:szCs w:val="21"/>
        </w:rPr>
      </w:pPr>
      <w:r>
        <w:rPr>
          <w:spacing w:val="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黄金本身具备商品和金融的双重属性，其交易市场也因此被分为实物消费市场与金融投</w:t>
      </w:r>
      <w:r>
        <w:rPr>
          <w:spacing w:val="3"/>
          <w:sz w:val="21"/>
          <w:szCs w:val="21"/>
        </w:rPr>
        <w:t xml:space="preserve">  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资市场。</w:t>
      </w:r>
      <w:r>
        <w:rPr>
          <w:spacing w:val="4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全球市场上黄金的定价通常与美元</w:t>
      </w:r>
      <w:r>
        <w:rPr>
          <w:spacing w:val="-2"/>
          <w:sz w:val="21"/>
          <w:szCs w:val="21"/>
        </w:rPr>
        <w:t>挂钩，</w:t>
      </w:r>
      <w:r>
        <w:rPr>
          <w:spacing w:val="-6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因此美联储的各种货币政策均会对国</w:t>
      </w:r>
      <w:r>
        <w:rPr>
          <w:spacing w:val="-2"/>
          <w:sz w:val="21"/>
          <w:szCs w:val="21"/>
        </w:rPr>
        <w:t xml:space="preserve">  </w:t>
      </w:r>
      <w:r>
        <w:rPr>
          <w:spacing w:val="-4"/>
          <w:sz w:val="21"/>
          <w:szCs w:val="21"/>
        </w:rPr>
        <w:t>际金价带来一定影响。</w:t>
      </w:r>
      <w:r>
        <w:rPr>
          <w:rFonts w:ascii="Arial" w:eastAsia="Arial" w:hAnsi="Arial" w:cs="Arial"/>
          <w:spacing w:val="-4"/>
          <w:sz w:val="21"/>
          <w:szCs w:val="21"/>
        </w:rPr>
        <w:t>2023</w:t>
      </w:r>
      <w:r>
        <w:rPr>
          <w:rFonts w:ascii="Arial" w:eastAsia="Arial" w:hAnsi="Arial" w:cs="Arial"/>
          <w:spacing w:val="28"/>
          <w:w w:val="10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年美联储多次降息，</w:t>
      </w:r>
      <w:r>
        <w:rPr>
          <w:spacing w:val="-20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推动伦敦现货黄金价格年内增长</w:t>
      </w:r>
      <w:r>
        <w:rPr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>12.8%</w:t>
      </w:r>
      <w:r>
        <w:rPr>
          <w:spacing w:val="-4"/>
          <w:sz w:val="21"/>
          <w:szCs w:val="21"/>
        </w:rPr>
        <w:t>，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上海黄金交易所（</w:t>
      </w:r>
      <w:r>
        <w:rPr>
          <w:rFonts w:ascii="Arial" w:eastAsia="Arial" w:hAnsi="Arial" w:cs="Arial"/>
          <w:spacing w:val="-1"/>
          <w:sz w:val="21"/>
          <w:szCs w:val="21"/>
        </w:rPr>
        <w:t>AU999</w:t>
      </w:r>
      <w:r>
        <w:rPr>
          <w:spacing w:val="-1"/>
          <w:sz w:val="21"/>
          <w:szCs w:val="21"/>
        </w:rPr>
        <w:t>）现货年内增长</w:t>
      </w:r>
      <w:r>
        <w:rPr>
          <w:spacing w:val="-29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16.3%</w:t>
      </w:r>
      <w:r>
        <w:rPr>
          <w:spacing w:val="-1"/>
          <w:sz w:val="21"/>
          <w:szCs w:val="21"/>
        </w:rPr>
        <w:t>，两年复合增</w:t>
      </w:r>
      <w:r>
        <w:rPr>
          <w:spacing w:val="-2"/>
          <w:sz w:val="21"/>
          <w:szCs w:val="21"/>
        </w:rPr>
        <w:t>速分别为</w:t>
      </w:r>
      <w:r>
        <w:rPr>
          <w:spacing w:val="-4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7.3%</w:t>
      </w:r>
      <w:r>
        <w:rPr>
          <w:spacing w:val="-2"/>
          <w:sz w:val="21"/>
          <w:szCs w:val="21"/>
        </w:rPr>
        <w:t>和</w:t>
      </w:r>
      <w:r>
        <w:rPr>
          <w:spacing w:val="-3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13.3%</w:t>
      </w:r>
      <w:r>
        <w:rPr>
          <w:spacing w:val="-2"/>
          <w:sz w:val="21"/>
          <w:szCs w:val="21"/>
        </w:rPr>
        <w:t>。</w:t>
      </w:r>
    </w:p>
    <w:p>
      <w:pPr>
        <w:pStyle w:val="BodyText"/>
        <w:spacing w:before="236" w:line="276" w:lineRule="auto"/>
        <w:ind w:left="3068" w:right="497"/>
        <w:jc w:val="both"/>
        <w:rPr>
          <w:sz w:val="21"/>
          <w:szCs w:val="21"/>
        </w:rPr>
      </w:pPr>
      <w:r>
        <w:rPr>
          <w:spacing w:val="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金价上行叠加疫后出行、婚庆需求逐渐恢复，黄金珠</w:t>
      </w:r>
      <w:r>
        <w:rPr>
          <w:spacing w:val="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宝等饰品的消费场景增多带动整体</w:t>
      </w:r>
      <w:r>
        <w:rPr>
          <w:spacing w:val="3"/>
          <w:sz w:val="21"/>
          <w:szCs w:val="21"/>
        </w:rPr>
        <w:t xml:space="preserve"> 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消费数据转好。</w:t>
      </w:r>
      <w:r>
        <w:rPr>
          <w:spacing w:val="-9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>2023</w:t>
      </w:r>
      <w:r>
        <w:rPr>
          <w:rFonts w:ascii="Arial" w:eastAsia="Arial" w:hAnsi="Arial" w:cs="Arial"/>
          <w:spacing w:val="42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年</w:t>
      </w:r>
      <w:r>
        <w:rPr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 xml:space="preserve">1-12  </w:t>
      </w:r>
      <w:r>
        <w:rPr>
          <w:spacing w:val="-4"/>
          <w:sz w:val="21"/>
          <w:szCs w:val="21"/>
        </w:rPr>
        <w:t>月，</w:t>
      </w:r>
      <w:r>
        <w:rPr>
          <w:spacing w:val="-37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金银珠宝类商品零售总额达</w:t>
      </w:r>
      <w:r>
        <w:rPr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 xml:space="preserve">3310.4  </w:t>
      </w:r>
      <w:r>
        <w:rPr>
          <w:spacing w:val="-4"/>
          <w:sz w:val="21"/>
          <w:szCs w:val="21"/>
        </w:rPr>
        <w:t>亿元，同比增长</w:t>
      </w:r>
      <w:r>
        <w:rPr>
          <w:spacing w:val="-4"/>
          <w:sz w:val="21"/>
          <w:szCs w:val="21"/>
        </w:rPr>
        <w:t xml:space="preserve">  </w:t>
      </w:r>
      <w:r>
        <w:rPr>
          <w:rFonts w:ascii="Arial" w:eastAsia="Arial" w:hAnsi="Arial" w:cs="Arial"/>
          <w:spacing w:val="-1"/>
          <w:sz w:val="21"/>
          <w:szCs w:val="21"/>
        </w:rPr>
        <w:t>13.3%</w:t>
      </w:r>
      <w:r>
        <w:rPr>
          <w:spacing w:val="-1"/>
          <w:sz w:val="21"/>
          <w:szCs w:val="21"/>
        </w:rPr>
        <w:t>，环比增长</w:t>
      </w:r>
      <w:r>
        <w:rPr>
          <w:spacing w:val="-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9.5%</w:t>
      </w:r>
      <w:r>
        <w:rPr>
          <w:spacing w:val="-1"/>
          <w:sz w:val="21"/>
          <w:szCs w:val="21"/>
        </w:rPr>
        <w:t>，两年复合增速达</w:t>
      </w:r>
      <w:r>
        <w:rPr>
          <w:spacing w:val="-28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4.3%</w:t>
      </w:r>
      <w:r>
        <w:rPr>
          <w:spacing w:val="-1"/>
          <w:sz w:val="21"/>
          <w:szCs w:val="21"/>
        </w:rPr>
        <w:t>，高于社零总额</w:t>
      </w:r>
      <w:r>
        <w:rPr>
          <w:spacing w:val="-2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3.4%</w:t>
      </w:r>
      <w:r>
        <w:rPr>
          <w:spacing w:val="-1"/>
          <w:sz w:val="21"/>
          <w:szCs w:val="21"/>
        </w:rPr>
        <w:t>的增速。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从需求上</w:t>
      </w:r>
      <w:r>
        <w:rPr>
          <w:spacing w:val="-1"/>
          <w:sz w:val="21"/>
          <w:szCs w:val="21"/>
        </w:rPr>
        <w:t xml:space="preserve">  </w:t>
      </w:r>
      <w:r>
        <w:rPr>
          <w:spacing w:val="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来看，</w:t>
      </w:r>
      <w:r>
        <w:rPr>
          <w:spacing w:val="-62"/>
          <w:sz w:val="21"/>
          <w:szCs w:val="21"/>
        </w:rPr>
        <w:t xml:space="preserve"> </w:t>
      </w:r>
      <w:r>
        <w:rPr>
          <w:spacing w:val="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国内黄金需求呈现“消费为主，投资为</w:t>
      </w:r>
      <w:r>
        <w:rPr>
          <w:spacing w:val="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辅”的结构。</w:t>
      </w:r>
      <w:r>
        <w:rPr>
          <w:spacing w:val="2"/>
          <w:sz w:val="21"/>
          <w:szCs w:val="21"/>
        </w:rPr>
        <w:t>但近年受到疫情对整体经济</w:t>
      </w:r>
      <w:r>
        <w:rPr>
          <w:spacing w:val="2"/>
          <w:sz w:val="21"/>
          <w:szCs w:val="21"/>
        </w:rPr>
        <w:t xml:space="preserve">  </w:t>
      </w:r>
      <w:r>
        <w:rPr>
          <w:spacing w:val="4"/>
          <w:sz w:val="21"/>
          <w:szCs w:val="21"/>
        </w:rPr>
        <w:t>环境的影响，珠宝首饰占黄金需求量的比重同比下降</w:t>
      </w:r>
      <w:r>
        <w:rPr>
          <w:spacing w:val="3"/>
          <w:sz w:val="21"/>
          <w:szCs w:val="21"/>
        </w:rPr>
        <w:t>，反观用于投资的金块与金币则同</w:t>
      </w:r>
      <w:r>
        <w:rPr>
          <w:spacing w:val="3"/>
          <w:sz w:val="21"/>
          <w:szCs w:val="21"/>
        </w:rPr>
        <w:t xml:space="preserve">  </w:t>
      </w:r>
      <w:r>
        <w:rPr>
          <w:spacing w:val="-2"/>
          <w:sz w:val="21"/>
          <w:szCs w:val="21"/>
        </w:rPr>
        <w:t>比上升。截至</w:t>
      </w:r>
      <w:r>
        <w:rPr>
          <w:spacing w:val="-2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2023</w:t>
      </w:r>
      <w:r>
        <w:rPr>
          <w:rFonts w:ascii="Arial" w:eastAsia="Arial" w:hAnsi="Arial" w:cs="Arial"/>
          <w:spacing w:val="1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</w:t>
      </w:r>
      <w:r>
        <w:rPr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9</w:t>
      </w:r>
      <w:r>
        <w:rPr>
          <w:rFonts w:ascii="Arial" w:eastAsia="Arial" w:hAnsi="Arial" w:cs="Arial"/>
          <w:spacing w:val="24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月，珠宝首饰</w:t>
      </w:r>
      <w:r>
        <w:rPr>
          <w:rFonts w:ascii="Arial" w:eastAsia="Arial" w:hAnsi="Arial" w:cs="Arial"/>
          <w:spacing w:val="-2"/>
          <w:sz w:val="21"/>
          <w:szCs w:val="21"/>
        </w:rPr>
        <w:t>/</w:t>
      </w:r>
      <w:r>
        <w:rPr>
          <w:spacing w:val="-2"/>
          <w:sz w:val="21"/>
          <w:szCs w:val="21"/>
        </w:rPr>
        <w:t>金</w:t>
      </w:r>
      <w:r>
        <w:rPr>
          <w:spacing w:val="-3"/>
          <w:sz w:val="21"/>
          <w:szCs w:val="21"/>
        </w:rPr>
        <w:t>块与金币消费占黄金总消费量的</w:t>
      </w:r>
      <w:r>
        <w:rPr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65.3%/34.7%</w:t>
      </w:r>
      <w:r>
        <w:rPr>
          <w:spacing w:val="-3"/>
          <w:sz w:val="21"/>
          <w:szCs w:val="21"/>
        </w:rPr>
        <w:t>，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金块与金币占比较上期环比提升</w:t>
      </w:r>
      <w:r>
        <w:rPr>
          <w:spacing w:val="-42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7.5pct</w:t>
      </w:r>
      <w:r>
        <w:rPr>
          <w:sz w:val="21"/>
          <w:szCs w:val="21"/>
        </w:rPr>
        <w:t>，同比提</w:t>
      </w:r>
      <w:r>
        <w:rPr>
          <w:spacing w:val="-1"/>
          <w:sz w:val="21"/>
          <w:szCs w:val="21"/>
        </w:rPr>
        <w:t>升</w:t>
      </w:r>
      <w:r>
        <w:rPr>
          <w:spacing w:val="-5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4.6pct</w:t>
      </w:r>
      <w:r>
        <w:rPr>
          <w:spacing w:val="-1"/>
          <w:sz w:val="21"/>
          <w:szCs w:val="21"/>
        </w:rPr>
        <w:t>。</w:t>
      </w:r>
    </w:p>
    <w:p>
      <w:pPr>
        <w:pStyle w:val="BodyText"/>
        <w:spacing w:before="208" w:line="220" w:lineRule="auto"/>
        <w:ind w:left="3106"/>
        <w:rPr>
          <w:sz w:val="18"/>
          <w:szCs w:val="18"/>
        </w:rPr>
        <w:sectPr>
          <w:headerReference w:type="default" r:id="rId90"/>
          <w:footerReference w:type="default" r:id="rId91"/>
          <w:type w:val="continuous"/>
          <w:pgSz w:w="11907" w:h="16839"/>
          <w:pgMar w:top="1202" w:right="14" w:bottom="928" w:left="11" w:header="10" w:footer="21" w:gutter="0"/>
          <w:pgNumType w:start="25"/>
          <w:cols w:num="1" w:space="708" w:equalWidth="0">
            <w:col w:w="11881" w:space="0"/>
          </w:cols>
        </w:sectPr>
      </w:pPr>
      <w:r>
        <w:rPr>
          <w:color w:val="0D0D0D"/>
          <w:spacing w:val="-5"/>
          <w:sz w:val="18"/>
          <w:szCs w:val="18"/>
        </w:rPr>
        <w:t>图</w:t>
      </w:r>
      <w:r>
        <w:rPr>
          <w:color w:val="0D0D0D"/>
          <w:spacing w:val="-25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5"/>
          <w:sz w:val="18"/>
          <w:szCs w:val="18"/>
        </w:rPr>
        <w:t>10</w:t>
      </w:r>
      <w:r>
        <w:rPr>
          <w:color w:val="0D0D0D"/>
          <w:spacing w:val="-5"/>
          <w:sz w:val="18"/>
          <w:szCs w:val="18"/>
        </w:rPr>
        <w:t>：黄金价格趋势</w:t>
      </w:r>
    </w:p>
    <w:p>
      <w:pPr>
        <w:spacing w:before="49" w:line="3475" w:lineRule="exact"/>
        <w:ind w:firstLine="3078"/>
      </w:pPr>
      <w:r>
        <w:rPr>
          <w:position w:val="-69"/>
        </w:rPr>
        <w:pict>
          <v:group id="_x0000_i1121" style="width:406.65pt;height:173.8pt;mso-position-horizontal-relative:char;mso-position-vertical-relative:line" coordorigin="0,0" coordsize="8132,3476" filled="f" stroked="f">
            <v:rect id="_x0000_s1122" style="width:8132;height:10;position:absolute" filled="t" fillcolor="black" stroked="f"/>
            <v:rect id="_x0000_s1123" style="width:8132;height:10;position:absolute;top:3466" filled="t" fillcolor="black" stroked="f"/>
            <w10:wrap type="none"/>
          </v:group>
        </w:pict>
      </w:r>
    </w:p>
    <w:p>
      <w:pPr>
        <w:pStyle w:val="BodyText"/>
        <w:spacing w:before="22" w:line="199" w:lineRule="auto"/>
        <w:ind w:left="3090"/>
        <w:rPr>
          <w:rFonts w:ascii="Arial" w:eastAsia="Arial" w:hAnsi="Arial" w:cs="Arial"/>
          <w:sz w:val="15"/>
          <w:szCs w:val="15"/>
        </w:rPr>
      </w:pPr>
      <w:r>
        <w:rPr>
          <w:spacing w:val="-3"/>
          <w:sz w:val="15"/>
          <w:szCs w:val="15"/>
        </w:rPr>
        <w:t>资料来源：</w:t>
      </w:r>
      <w:r>
        <w:rPr>
          <w:spacing w:val="-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同花顺，</w:t>
      </w:r>
      <w:r>
        <w:rPr>
          <w:spacing w:val="-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西部证券研发中心；注：数据观测</w:t>
      </w:r>
      <w:r>
        <w:rPr>
          <w:spacing w:val="-4"/>
          <w:sz w:val="15"/>
          <w:szCs w:val="15"/>
        </w:rPr>
        <w:t>区间位于</w:t>
      </w:r>
      <w:r>
        <w:rPr>
          <w:spacing w:val="-31"/>
          <w:sz w:val="15"/>
          <w:szCs w:val="15"/>
        </w:rPr>
        <w:t xml:space="preserve"> </w:t>
      </w:r>
      <w:r>
        <w:rPr>
          <w:rFonts w:ascii="Arial" w:eastAsia="Arial" w:hAnsi="Arial" w:cs="Arial"/>
          <w:spacing w:val="-4"/>
          <w:sz w:val="15"/>
          <w:szCs w:val="15"/>
        </w:rPr>
        <w:t>2018/1/1-2024/2/27</w:t>
      </w:r>
    </w:p>
    <w:p>
      <w:pPr>
        <w:spacing w:line="199" w:lineRule="auto"/>
        <w:rPr>
          <w:rFonts w:ascii="Arial" w:eastAsia="Arial" w:hAnsi="Arial" w:cs="Arial"/>
          <w:sz w:val="15"/>
          <w:szCs w:val="15"/>
        </w:rPr>
        <w:sectPr>
          <w:headerReference w:type="default" r:id="rId92"/>
          <w:footerReference w:type="default" r:id="rId93"/>
          <w:type w:val="nextPage"/>
          <w:pgSz w:w="11907" w:h="16839"/>
          <w:pgMar w:top="1202" w:right="14" w:bottom="928" w:left="11" w:header="10" w:footer="21" w:gutter="0"/>
          <w:pgNumType w:start="26"/>
          <w:cols w:num="1" w:space="708" w:equalWidth="0">
            <w:col w:w="11881" w:space="0"/>
          </w:cols>
          <w:titlePg w:val="0"/>
        </w:sectPr>
      </w:pPr>
    </w:p>
    <w:p>
      <w:pPr>
        <w:spacing w:before="2"/>
      </w:pPr>
      <w:r>
        <w:pict>
          <v:shape id="_x0000_s1124" style="width:257.85pt;height:0.5pt;margin-top:84.5pt;margin-left:33.96pt;mso-position-horizontal-relative:page;mso-position-vertical-relative:page;position:absolute;z-index:251784192" coordorigin="0,0" coordsize="5157,10" o:allowincell="f" path="m,9l5156,9l5156,l,l,9xe" filled="t" fillcolor="black" stroked="f"/>
        </w:pict>
      </w:r>
      <w:r>
        <w:pict>
          <v:shape id="_x0000_s1125" style="width:257.85pt;height:0.5pt;margin-top:272.33pt;margin-left:33.96pt;mso-position-horizontal-relative:page;mso-position-vertical-relative:page;position:absolute;z-index:251785216" coordorigin="0,0" coordsize="5157,10" o:allowincell="f" path="m,9l5156,9l5156,l,l,9xe" filled="t" fillcolor="black" stroked="f"/>
        </w:pict>
      </w:r>
      <w:r>
        <w:pict>
          <v:shape id="_x0000_s1126" style="width:257.7pt;height:0.5pt;margin-top:84.5pt;margin-left:303.53pt;mso-position-horizontal-relative:page;mso-position-vertical-relative:page;position:absolute;z-index:251789312" coordorigin="0,0" coordsize="5154,10" o:allowincell="f" path="m,9l5153,9l5153,l,l,9xe" filled="t" fillcolor="black" stroked="f"/>
        </w:pict>
      </w:r>
      <w:r>
        <w:pict>
          <v:shape id="_x0000_s1127" style="width:257.7pt;height:0.5pt;margin-top:272.33pt;margin-left:303.53pt;mso-position-horizontal-relative:page;mso-position-vertical-relative:page;position:absolute;z-index:251788288" coordorigin="0,0" coordsize="5154,10" o:allowincell="f" path="m,9l5153,9l5153,l,l,9xe" filled="t" fillcolor="black" stroked="f"/>
        </w:pict>
      </w:r>
      <w:r>
        <w:pict>
          <v:shape id="_x0000_s1128" style="width:3.55pt;height:112.65pt;margin-top:131.08pt;margin-left:336.2pt;mso-position-horizontal-relative:page;mso-position-vertical-relative:page;position:absolute;z-index:251777024" coordorigin="0,0" coordsize="70,2253" o:allowincell="f" path="m2,2252l2,3m2,1791l70,1791m2,1349l70,1349m2,906l70,906m2,445l70,445m2,3l70,3e" filled="f" strokecolor="black" strokeweight="0.3pt"/>
        </w:pict>
      </w:r>
      <w:r>
        <w:pict>
          <v:shape id="_x0000_s1129" style="width:222pt;height:29.5pt;margin-top:150.15pt;margin-left:336.06pt;mso-position-horizontal-relative:page;mso-position-vertical-relative:page;position:absolute;z-index:251778048" coordorigin="0,0" coordsize="4440,590" o:allowincell="f" path="m22,160l106,256l190,256l275,333l342,410l426,333l510,275l594,275l679,410l763,237l830,217l914,256l999,390l1083,333l1167,217l1251,179l1318,83l1403,44l1487,25l1571,64l1655,121l1739,83l1807,121l1891,198l1975,314l2059,102l2144,121l2228,563l2295,448l2379,314l2463,294l2548,237l2632,275l2699,352l2783,371l2868,275l2952,237l3036,217l3120,102l3188,140l3272,467l3356,314l3440,352l3524,314l3608,314l3676,256l3760,275l3844,294l3928,102l4013,217l4097,294l4164,352l4248,179l4333,237l4417,390e" filled="f" strokecolor="#c30f1b" strokeweight="2.4pt">
            <v:stroke endcap="round"/>
          </v:shape>
        </w:pict>
      </w:r>
      <w:r>
        <w:pict>
          <v:shape id="_x0000_s1130" style="width:67.1pt;height:18.95pt;margin-top:202.06pt;margin-left:336.06pt;mso-position-horizontal-relative:page;mso-position-vertical-relative:page;position:absolute;z-index:251780096" coordorigin="0,0" coordsize="1341,379" o:allowincell="f" path="m22,275l106,179l190,179l275,121l342,25l426,121l510,160l594,160l679,44l763,198l830,237l914,179l999,44l1083,102l1167,237l1251,275l1318,352e" filled="f" strokecolor="#ba9873" strokeweight="2.4pt">
            <v:stroke endcap="round"/>
          </v:shape>
        </w:pict>
      </w:r>
      <w:r>
        <w:pict>
          <v:shape id="_x0000_s1131" style="width:144.55pt;height:26.6pt;margin-top:195.33pt;margin-left:413.51pt;mso-position-horizontal-relative:page;mso-position-vertical-relative:page;position:absolute;z-index:251779072" coordorigin="0,0" coordsize="2891,532" o:allowincell="f" path="m22,506l106,448l190,506l258,467l342,390l426,275l510,487l594,467l679,25l746,121l830,275l914,294l999,352l1083,314l1150,237l1234,217l1318,314l1403,333l1487,371l1571,487l1638,448l1723,121l1807,275l1891,237l1975,275l2059,275l2127,333l2211,294l2295,275l2379,467l2463,371l2548,294l2615,237l2699,390l2783,352l2868,179e" filled="f" strokecolor="#ba9873" strokeweight="2.4pt">
            <v:stroke endcap="round"/>
          </v:shape>
        </w:pict>
      </w:r>
      <w:r>
        <w:pict>
          <v:shape id="_x0000_s1132" style="width:221.6pt;height:3.05pt;margin-top:240.83pt;margin-left:336.2pt;mso-position-horizontal-relative:page;mso-position-vertical-relative:page;position:absolute;z-index:251781120" coordorigin="0,0" coordsize="4432,60" o:allowincell="f" path="m2,57l70,57m2,57l4431,57m2,l2,57m760,l760,57m1518,l1518,57m2292,l2292,57m3050,l3050,57m3808,l3808,57e" filled="f" strokecolor="black" strokeweight="0.3pt"/>
        </w:pict>
      </w:r>
      <w:r>
        <w:pict>
          <v:shape id="_x0000_s1133" style="width:14.9pt;height:5.45pt;margin-top:218.4pt;margin-left:400.88pt;mso-position-horizontal-relative:page;mso-position-vertical-relative:page;position:absolute;z-index:251790336" coordorigin="0,0" coordsize="297,108" o:allowincell="f" path="m22,25l106,83l190,83l275,44e" filled="f" strokecolor="#ba9873" strokeweight="2.4pt">
            <v:stroke endcap="round"/>
          </v:shape>
        </w:pict>
      </w:r>
      <w:r>
        <w:pict>
          <v:shape id="_x0000_s1134" style="width:257.85pt;height:0.5pt;margin-top:441.55pt;margin-left:33.96pt;mso-position-horizontal-relative:page;mso-position-vertical-relative:page;position:absolute;z-index:251782144" coordorigin="0,0" coordsize="5157,10" o:allowincell="f" path="m,9l5156,9l5156,l,l,9xe" filled="t" fillcolor="black" stroked="f"/>
        </w:pict>
      </w:r>
      <w:r>
        <w:pict>
          <v:shape id="_x0000_s1135" style="width:257.85pt;height:0.5pt;margin-top:607.63pt;margin-left:33.96pt;mso-position-horizontal-relative:page;mso-position-vertical-relative:page;position:absolute;z-index:251786240" coordorigin="0,0" coordsize="5157,10" o:allowincell="f" path="m,9l5156,9l5156,l,l,9xe" filled="t" fillcolor="black" stroked="f"/>
        </w:pict>
      </w:r>
      <w:r>
        <w:pict>
          <v:shape id="_x0000_s1136" style="width:257.85pt;height:0.5pt;margin-top:441.55pt;margin-left:303.53pt;mso-position-horizontal-relative:page;mso-position-vertical-relative:page;position:absolute;z-index:251783168" coordorigin="0,0" coordsize="5157,10" o:allowincell="f" path="m,9l5156,9l5156,l,l,9xe" filled="t" fillcolor="black" stroked="f"/>
        </w:pict>
      </w:r>
      <w:r>
        <w:pict>
          <v:shape id="_x0000_s1137" style="width:257.85pt;height:0.5pt;margin-top:607.63pt;margin-left:303.53pt;mso-position-horizontal-relative:page;mso-position-vertical-relative:page;position:absolute;z-index:251787264" coordorigin="0,0" coordsize="5157,10" o:allowincell="f" path="m,9l5156,9l5156,l,l,9xe" filled="t" fillcolor="black" stroked="f"/>
        </w:pict>
      </w:r>
    </w:p>
    <w:p>
      <w:pPr>
        <w:sectPr>
          <w:headerReference w:type="default" r:id="rId94"/>
          <w:footerReference w:type="default" r:id="rId95"/>
          <w:pgSz w:w="11907" w:h="16839"/>
          <w:pgMar w:top="1202" w:right="14" w:bottom="928" w:left="11" w:header="10" w:footer="21" w:gutter="0"/>
          <w:pgNumType w:start="27"/>
          <w:cols w:num="1" w:space="708" w:equalWidth="0">
            <w:col w:w="11881" w:space="0"/>
          </w:cols>
        </w:sectPr>
      </w:pPr>
    </w:p>
    <w:p>
      <w:pPr>
        <w:pStyle w:val="BodyText"/>
        <w:spacing w:before="35" w:line="216" w:lineRule="auto"/>
        <w:ind w:left="697"/>
        <w:rPr>
          <w:sz w:val="18"/>
          <w:szCs w:val="18"/>
        </w:rPr>
      </w:pPr>
      <w:r>
        <w:rPr>
          <w:color w:val="0D0D0D"/>
          <w:spacing w:val="-4"/>
          <w:sz w:val="18"/>
          <w:szCs w:val="18"/>
        </w:rPr>
        <w:t>图</w:t>
      </w:r>
      <w:r>
        <w:rPr>
          <w:color w:val="0D0D0D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4"/>
          <w:sz w:val="18"/>
          <w:szCs w:val="18"/>
        </w:rPr>
        <w:t>11</w:t>
      </w:r>
      <w:r>
        <w:rPr>
          <w:color w:val="0D0D0D"/>
          <w:spacing w:val="-4"/>
          <w:sz w:val="18"/>
          <w:szCs w:val="18"/>
        </w:rPr>
        <w:t>：黄金珠宝社零数据略优于全消费品类</w:t>
      </w:r>
    </w:p>
    <w:p>
      <w:pPr>
        <w:pStyle w:val="BodyText"/>
        <w:spacing w:before="113" w:line="235" w:lineRule="auto"/>
        <w:ind w:left="1548"/>
        <w:rPr>
          <w:sz w:val="19"/>
          <w:szCs w:val="19"/>
        </w:rPr>
      </w:pPr>
      <w:r>
        <w:rPr>
          <w:position w:val="-2"/>
          <w:sz w:val="19"/>
          <w:szCs w:val="19"/>
        </w:rPr>
        <w:drawing>
          <wp:inline distT="0" distB="0" distL="0" distR="0">
            <wp:extent cx="338888" cy="97125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8888" cy="9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sz w:val="19"/>
          <w:szCs w:val="19"/>
        </w:rPr>
        <w:t>金银珠宝类商品零售类值</w:t>
      </w:r>
      <w:r>
        <w:rPr>
          <w:rFonts w:ascii="Arial" w:eastAsia="Arial" w:hAnsi="Arial" w:cs="Arial"/>
          <w:spacing w:val="7"/>
          <w:sz w:val="19"/>
          <w:szCs w:val="19"/>
        </w:rPr>
        <w:t>:</w:t>
      </w:r>
      <w:r>
        <w:rPr>
          <w:spacing w:val="7"/>
          <w:sz w:val="19"/>
          <w:szCs w:val="19"/>
        </w:rPr>
        <w:t>当月值</w:t>
      </w:r>
    </w:p>
    <w:p>
      <w:pPr>
        <w:pStyle w:val="BodyText"/>
        <w:spacing w:before="13" w:line="199" w:lineRule="auto"/>
        <w:ind w:left="1582"/>
        <w:rPr>
          <w:sz w:val="19"/>
          <w:szCs w:val="19"/>
        </w:rPr>
      </w:pPr>
      <w:r>
        <w:rPr>
          <w:position w:val="3"/>
          <w:sz w:val="19"/>
          <w:szCs w:val="19"/>
        </w:rPr>
        <w:drawing>
          <wp:inline distT="0" distB="0" distL="0" distR="0">
            <wp:extent cx="296040" cy="30340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96040" cy="3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3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社会消费品零售总额</w:t>
      </w:r>
      <w:r>
        <w:rPr>
          <w:rFonts w:ascii="Arial" w:eastAsia="Arial" w:hAnsi="Arial" w:cs="Arial"/>
          <w:spacing w:val="5"/>
          <w:sz w:val="19"/>
          <w:szCs w:val="19"/>
        </w:rPr>
        <w:t>:</w:t>
      </w:r>
      <w:r>
        <w:rPr>
          <w:spacing w:val="5"/>
          <w:sz w:val="19"/>
          <w:szCs w:val="19"/>
        </w:rPr>
        <w:t>当月同比</w:t>
      </w:r>
    </w:p>
    <w:p>
      <w:pPr>
        <w:pStyle w:val="BodyText"/>
        <w:spacing w:line="291" w:lineRule="exact"/>
        <w:ind w:left="1041"/>
        <w:rPr>
          <w:rFonts w:ascii="Calibri" w:eastAsia="Calibri" w:hAnsi="Calibri" w:cs="Calibri"/>
          <w:sz w:val="19"/>
          <w:szCs w:val="19"/>
        </w:rPr>
      </w:pPr>
      <w:r>
        <w:rPr>
          <w:rFonts w:ascii="SimSun" w:eastAsia="SimSun" w:hAnsi="SimSun" w:cs="SimSun"/>
          <w:spacing w:val="5"/>
          <w:position w:val="4"/>
          <w:sz w:val="19"/>
          <w:szCs w:val="19"/>
        </w:rPr>
        <w:t>亿元</w:t>
      </w:r>
      <w:r>
        <w:rPr>
          <w:rFonts w:ascii="SimSun" w:eastAsia="SimSun" w:hAnsi="SimSun" w:cs="SimSun"/>
          <w:spacing w:val="68"/>
          <w:position w:val="4"/>
          <w:sz w:val="19"/>
          <w:szCs w:val="19"/>
        </w:rPr>
        <w:t xml:space="preserve"> </w:t>
      </w:r>
      <w:r>
        <w:rPr>
          <w:rFonts w:ascii="SimSun" w:eastAsia="SimSun" w:hAnsi="SimSun" w:cs="SimSun"/>
          <w:strike/>
          <w:spacing w:val="21"/>
          <w:position w:val="4"/>
          <w:sz w:val="19"/>
          <w:szCs w:val="19"/>
        </w:rPr>
        <w:t xml:space="preserve">    </w:t>
      </w:r>
      <w:r>
        <w:rPr>
          <w:rFonts w:ascii="SimSun" w:eastAsia="SimSun" w:hAnsi="SimSun" w:cs="SimSun"/>
          <w:spacing w:val="-45"/>
          <w:position w:val="4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金银珠宝类商品零售类值</w:t>
      </w:r>
      <w:r>
        <w:rPr>
          <w:rFonts w:ascii="Arial" w:eastAsia="Arial" w:hAnsi="Arial" w:cs="Arial"/>
          <w:spacing w:val="5"/>
          <w:sz w:val="19"/>
          <w:szCs w:val="19"/>
        </w:rPr>
        <w:t>:</w:t>
      </w:r>
      <w:r>
        <w:rPr>
          <w:spacing w:val="5"/>
          <w:sz w:val="19"/>
          <w:szCs w:val="19"/>
        </w:rPr>
        <w:t>当月同比</w:t>
      </w:r>
      <w:r>
        <w:rPr>
          <w:spacing w:val="21"/>
          <w:sz w:val="19"/>
          <w:szCs w:val="19"/>
        </w:rPr>
        <w:t xml:space="preserve">  </w:t>
      </w:r>
      <w:r>
        <w:rPr>
          <w:rFonts w:ascii="Calibri" w:eastAsia="Calibri" w:hAnsi="Calibri" w:cs="Calibri"/>
          <w:spacing w:val="5"/>
          <w:position w:val="5"/>
          <w:sz w:val="19"/>
          <w:szCs w:val="19"/>
        </w:rPr>
        <w:t>%</w:t>
      </w:r>
    </w:p>
    <w:p>
      <w:pPr>
        <w:spacing w:line="60" w:lineRule="exact"/>
      </w:pPr>
    </w:p>
    <w:tbl>
      <w:tblPr>
        <w:tblStyle w:val="TableNormal4"/>
        <w:tblW w:w="4946" w:type="dxa"/>
        <w:tblInd w:w="75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11"/>
        <w:gridCol w:w="4125"/>
        <w:gridCol w:w="410"/>
      </w:tblGrid>
      <w:tr>
        <w:tblPrEx>
          <w:tblW w:w="4946" w:type="dxa"/>
          <w:tblInd w:w="75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87"/>
        </w:trPr>
        <w:tc>
          <w:tcPr>
            <w:tcW w:w="411" w:type="dxa"/>
            <w:vAlign w:val="top"/>
          </w:tcPr>
          <w:p>
            <w:pPr>
              <w:spacing w:line="199" w:lineRule="auto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400</w:t>
            </w:r>
          </w:p>
          <w:p>
            <w:pPr>
              <w:spacing w:before="267" w:line="199" w:lineRule="auto"/>
              <w:ind w:left="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320</w:t>
            </w:r>
          </w:p>
          <w:p>
            <w:pPr>
              <w:spacing w:before="267" w:line="199" w:lineRule="auto"/>
              <w:ind w:left="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240</w:t>
            </w:r>
          </w:p>
          <w:p>
            <w:pPr>
              <w:spacing w:before="267" w:line="199" w:lineRule="auto"/>
              <w:ind w:left="1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160</w:t>
            </w:r>
          </w:p>
          <w:p>
            <w:pPr>
              <w:spacing w:before="267" w:line="199" w:lineRule="auto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80</w:t>
            </w:r>
          </w:p>
          <w:p>
            <w:pPr>
              <w:spacing w:before="267" w:line="134" w:lineRule="exact"/>
              <w:ind w:left="22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3"/>
                <w:sz w:val="19"/>
                <w:szCs w:val="19"/>
              </w:rPr>
              <w:t>0</w:t>
            </w:r>
          </w:p>
        </w:tc>
        <w:tc>
          <w:tcPr>
            <w:tcW w:w="4125" w:type="dxa"/>
            <w:vAlign w:val="top"/>
          </w:tcPr>
          <w:p>
            <w:pPr>
              <w:spacing w:before="84" w:line="2249" w:lineRule="exact"/>
              <w:ind w:firstLine="84"/>
            </w:pPr>
            <w:r>
              <w:rPr>
                <w:position w:val="-44"/>
              </w:rPr>
              <w:drawing>
                <wp:inline distT="0" distB="0" distL="0" distR="0">
                  <wp:extent cx="2514441" cy="1427772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441" cy="1427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0" w:type="dxa"/>
            <w:vAlign w:val="top"/>
          </w:tcPr>
          <w:p>
            <w:pPr>
              <w:spacing w:line="199" w:lineRule="auto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100</w:t>
            </w:r>
          </w:p>
          <w:p>
            <w:pPr>
              <w:spacing w:before="267" w:line="199" w:lineRule="auto"/>
              <w:ind w:left="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70</w:t>
            </w:r>
          </w:p>
          <w:p>
            <w:pPr>
              <w:spacing w:before="267" w:line="199" w:lineRule="auto"/>
              <w:ind w:left="8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40</w:t>
            </w:r>
          </w:p>
          <w:p>
            <w:pPr>
              <w:spacing w:before="267" w:line="199" w:lineRule="auto"/>
              <w:ind w:left="1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10</w:t>
            </w:r>
          </w:p>
          <w:p>
            <w:pPr>
              <w:spacing w:before="267" w:line="199" w:lineRule="auto"/>
              <w:ind w:left="8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-20</w:t>
            </w:r>
          </w:p>
          <w:p>
            <w:pPr>
              <w:spacing w:before="267" w:line="134" w:lineRule="exact"/>
              <w:ind w:left="8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3"/>
                <w:sz w:val="19"/>
                <w:szCs w:val="19"/>
              </w:rPr>
              <w:t>-50</w:t>
            </w:r>
          </w:p>
        </w:tc>
      </w:tr>
    </w:tbl>
    <w:p>
      <w:pPr>
        <w:spacing w:before="91" w:line="199" w:lineRule="auto"/>
        <w:ind w:left="92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3"/>
          <w:sz w:val="19"/>
          <w:szCs w:val="19"/>
        </w:rPr>
        <w:t>2018-03     2019-09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    </w:t>
      </w:r>
      <w:r>
        <w:rPr>
          <w:rFonts w:ascii="Arial" w:eastAsia="Arial" w:hAnsi="Arial" w:cs="Arial"/>
          <w:spacing w:val="3"/>
          <w:sz w:val="19"/>
          <w:szCs w:val="19"/>
        </w:rPr>
        <w:t>2021-03</w:t>
      </w:r>
      <w:r>
        <w:rPr>
          <w:rFonts w:ascii="Arial" w:eastAsia="Arial" w:hAnsi="Arial" w:cs="Arial"/>
          <w:spacing w:val="7"/>
          <w:sz w:val="19"/>
          <w:szCs w:val="19"/>
        </w:rPr>
        <w:t xml:space="preserve">     </w:t>
      </w:r>
      <w:r>
        <w:rPr>
          <w:rFonts w:ascii="Arial" w:eastAsia="Arial" w:hAnsi="Arial" w:cs="Arial"/>
          <w:spacing w:val="3"/>
          <w:sz w:val="19"/>
          <w:szCs w:val="19"/>
        </w:rPr>
        <w:t>2022-09</w:t>
      </w:r>
    </w:p>
    <w:p>
      <w:pPr>
        <w:pStyle w:val="BodyText"/>
        <w:spacing w:before="201" w:line="186" w:lineRule="auto"/>
        <w:ind w:left="680"/>
        <w:rPr>
          <w:sz w:val="15"/>
          <w:szCs w:val="15"/>
        </w:rPr>
      </w:pPr>
      <w:r>
        <w:rPr>
          <w:spacing w:val="-9"/>
          <w:sz w:val="15"/>
          <w:szCs w:val="15"/>
        </w:rPr>
        <w:t>资料来源：</w:t>
      </w:r>
      <w:r>
        <w:rPr>
          <w:spacing w:val="-9"/>
          <w:sz w:val="15"/>
          <w:szCs w:val="15"/>
        </w:rPr>
        <w:t xml:space="preserve"> </w:t>
      </w:r>
      <w:r>
        <w:rPr>
          <w:spacing w:val="-9"/>
          <w:sz w:val="15"/>
          <w:szCs w:val="15"/>
        </w:rPr>
        <w:t>同花顺，</w:t>
      </w:r>
      <w:r>
        <w:rPr>
          <w:spacing w:val="-9"/>
          <w:sz w:val="15"/>
          <w:szCs w:val="15"/>
        </w:rPr>
        <w:t xml:space="preserve"> </w:t>
      </w:r>
      <w:r>
        <w:rPr>
          <w:spacing w:val="-9"/>
          <w:sz w:val="15"/>
          <w:szCs w:val="15"/>
        </w:rPr>
        <w:t>西部证券研发中心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6" w:lineRule="auto"/>
        <w:ind w:left="28"/>
        <w:rPr>
          <w:sz w:val="18"/>
          <w:szCs w:val="18"/>
        </w:rPr>
      </w:pPr>
      <w:r>
        <w:rPr>
          <w:color w:val="0D0D0D"/>
          <w:spacing w:val="-4"/>
          <w:sz w:val="18"/>
          <w:szCs w:val="18"/>
        </w:rPr>
        <w:t>图</w:t>
      </w:r>
      <w:r>
        <w:rPr>
          <w:color w:val="0D0D0D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4"/>
          <w:sz w:val="18"/>
          <w:szCs w:val="18"/>
        </w:rPr>
        <w:t>12</w:t>
      </w:r>
      <w:r>
        <w:rPr>
          <w:color w:val="0D0D0D"/>
          <w:spacing w:val="-4"/>
          <w:sz w:val="18"/>
          <w:szCs w:val="18"/>
        </w:rPr>
        <w:t>：中国黄金需求结构情况</w:t>
      </w:r>
    </w:p>
    <w:p>
      <w:pPr>
        <w:pStyle w:val="BodyText"/>
        <w:spacing w:before="263" w:line="228" w:lineRule="auto"/>
        <w:ind w:left="532"/>
        <w:rPr>
          <w:sz w:val="21"/>
          <w:szCs w:val="21"/>
        </w:rPr>
      </w:pPr>
      <w:r>
        <w:rPr>
          <w:position w:val="4"/>
          <w:sz w:val="21"/>
          <w:szCs w:val="21"/>
        </w:rPr>
        <w:drawing>
          <wp:inline distT="0" distB="0" distL="0" distR="0">
            <wp:extent cx="306511" cy="32555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06511" cy="3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9"/>
          <w:sz w:val="21"/>
          <w:szCs w:val="21"/>
        </w:rPr>
        <w:t xml:space="preserve"> </w:t>
      </w:r>
      <w:r>
        <w:rPr>
          <w:spacing w:val="-23"/>
          <w:sz w:val="21"/>
          <w:szCs w:val="21"/>
        </w:rPr>
        <w:t>珠宝首饰占比（</w:t>
      </w:r>
      <w:r>
        <w:rPr>
          <w:rFonts w:ascii="Arial" w:eastAsia="Arial" w:hAnsi="Arial" w:cs="Arial"/>
          <w:spacing w:val="-23"/>
          <w:sz w:val="21"/>
          <w:szCs w:val="21"/>
        </w:rPr>
        <w:t>%</w:t>
      </w:r>
      <w:r>
        <w:rPr>
          <w:spacing w:val="-23"/>
          <w:sz w:val="21"/>
          <w:szCs w:val="21"/>
        </w:rPr>
        <w:t>）</w:t>
      </w:r>
      <w:r>
        <w:rPr>
          <w:spacing w:val="-64"/>
          <w:sz w:val="21"/>
          <w:szCs w:val="21"/>
        </w:rPr>
        <w:t xml:space="preserve"> </w:t>
      </w:r>
      <w:r>
        <w:rPr>
          <w:position w:val="4"/>
          <w:sz w:val="21"/>
          <w:szCs w:val="21"/>
        </w:rPr>
        <w:drawing>
          <wp:inline distT="0" distB="0" distL="0" distR="0">
            <wp:extent cx="295819" cy="32555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95819" cy="3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5"/>
          <w:sz w:val="21"/>
          <w:szCs w:val="21"/>
        </w:rPr>
        <w:t xml:space="preserve"> </w:t>
      </w:r>
      <w:r>
        <w:rPr>
          <w:spacing w:val="-23"/>
          <w:sz w:val="21"/>
          <w:szCs w:val="21"/>
        </w:rPr>
        <w:t>金块与金币占比（</w:t>
      </w:r>
      <w:r>
        <w:rPr>
          <w:rFonts w:ascii="Arial" w:eastAsia="Arial" w:hAnsi="Arial" w:cs="Arial"/>
          <w:spacing w:val="-23"/>
          <w:sz w:val="21"/>
          <w:szCs w:val="21"/>
        </w:rPr>
        <w:t>%</w:t>
      </w:r>
      <w:r>
        <w:rPr>
          <w:spacing w:val="-23"/>
          <w:sz w:val="21"/>
          <w:szCs w:val="21"/>
        </w:rPr>
        <w:t>）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60" w:line="452" w:lineRule="exact"/>
        <w:ind w:left="6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15"/>
          <w:position w:val="21"/>
          <w:sz w:val="21"/>
          <w:szCs w:val="21"/>
        </w:rPr>
        <w:t>100%</w:t>
      </w:r>
    </w:p>
    <w:p>
      <w:pPr>
        <w:spacing w:line="197" w:lineRule="auto"/>
        <w:ind w:left="148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12"/>
          <w:sz w:val="21"/>
          <w:szCs w:val="21"/>
        </w:rPr>
        <w:t>80%</w:t>
      </w:r>
    </w:p>
    <w:p>
      <w:pPr>
        <w:spacing w:before="253" w:line="198" w:lineRule="auto"/>
        <w:ind w:left="147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11"/>
          <w:sz w:val="21"/>
          <w:szCs w:val="21"/>
        </w:rPr>
        <w:t>60%</w:t>
      </w:r>
    </w:p>
    <w:p>
      <w:pPr>
        <w:spacing w:before="254" w:line="198" w:lineRule="auto"/>
        <w:ind w:left="142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10"/>
          <w:sz w:val="21"/>
          <w:szCs w:val="21"/>
        </w:rPr>
        <w:t>40%</w:t>
      </w:r>
    </w:p>
    <w:p>
      <w:pPr>
        <w:spacing w:before="253" w:line="198" w:lineRule="auto"/>
        <w:ind w:left="145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11"/>
          <w:sz w:val="21"/>
          <w:szCs w:val="21"/>
        </w:rPr>
        <w:t>20%</w:t>
      </w:r>
    </w:p>
    <w:p>
      <w:pPr>
        <w:spacing w:before="255" w:line="197" w:lineRule="auto"/>
        <w:ind w:left="248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9"/>
          <w:sz w:val="21"/>
          <w:szCs w:val="21"/>
        </w:rPr>
        <w:t>0%</w:t>
      </w:r>
    </w:p>
    <w:p>
      <w:pPr>
        <w:spacing w:before="46" w:line="198" w:lineRule="auto"/>
        <w:ind w:left="39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12"/>
          <w:sz w:val="21"/>
          <w:szCs w:val="21"/>
        </w:rPr>
        <w:t>2010/3    2012/7   2014/11   2017/3    2019/7   2021/11</w:t>
      </w:r>
    </w:p>
    <w:p>
      <w:pPr>
        <w:pStyle w:val="BodyText"/>
        <w:spacing w:before="237" w:line="186" w:lineRule="auto"/>
        <w:ind w:left="12"/>
        <w:rPr>
          <w:sz w:val="15"/>
          <w:szCs w:val="15"/>
        </w:rPr>
      </w:pPr>
      <w:r>
        <w:rPr>
          <w:spacing w:val="-6"/>
          <w:sz w:val="15"/>
          <w:szCs w:val="15"/>
        </w:rPr>
        <w:t>资料来源：</w:t>
      </w:r>
      <w:r>
        <w:rPr>
          <w:spacing w:val="-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同花顺，</w:t>
      </w:r>
      <w:r>
        <w:rPr>
          <w:spacing w:val="-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中国黄金协会，西部证券</w:t>
      </w:r>
      <w:r>
        <w:rPr>
          <w:spacing w:val="-7"/>
          <w:sz w:val="15"/>
          <w:szCs w:val="15"/>
        </w:rPr>
        <w:t>研发中心</w:t>
      </w:r>
    </w:p>
    <w:p>
      <w:pPr>
        <w:spacing w:line="186" w:lineRule="auto"/>
        <w:rPr>
          <w:sz w:val="15"/>
          <w:szCs w:val="15"/>
        </w:rPr>
        <w:sectPr>
          <w:headerReference w:type="default" r:id="rId101"/>
          <w:footerReference w:type="default" r:id="rId102"/>
          <w:type w:val="continuous"/>
          <w:pgSz w:w="11907" w:h="16839"/>
          <w:pgMar w:top="1202" w:right="14" w:bottom="928" w:left="11" w:header="10" w:footer="21" w:gutter="0"/>
          <w:pgNumType w:start="28"/>
          <w:cols w:num="2" w:space="708" w:equalWidth="0">
            <w:col w:w="5960" w:space="100"/>
            <w:col w:w="5822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9" w:line="276" w:lineRule="auto"/>
        <w:ind w:left="3074" w:right="660" w:firstLine="26"/>
        <w:jc w:val="both"/>
        <w:rPr>
          <w:sz w:val="21"/>
          <w:szCs w:val="21"/>
        </w:rPr>
      </w:pPr>
      <w:r>
        <w:rPr>
          <w:spacing w:val="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中国珠宝首饰消费仍以黄金为主，市场未来增</w:t>
      </w:r>
      <w:r>
        <w:rPr>
          <w:spacing w:val="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长空间广阔。</w:t>
      </w:r>
      <w:r>
        <w:rPr>
          <w:spacing w:val="3"/>
          <w:sz w:val="21"/>
          <w:szCs w:val="21"/>
        </w:rPr>
        <w:t>据欧睿数据，中国黄金珠宝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市场规模</w:t>
      </w:r>
      <w:r>
        <w:rPr>
          <w:spacing w:val="-4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 xml:space="preserve">2023 </w:t>
      </w:r>
      <w:r>
        <w:rPr>
          <w:spacing w:val="-5"/>
          <w:sz w:val="21"/>
          <w:szCs w:val="21"/>
        </w:rPr>
        <w:t>年可达</w:t>
      </w:r>
      <w:r>
        <w:rPr>
          <w:spacing w:val="-4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 xml:space="preserve">8413 </w:t>
      </w:r>
      <w:r>
        <w:rPr>
          <w:spacing w:val="-5"/>
          <w:sz w:val="21"/>
          <w:szCs w:val="21"/>
        </w:rPr>
        <w:t>亿元，</w:t>
      </w:r>
      <w:r>
        <w:rPr>
          <w:spacing w:val="2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同比增长</w:t>
      </w:r>
      <w:r>
        <w:rPr>
          <w:spacing w:val="-2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>10.2%</w:t>
      </w:r>
      <w:r>
        <w:rPr>
          <w:spacing w:val="-5"/>
          <w:sz w:val="21"/>
          <w:szCs w:val="21"/>
        </w:rPr>
        <w:t>，预计到</w:t>
      </w:r>
      <w:r>
        <w:rPr>
          <w:spacing w:val="-4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 xml:space="preserve">2028 </w:t>
      </w:r>
      <w:r>
        <w:rPr>
          <w:spacing w:val="-5"/>
          <w:sz w:val="21"/>
          <w:szCs w:val="21"/>
        </w:rPr>
        <w:t>年可突破</w:t>
      </w:r>
      <w:r>
        <w:rPr>
          <w:spacing w:val="-3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>1</w:t>
      </w:r>
      <w:r>
        <w:rPr>
          <w:rFonts w:ascii="Arial" w:eastAsia="Arial" w:hAnsi="Arial" w:cs="Arial"/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万亿元，</w:t>
      </w:r>
      <w:r>
        <w:rPr>
          <w:rFonts w:ascii="Arial" w:eastAsia="Arial" w:hAnsi="Arial" w:cs="Arial"/>
          <w:spacing w:val="-6"/>
          <w:sz w:val="21"/>
          <w:szCs w:val="21"/>
        </w:rPr>
        <w:t>5</w:t>
      </w:r>
      <w:r>
        <w:rPr>
          <w:rFonts w:ascii="Arial" w:eastAsia="Arial" w:hAnsi="Arial" w:cs="Arial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年复合增速达</w:t>
      </w:r>
      <w:r>
        <w:rPr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11.2%</w:t>
      </w:r>
      <w:r>
        <w:rPr>
          <w:spacing w:val="-2"/>
          <w:sz w:val="21"/>
          <w:szCs w:val="21"/>
        </w:rPr>
        <w:t>，略低于全球</w:t>
      </w:r>
      <w:r>
        <w:rPr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17.0%</w:t>
      </w:r>
      <w:r>
        <w:rPr>
          <w:spacing w:val="-2"/>
          <w:sz w:val="21"/>
          <w:szCs w:val="21"/>
        </w:rPr>
        <w:t>的增速。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分品类来看，</w:t>
      </w:r>
      <w:r>
        <w:rPr>
          <w:spacing w:val="-2"/>
          <w:sz w:val="21"/>
          <w:szCs w:val="21"/>
        </w:rPr>
        <w:t xml:space="preserve">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黄金、玉石和钻石占比</w:t>
      </w:r>
      <w:r>
        <w:rPr>
          <w:spacing w:val="6"/>
          <w:sz w:val="21"/>
          <w:szCs w:val="21"/>
        </w:rPr>
        <w:t xml:space="preserve"> </w:t>
      </w:r>
      <w:r>
        <w:rPr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始终维持在前三的位置。</w:t>
      </w:r>
      <w:r>
        <w:rPr>
          <w:spacing w:val="1"/>
          <w:sz w:val="21"/>
          <w:szCs w:val="21"/>
        </w:rPr>
        <w:t>据中国珠宝玉石首饰行业协会数据，</w:t>
      </w:r>
      <w:r>
        <w:rPr>
          <w:spacing w:val="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黄金稳坐首位，玉石占比</w:t>
      </w:r>
      <w:r>
        <w:rPr>
          <w:spacing w:val="1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不断提升，钻石则有所下降。</w:t>
      </w:r>
      <w:r>
        <w:rPr>
          <w:spacing w:val="-3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2022</w:t>
      </w:r>
      <w:r>
        <w:rPr>
          <w:rFonts w:ascii="Arial" w:eastAsia="Arial" w:hAnsi="Arial" w:cs="Arial"/>
          <w:spacing w:val="4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年黄金、</w:t>
      </w:r>
      <w:r>
        <w:rPr>
          <w:spacing w:val="-2"/>
          <w:sz w:val="21"/>
          <w:szCs w:val="21"/>
        </w:rPr>
        <w:t>玉石、钻石、有色宝石、珍珠的占比分别为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4"/>
          <w:sz w:val="21"/>
          <w:szCs w:val="21"/>
        </w:rPr>
        <w:t>57%/21%/11%/4%/3%</w:t>
      </w:r>
      <w:r>
        <w:rPr>
          <w:spacing w:val="4"/>
          <w:sz w:val="21"/>
          <w:szCs w:val="21"/>
        </w:rPr>
        <w:t>，较</w:t>
      </w:r>
      <w:r>
        <w:rPr>
          <w:spacing w:val="4"/>
          <w:sz w:val="21"/>
          <w:szCs w:val="21"/>
        </w:rPr>
        <w:t xml:space="preserve"> </w:t>
      </w:r>
      <w:r>
        <w:rPr>
          <w:rFonts w:ascii="Arial" w:eastAsia="Arial" w:hAnsi="Arial" w:cs="Arial"/>
          <w:spacing w:val="4"/>
          <w:sz w:val="21"/>
          <w:szCs w:val="21"/>
        </w:rPr>
        <w:t xml:space="preserve">2017  </w:t>
      </w:r>
      <w:r>
        <w:rPr>
          <w:spacing w:val="4"/>
          <w:sz w:val="21"/>
          <w:szCs w:val="21"/>
        </w:rPr>
        <w:t>年同比</w:t>
      </w:r>
      <w:r>
        <w:rPr>
          <w:rFonts w:ascii="Arial" w:eastAsia="Arial" w:hAnsi="Arial" w:cs="Arial"/>
          <w:spacing w:val="4"/>
          <w:sz w:val="21"/>
          <w:szCs w:val="21"/>
        </w:rPr>
        <w:t>+9</w:t>
      </w:r>
      <w:r>
        <w:rPr>
          <w:rFonts w:ascii="Arial" w:eastAsia="Arial" w:hAnsi="Arial" w:cs="Arial"/>
          <w:sz w:val="21"/>
          <w:szCs w:val="21"/>
        </w:rPr>
        <w:t>pct</w:t>
      </w:r>
      <w:r>
        <w:rPr>
          <w:rFonts w:ascii="Arial" w:eastAsia="Arial" w:hAnsi="Arial" w:cs="Arial"/>
          <w:spacing w:val="4"/>
          <w:sz w:val="21"/>
          <w:szCs w:val="21"/>
        </w:rPr>
        <w:t>/+2</w:t>
      </w:r>
      <w:r>
        <w:rPr>
          <w:rFonts w:ascii="Arial" w:eastAsia="Arial" w:hAnsi="Arial" w:cs="Arial"/>
          <w:sz w:val="21"/>
          <w:szCs w:val="21"/>
        </w:rPr>
        <w:t>pct</w:t>
      </w:r>
      <w:r>
        <w:rPr>
          <w:rFonts w:ascii="Arial" w:eastAsia="Arial" w:hAnsi="Arial" w:cs="Arial"/>
          <w:spacing w:val="4"/>
          <w:sz w:val="21"/>
          <w:szCs w:val="21"/>
        </w:rPr>
        <w:t>/-9.2</w:t>
      </w:r>
      <w:r>
        <w:rPr>
          <w:rFonts w:ascii="Arial" w:eastAsia="Arial" w:hAnsi="Arial" w:cs="Arial"/>
          <w:sz w:val="21"/>
          <w:szCs w:val="21"/>
        </w:rPr>
        <w:t>pct</w:t>
      </w:r>
      <w:r>
        <w:rPr>
          <w:rFonts w:ascii="Arial" w:eastAsia="Arial" w:hAnsi="Arial" w:cs="Arial"/>
          <w:spacing w:val="4"/>
          <w:sz w:val="21"/>
          <w:szCs w:val="21"/>
        </w:rPr>
        <w:t>/+1.5</w:t>
      </w:r>
      <w:r>
        <w:rPr>
          <w:rFonts w:ascii="Arial" w:eastAsia="Arial" w:hAnsi="Arial" w:cs="Arial"/>
          <w:sz w:val="21"/>
          <w:szCs w:val="21"/>
        </w:rPr>
        <w:t>pct</w:t>
      </w:r>
      <w:r>
        <w:rPr>
          <w:rFonts w:ascii="Arial" w:eastAsia="Arial" w:hAnsi="Arial" w:cs="Arial"/>
          <w:spacing w:val="4"/>
          <w:sz w:val="21"/>
          <w:szCs w:val="21"/>
        </w:rPr>
        <w:t>/-0.5</w:t>
      </w:r>
      <w:r>
        <w:rPr>
          <w:rFonts w:ascii="Arial" w:eastAsia="Arial" w:hAnsi="Arial" w:cs="Arial"/>
          <w:sz w:val="21"/>
          <w:szCs w:val="21"/>
        </w:rPr>
        <w:t>pct</w:t>
      </w:r>
      <w:r>
        <w:rPr>
          <w:spacing w:val="4"/>
          <w:sz w:val="21"/>
          <w:szCs w:val="21"/>
        </w:rPr>
        <w:t>。预计到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 xml:space="preserve">2027 </w:t>
      </w:r>
      <w:r>
        <w:rPr>
          <w:spacing w:val="-1"/>
          <w:sz w:val="21"/>
          <w:szCs w:val="21"/>
        </w:rPr>
        <w:t>年，黄金占比将持续提升至</w:t>
      </w:r>
      <w:r>
        <w:rPr>
          <w:spacing w:val="-4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60.1%</w:t>
      </w:r>
      <w:r>
        <w:rPr>
          <w:spacing w:val="-1"/>
          <w:sz w:val="21"/>
          <w:szCs w:val="21"/>
        </w:rPr>
        <w:t>。</w:t>
      </w:r>
    </w:p>
    <w:p>
      <w:pPr>
        <w:spacing w:line="177" w:lineRule="exact"/>
      </w:pPr>
    </w:p>
    <w:p>
      <w:pPr>
        <w:spacing w:line="177" w:lineRule="exact"/>
        <w:sectPr>
          <w:headerReference w:type="default" r:id="rId103"/>
          <w:footerReference w:type="default" r:id="rId104"/>
          <w:type w:val="continuous"/>
          <w:pgSz w:w="11907" w:h="16839"/>
          <w:pgMar w:top="1202" w:right="14" w:bottom="928" w:left="11" w:header="10" w:footer="21" w:gutter="0"/>
          <w:pgNumType w:start="29"/>
          <w:cols w:num="1" w:space="708" w:equalWidth="0">
            <w:col w:w="11881" w:space="0"/>
          </w:cols>
        </w:sectPr>
      </w:pPr>
    </w:p>
    <w:p>
      <w:pPr>
        <w:pStyle w:val="BodyText"/>
        <w:spacing w:before="37" w:line="217" w:lineRule="auto"/>
        <w:ind w:left="699"/>
        <w:rPr>
          <w:sz w:val="18"/>
          <w:szCs w:val="18"/>
        </w:rPr>
      </w:pPr>
      <w:r>
        <w:rPr>
          <w:color w:val="0D0D0D"/>
          <w:spacing w:val="-4"/>
          <w:sz w:val="18"/>
          <w:szCs w:val="18"/>
        </w:rPr>
        <w:t>图</w:t>
      </w:r>
      <w:r>
        <w:rPr>
          <w:color w:val="0D0D0D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4"/>
          <w:sz w:val="18"/>
          <w:szCs w:val="18"/>
        </w:rPr>
        <w:t>13</w:t>
      </w:r>
      <w:r>
        <w:rPr>
          <w:color w:val="0D0D0D"/>
          <w:spacing w:val="-4"/>
          <w:sz w:val="18"/>
          <w:szCs w:val="18"/>
        </w:rPr>
        <w:t>：中国黄金珠宝市场规模</w:t>
      </w:r>
    </w:p>
    <w:p>
      <w:pPr>
        <w:spacing w:line="199" w:lineRule="exact"/>
      </w:pPr>
    </w:p>
    <w:tbl>
      <w:tblPr>
        <w:tblStyle w:val="TableNormal4"/>
        <w:tblW w:w="5048" w:type="dxa"/>
        <w:tblInd w:w="73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12"/>
        <w:gridCol w:w="4060"/>
        <w:gridCol w:w="476"/>
      </w:tblGrid>
      <w:tr>
        <w:tblPrEx>
          <w:tblW w:w="5048" w:type="dxa"/>
          <w:tblInd w:w="73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13"/>
        </w:trPr>
        <w:tc>
          <w:tcPr>
            <w:tcW w:w="512" w:type="dxa"/>
            <w:vAlign w:val="top"/>
          </w:tcPr>
          <w:p>
            <w:pPr>
              <w:spacing w:before="286" w:line="199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12000</w:t>
            </w: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52" w:line="198" w:lineRule="auto"/>
              <w:ind w:left="8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9000</w:t>
            </w: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52" w:line="199" w:lineRule="auto"/>
              <w:ind w:left="8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6000</w:t>
            </w: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52" w:line="199" w:lineRule="auto"/>
              <w:ind w:left="8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3000</w:t>
            </w: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52" w:line="198" w:lineRule="auto"/>
              <w:ind w:right="24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4060" w:type="dxa"/>
            <w:vAlign w:val="top"/>
          </w:tcPr>
          <w:p>
            <w:pPr>
              <w:pStyle w:val="TableText"/>
              <w:spacing w:line="237" w:lineRule="auto"/>
              <w:ind w:left="2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drawing>
                <wp:inline distT="0" distB="0" distL="0" distR="0">
                  <wp:extent cx="294876" cy="81717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876" cy="81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"/>
                <w:sz w:val="18"/>
                <w:szCs w:val="18"/>
              </w:rPr>
              <w:t>市场规模（亿元）</w:t>
            </w:r>
            <w:r>
              <w:rPr>
                <w:spacing w:val="30"/>
                <w:sz w:val="18"/>
                <w:szCs w:val="18"/>
              </w:rPr>
              <w:t xml:space="preserve">  </w:t>
            </w:r>
            <w:r>
              <w:rPr>
                <w:position w:val="2"/>
                <w:sz w:val="18"/>
                <w:szCs w:val="18"/>
              </w:rPr>
              <w:drawing>
                <wp:inline distT="0" distB="0" distL="0" distR="0">
                  <wp:extent cx="298429" cy="31976"/>
                  <wp:effectExtent l="0" t="0" r="0" b="0"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29" cy="31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spacing w:val="6"/>
                <w:sz w:val="18"/>
                <w:szCs w:val="18"/>
              </w:rPr>
              <w:t>增速（</w:t>
            </w:r>
            <w:r>
              <w:rPr>
                <w:rFonts w:ascii="Arial" w:eastAsia="Arial" w:hAnsi="Arial" w:cs="Arial"/>
                <w:spacing w:val="6"/>
                <w:sz w:val="18"/>
                <w:szCs w:val="18"/>
              </w:rPr>
              <w:t>%</w:t>
            </w:r>
            <w:r>
              <w:rPr>
                <w:spacing w:val="6"/>
                <w:sz w:val="18"/>
                <w:szCs w:val="18"/>
              </w:rPr>
              <w:t>）</w:t>
            </w:r>
          </w:p>
          <w:p>
            <w:pPr>
              <w:spacing w:before="109" w:line="2293" w:lineRule="exact"/>
              <w:ind w:firstLine="128"/>
            </w:pPr>
            <w:r>
              <w:rPr>
                <w:position w:val="-45"/>
              </w:rPr>
              <w:drawing>
                <wp:inline distT="0" distB="0" distL="0" distR="0">
                  <wp:extent cx="2456713" cy="1455804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6713" cy="14558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44" w:line="124" w:lineRule="exact"/>
              <w:ind w:left="2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1"/>
                <w:position w:val="-3"/>
                <w:sz w:val="18"/>
                <w:szCs w:val="18"/>
              </w:rPr>
              <w:t xml:space="preserve">2009   2012    2015   2018  </w:t>
            </w:r>
            <w:r>
              <w:rPr>
                <w:rFonts w:ascii="Arial" w:eastAsia="Arial" w:hAnsi="Arial" w:cs="Arial"/>
                <w:position w:val="-3"/>
                <w:sz w:val="18"/>
                <w:szCs w:val="18"/>
              </w:rPr>
              <w:t xml:space="preserve">  2021  2024E 2027E</w:t>
            </w:r>
          </w:p>
        </w:tc>
        <w:tc>
          <w:tcPr>
            <w:tcW w:w="476" w:type="dxa"/>
            <w:vAlign w:val="top"/>
          </w:tcPr>
          <w:p>
            <w:pPr>
              <w:spacing w:before="284" w:line="201" w:lineRule="auto"/>
              <w:ind w:left="6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45%</w:t>
            </w: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51" w:line="200" w:lineRule="auto"/>
              <w:ind w:left="6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30%</w:t>
            </w: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52" w:line="201" w:lineRule="auto"/>
              <w:ind w:left="8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>15%</w:t>
            </w: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53" w:line="201" w:lineRule="auto"/>
              <w:ind w:left="6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0%</w:t>
            </w: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52" w:line="200" w:lineRule="auto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>-15%</w:t>
            </w:r>
          </w:p>
        </w:tc>
      </w:tr>
    </w:tbl>
    <w:p>
      <w:pPr>
        <w:pStyle w:val="BodyText"/>
        <w:spacing w:before="235" w:line="214" w:lineRule="auto"/>
        <w:ind w:left="682"/>
        <w:rPr>
          <w:sz w:val="15"/>
          <w:szCs w:val="15"/>
        </w:rPr>
      </w:pPr>
      <w:r>
        <w:rPr>
          <w:spacing w:val="-5"/>
          <w:sz w:val="15"/>
          <w:szCs w:val="15"/>
        </w:rPr>
        <w:t>资料来源：</w:t>
      </w:r>
      <w:r>
        <w:rPr>
          <w:spacing w:val="-5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欧睿，西部证券研发中心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08"/>
          <w:footerReference w:type="default" r:id="rId109"/>
          <w:type w:val="continuous"/>
          <w:pgSz w:w="11907" w:h="16839"/>
          <w:pgMar w:top="1202" w:right="14" w:bottom="928" w:left="11" w:header="10" w:footer="21" w:gutter="0"/>
          <w:pgNumType w:start="30"/>
          <w:cols w:num="2" w:space="708" w:equalWidth="0">
            <w:col w:w="5960" w:space="100"/>
            <w:col w:w="582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212" w:lineRule="auto"/>
        <w:ind w:left="31"/>
        <w:rPr>
          <w:sz w:val="18"/>
          <w:szCs w:val="18"/>
        </w:rPr>
      </w:pPr>
      <w:r>
        <w:rPr>
          <w:color w:val="0D0D0D"/>
          <w:spacing w:val="-3"/>
          <w:sz w:val="18"/>
          <w:szCs w:val="18"/>
        </w:rPr>
        <w:t>图</w:t>
      </w:r>
      <w:r>
        <w:rPr>
          <w:color w:val="0D0D0D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3"/>
          <w:sz w:val="18"/>
          <w:szCs w:val="18"/>
        </w:rPr>
        <w:t>14</w:t>
      </w:r>
      <w:r>
        <w:rPr>
          <w:color w:val="0D0D0D"/>
          <w:spacing w:val="-3"/>
          <w:sz w:val="18"/>
          <w:szCs w:val="18"/>
        </w:rPr>
        <w:t>：</w:t>
      </w:r>
      <w:r>
        <w:rPr>
          <w:rFonts w:ascii="Arial" w:eastAsia="Arial" w:hAnsi="Arial" w:cs="Arial"/>
          <w:color w:val="0D0D0D"/>
          <w:spacing w:val="-3"/>
          <w:sz w:val="18"/>
          <w:szCs w:val="18"/>
        </w:rPr>
        <w:t xml:space="preserve">2022 </w:t>
      </w:r>
      <w:r>
        <w:rPr>
          <w:color w:val="0D0D0D"/>
          <w:spacing w:val="-3"/>
          <w:sz w:val="18"/>
          <w:szCs w:val="18"/>
        </w:rPr>
        <w:t>年中国珠宝首饰市场品类占比</w:t>
      </w:r>
    </w:p>
    <w:p>
      <w:pPr>
        <w:spacing w:before="64"/>
      </w:pPr>
    </w:p>
    <w:tbl>
      <w:tblPr>
        <w:tblStyle w:val="TableNormal5"/>
        <w:tblW w:w="4513" w:type="dxa"/>
        <w:tblInd w:w="36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03"/>
        <w:gridCol w:w="715"/>
        <w:gridCol w:w="1095"/>
      </w:tblGrid>
      <w:tr>
        <w:tblPrEx>
          <w:tblW w:w="4513" w:type="dxa"/>
          <w:tblInd w:w="36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17"/>
        </w:trPr>
        <w:tc>
          <w:tcPr>
            <w:tcW w:w="2703" w:type="dxa"/>
            <w:vAlign w:val="top"/>
          </w:tcPr>
          <w:p>
            <w:pPr>
              <w:spacing w:before="23" w:line="133" w:lineRule="exact"/>
              <w:ind w:left="629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shape id="_x0000_s1138" style="width:10.85pt;height:57.7pt;margin-top:16.81pt;margin-left:-72.04pt;mso-position-horizontal-relative:right-margin-area;mso-position-vertical-relative:top-margin-area;position:absolute;z-index:251792384" coordorigin="0,0" coordsize="217,1154" path="m,20m,20c71,6,143,,216,l216,1153l,20xe" filled="t" fillcolor="#ee7300" stroked="f"/>
              </w:pict>
            </w:r>
            <w:r>
              <w:rPr>
                <w:rFonts w:ascii="Arial" w:eastAsia="Arial" w:hAnsi="Arial" w:cs="Arial"/>
                <w:color w:val="254061"/>
                <w:spacing w:val="2"/>
                <w:position w:val="-2"/>
                <w:sz w:val="18"/>
                <w:szCs w:val="18"/>
              </w:rPr>
              <w:t>4.0%</w:t>
            </w:r>
          </w:p>
          <w:p>
            <w:pPr>
              <w:spacing w:line="114" w:lineRule="exact"/>
              <w:ind w:left="143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254061"/>
                <w:position w:val="-3"/>
                <w:sz w:val="18"/>
                <w:szCs w:val="18"/>
              </w:rPr>
              <w:t>3.0%</w:t>
            </w:r>
          </w:p>
          <w:p>
            <w:pPr>
              <w:spacing w:line="231" w:lineRule="auto"/>
              <w:ind w:left="30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254061"/>
                <w:sz w:val="18"/>
                <w:szCs w:val="18"/>
              </w:rPr>
              <w:t>3.0%</w:t>
            </w:r>
          </w:p>
          <w:p>
            <w:pPr>
              <w:spacing w:line="193" w:lineRule="auto"/>
              <w:ind w:left="23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254061"/>
                <w:spacing w:val="-3"/>
                <w:sz w:val="18"/>
                <w:szCs w:val="18"/>
              </w:rPr>
              <w:t>1.0%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2" w:line="202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pict>
                <v:group id="_x0000_s1139" style="width:115.8pt;height:115.4pt;margin-top:-27.59pt;margin-left:15.8pt;position:absolute;z-index:-251525120" coordorigin="0,0" coordsize="2316,2308" filled="f" stroked="f">
                  <v:shape id="_x0000_s1140" style="width:1643;height:2308;left:672;position:absolute" coordorigin="0,0" coordsize="1643,2308" path="m490,c1126,,1642,516,1642,1153c1642,1791,1126,2307,490,2307c320,2307,153,2270,,2198l490,1153l490,xe" filled="t" fillcolor="#c30f1b" stroked="f"/>
                  <v:shape id="_x0000_s1141" style="width:1163;height:1260;position:absolute;top:938" coordorigin="0,0" coordsize="1163,1260" path="m672,1259c196,1035,-68,517,29,l1162,215l672,1259xe" filled="t" fillcolor="#ba9873" stroked="f"/>
                  <v:shape id="_x0000_s1142" style="width:1133;height:889;left:29;position:absolute;top:265" coordorigin="0,0" coordsize="1133,889" path="m,673c50,409,190,171,396,l1132,888l,673xe" filled="t" fillcolor="#c8c8c8" stroked="f"/>
                  <v:shape id="_x0000_s1143" style="width:735;height:933;left:426;position:absolute;top:220" coordorigin="0,0" coordsize="735,933" path="m,44m,44c18,29,37,14,57,l735,932l,44xe" filled="t" fillcolor="#eab3a7" stroked="f"/>
                  <v:shape id="_x0000_s1144" style="width:679;height:1044;left:484;position:absolute;top:110" coordorigin="0,0" coordsize="679,1044" path="m,110m,110c58,68,121,30,186,l678,1043l,110xe" filled="t" fillcolor="#dc5969" stroked="f"/>
                  <v:shape id="_x0000_s1145" style="width:492;height:1134;left:671;position:absolute;top:20" coordorigin="0,0" coordsize="492,1134" path="m,89m,89c87,48,180,18,275,l491,1133l,89xe" filled="t" fillcolor="#8e1515" stroked="f"/>
                </v:group>
              </w:pict>
            </w:r>
            <w:r>
              <w:rPr>
                <w:rFonts w:ascii="Arial" w:eastAsia="Arial" w:hAnsi="Arial" w:cs="Arial"/>
                <w:color w:val="254061"/>
                <w:spacing w:val="-2"/>
                <w:sz w:val="18"/>
                <w:szCs w:val="18"/>
              </w:rPr>
              <w:t>11.0%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2" w:line="202" w:lineRule="auto"/>
              <w:ind w:left="2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254061"/>
                <w:spacing w:val="1"/>
                <w:sz w:val="18"/>
                <w:szCs w:val="18"/>
              </w:rPr>
              <w:t>21.0%</w:t>
            </w:r>
          </w:p>
        </w:tc>
        <w:tc>
          <w:tcPr>
            <w:tcW w:w="71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2" w:line="202" w:lineRule="auto"/>
              <w:ind w:left="7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254061"/>
                <w:sz w:val="18"/>
                <w:szCs w:val="18"/>
              </w:rPr>
              <w:t>57.0%</w:t>
            </w:r>
          </w:p>
        </w:tc>
        <w:tc>
          <w:tcPr>
            <w:tcW w:w="1095" w:type="dxa"/>
            <w:vAlign w:val="top"/>
          </w:tcPr>
          <w:p>
            <w:pPr>
              <w:pStyle w:val="TableText"/>
              <w:spacing w:line="418" w:lineRule="exact"/>
              <w:ind w:left="131"/>
              <w:rPr>
                <w:sz w:val="20"/>
                <w:szCs w:val="20"/>
              </w:rPr>
            </w:pPr>
            <w:r>
              <w:rPr>
                <w:color w:val="254061"/>
                <w:position w:val="16"/>
                <w:sz w:val="20"/>
                <w:szCs w:val="20"/>
              </w:rPr>
              <w:drawing>
                <wp:inline distT="0" distB="0" distL="0" distR="0">
                  <wp:extent cx="64366" cy="64422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66" cy="64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4061"/>
                <w:spacing w:val="-45"/>
                <w:position w:val="16"/>
                <w:sz w:val="20"/>
                <w:szCs w:val="20"/>
              </w:rPr>
              <w:t xml:space="preserve"> </w:t>
            </w:r>
            <w:r>
              <w:rPr>
                <w:color w:val="254061"/>
                <w:position w:val="16"/>
                <w:sz w:val="20"/>
                <w:szCs w:val="20"/>
              </w:rPr>
              <w:t>黄金</w:t>
            </w:r>
          </w:p>
          <w:p>
            <w:pPr>
              <w:pStyle w:val="TableText"/>
              <w:spacing w:line="239" w:lineRule="auto"/>
              <w:ind w:left="131"/>
              <w:rPr>
                <w:sz w:val="20"/>
                <w:szCs w:val="20"/>
              </w:rPr>
            </w:pPr>
            <w:r>
              <w:rPr>
                <w:color w:val="254061"/>
                <w:sz w:val="20"/>
                <w:szCs w:val="20"/>
              </w:rPr>
              <w:drawing>
                <wp:inline distT="0" distB="0" distL="0" distR="0">
                  <wp:extent cx="64366" cy="75159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66" cy="75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4061"/>
                <w:spacing w:val="-40"/>
                <w:sz w:val="20"/>
                <w:szCs w:val="20"/>
              </w:rPr>
              <w:t xml:space="preserve"> </w:t>
            </w:r>
            <w:r>
              <w:rPr>
                <w:color w:val="254061"/>
                <w:spacing w:val="-2"/>
                <w:sz w:val="20"/>
                <w:szCs w:val="20"/>
              </w:rPr>
              <w:t>玉石</w:t>
            </w:r>
          </w:p>
          <w:p>
            <w:pPr>
              <w:pStyle w:val="TableText"/>
              <w:spacing w:before="160" w:line="237" w:lineRule="auto"/>
              <w:ind w:left="131"/>
              <w:rPr>
                <w:sz w:val="20"/>
                <w:szCs w:val="20"/>
              </w:rPr>
            </w:pPr>
            <w:r>
              <w:rPr>
                <w:color w:val="254061"/>
                <w:position w:val="1"/>
                <w:sz w:val="20"/>
                <w:szCs w:val="20"/>
              </w:rPr>
              <w:drawing>
                <wp:inline distT="0" distB="0" distL="0" distR="0">
                  <wp:extent cx="64366" cy="64422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66" cy="64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4061"/>
                <w:spacing w:val="-46"/>
                <w:sz w:val="20"/>
                <w:szCs w:val="20"/>
              </w:rPr>
              <w:t xml:space="preserve"> </w:t>
            </w:r>
            <w:r>
              <w:rPr>
                <w:color w:val="254061"/>
                <w:sz w:val="20"/>
                <w:szCs w:val="20"/>
              </w:rPr>
              <w:t>钻石</w:t>
            </w:r>
          </w:p>
          <w:p>
            <w:pPr>
              <w:pStyle w:val="TableText"/>
              <w:spacing w:before="162" w:line="419" w:lineRule="exact"/>
              <w:jc w:val="right"/>
              <w:rPr>
                <w:sz w:val="20"/>
                <w:szCs w:val="20"/>
              </w:rPr>
            </w:pPr>
            <w:r>
              <w:rPr>
                <w:color w:val="254061"/>
                <w:position w:val="17"/>
                <w:sz w:val="20"/>
                <w:szCs w:val="20"/>
              </w:rPr>
              <w:drawing>
                <wp:inline distT="0" distB="0" distL="0" distR="0">
                  <wp:extent cx="64311" cy="64422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11" cy="64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4061"/>
                <w:spacing w:val="-43"/>
                <w:position w:val="16"/>
                <w:sz w:val="20"/>
                <w:szCs w:val="20"/>
              </w:rPr>
              <w:t xml:space="preserve"> </w:t>
            </w:r>
            <w:r>
              <w:rPr>
                <w:color w:val="254061"/>
                <w:spacing w:val="1"/>
                <w:position w:val="16"/>
                <w:sz w:val="20"/>
                <w:szCs w:val="20"/>
              </w:rPr>
              <w:t>银及铂金</w:t>
            </w:r>
          </w:p>
          <w:p>
            <w:pPr>
              <w:pStyle w:val="TableText"/>
              <w:spacing w:before="1" w:line="221" w:lineRule="auto"/>
              <w:ind w:left="131"/>
              <w:rPr>
                <w:sz w:val="20"/>
                <w:szCs w:val="20"/>
              </w:rPr>
            </w:pPr>
            <w:r>
              <w:rPr>
                <w:color w:val="254061"/>
                <w:position w:val="2"/>
                <w:sz w:val="20"/>
                <w:szCs w:val="20"/>
              </w:rPr>
              <w:drawing>
                <wp:inline distT="0" distB="0" distL="0" distR="0">
                  <wp:extent cx="64311" cy="64422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11" cy="64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4061"/>
                <w:spacing w:val="-51"/>
                <w:sz w:val="20"/>
                <w:szCs w:val="20"/>
              </w:rPr>
              <w:t xml:space="preserve"> </w:t>
            </w:r>
            <w:r>
              <w:rPr>
                <w:color w:val="254061"/>
                <w:spacing w:val="2"/>
                <w:sz w:val="20"/>
                <w:szCs w:val="20"/>
              </w:rPr>
              <w:t>珍珠</w:t>
            </w:r>
          </w:p>
          <w:p>
            <w:pPr>
              <w:pStyle w:val="TableText"/>
              <w:spacing w:before="177" w:line="412" w:lineRule="exact"/>
              <w:jc w:val="right"/>
              <w:rPr>
                <w:sz w:val="20"/>
                <w:szCs w:val="20"/>
              </w:rPr>
            </w:pPr>
            <w:r>
              <w:rPr>
                <w:color w:val="254061"/>
                <w:position w:val="18"/>
                <w:sz w:val="20"/>
                <w:szCs w:val="20"/>
              </w:rPr>
              <w:drawing>
                <wp:inline distT="0" distB="0" distL="0" distR="0">
                  <wp:extent cx="64366" cy="63311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66" cy="63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4061"/>
                <w:spacing w:val="-44"/>
                <w:position w:val="16"/>
                <w:sz w:val="20"/>
                <w:szCs w:val="20"/>
              </w:rPr>
              <w:t xml:space="preserve"> </w:t>
            </w:r>
            <w:r>
              <w:rPr>
                <w:color w:val="254061"/>
                <w:spacing w:val="1"/>
                <w:position w:val="16"/>
                <w:sz w:val="20"/>
                <w:szCs w:val="20"/>
              </w:rPr>
              <w:t>有色宝石</w:t>
            </w:r>
          </w:p>
          <w:p>
            <w:pPr>
              <w:pStyle w:val="TableText"/>
              <w:spacing w:line="185" w:lineRule="auto"/>
              <w:ind w:left="131"/>
              <w:rPr>
                <w:sz w:val="20"/>
                <w:szCs w:val="20"/>
              </w:rPr>
            </w:pPr>
            <w:r>
              <w:rPr>
                <w:color w:val="254061"/>
                <w:position w:val="1"/>
                <w:sz w:val="20"/>
                <w:szCs w:val="20"/>
              </w:rPr>
              <w:drawing>
                <wp:inline distT="0" distB="0" distL="0" distR="0">
                  <wp:extent cx="64366" cy="63311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66" cy="63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4061"/>
                <w:spacing w:val="-42"/>
                <w:sz w:val="20"/>
                <w:szCs w:val="20"/>
              </w:rPr>
              <w:t xml:space="preserve"> </w:t>
            </w:r>
            <w:r>
              <w:rPr>
                <w:color w:val="254061"/>
                <w:spacing w:val="-1"/>
                <w:sz w:val="20"/>
                <w:szCs w:val="20"/>
              </w:rPr>
              <w:t>其他</w:t>
            </w:r>
          </w:p>
        </w:tc>
      </w:tr>
    </w:tbl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50" w:line="213" w:lineRule="auto"/>
        <w:ind w:left="12" w:right="715" w:firstLine="1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20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老铺黄金招股说明书，</w:t>
      </w:r>
      <w:r>
        <w:rPr>
          <w:spacing w:val="-4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中国珠宝玉石首饰行业协会，弗若斯特沙利</w:t>
      </w:r>
      <w:r>
        <w:rPr>
          <w:sz w:val="15"/>
          <w:szCs w:val="15"/>
        </w:rPr>
        <w:t xml:space="preserve"> </w:t>
      </w:r>
      <w:r>
        <w:rPr>
          <w:spacing w:val="-1"/>
          <w:sz w:val="15"/>
          <w:szCs w:val="15"/>
        </w:rPr>
        <w:t>文，西部证券研发中心</w:t>
      </w:r>
    </w:p>
    <w:p>
      <w:pPr>
        <w:spacing w:line="213" w:lineRule="auto"/>
        <w:rPr>
          <w:sz w:val="15"/>
          <w:szCs w:val="15"/>
        </w:rPr>
        <w:sectPr>
          <w:headerReference w:type="default" r:id="rId117"/>
          <w:footerReference w:type="default" r:id="rId118"/>
          <w:type w:val="nextPage"/>
          <w:pgSz w:w="11907" w:h="16839"/>
          <w:pgMar w:top="1202" w:right="14" w:bottom="928" w:left="11" w:header="10" w:footer="21" w:gutter="0"/>
          <w:pgNumType w:start="31"/>
          <w:cols w:num="2" w:space="708" w:equalWidth="0">
            <w:col w:w="5960" w:space="100"/>
            <w:col w:w="5822" w:space="0"/>
          </w:cols>
          <w:titlePg w:val="0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3074"/>
        <w:outlineLvl w:val="6"/>
        <w:rPr>
          <w:sz w:val="24"/>
          <w:szCs w:val="24"/>
        </w:rPr>
      </w:pPr>
      <w:r>
        <w:rPr>
          <w:rFonts w:ascii="Arial" w:eastAsia="Arial" w:hAnsi="Arial" w:cs="Arial"/>
          <w:b/>
          <w:bCs/>
          <w:color w:val="C30F1B"/>
          <w:sz w:val="24"/>
          <w:szCs w:val="24"/>
        </w:rPr>
        <w:t xml:space="preserve">2.2 </w:t>
      </w:r>
      <w:r>
        <w:rPr>
          <w:color w:val="C30F1B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市场集中度不断提高，渠道线上化趋势明确</w:t>
      </w:r>
    </w:p>
    <w:p>
      <w:pPr>
        <w:pStyle w:val="BodyText"/>
        <w:spacing w:before="229" w:line="261" w:lineRule="auto"/>
        <w:ind w:left="3074" w:right="657" w:firstLine="1"/>
        <w:rPr>
          <w:sz w:val="21"/>
          <w:szCs w:val="21"/>
        </w:rPr>
      </w:pPr>
      <w:r>
        <w:rPr>
          <w:spacing w:val="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黄金珠宝市场竞争格局较为分散，尚未出现占据绝对优势的头部企业。</w:t>
      </w:r>
      <w:r>
        <w:rPr>
          <w:spacing w:val="4"/>
          <w:sz w:val="21"/>
          <w:szCs w:val="21"/>
        </w:rPr>
        <w:t>根据欧睿数据，</w:t>
      </w:r>
      <w:r>
        <w:rPr>
          <w:spacing w:val="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2014-2023</w:t>
      </w:r>
      <w:r>
        <w:rPr>
          <w:rFonts w:ascii="Arial" w:eastAsia="Arial" w:hAnsi="Arial" w:cs="Arial"/>
          <w:spacing w:val="33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年中国黄金珠宝市场</w:t>
      </w:r>
      <w:r>
        <w:rPr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CR5</w:t>
      </w:r>
      <w:r>
        <w:rPr>
          <w:rFonts w:ascii="Arial" w:eastAsia="Arial" w:hAnsi="Arial" w:cs="Arial"/>
          <w:spacing w:val="3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从</w:t>
      </w:r>
      <w:r>
        <w:rPr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18.6%</w:t>
      </w:r>
      <w:r>
        <w:rPr>
          <w:spacing w:val="-1"/>
          <w:sz w:val="21"/>
          <w:szCs w:val="21"/>
        </w:rPr>
        <w:t>提升至</w:t>
      </w:r>
      <w:r>
        <w:rPr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29.5%</w:t>
      </w:r>
      <w:r>
        <w:rPr>
          <w:spacing w:val="-2"/>
          <w:sz w:val="21"/>
          <w:szCs w:val="21"/>
        </w:rPr>
        <w:t>，</w:t>
      </w:r>
      <w:r>
        <w:rPr>
          <w:rFonts w:ascii="Arial" w:eastAsia="Arial" w:hAnsi="Arial" w:cs="Arial"/>
          <w:spacing w:val="-2"/>
          <w:sz w:val="21"/>
          <w:szCs w:val="21"/>
        </w:rPr>
        <w:t>CR10</w:t>
      </w:r>
      <w:r>
        <w:rPr>
          <w:rFonts w:ascii="Arial" w:eastAsia="Arial" w:hAnsi="Arial" w:cs="Arial"/>
          <w:spacing w:val="3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从</w:t>
      </w:r>
      <w:r>
        <w:rPr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22.2%</w:t>
      </w:r>
      <w:r>
        <w:rPr>
          <w:spacing w:val="-2"/>
          <w:sz w:val="21"/>
          <w:szCs w:val="21"/>
        </w:rPr>
        <w:t>提升至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5"/>
          <w:sz w:val="21"/>
          <w:szCs w:val="21"/>
        </w:rPr>
        <w:t>37.2%</w:t>
      </w:r>
      <w:r>
        <w:rPr>
          <w:spacing w:val="5"/>
          <w:sz w:val="21"/>
          <w:szCs w:val="21"/>
        </w:rPr>
        <w:t>，远高于全球市场的变动幅度。说明市场份额在不断向头部企业集中，但尾部依</w:t>
      </w:r>
      <w:r>
        <w:rPr>
          <w:spacing w:val="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然较长，整体来看集中度较低。</w:t>
      </w:r>
    </w:p>
    <w:p>
      <w:pPr>
        <w:spacing w:line="261" w:lineRule="auto"/>
        <w:rPr>
          <w:sz w:val="21"/>
          <w:szCs w:val="21"/>
        </w:rPr>
      </w:pP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https://d.book118.com/008044007012006041</w:t>
        </w:r>
      </w:hyperlink>
    </w:p>
    <w:p>
      <w:pPr>
        <w:spacing w:line="261" w:lineRule="auto"/>
        <w:rPr>
          <w:sz w:val="21"/>
          <w:szCs w:val="21"/>
        </w:rPr>
      </w:pPr>
    </w:p>
    <w:sectPr>
      <w:headerReference w:type="default" r:id="rId120"/>
      <w:footerReference w:type="default" r:id="rId121"/>
      <w:type w:val="continuous"/>
      <w:pgSz w:w="11907" w:h="16839"/>
      <w:pgMar w:top="1202" w:right="14" w:bottom="928" w:left="11" w:header="10" w:footer="21" w:gutter="0"/>
      <w:pgNumType w:start="32"/>
      <w:cols w:num="1" w:space="708" w:equalWidth="0">
        <w:col w:w="118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691"/>
    </w:pPr>
    <w:r>
      <w:pict>
        <v:rect id="_x0000_s2049" style="width:4.25pt;height:31.2pt;margin-top:809.7pt;margin-left:0.55pt;mso-position-horizontal-relative:page;mso-position-vertical-relative:page;position:absolute;z-index:251659264" o:allowincell="f" filled="t" fillcolor="#c30f1b" stroked="f"/>
      </w:pict>
    </w:r>
    <w:r>
      <w:pict>
        <v:rect id="_x0000_s2050" style="width:155.9pt;height:4.25pt;margin-top:836.55pt;margin-left:4.35pt;mso-position-horizontal-relative:page;mso-position-vertical-relative:page;position:absolute;z-index:251658240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1"/>
      </w:rPr>
      <w:t>1</w:t>
    </w:r>
    <w:r>
      <w:rPr>
        <w:rFonts w:ascii="Arial" w:eastAsia="Arial" w:hAnsi="Arial" w:cs="Arial"/>
        <w:b/>
        <w:bCs/>
        <w:color w:val="C30F1B"/>
        <w:spacing w:val="32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</w:t>
    </w:r>
    <w:r>
      <w:rPr>
        <w:spacing w:val="-2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691"/>
    </w:pPr>
    <w:r>
      <w:pict>
        <v:rect id="_x0000_s2051" style="width:4.25pt;height:31.2pt;margin-top:809.7pt;margin-left:0.55pt;mso-position-horizontal-relative:page;mso-position-vertical-relative:page;position:absolute;z-index:251661312" o:allowincell="f" filled="t" fillcolor="#c30f1b" stroked="f"/>
      </w:pict>
    </w:r>
    <w:r>
      <w:pict>
        <v:rect id="_x0000_s2052" style="width:155.9pt;height:4.25pt;margin-top:836.55pt;margin-left:4.35pt;mso-position-horizontal-relative:page;mso-position-vertical-relative:page;position:absolute;z-index:251660288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1"/>
      </w:rPr>
      <w:t>1</w:t>
    </w:r>
    <w:r>
      <w:rPr>
        <w:rFonts w:ascii="Arial" w:eastAsia="Arial" w:hAnsi="Arial" w:cs="Arial"/>
        <w:b/>
        <w:bCs/>
        <w:color w:val="C30F1B"/>
        <w:spacing w:val="32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</w:t>
    </w:r>
    <w:r>
      <w:rPr>
        <w:spacing w:val="-2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691"/>
    </w:pPr>
    <w:r>
      <w:pict>
        <v:rect id="_x0000_s2053" style="width:4.25pt;height:31.2pt;margin-top:809.7pt;margin-left:0.55pt;mso-position-horizontal-relative:page;mso-position-vertical-relative:page;position:absolute;z-index:251663360" o:allowincell="f" filled="t" fillcolor="#c30f1b" stroked="f"/>
      </w:pict>
    </w:r>
    <w:r>
      <w:pict>
        <v:rect id="_x0000_s2054" style="width:155.9pt;height:4.25pt;margin-top:836.55pt;margin-left:4.35pt;mso-position-horizontal-relative:page;mso-position-vertical-relative:page;position:absolute;z-index:251662336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1"/>
      </w:rPr>
      <w:t>1</w:t>
    </w:r>
    <w:r>
      <w:rPr>
        <w:rFonts w:ascii="Arial" w:eastAsia="Arial" w:hAnsi="Arial" w:cs="Arial"/>
        <w:b/>
        <w:bCs/>
        <w:color w:val="C30F1B"/>
        <w:spacing w:val="32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</w:t>
    </w:r>
    <w:r>
      <w:rPr>
        <w:spacing w:val="-2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691"/>
    </w:pPr>
    <w:r>
      <w:pict>
        <v:rect id="_x0000_s2055" style="width:4.25pt;height:31.2pt;margin-top:809.7pt;margin-left:0.55pt;mso-position-horizontal-relative:page;mso-position-vertical-relative:page;position:absolute;z-index:251665408" o:allowincell="f" filled="t" fillcolor="#c30f1b" stroked="f"/>
      </w:pict>
    </w:r>
    <w:r>
      <w:pict>
        <v:rect id="_x0000_s2056" style="width:155.9pt;height:4.25pt;margin-top:836.55pt;margin-left:4.35pt;mso-position-horizontal-relative:page;mso-position-vertical-relative:page;position:absolute;z-index:251664384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1"/>
      </w:rPr>
      <w:t>1</w:t>
    </w:r>
    <w:r>
      <w:rPr>
        <w:rFonts w:ascii="Arial" w:eastAsia="Arial" w:hAnsi="Arial" w:cs="Arial"/>
        <w:b/>
        <w:bCs/>
        <w:color w:val="C30F1B"/>
        <w:spacing w:val="32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</w:t>
    </w:r>
    <w:r>
      <w:rPr>
        <w:spacing w:val="-2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691"/>
    </w:pPr>
    <w:r>
      <w:pict>
        <v:rect id="_x0000_s2057" style="width:4.25pt;height:31.2pt;margin-top:809.7pt;margin-left:0.55pt;mso-position-horizontal-relative:page;mso-position-vertical-relative:page;position:absolute;z-index:251667456" o:allowincell="f" filled="t" fillcolor="#c30f1b" stroked="f"/>
      </w:pict>
    </w:r>
    <w:r>
      <w:pict>
        <v:rect id="_x0000_s2058" style="width:155.9pt;height:4.25pt;margin-top:836.55pt;margin-left:4.35pt;mso-position-horizontal-relative:page;mso-position-vertical-relative:page;position:absolute;z-index:251666432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1"/>
      </w:rPr>
      <w:t>1</w:t>
    </w:r>
    <w:r>
      <w:rPr>
        <w:rFonts w:ascii="Arial" w:eastAsia="Arial" w:hAnsi="Arial" w:cs="Arial"/>
        <w:b/>
        <w:bCs/>
        <w:color w:val="C30F1B"/>
        <w:spacing w:val="32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</w:t>
    </w:r>
    <w:r>
      <w:rPr>
        <w:spacing w:val="-2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2"/>
    </w:pPr>
    <w:r>
      <w:pict>
        <v:rect id="_x0000_s2062" style="width:4.25pt;height:31.2pt;margin-top:809.7pt;margin-left:0.55pt;mso-position-horizontal-relative:page;mso-position-vertical-relative:page;position:absolute;z-index:251670528" o:allowincell="f" filled="t" fillcolor="#c30f1b" stroked="f"/>
      </w:pict>
    </w:r>
    <w:r>
      <w:pict>
        <v:rect id="_x0000_s2063" style="width:155.9pt;height:4.25pt;margin-top:836.55pt;margin-left:4.35pt;mso-position-horizontal-relative:page;mso-position-vertical-relative:page;position:absolute;z-index:251669504" o:allowincell="f" filled="t" fillcolor="#c30f1b" stroked="f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2</w:t>
    </w:r>
    <w:r>
      <w:rPr>
        <w:rFonts w:ascii="Arial" w:eastAsia="Arial" w:hAnsi="Arial" w:cs="Arial"/>
        <w:b/>
        <w:bCs/>
        <w:color w:val="C30F1B"/>
        <w:spacing w:val="38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2"/>
    </w:pPr>
    <w:r>
      <w:pict>
        <v:rect id="_x0000_s2067" style="width:4.25pt;height:31.2pt;margin-top:809.7pt;margin-left:0.55pt;mso-position-horizontal-relative:page;mso-position-vertical-relative:page;position:absolute;z-index:251673600" o:allowincell="f" filled="t" fillcolor="#c30f1b" stroked="f"/>
      </w:pict>
    </w:r>
    <w:r>
      <w:pict>
        <v:rect id="_x0000_s2068" style="width:155.9pt;height:4.25pt;margin-top:836.55pt;margin-left:4.35pt;mso-position-horizontal-relative:page;mso-position-vertical-relative:page;position:absolute;z-index:251672576" o:allowincell="f" filled="t" fillcolor="#c30f1b" stroked="f"/>
      </w:pict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249193665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193665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2</w:t>
    </w:r>
    <w:r>
      <w:rPr>
        <w:rFonts w:ascii="Arial" w:eastAsia="Arial" w:hAnsi="Arial" w:cs="Arial"/>
        <w:b/>
        <w:bCs/>
        <w:color w:val="C30F1B"/>
        <w:spacing w:val="38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069" style="width:4.25pt;height:31.2pt;margin-top:809.7pt;margin-left:0.55pt;mso-position-horizontal-relative:page;mso-position-vertical-relative:page;position:absolute;z-index:251676672" o:allowincell="f" filled="t" fillcolor="#c30f1b" stroked="f"/>
      </w:pict>
    </w:r>
    <w:r>
      <w:pict>
        <v:rect id="_x0000_s2070" style="width:155.9pt;height:4.25pt;margin-top:836.55pt;margin-left:4.35pt;mso-position-horizontal-relative:page;mso-position-vertical-relative:page;position:absolute;z-index:251675648" o:allowincell="f" filled="t" fillcolor="#c30f1b" stroked="f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3</w:t>
    </w:r>
    <w:r>
      <w:rPr>
        <w:rFonts w:ascii="Arial" w:eastAsia="Arial" w:hAnsi="Arial" w:cs="Arial"/>
        <w:b/>
        <w:bCs/>
        <w:color w:val="C30F1B"/>
        <w:spacing w:val="36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1"/>
    </w:pPr>
    <w:r>
      <w:pict>
        <v:rect id="_x0000_s2074" style="width:4.25pt;height:31.2pt;margin-top:809.7pt;margin-left:0.55pt;mso-position-horizontal-relative:page;mso-position-vertical-relative:page;position:absolute;z-index:251679744" o:allowincell="f" filled="t" fillcolor="#c30f1b" stroked="f"/>
      </w:pict>
    </w:r>
    <w:r>
      <w:pict>
        <v:rect id="_x0000_s2075" style="width:155.9pt;height:4.25pt;margin-top:836.55pt;margin-left:4.35pt;mso-position-horizontal-relative:page;mso-position-vertical-relative:page;position:absolute;z-index:251678720" o:allowincell="f" filled="t" fillcolor="#c30f1b" stroked="f"/>
      </w:pict>
    </w: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4</w:t>
    </w:r>
    <w:r>
      <w:rPr>
        <w:rFonts w:ascii="Arial" w:eastAsia="Arial" w:hAnsi="Arial" w:cs="Arial"/>
        <w:b/>
        <w:bCs/>
        <w:color w:val="C30F1B"/>
        <w:spacing w:val="39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851"/>
    </w:pPr>
    <w:r>
      <w:pict>
        <v:rect id="_x0000_s2079" style="width:4.25pt;height:31.2pt;margin-top:809.85pt;margin-left:0.4pt;mso-position-horizontal-relative:page;mso-position-vertical-relative:page;position:absolute;z-index:251681792" o:allowincell="f" filled="t" fillcolor="#c30f1b" stroked="f"/>
      </w:pict>
    </w:r>
    <w:r>
      <w:pict>
        <v:rect id="_x0000_s2080" style="width:155.9pt;height:4.25pt;margin-top:836.7pt;margin-left:4.2pt;mso-position-horizontal-relative:page;mso-position-vertical-relative:page;position:absolute;z-index:251680768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1"/>
      </w:rPr>
      <w:t>5</w:t>
    </w:r>
    <w:r>
      <w:rPr>
        <w:rFonts w:ascii="Arial" w:eastAsia="Arial" w:hAnsi="Arial" w:cs="Arial"/>
        <w:b/>
        <w:bCs/>
        <w:color w:val="C30F1B"/>
        <w:spacing w:val="34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2" w:lineRule="auto"/>
      <w:rPr>
        <w:rFonts w:ascii="Arial"/>
        <w:sz w:val="21"/>
      </w:rPr>
    </w:pPr>
  </w:p>
  <w:p>
    <w:pPr>
      <w:spacing w:line="302" w:lineRule="auto"/>
      <w:rPr>
        <w:rFonts w:ascii="Arial"/>
        <w:sz w:val="21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851"/>
    </w:pPr>
    <w:r>
      <w:pict>
        <v:rect id="_x0000_s2081" style="width:4.25pt;height:31.2pt;margin-top:809.85pt;margin-left:0.4pt;mso-position-horizontal-relative:page;mso-position-vertical-relative:page;position:absolute;z-index:251683840" o:allowincell="f" filled="t" fillcolor="#c30f1b" stroked="f"/>
      </w:pict>
    </w:r>
    <w:r>
      <w:pict>
        <v:rect id="_x0000_s2082" style="width:155.9pt;height:4.25pt;margin-top:836.7pt;margin-left:4.2pt;mso-position-horizontal-relative:page;mso-position-vertical-relative:page;position:absolute;z-index:251682816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1"/>
      </w:rPr>
      <w:t>5</w:t>
    </w:r>
    <w:r>
      <w:rPr>
        <w:rFonts w:ascii="Arial" w:eastAsia="Arial" w:hAnsi="Arial" w:cs="Arial"/>
        <w:b/>
        <w:bCs/>
        <w:color w:val="C30F1B"/>
        <w:spacing w:val="34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2" w:lineRule="auto"/>
      <w:rPr>
        <w:rFonts w:ascii="Arial"/>
        <w:sz w:val="21"/>
      </w:rPr>
    </w:pPr>
  </w:p>
  <w:p>
    <w:pPr>
      <w:spacing w:line="302" w:lineRule="auto"/>
      <w:rPr>
        <w:rFonts w:ascii="Arial"/>
        <w:sz w:val="21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086" style="width:4.25pt;height:31.2pt;margin-top:809.7pt;margin-left:0.55pt;mso-position-horizontal-relative:page;mso-position-vertical-relative:page;position:absolute;z-index:251686912" o:allowincell="f" filled="t" fillcolor="#c30f1b" stroked="f"/>
      </w:pict>
    </w:r>
    <w:r>
      <w:pict>
        <v:rect id="_x0000_s2087" style="width:155.9pt;height:4.25pt;margin-top:836.55pt;margin-left:4.35pt;mso-position-horizontal-relative:page;mso-position-vertical-relative:page;position:absolute;z-index:251685888" o:allowincell="f" filled="t" fillcolor="#c30f1b" stroked="f"/>
      </w:pict>
    </w: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6</w:t>
    </w:r>
    <w:r>
      <w:rPr>
        <w:rFonts w:ascii="Arial" w:eastAsia="Arial" w:hAnsi="Arial" w:cs="Arial"/>
        <w:b/>
        <w:bCs/>
        <w:color w:val="C30F1B"/>
        <w:spacing w:val="35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091" style="width:4.25pt;height:31.2pt;margin-top:809.7pt;margin-left:0.55pt;mso-position-horizontal-relative:page;mso-position-vertical-relative:page;position:absolute;z-index:251689984" o:allowincell="f" filled="t" fillcolor="#c30f1b" stroked="f"/>
      </w:pict>
    </w:r>
    <w:r>
      <w:pict>
        <v:rect id="_x0000_s2092" style="width:155.9pt;height:4.25pt;margin-top:836.55pt;margin-left:4.35pt;mso-position-horizontal-relative:page;mso-position-vertical-relative:page;position:absolute;z-index:251688960" o:allowincell="f" filled="t" fillcolor="#c30f1b" stroked="f"/>
      </w:pict>
    </w:r>
    <w: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970466498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0466498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6</w:t>
    </w:r>
    <w:r>
      <w:rPr>
        <w:rFonts w:ascii="Arial" w:eastAsia="Arial" w:hAnsi="Arial" w:cs="Arial"/>
        <w:b/>
        <w:bCs/>
        <w:color w:val="C30F1B"/>
        <w:spacing w:val="35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093" style="width:4.25pt;height:31.2pt;margin-top:809.7pt;margin-left:0.55pt;mso-position-horizontal-relative:page;mso-position-vertical-relative:page;position:absolute;z-index:251693056" o:allowincell="f" filled="t" fillcolor="#c30f1b" stroked="f"/>
      </w:pict>
    </w:r>
    <w:r>
      <w:pict>
        <v:rect id="_x0000_s2094" style="width:155.9pt;height:4.25pt;margin-top:836.55pt;margin-left:4.35pt;mso-position-horizontal-relative:page;mso-position-vertical-relative:page;position:absolute;z-index:251692032" o:allowincell="f" filled="t" fillcolor="#c30f1b" stroked="f"/>
      </w:pict>
    </w: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7</w:t>
    </w:r>
    <w:r>
      <w:rPr>
        <w:rFonts w:ascii="Arial" w:eastAsia="Arial" w:hAnsi="Arial" w:cs="Arial"/>
        <w:b/>
        <w:bCs/>
        <w:color w:val="C30F1B"/>
        <w:spacing w:val="35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098" style="width:4.25pt;height:31.2pt;margin-top:809.7pt;margin-left:0.55pt;mso-position-horizontal-relative:page;mso-position-vertical-relative:page;position:absolute;z-index:251696128" o:allowincell="f" filled="t" fillcolor="#c30f1b" stroked="f"/>
      </w:pict>
    </w:r>
    <w:r>
      <w:pict>
        <v:rect id="_x0000_s2099" style="width:155.9pt;height:4.25pt;margin-top:836.55pt;margin-left:4.35pt;mso-position-horizontal-relative:page;mso-position-vertical-relative:page;position:absolute;z-index:251695104" o:allowincell="f" filled="t" fillcolor="#c30f1b" stroked="f"/>
      </w:pict>
    </w:r>
    <w: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431579710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1579710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7</w:t>
    </w:r>
    <w:r>
      <w:rPr>
        <w:rFonts w:ascii="Arial" w:eastAsia="Arial" w:hAnsi="Arial" w:cs="Arial"/>
        <w:b/>
        <w:bCs/>
        <w:color w:val="C30F1B"/>
        <w:spacing w:val="35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103" style="width:4.25pt;height:31.2pt;margin-top:809.7pt;margin-left:0.55pt;mso-position-horizontal-relative:page;mso-position-vertical-relative:page;position:absolute;z-index:251699200" o:allowincell="f" filled="t" fillcolor="#c30f1b" stroked="f"/>
      </w:pict>
    </w:r>
    <w:r>
      <w:pict>
        <v:rect id="_x0000_s2104" style="width:155.9pt;height:4.25pt;margin-top:836.55pt;margin-left:4.35pt;mso-position-horizontal-relative:page;mso-position-vertical-relative:page;position:absolute;z-index:251698176" o:allowincell="f" filled="t" fillcolor="#c30f1b" stroked="f"/>
      </w:pict>
    </w: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797534747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7534747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7</w:t>
    </w:r>
    <w:r>
      <w:rPr>
        <w:rFonts w:ascii="Arial" w:eastAsia="Arial" w:hAnsi="Arial" w:cs="Arial"/>
        <w:b/>
        <w:bCs/>
        <w:color w:val="C30F1B"/>
        <w:spacing w:val="35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108" style="width:4.25pt;height:31.2pt;margin-top:809.7pt;margin-left:0.55pt;mso-position-horizontal-relative:page;mso-position-vertical-relative:page;position:absolute;z-index:251702272" o:allowincell="f" filled="t" fillcolor="#c30f1b" stroked="f"/>
      </w:pict>
    </w:r>
    <w:r>
      <w:pict>
        <v:rect id="_x0000_s2109" style="width:155.9pt;height:4.25pt;margin-top:836.55pt;margin-left:4.35pt;mso-position-horizontal-relative:page;mso-position-vertical-relative:page;position:absolute;z-index:251701248" o:allowincell="f" filled="t" fillcolor="#c30f1b" stroked="f"/>
      </w:pict>
    </w:r>
    <w:r>
      <w:drawing>
        <wp:anchor distT="0" distB="0" distL="0" distR="0" simplePos="0" relativeHeight="25170022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8</w:t>
    </w:r>
    <w:r>
      <w:rPr>
        <w:rFonts w:ascii="Arial" w:eastAsia="Arial" w:hAnsi="Arial" w:cs="Arial"/>
        <w:b/>
        <w:bCs/>
        <w:color w:val="C30F1B"/>
        <w:spacing w:val="35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113" style="width:4.25pt;height:31.2pt;margin-top:809.7pt;margin-left:0.55pt;mso-position-horizontal-relative:page;mso-position-vertical-relative:page;position:absolute;z-index:251705344" o:allowincell="f" filled="t" fillcolor="#c30f1b" stroked="f"/>
      </w:pict>
    </w:r>
    <w:r>
      <w:pict>
        <v:rect id="_x0000_s2114" style="width:155.9pt;height:4.25pt;margin-top:836.55pt;margin-left:4.35pt;mso-position-horizontal-relative:page;mso-position-vertical-relative:page;position:absolute;z-index:251704320" o:allowincell="f" filled="t" fillcolor="#c30f1b" stroked="f"/>
      </w:pict>
    </w: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751105183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105183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8</w:t>
    </w:r>
    <w:r>
      <w:rPr>
        <w:rFonts w:ascii="Arial" w:eastAsia="Arial" w:hAnsi="Arial" w:cs="Arial"/>
        <w:b/>
        <w:bCs/>
        <w:color w:val="C30F1B"/>
        <w:spacing w:val="35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118" style="width:4.25pt;height:31.2pt;margin-top:809.7pt;margin-left:0.55pt;mso-position-horizontal-relative:page;mso-position-vertical-relative:page;position:absolute;z-index:251708416" o:allowincell="f" filled="t" fillcolor="#c30f1b" stroked="f"/>
      </w:pict>
    </w:r>
    <w:r>
      <w:pict>
        <v:rect id="_x0000_s2119" style="width:155.9pt;height:4.25pt;margin-top:836.55pt;margin-left:4.35pt;mso-position-horizontal-relative:page;mso-position-vertical-relative:page;position:absolute;z-index:251707392" o:allowincell="f" filled="t" fillcolor="#c30f1b" stroked="f"/>
      </w:pict>
    </w:r>
    <w:r>
      <w:drawing>
        <wp:anchor distT="0" distB="0" distL="0" distR="0" simplePos="0" relativeHeight="251706368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027277130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277130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8</w:t>
    </w:r>
    <w:r>
      <w:rPr>
        <w:rFonts w:ascii="Arial" w:eastAsia="Arial" w:hAnsi="Arial" w:cs="Arial"/>
        <w:b/>
        <w:bCs/>
        <w:color w:val="C30F1B"/>
        <w:spacing w:val="35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123" style="width:4.25pt;height:31.2pt;margin-top:809.7pt;margin-left:0.55pt;mso-position-horizontal-relative:page;mso-position-vertical-relative:page;position:absolute;z-index:251711488" o:allowincell="f" filled="t" fillcolor="#c30f1b" stroked="f"/>
      </w:pict>
    </w:r>
    <w:r>
      <w:pict>
        <v:rect id="_x0000_s2124" style="width:155.9pt;height:4.25pt;margin-top:836.55pt;margin-left:4.35pt;mso-position-horizontal-relative:page;mso-position-vertical-relative:page;position:absolute;z-index:251710464" o:allowincell="f" filled="t" fillcolor="#c30f1b" stroked="f"/>
      </w:pict>
    </w:r>
    <w: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33451615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4516154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8</w:t>
    </w:r>
    <w:r>
      <w:rPr>
        <w:rFonts w:ascii="Arial" w:eastAsia="Arial" w:hAnsi="Arial" w:cs="Arial"/>
        <w:b/>
        <w:bCs/>
        <w:color w:val="C30F1B"/>
        <w:spacing w:val="35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128" style="width:4.25pt;height:31.2pt;margin-top:809.7pt;margin-left:0.55pt;mso-position-horizontal-relative:page;mso-position-vertical-relative:page;position:absolute;z-index:251714560" o:allowincell="f" filled="t" fillcolor="#c30f1b" stroked="f"/>
      </w:pict>
    </w:r>
    <w:r>
      <w:pict>
        <v:rect id="_x0000_s2129" style="width:155.9pt;height:4.25pt;margin-top:836.55pt;margin-left:4.35pt;mso-position-horizontal-relative:page;mso-position-vertical-relative:page;position:absolute;z-index:251713536" o:allowincell="f" filled="t" fillcolor="#c30f1b" stroked="f"/>
      </w:pict>
    </w:r>
    <w:r>
      <w:drawing>
        <wp:anchor distT="0" distB="0" distL="0" distR="0" simplePos="0" relativeHeight="25171251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797926376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7926376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8</w:t>
    </w:r>
    <w:r>
      <w:rPr>
        <w:rFonts w:ascii="Arial" w:eastAsia="Arial" w:hAnsi="Arial" w:cs="Arial"/>
        <w:b/>
        <w:bCs/>
        <w:color w:val="C30F1B"/>
        <w:spacing w:val="35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</w:pPr>
    <w:r>
      <w:pict>
        <v:rect id="_x0000_s2133" style="width:4.25pt;height:31.2pt;margin-top:809.7pt;margin-left:0.55pt;mso-position-horizontal-relative:page;mso-position-vertical-relative:page;position:absolute;z-index:251717632" o:allowincell="f" filled="t" fillcolor="#c30f1b" stroked="f"/>
      </w:pict>
    </w:r>
    <w:r>
      <w:pict>
        <v:rect id="_x0000_s2134" style="width:155.9pt;height:4.25pt;margin-top:836.55pt;margin-left:4.35pt;mso-position-horizontal-relative:page;mso-position-vertical-relative:page;position:absolute;z-index:251716608" o:allowincell="f" filled="t" fillcolor="#c30f1b" stroked="f"/>
      </w:pict>
    </w:r>
    <w: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093216630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3216630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8</w:t>
    </w:r>
    <w:r>
      <w:rPr>
        <w:rFonts w:ascii="Arial" w:eastAsia="Arial" w:hAnsi="Arial" w:cs="Arial"/>
        <w:b/>
        <w:bCs/>
        <w:color w:val="C30F1B"/>
        <w:spacing w:val="35"/>
        <w:w w:val="101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3"/>
    </w:pPr>
    <w:r>
      <w:pict>
        <v:rect id="_x0000_s2138" style="width:4.25pt;height:31.2pt;margin-top:809.7pt;margin-left:0.55pt;mso-position-horizontal-relative:page;mso-position-vertical-relative:page;position:absolute;z-index:251720704" o:allowincell="f" filled="t" fillcolor="#c30f1b" stroked="f"/>
      </w:pict>
    </w:r>
    <w:r>
      <w:pict>
        <v:rect id="_x0000_s2139" style="width:155.9pt;height:4.25pt;margin-top:836.55pt;margin-left:4.35pt;mso-position-horizontal-relative:page;mso-position-vertical-relative:page;position:absolute;z-index:251719680" o:allowincell="f" filled="t" fillcolor="#c30f1b" stroked="f"/>
      </w:pict>
    </w:r>
    <w:r>
      <w:drawing>
        <wp:anchor distT="0" distB="0" distL="0" distR="0" simplePos="0" relativeHeight="251718656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30" name="IM 1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" name="IM 1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9</w:t>
    </w:r>
    <w:r>
      <w:rPr>
        <w:rFonts w:ascii="Arial" w:eastAsia="Arial" w:hAnsi="Arial" w:cs="Arial"/>
        <w:b/>
        <w:bCs/>
        <w:color w:val="C30F1B"/>
        <w:spacing w:val="37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3"/>
    </w:pPr>
    <w:r>
      <w:pict>
        <v:rect id="_x0000_s2143" style="width:4.25pt;height:31.2pt;margin-top:809.7pt;margin-left:0.55pt;mso-position-horizontal-relative:page;mso-position-vertical-relative:page;position:absolute;z-index:251723776" o:allowincell="f" filled="t" fillcolor="#c30f1b" stroked="f"/>
      </w:pict>
    </w:r>
    <w:r>
      <w:pict>
        <v:rect id="_x0000_s2144" style="width:155.9pt;height:4.25pt;margin-top:836.55pt;margin-left:4.35pt;mso-position-horizontal-relative:page;mso-position-vertical-relative:page;position:absolute;z-index:251722752" o:allowincell="f" filled="t" fillcolor="#c30f1b" stroked="f"/>
      </w:pict>
    </w:r>
    <w:r>
      <w:drawing>
        <wp:anchor distT="0" distB="0" distL="0" distR="0" simplePos="0" relativeHeight="251721728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924951498" name="IM 1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4951498" name="IM 1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9</w:t>
    </w:r>
    <w:r>
      <w:rPr>
        <w:rFonts w:ascii="Arial" w:eastAsia="Arial" w:hAnsi="Arial" w:cs="Arial"/>
        <w:b/>
        <w:bCs/>
        <w:color w:val="C30F1B"/>
        <w:spacing w:val="37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3"/>
    </w:pPr>
    <w:r>
      <w:pict>
        <v:rect id="_x0000_s2148" style="width:4.25pt;height:31.2pt;margin-top:809.7pt;margin-left:0.55pt;mso-position-horizontal-relative:page;mso-position-vertical-relative:page;position:absolute;z-index:251726848" o:allowincell="f" filled="t" fillcolor="#c30f1b" stroked="f"/>
      </w:pict>
    </w:r>
    <w:r>
      <w:pict>
        <v:rect id="_x0000_s2149" style="width:155.9pt;height:4.25pt;margin-top:836.55pt;margin-left:4.35pt;mso-position-horizontal-relative:page;mso-position-vertical-relative:page;position:absolute;z-index:251725824" o:allowincell="f" filled="t" fillcolor="#c30f1b" stroked="f"/>
      </w:pict>
    </w:r>
    <w:r>
      <w:drawing>
        <wp:anchor distT="0" distB="0" distL="0" distR="0" simplePos="0" relativeHeight="25172480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987952426" name="IM 1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7952426" name="IM 1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9</w:t>
    </w:r>
    <w:r>
      <w:rPr>
        <w:rFonts w:ascii="Arial" w:eastAsia="Arial" w:hAnsi="Arial" w:cs="Arial"/>
        <w:b/>
        <w:bCs/>
        <w:color w:val="C30F1B"/>
        <w:spacing w:val="37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3"/>
    </w:pPr>
    <w:r>
      <w:pict>
        <v:rect id="_x0000_s2153" style="width:4.25pt;height:31.2pt;margin-top:809.7pt;margin-left:0.55pt;mso-position-horizontal-relative:page;mso-position-vertical-relative:page;position:absolute;z-index:251729920" o:allowincell="f" filled="t" fillcolor="#c30f1b" stroked="f"/>
      </w:pict>
    </w:r>
    <w:r>
      <w:pict>
        <v:rect id="_x0000_s2154" style="width:155.9pt;height:4.25pt;margin-top:836.55pt;margin-left:4.35pt;mso-position-horizontal-relative:page;mso-position-vertical-relative:page;position:absolute;z-index:251728896" o:allowincell="f" filled="t" fillcolor="#c30f1b" stroked="f"/>
      </w:pict>
    </w:r>
    <w:r>
      <w:drawing>
        <wp:anchor distT="0" distB="0" distL="0" distR="0" simplePos="0" relativeHeight="25172787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380229615" name="IM 1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0229615" name="IM 1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9</w:t>
    </w:r>
    <w:r>
      <w:rPr>
        <w:rFonts w:ascii="Arial" w:eastAsia="Arial" w:hAnsi="Arial" w:cs="Arial"/>
        <w:b/>
        <w:bCs/>
        <w:color w:val="C30F1B"/>
        <w:spacing w:val="37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</w:pPr>
    <w:r>
      <w:pict>
        <v:rect id="_x0000_s2158" style="width:4.25pt;height:31.2pt;margin-top:809.7pt;margin-left:0.55pt;mso-position-horizontal-relative:page;mso-position-vertical-relative:page;position:absolute;z-index:251732992" o:allowincell="f" filled="t" fillcolor="#c30f1b" stroked="f"/>
      </w:pict>
    </w:r>
    <w:r>
      <w:pict>
        <v:rect id="_x0000_s2159" style="width:155.9pt;height:4.25pt;margin-top:836.55pt;margin-left:4.35pt;mso-position-horizontal-relative:page;mso-position-vertical-relative:page;position:absolute;z-index:251731968" o:allowincell="f" filled="t" fillcolor="#c30f1b" stroked="f"/>
      </w:pict>
    </w:r>
    <w:r>
      <w:drawing>
        <wp:anchor distT="0" distB="0" distL="0" distR="0" simplePos="0" relativeHeight="25173094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58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" name="IM 15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10</w:t>
    </w:r>
    <w:r>
      <w:rPr>
        <w:rFonts w:ascii="Arial" w:eastAsia="Arial" w:hAnsi="Arial" w:cs="Arial"/>
        <w:b/>
        <w:bCs/>
        <w:color w:val="C30F1B"/>
        <w:spacing w:val="32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</w:t>
    </w:r>
    <w:r>
      <w:rPr>
        <w:spacing w:val="-2"/>
      </w:rPr>
      <w:t>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</w:pPr>
    <w:r>
      <w:pict>
        <v:rect id="_x0000_s2163" style="width:4.25pt;height:31.2pt;margin-top:809.7pt;margin-left:0.55pt;mso-position-horizontal-relative:page;mso-position-vertical-relative:page;position:absolute;z-index:251736064" o:allowincell="f" filled="t" fillcolor="#c30f1b" stroked="f"/>
      </w:pict>
    </w:r>
    <w:r>
      <w:pict>
        <v:rect id="_x0000_s2164" style="width:155.9pt;height:4.25pt;margin-top:836.55pt;margin-left:4.35pt;mso-position-horizontal-relative:page;mso-position-vertical-relative:page;position:absolute;z-index:251735040" o:allowincell="f" filled="t" fillcolor="#c30f1b" stroked="f"/>
      </w:pict>
    </w:r>
    <w:r>
      <w:drawing>
        <wp:anchor distT="0" distB="0" distL="0" distR="0" simplePos="0" relativeHeight="251734016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041364008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364008" name="IM 15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10</w:t>
    </w:r>
    <w:r>
      <w:rPr>
        <w:rFonts w:ascii="Arial" w:eastAsia="Arial" w:hAnsi="Arial" w:cs="Arial"/>
        <w:b/>
        <w:bCs/>
        <w:color w:val="C30F1B"/>
        <w:spacing w:val="32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</w:t>
    </w:r>
    <w:r>
      <w:rPr>
        <w:spacing w:val="-2"/>
      </w:rPr>
      <w:t>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</w:pPr>
    <w:r>
      <w:pict>
        <v:rect id="_x0000_s2168" style="width:4.25pt;height:31.2pt;margin-top:809.7pt;margin-left:0.55pt;mso-position-horizontal-relative:page;mso-position-vertical-relative:page;position:absolute;z-index:251739136" o:allowincell="f" filled="t" fillcolor="#c30f1b" stroked="f"/>
      </w:pict>
    </w:r>
    <w:r>
      <w:pict>
        <v:rect id="_x0000_s2169" style="width:155.9pt;height:4.25pt;margin-top:836.55pt;margin-left:4.35pt;mso-position-horizontal-relative:page;mso-position-vertical-relative:page;position:absolute;z-index:251738112" o:allowincell="f" filled="t" fillcolor="#c30f1b" stroked="f"/>
      </w:pict>
    </w:r>
    <w:r>
      <w:drawing>
        <wp:anchor distT="0" distB="0" distL="0" distR="0" simplePos="0" relativeHeight="251737088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795047774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5047774" name="IM 15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10</w:t>
    </w:r>
    <w:r>
      <w:rPr>
        <w:rFonts w:ascii="Arial" w:eastAsia="Arial" w:hAnsi="Arial" w:cs="Arial"/>
        <w:b/>
        <w:bCs/>
        <w:color w:val="C30F1B"/>
        <w:spacing w:val="32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</w:t>
    </w:r>
    <w:r>
      <w:rPr>
        <w:spacing w:val="-2"/>
      </w:rPr>
      <w:t>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</w:pPr>
    <w:r>
      <w:pict>
        <v:rect id="_x0000_s2173" style="width:4.25pt;height:31.2pt;margin-top:809.7pt;margin-left:0.55pt;mso-position-horizontal-relative:page;mso-position-vertical-relative:page;position:absolute;z-index:251742208" o:allowincell="f" filled="t" fillcolor="#c30f1b" stroked="f"/>
      </w:pict>
    </w:r>
    <w:r>
      <w:pict>
        <v:rect id="_x0000_s2174" style="width:155.9pt;height:4.25pt;margin-top:836.55pt;margin-left:4.35pt;mso-position-horizontal-relative:page;mso-position-vertical-relative:page;position:absolute;z-index:251741184" o:allowincell="f" filled="t" fillcolor="#c30f1b" stroked="f"/>
      </w:pict>
    </w:r>
    <w:r>
      <w:drawing>
        <wp:anchor distT="0" distB="0" distL="0" distR="0" simplePos="0" relativeHeight="25174016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403723438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723438" name="IM 15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10</w:t>
    </w:r>
    <w:r>
      <w:rPr>
        <w:rFonts w:ascii="Arial" w:eastAsia="Arial" w:hAnsi="Arial" w:cs="Arial"/>
        <w:b/>
        <w:bCs/>
        <w:color w:val="C30F1B"/>
        <w:spacing w:val="32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</w:t>
    </w:r>
    <w:r>
      <w:rPr>
        <w:spacing w:val="-2"/>
      </w:rPr>
      <w:t>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</w:pPr>
    <w:r>
      <w:pict>
        <v:rect id="_x0000_s2178" style="width:4.25pt;height:31.2pt;margin-top:809.7pt;margin-left:0.55pt;mso-position-horizontal-relative:page;mso-position-vertical-relative:page;position:absolute;z-index:251745280" o:allowincell="f" filled="t" fillcolor="#c30f1b" stroked="f"/>
      </w:pict>
    </w:r>
    <w:r>
      <w:pict>
        <v:rect id="_x0000_s2179" style="width:155.9pt;height:4.25pt;margin-top:836.55pt;margin-left:4.35pt;mso-position-horizontal-relative:page;mso-position-vertical-relative:page;position:absolute;z-index:251744256" o:allowincell="f" filled="t" fillcolor="#c30f1b" stroked="f"/>
      </w:pict>
    </w:r>
    <w:r>
      <w:drawing>
        <wp:anchor distT="0" distB="0" distL="0" distR="0" simplePos="0" relativeHeight="25174323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172733433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2733433" name="IM 15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10</w:t>
    </w:r>
    <w:r>
      <w:rPr>
        <w:rFonts w:ascii="Arial" w:eastAsia="Arial" w:hAnsi="Arial" w:cs="Arial"/>
        <w:b/>
        <w:bCs/>
        <w:color w:val="C30F1B"/>
        <w:spacing w:val="32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</w:t>
    </w:r>
    <w:r>
      <w:rPr>
        <w:spacing w:val="-2"/>
      </w:rPr>
      <w:t>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</w:pPr>
    <w:r>
      <w:pict>
        <v:rect id="_x0000_s2183" style="width:4.25pt;height:31.2pt;margin-top:809.7pt;margin-left:0.55pt;mso-position-horizontal-relative:page;mso-position-vertical-relative:page;position:absolute;z-index:251748352" o:allowincell="f" filled="t" fillcolor="#c30f1b" stroked="f"/>
      </w:pict>
    </w:r>
    <w:r>
      <w:pict>
        <v:rect id="_x0000_s2184" style="width:155.9pt;height:4.25pt;margin-top:836.55pt;margin-left:4.35pt;mso-position-horizontal-relative:page;mso-position-vertical-relative:page;position:absolute;z-index:251747328" o:allowincell="f" filled="t" fillcolor="#c30f1b" stroked="f"/>
      </w:pict>
    </w:r>
    <w:r>
      <w:drawing>
        <wp:anchor distT="0" distB="0" distL="0" distR="0" simplePos="0" relativeHeight="25174630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609081706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9081706" name="IM 15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</w:rPr>
      <w:t>10</w:t>
    </w:r>
    <w:r>
      <w:rPr>
        <w:rFonts w:ascii="Arial" w:eastAsia="Arial" w:hAnsi="Arial" w:cs="Arial"/>
        <w:b/>
        <w:bCs/>
        <w:color w:val="C30F1B"/>
        <w:spacing w:val="32"/>
      </w:rPr>
      <w:t xml:space="preserve"> </w:t>
    </w:r>
    <w:r>
      <w:rPr>
        <w:rFonts w:ascii="Arial" w:eastAsia="Arial" w:hAnsi="Arial" w:cs="Arial"/>
        <w:spacing w:val="-1"/>
      </w:rPr>
      <w:t xml:space="preserve">| </w:t>
    </w:r>
    <w:r>
      <w:rPr>
        <w:spacing w:val="-1"/>
      </w:rPr>
      <w:t>请务必仔细阅读报告尾部的投资评级说明和</w:t>
    </w:r>
    <w:r>
      <w:rPr>
        <w:spacing w:val="-2"/>
      </w:rPr>
      <w:t>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59" style="width:4.25pt;height:31.2pt;margin-top:0.55pt;margin-left:590.35pt;mso-position-horizontal-relative:page;mso-position-vertical-relative:page;position:absolute;z-index:251660288" o:allowincell="f" filled="t" fillcolor="#c30f1b" stroked="f"/>
      </w:pict>
    </w:r>
    <w:r>
      <w:pict>
        <v:rect id="_x0000_s2060" style="width:155.9pt;height:4.25pt;margin-top:0.6pt;margin-left:434.3pt;mso-position-horizontal-relative:page;mso-position-vertical-relative:page;position:absolute;z-index:25165926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71.3pt;height:21.8pt;margin-top:-2.81pt;margin-left:489.19pt;position:absolute;z-index:25165824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64" style="width:4.25pt;height:31.2pt;margin-top:0.55pt;margin-left:590.35pt;mso-position-horizontal-relative:page;mso-position-vertical-relative:page;position:absolute;z-index:251663360" o:allowincell="f" filled="t" fillcolor="#c30f1b" stroked="f"/>
      </w:pict>
    </w:r>
    <w:r>
      <w:pict>
        <v:rect id="_x0000_s2065" style="width:155.9pt;height:4.25pt;margin-top:0.6pt;margin-left:434.3pt;mso-position-horizontal-relative:page;mso-position-vertical-relative:page;position:absolute;z-index:25166233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71.3pt;height:21.8pt;margin-top:-2.81pt;margin-left:489.19pt;position:absolute;z-index:25166131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71" style="width:4.25pt;height:31.2pt;margin-top:0.55pt;margin-left:590.35pt;mso-position-horizontal-relative:page;mso-position-vertical-relative:page;position:absolute;z-index:251666432" o:allowincell="f" filled="t" fillcolor="#c30f1b" stroked="f"/>
      </w:pict>
    </w:r>
    <w:r>
      <w:pict>
        <v:rect id="_x0000_s2072" style="width:155.9pt;height:4.25pt;margin-top:0.6pt;margin-left:434.3pt;mso-position-horizontal-relative:page;mso-position-vertical-relative:page;position:absolute;z-index:25166540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71.3pt;height:21.8pt;margin-top:-2.81pt;margin-left:489.19pt;position:absolute;z-index:25166438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76" style="width:4.25pt;height:31.2pt;margin-top:0.55pt;margin-left:590.35pt;mso-position-horizontal-relative:page;mso-position-vertical-relative:page;position:absolute;z-index:251669504" o:allowincell="f" filled="t" fillcolor="#c30f1b" stroked="f"/>
      </w:pict>
    </w:r>
    <w:r>
      <w:pict>
        <v:rect id="_x0000_s2077" style="width:155.9pt;height:4.25pt;margin-top:0.6pt;margin-left:434.3pt;mso-position-horizontal-relative:page;mso-position-vertical-relative:page;position:absolute;z-index:251668480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71.3pt;height:21.8pt;margin-top:-2.81pt;margin-left:489.19pt;position:absolute;z-index:25166745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83" style="width:4.25pt;height:31.2pt;margin-top:0.55pt;margin-left:590.35pt;mso-position-horizontal-relative:page;mso-position-vertical-relative:page;position:absolute;z-index:251672576" o:allowincell="f" filled="t" fillcolor="#c30f1b" stroked="f"/>
      </w:pict>
    </w:r>
    <w:r>
      <w:pict>
        <v:rect id="_x0000_s2084" style="width:155.9pt;height:4.25pt;margin-top:0.6pt;margin-left:434.3pt;mso-position-horizontal-relative:page;mso-position-vertical-relative:page;position:absolute;z-index:251671552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71.3pt;height:21.8pt;margin-top:-2.81pt;margin-left:489.19pt;position:absolute;z-index:25167052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88" style="width:4.25pt;height:31.2pt;margin-top:0.55pt;margin-left:590.35pt;mso-position-horizontal-relative:page;mso-position-vertical-relative:page;position:absolute;z-index:251675648" o:allowincell="f" filled="t" fillcolor="#c30f1b" stroked="f"/>
      </w:pict>
    </w:r>
    <w:r>
      <w:pict>
        <v:rect id="_x0000_s2089" style="width:155.9pt;height:4.25pt;margin-top:0.6pt;margin-left:434.3pt;mso-position-horizontal-relative:page;mso-position-vertical-relative:page;position:absolute;z-index:25167462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71.3pt;height:21.8pt;margin-top:-2.81pt;margin-left:489.19pt;position:absolute;z-index:25167360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95" style="width:4.25pt;height:31.2pt;margin-top:0.55pt;margin-left:590.35pt;mso-position-horizontal-relative:page;mso-position-vertical-relative:page;position:absolute;z-index:251678720" o:allowincell="f" filled="t" fillcolor="#c30f1b" stroked="f"/>
      </w:pict>
    </w:r>
    <w:r>
      <w:pict>
        <v:rect id="_x0000_s2096" style="width:155.9pt;height:4.25pt;margin-top:0.6pt;margin-left:434.3pt;mso-position-horizontal-relative:page;mso-position-vertical-relative:page;position:absolute;z-index:25167769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71.3pt;height:21.8pt;margin-top:-2.81pt;margin-left:489.19pt;position:absolute;z-index:25167667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00" style="width:4.25pt;height:31.2pt;margin-top:0.55pt;margin-left:590.35pt;mso-position-horizontal-relative:page;mso-position-vertical-relative:page;position:absolute;z-index:251681792" o:allowincell="f" filled="t" fillcolor="#c30f1b" stroked="f"/>
      </w:pict>
    </w:r>
    <w:r>
      <w:pict>
        <v:rect id="_x0000_s2101" style="width:155.9pt;height:4.25pt;margin-top:0.6pt;margin-left:434.3pt;mso-position-horizontal-relative:page;mso-position-vertical-relative:page;position:absolute;z-index:25168076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71.3pt;height:21.8pt;margin-top:-2.81pt;margin-left:489.19pt;position:absolute;z-index:25167974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05" style="width:4.25pt;height:31.2pt;margin-top:0.55pt;margin-left:590.35pt;mso-position-horizontal-relative:page;mso-position-vertical-relative:page;position:absolute;z-index:251684864" o:allowincell="f" filled="t" fillcolor="#c30f1b" stroked="f"/>
      </w:pict>
    </w:r>
    <w:r>
      <w:pict>
        <v:rect id="_x0000_s2106" style="width:155.9pt;height:4.25pt;margin-top:0.6pt;margin-left:434.3pt;mso-position-horizontal-relative:page;mso-position-vertical-relative:page;position:absolute;z-index:251683840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71.3pt;height:21.8pt;margin-top:-2.81pt;margin-left:489.19pt;position:absolute;z-index:25168281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10" style="width:4.25pt;height:31.2pt;margin-top:0.55pt;margin-left:590.35pt;mso-position-horizontal-relative:page;mso-position-vertical-relative:page;position:absolute;z-index:251687936" o:allowincell="f" filled="t" fillcolor="#c30f1b" stroked="f"/>
      </w:pict>
    </w:r>
    <w:r>
      <w:pict>
        <v:rect id="_x0000_s2111" style="width:155.9pt;height:4.25pt;margin-top:0.6pt;margin-left:434.3pt;mso-position-horizontal-relative:page;mso-position-vertical-relative:page;position:absolute;z-index:251686912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71.3pt;height:21.8pt;margin-top:-2.81pt;margin-left:489.19pt;position:absolute;z-index:25168588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15" style="width:4.25pt;height:31.2pt;margin-top:0.55pt;margin-left:590.35pt;mso-position-horizontal-relative:page;mso-position-vertical-relative:page;position:absolute;z-index:251691008" o:allowincell="f" filled="t" fillcolor="#c30f1b" stroked="f"/>
      </w:pict>
    </w:r>
    <w:r>
      <w:pict>
        <v:rect id="_x0000_s2116" style="width:155.9pt;height:4.25pt;margin-top:0.6pt;margin-left:434.3pt;mso-position-horizontal-relative:page;mso-position-vertical-relative:page;position:absolute;z-index:25168998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71.3pt;height:21.8pt;margin-top:-2.81pt;margin-left:489.19pt;position:absolute;z-index:25168896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20" style="width:4.25pt;height:31.2pt;margin-top:0.55pt;margin-left:590.35pt;mso-position-horizontal-relative:page;mso-position-vertical-relative:page;position:absolute;z-index:251694080" o:allowincell="f" filled="t" fillcolor="#c30f1b" stroked="f"/>
      </w:pict>
    </w:r>
    <w:r>
      <w:pict>
        <v:rect id="_x0000_s2121" style="width:155.9pt;height:4.25pt;margin-top:0.6pt;margin-left:434.3pt;mso-position-horizontal-relative:page;mso-position-vertical-relative:page;position:absolute;z-index:25169305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71.3pt;height:21.8pt;margin-top:-2.81pt;margin-left:489.19pt;position:absolute;z-index:25169203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25" style="width:4.25pt;height:31.2pt;margin-top:0.55pt;margin-left:590.35pt;mso-position-horizontal-relative:page;mso-position-vertical-relative:page;position:absolute;z-index:251697152" o:allowincell="f" filled="t" fillcolor="#c30f1b" stroked="f"/>
      </w:pict>
    </w:r>
    <w:r>
      <w:pict>
        <v:rect id="_x0000_s2126" style="width:155.9pt;height:4.25pt;margin-top:0.6pt;margin-left:434.3pt;mso-position-horizontal-relative:page;mso-position-vertical-relative:page;position:absolute;z-index:25169612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71.3pt;height:21.8pt;margin-top:-2.81pt;margin-left:489.19pt;position:absolute;z-index:25169510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30" style="width:4.25pt;height:31.2pt;margin-top:0.55pt;margin-left:590.35pt;mso-position-horizontal-relative:page;mso-position-vertical-relative:page;position:absolute;z-index:251700224" o:allowincell="f" filled="t" fillcolor="#c30f1b" stroked="f"/>
      </w:pict>
    </w:r>
    <w:r>
      <w:pict>
        <v:rect id="_x0000_s2131" style="width:155.9pt;height:4.25pt;margin-top:0.6pt;margin-left:434.3pt;mso-position-horizontal-relative:page;mso-position-vertical-relative:page;position:absolute;z-index:251699200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71.3pt;height:21.8pt;margin-top:-2.81pt;margin-left:489.19pt;position:absolute;z-index:25169817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35" style="width:4.25pt;height:31.2pt;margin-top:0.55pt;margin-left:590.35pt;mso-position-horizontal-relative:page;mso-position-vertical-relative:page;position:absolute;z-index:251703296" o:allowincell="f" filled="t" fillcolor="#c30f1b" stroked="f"/>
      </w:pict>
    </w:r>
    <w:r>
      <w:pict>
        <v:rect id="_x0000_s2136" style="width:155.9pt;height:4.25pt;margin-top:0.6pt;margin-left:434.3pt;mso-position-horizontal-relative:page;mso-position-vertical-relative:page;position:absolute;z-index:251702272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71.3pt;height:21.8pt;margin-top:-2.81pt;margin-left:489.19pt;position:absolute;z-index:25170124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40" style="width:4.25pt;height:31.2pt;margin-top:0.55pt;margin-left:590.35pt;mso-position-horizontal-relative:page;mso-position-vertical-relative:page;position:absolute;z-index:251706368" o:allowincell="f" filled="t" fillcolor="#c30f1b" stroked="f"/>
      </w:pict>
    </w:r>
    <w:r>
      <w:pict>
        <v:rect id="_x0000_s2141" style="width:155.9pt;height:4.25pt;margin-top:0.6pt;margin-left:434.3pt;mso-position-horizontal-relative:page;mso-position-vertical-relative:page;position:absolute;z-index:25170534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71.3pt;height:21.8pt;margin-top:-2.81pt;margin-left:489.19pt;position:absolute;z-index:25170432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45" style="width:4.25pt;height:31.2pt;margin-top:0.55pt;margin-left:590.35pt;mso-position-horizontal-relative:page;mso-position-vertical-relative:page;position:absolute;z-index:251709440" o:allowincell="f" filled="t" fillcolor="#c30f1b" stroked="f"/>
      </w:pict>
    </w:r>
    <w:r>
      <w:pict>
        <v:rect id="_x0000_s2146" style="width:155.9pt;height:4.25pt;margin-top:0.6pt;margin-left:434.3pt;mso-position-horizontal-relative:page;mso-position-vertical-relative:page;position:absolute;z-index:25170841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71.3pt;height:21.8pt;margin-top:-2.81pt;margin-left:489.19pt;position:absolute;z-index:25170739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50" style="width:4.25pt;height:31.2pt;margin-top:0.55pt;margin-left:590.35pt;mso-position-horizontal-relative:page;mso-position-vertical-relative:page;position:absolute;z-index:251712512" o:allowincell="f" filled="t" fillcolor="#c30f1b" stroked="f"/>
      </w:pict>
    </w:r>
    <w:r>
      <w:pict>
        <v:rect id="_x0000_s2151" style="width:155.9pt;height:4.25pt;margin-top:0.6pt;margin-left:434.3pt;mso-position-horizontal-relative:page;mso-position-vertical-relative:page;position:absolute;z-index:25171148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71.3pt;height:21.8pt;margin-top:-2.81pt;margin-left:489.19pt;position:absolute;z-index:25171046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55" style="width:4.25pt;height:31.2pt;margin-top:0.55pt;margin-left:590.35pt;mso-position-horizontal-relative:page;mso-position-vertical-relative:page;position:absolute;z-index:251715584" o:allowincell="f" filled="t" fillcolor="#c30f1b" stroked="f"/>
      </w:pict>
    </w:r>
    <w:r>
      <w:pict>
        <v:rect id="_x0000_s2156" style="width:155.9pt;height:4.25pt;margin-top:0.6pt;margin-left:434.3pt;mso-position-horizontal-relative:page;mso-position-vertical-relative:page;position:absolute;z-index:251714560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71.3pt;height:21.8pt;margin-top:-2.81pt;margin-left:489.19pt;position:absolute;z-index:25171353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60" style="width:4.25pt;height:31.2pt;margin-top:0.55pt;margin-left:590.35pt;mso-position-horizontal-relative:page;mso-position-vertical-relative:page;position:absolute;z-index:251718656" o:allowincell="f" filled="t" fillcolor="#c30f1b" stroked="f"/>
      </w:pict>
    </w:r>
    <w:r>
      <w:pict>
        <v:rect id="_x0000_s2161" style="width:155.9pt;height:4.25pt;margin-top:0.6pt;margin-left:434.3pt;mso-position-horizontal-relative:page;mso-position-vertical-relative:page;position:absolute;z-index:251717632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71.3pt;height:21.8pt;margin-top:-2.81pt;margin-left:489.19pt;position:absolute;z-index:25171660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65" style="width:4.25pt;height:31.2pt;margin-top:0.55pt;margin-left:590.35pt;mso-position-horizontal-relative:page;mso-position-vertical-relative:page;position:absolute;z-index:251721728" o:allowincell="f" filled="t" fillcolor="#c30f1b" stroked="f"/>
      </w:pict>
    </w:r>
    <w:r>
      <w:pict>
        <v:rect id="_x0000_s2166" style="width:155.9pt;height:4.25pt;margin-top:0.6pt;margin-left:434.3pt;mso-position-horizontal-relative:page;mso-position-vertical-relative:page;position:absolute;z-index:25172070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71.3pt;height:21.8pt;margin-top:-2.81pt;margin-left:489.19pt;position:absolute;z-index:25171968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70" style="width:4.25pt;height:31.2pt;margin-top:0.55pt;margin-left:590.35pt;mso-position-horizontal-relative:page;mso-position-vertical-relative:page;position:absolute;z-index:251724800" o:allowincell="f" filled="t" fillcolor="#c30f1b" stroked="f"/>
      </w:pict>
    </w:r>
    <w:r>
      <w:pict>
        <v:rect id="_x0000_s2171" style="width:155.9pt;height:4.25pt;margin-top:0.6pt;margin-left:434.3pt;mso-position-horizontal-relative:page;mso-position-vertical-relative:page;position:absolute;z-index:25172377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71.3pt;height:21.8pt;margin-top:-2.81pt;margin-left:489.19pt;position:absolute;z-index:25172275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75" style="width:4.25pt;height:31.2pt;margin-top:0.55pt;margin-left:590.35pt;mso-position-horizontal-relative:page;mso-position-vertical-relative:page;position:absolute;z-index:251727872" o:allowincell="f" filled="t" fillcolor="#c30f1b" stroked="f"/>
      </w:pict>
    </w:r>
    <w:r>
      <w:pict>
        <v:rect id="_x0000_s2176" style="width:155.9pt;height:4.25pt;margin-top:0.6pt;margin-left:434.3pt;mso-position-horizontal-relative:page;mso-position-vertical-relative:page;position:absolute;z-index:25172684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71.3pt;height:21.8pt;margin-top:-2.81pt;margin-left:489.19pt;position:absolute;z-index:25172582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80" style="width:4.25pt;height:31.2pt;margin-top:0.55pt;margin-left:590.35pt;mso-position-horizontal-relative:page;mso-position-vertical-relative:page;position:absolute;z-index:251730944" o:allowincell="f" filled="t" fillcolor="#c30f1b" stroked="f"/>
      </w:pict>
    </w:r>
    <w:r>
      <w:pict>
        <v:rect id="_x0000_s2181" style="width:155.9pt;height:4.25pt;margin-top:0.6pt;margin-left:434.3pt;mso-position-horizontal-relative:page;mso-position-vertical-relative:page;position:absolute;z-index:251729920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71.3pt;height:21.8pt;margin-top:-2.81pt;margin-left:489.19pt;position:absolute;z-index:25172889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85" style="width:4.25pt;height:31.2pt;margin-top:0.55pt;margin-left:590.35pt;mso-position-horizontal-relative:page;mso-position-vertical-relative:page;position:absolute;z-index:251734016" o:allowincell="f" filled="t" fillcolor="#c30f1b" stroked="f"/>
      </w:pict>
    </w:r>
    <w:r>
      <w:pict>
        <v:rect id="_x0000_s2186" style="width:155.9pt;height:4.25pt;margin-top:0.6pt;margin-left:434.3pt;mso-position-horizontal-relative:page;mso-position-vertical-relative:page;position:absolute;z-index:251732992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70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71.3pt;height:21.8pt;margin-top:-2.81pt;margin-left:489.19pt;position:absolute;z-index:25173196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58"/>
                </w:pPr>
                <w:r>
                  <w:rPr>
                    <w:color w:val="7F7F7F"/>
                    <w:spacing w:val="-4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2024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2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02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</w:rPr>
                  <w:t xml:space="preserve">28  </w:t>
                </w:r>
                <w:r>
                  <w:rPr>
                    <w:color w:val="7F7F7F"/>
                    <w:spacing w:val="-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2"/>
        <w:sz w:val="24"/>
        <w:szCs w:val="24"/>
      </w:rPr>
      <w:t>公司深度研究</w:t>
    </w:r>
    <w:r>
      <w:rPr>
        <w:color w:val="7F7F7F"/>
        <w:spacing w:val="-30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2"/>
        <w:sz w:val="24"/>
        <w:szCs w:val="24"/>
      </w:rPr>
      <w:t xml:space="preserve">| </w:t>
    </w:r>
    <w:r>
      <w:rPr>
        <w:color w:val="7F7F7F"/>
        <w:spacing w:val="-2"/>
        <w:sz w:val="24"/>
        <w:szCs w:val="24"/>
      </w:rPr>
      <w:t>菜百股份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6"/>
      <w:szCs w:val="1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image" Target="media/image49.png" /><Relationship Id="rId101" Type="http://schemas.openxmlformats.org/officeDocument/2006/relationships/header" Target="header23.xml" /><Relationship Id="rId102" Type="http://schemas.openxmlformats.org/officeDocument/2006/relationships/footer" Target="footer28.xml" /><Relationship Id="rId103" Type="http://schemas.openxmlformats.org/officeDocument/2006/relationships/header" Target="header24.xml" /><Relationship Id="rId104" Type="http://schemas.openxmlformats.org/officeDocument/2006/relationships/footer" Target="footer29.xml" /><Relationship Id="rId105" Type="http://schemas.openxmlformats.org/officeDocument/2006/relationships/image" Target="media/image50.png" /><Relationship Id="rId106" Type="http://schemas.openxmlformats.org/officeDocument/2006/relationships/image" Target="media/image51.png" /><Relationship Id="rId107" Type="http://schemas.openxmlformats.org/officeDocument/2006/relationships/image" Target="media/image52.png" /><Relationship Id="rId108" Type="http://schemas.openxmlformats.org/officeDocument/2006/relationships/header" Target="header25.xml" /><Relationship Id="rId109" Type="http://schemas.openxmlformats.org/officeDocument/2006/relationships/footer" Target="footer30.xml" /><Relationship Id="rId11" Type="http://schemas.openxmlformats.org/officeDocument/2006/relationships/footer" Target="footer3.xml" /><Relationship Id="rId110" Type="http://schemas.openxmlformats.org/officeDocument/2006/relationships/image" Target="media/image53.png" /><Relationship Id="rId111" Type="http://schemas.openxmlformats.org/officeDocument/2006/relationships/image" Target="media/image54.png" /><Relationship Id="rId112" Type="http://schemas.openxmlformats.org/officeDocument/2006/relationships/image" Target="media/image55.png" /><Relationship Id="rId113" Type="http://schemas.openxmlformats.org/officeDocument/2006/relationships/image" Target="media/image56.png" /><Relationship Id="rId114" Type="http://schemas.openxmlformats.org/officeDocument/2006/relationships/image" Target="media/image57.png" /><Relationship Id="rId115" Type="http://schemas.openxmlformats.org/officeDocument/2006/relationships/image" Target="media/image58.png" /><Relationship Id="rId116" Type="http://schemas.openxmlformats.org/officeDocument/2006/relationships/image" Target="media/image59.png" /><Relationship Id="rId117" Type="http://schemas.openxmlformats.org/officeDocument/2006/relationships/header" Target="header26.xml" /><Relationship Id="rId118" Type="http://schemas.openxmlformats.org/officeDocument/2006/relationships/footer" Target="footer31.xml" /><Relationship Id="rId119" Type="http://schemas.openxmlformats.org/officeDocument/2006/relationships/hyperlink" Target="https://d.book118.com/008044007012006041" TargetMode="External" /><Relationship Id="rId12" Type="http://schemas.openxmlformats.org/officeDocument/2006/relationships/footer" Target="footer4.xml" /><Relationship Id="rId120" Type="http://schemas.openxmlformats.org/officeDocument/2006/relationships/header" Target="header27.xml" /><Relationship Id="rId121" Type="http://schemas.openxmlformats.org/officeDocument/2006/relationships/footer" Target="footer32.xml" /><Relationship Id="rId122" Type="http://schemas.openxmlformats.org/officeDocument/2006/relationships/theme" Target="theme/theme1.xml" /><Relationship Id="rId123" Type="http://schemas.openxmlformats.org/officeDocument/2006/relationships/styles" Target="styles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jpeg" /><Relationship Id="rId16" Type="http://schemas.openxmlformats.org/officeDocument/2006/relationships/image" Target="media/image9.jpeg" /><Relationship Id="rId17" Type="http://schemas.openxmlformats.org/officeDocument/2006/relationships/image" Target="media/image10.jpeg" /><Relationship Id="rId18" Type="http://schemas.openxmlformats.org/officeDocument/2006/relationships/footer" Target="footer5.xml" /><Relationship Id="rId19" Type="http://schemas.openxmlformats.org/officeDocument/2006/relationships/header" Target="header1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2.xml" /><Relationship Id="rId22" Type="http://schemas.openxmlformats.org/officeDocument/2006/relationships/footer" Target="footer7.xml" /><Relationship Id="rId23" Type="http://schemas.openxmlformats.org/officeDocument/2006/relationships/header" Target="header3.xml" /><Relationship Id="rId24" Type="http://schemas.openxmlformats.org/officeDocument/2006/relationships/footer" Target="footer8.xml" /><Relationship Id="rId25" Type="http://schemas.openxmlformats.org/officeDocument/2006/relationships/header" Target="header4.xml" /><Relationship Id="rId26" Type="http://schemas.openxmlformats.org/officeDocument/2006/relationships/footer" Target="footer9.xml" /><Relationship Id="rId27" Type="http://schemas.openxmlformats.org/officeDocument/2006/relationships/image" Target="media/image12.png" /><Relationship Id="rId28" Type="http://schemas.openxmlformats.org/officeDocument/2006/relationships/header" Target="header5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footer" Target="footer11.xml" /><Relationship Id="rId32" Type="http://schemas.openxmlformats.org/officeDocument/2006/relationships/image" Target="media/image13.png" /><Relationship Id="rId33" Type="http://schemas.openxmlformats.org/officeDocument/2006/relationships/header" Target="header7.xml" /><Relationship Id="rId34" Type="http://schemas.openxmlformats.org/officeDocument/2006/relationships/footer" Target="footer12.xml" /><Relationship Id="rId35" Type="http://schemas.openxmlformats.org/officeDocument/2006/relationships/header" Target="header8.xml" /><Relationship Id="rId36" Type="http://schemas.openxmlformats.org/officeDocument/2006/relationships/footer" Target="footer13.xml" /><Relationship Id="rId37" Type="http://schemas.openxmlformats.org/officeDocument/2006/relationships/header" Target="header9.xml" /><Relationship Id="rId38" Type="http://schemas.openxmlformats.org/officeDocument/2006/relationships/footer" Target="footer14.xml" /><Relationship Id="rId39" Type="http://schemas.openxmlformats.org/officeDocument/2006/relationships/header" Target="header10.xml" /><Relationship Id="rId4" Type="http://schemas.openxmlformats.org/officeDocument/2006/relationships/image" Target="media/image1.png" /><Relationship Id="rId40" Type="http://schemas.openxmlformats.org/officeDocument/2006/relationships/footer" Target="footer15.xml" /><Relationship Id="rId41" Type="http://schemas.openxmlformats.org/officeDocument/2006/relationships/image" Target="media/image14.png" /><Relationship Id="rId42" Type="http://schemas.openxmlformats.org/officeDocument/2006/relationships/header" Target="header11.xml" /><Relationship Id="rId43" Type="http://schemas.openxmlformats.org/officeDocument/2006/relationships/footer" Target="footer16.xml" /><Relationship Id="rId44" Type="http://schemas.openxmlformats.org/officeDocument/2006/relationships/header" Target="header12.xml" /><Relationship Id="rId45" Type="http://schemas.openxmlformats.org/officeDocument/2006/relationships/footer" Target="footer17.xml" /><Relationship Id="rId46" Type="http://schemas.openxmlformats.org/officeDocument/2006/relationships/image" Target="media/image15.png" /><Relationship Id="rId47" Type="http://schemas.openxmlformats.org/officeDocument/2006/relationships/image" Target="media/image16.png" /><Relationship Id="rId48" Type="http://schemas.openxmlformats.org/officeDocument/2006/relationships/image" Target="media/image17.png" /><Relationship Id="rId49" Type="http://schemas.openxmlformats.org/officeDocument/2006/relationships/image" Target="media/image18.png" /><Relationship Id="rId5" Type="http://schemas.openxmlformats.org/officeDocument/2006/relationships/image" Target="media/image2.png" /><Relationship Id="rId50" Type="http://schemas.openxmlformats.org/officeDocument/2006/relationships/image" Target="media/image19.png" /><Relationship Id="rId51" Type="http://schemas.openxmlformats.org/officeDocument/2006/relationships/image" Target="media/image20.png" /><Relationship Id="rId52" Type="http://schemas.openxmlformats.org/officeDocument/2006/relationships/image" Target="media/image21.png" /><Relationship Id="rId53" Type="http://schemas.openxmlformats.org/officeDocument/2006/relationships/image" Target="media/image22.png" /><Relationship Id="rId54" Type="http://schemas.openxmlformats.org/officeDocument/2006/relationships/image" Target="media/image23.png" /><Relationship Id="rId55" Type="http://schemas.openxmlformats.org/officeDocument/2006/relationships/image" Target="media/image24.png" /><Relationship Id="rId56" Type="http://schemas.openxmlformats.org/officeDocument/2006/relationships/image" Target="media/image25.png" /><Relationship Id="rId57" Type="http://schemas.openxmlformats.org/officeDocument/2006/relationships/image" Target="media/image26.png" /><Relationship Id="rId58" Type="http://schemas.openxmlformats.org/officeDocument/2006/relationships/image" Target="media/image27.png" /><Relationship Id="rId59" Type="http://schemas.openxmlformats.org/officeDocument/2006/relationships/image" Target="media/image28.png" /><Relationship Id="rId6" Type="http://schemas.openxmlformats.org/officeDocument/2006/relationships/image" Target="media/image3.png" /><Relationship Id="rId60" Type="http://schemas.openxmlformats.org/officeDocument/2006/relationships/image" Target="media/image29.png" /><Relationship Id="rId61" Type="http://schemas.openxmlformats.org/officeDocument/2006/relationships/image" Target="media/image30.png" /><Relationship Id="rId62" Type="http://schemas.openxmlformats.org/officeDocument/2006/relationships/header" Target="header13.xml" /><Relationship Id="rId63" Type="http://schemas.openxmlformats.org/officeDocument/2006/relationships/footer" Target="footer18.xml" /><Relationship Id="rId64" Type="http://schemas.openxmlformats.org/officeDocument/2006/relationships/header" Target="header14.xml" /><Relationship Id="rId65" Type="http://schemas.openxmlformats.org/officeDocument/2006/relationships/footer" Target="footer19.xml" /><Relationship Id="rId66" Type="http://schemas.openxmlformats.org/officeDocument/2006/relationships/image" Target="media/image31.png" /><Relationship Id="rId67" Type="http://schemas.openxmlformats.org/officeDocument/2006/relationships/image" Target="media/image32.png" /><Relationship Id="rId68" Type="http://schemas.openxmlformats.org/officeDocument/2006/relationships/image" Target="media/image33.png" /><Relationship Id="rId69" Type="http://schemas.openxmlformats.org/officeDocument/2006/relationships/image" Target="media/image34.png" /><Relationship Id="rId7" Type="http://schemas.openxmlformats.org/officeDocument/2006/relationships/image" Target="media/image4.png" /><Relationship Id="rId70" Type="http://schemas.openxmlformats.org/officeDocument/2006/relationships/image" Target="media/image35.png" /><Relationship Id="rId71" Type="http://schemas.openxmlformats.org/officeDocument/2006/relationships/image" Target="media/image36.png" /><Relationship Id="rId72" Type="http://schemas.openxmlformats.org/officeDocument/2006/relationships/image" Target="media/image37.png" /><Relationship Id="rId73" Type="http://schemas.openxmlformats.org/officeDocument/2006/relationships/header" Target="header15.xml" /><Relationship Id="rId74" Type="http://schemas.openxmlformats.org/officeDocument/2006/relationships/footer" Target="footer20.xml" /><Relationship Id="rId75" Type="http://schemas.openxmlformats.org/officeDocument/2006/relationships/header" Target="header16.xml" /><Relationship Id="rId76" Type="http://schemas.openxmlformats.org/officeDocument/2006/relationships/footer" Target="footer21.xml" /><Relationship Id="rId77" Type="http://schemas.openxmlformats.org/officeDocument/2006/relationships/header" Target="header17.xml" /><Relationship Id="rId78" Type="http://schemas.openxmlformats.org/officeDocument/2006/relationships/footer" Target="footer22.xml" /><Relationship Id="rId79" Type="http://schemas.openxmlformats.org/officeDocument/2006/relationships/image" Target="media/image38.jpeg" /><Relationship Id="rId8" Type="http://schemas.openxmlformats.org/officeDocument/2006/relationships/image" Target="media/image5.png" /><Relationship Id="rId80" Type="http://schemas.openxmlformats.org/officeDocument/2006/relationships/header" Target="header18.xml" /><Relationship Id="rId81" Type="http://schemas.openxmlformats.org/officeDocument/2006/relationships/footer" Target="footer23.xml" /><Relationship Id="rId82" Type="http://schemas.openxmlformats.org/officeDocument/2006/relationships/image" Target="media/image39.png" /><Relationship Id="rId83" Type="http://schemas.openxmlformats.org/officeDocument/2006/relationships/image" Target="media/image40.png" /><Relationship Id="rId84" Type="http://schemas.openxmlformats.org/officeDocument/2006/relationships/image" Target="media/image41.png" /><Relationship Id="rId85" Type="http://schemas.openxmlformats.org/officeDocument/2006/relationships/image" Target="media/image42.png" /><Relationship Id="rId86" Type="http://schemas.openxmlformats.org/officeDocument/2006/relationships/image" Target="media/image43.png" /><Relationship Id="rId87" Type="http://schemas.openxmlformats.org/officeDocument/2006/relationships/image" Target="media/image44.png" /><Relationship Id="rId88" Type="http://schemas.openxmlformats.org/officeDocument/2006/relationships/header" Target="header19.xml" /><Relationship Id="rId89" Type="http://schemas.openxmlformats.org/officeDocument/2006/relationships/footer" Target="footer24.xml" /><Relationship Id="rId9" Type="http://schemas.openxmlformats.org/officeDocument/2006/relationships/footer" Target="footer1.xml" /><Relationship Id="rId90" Type="http://schemas.openxmlformats.org/officeDocument/2006/relationships/header" Target="header20.xml" /><Relationship Id="rId91" Type="http://schemas.openxmlformats.org/officeDocument/2006/relationships/footer" Target="footer25.xml" /><Relationship Id="rId92" Type="http://schemas.openxmlformats.org/officeDocument/2006/relationships/header" Target="header21.xml" /><Relationship Id="rId93" Type="http://schemas.openxmlformats.org/officeDocument/2006/relationships/footer" Target="footer26.xml" /><Relationship Id="rId94" Type="http://schemas.openxmlformats.org/officeDocument/2006/relationships/header" Target="header22.xml" /><Relationship Id="rId95" Type="http://schemas.openxmlformats.org/officeDocument/2006/relationships/footer" Target="footer27.xml" /><Relationship Id="rId96" Type="http://schemas.openxmlformats.org/officeDocument/2006/relationships/image" Target="media/image45.png" /><Relationship Id="rId97" Type="http://schemas.openxmlformats.org/officeDocument/2006/relationships/image" Target="media/image46.png" /><Relationship Id="rId98" Type="http://schemas.openxmlformats.org/officeDocument/2006/relationships/image" Target="media/image47.png" /><Relationship Id="rId99" Type="http://schemas.openxmlformats.org/officeDocument/2006/relationships/image" Target="media/image48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27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30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31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2024-02-28T21:33:12Z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2024-02-28T22:05:53Z</vt:filetime>
  </property>
  <property fmtid="{D5CDD505-2E9C-101B-9397-08002B2CF9AE}" pid="3" name="CRO">
    <vt:lpwstr>wqlLaW5nc29mdCBQREYgdG8gV1BTIDkw</vt:lpwstr>
  </property>
</Properties>
</file>