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2018-2023年潍坊职业学院高职单招（数学／语文／英语）历年常考试题库含答案解析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《灯下漫笔》选自鲁迅著名的杂文集（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A.《热风》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B.《南腔北调集》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D.《华盖集》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“不义不暱，厚将崩”出自（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D.《郑伯克段于鄢》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李密的《陈情表》是一篇（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A.书信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C.辞赋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D.奏疏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下列句中，“所以”可译成“用来”的是（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019742" cy="136221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19742" cy="1362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《报刘一丈书》本文主旨是（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A.赞美刘一丈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B.讽刺官场腐败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C.讽刺“才德称位”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D.赞美“上下相孚”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《风波》、《断魂枪》、《苦恼》的作者依次是（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A.鲁迅、契诃夫、老舍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B.契诃夫、鲁迅、老舍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C.鲁迅、老舍、契诃夫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D.契诃夫、老舍、鲁迅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使本文展开论述的问题是（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A.五十步笑百步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B.为何民不加多和如何使民加多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C.如何养生丧死无憾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D.如何以德治国和如何使民加多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《谏逐客书》的中心论点是（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A.逐客正确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B.逐客错误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C.逐客利于秦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D.客有负于秦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A.乐府新题诗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B.乐府旧题诗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C.绝句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《谏逐客书》本文中，作者用“五帝三王之所以无敌”的做法来论证秦王的错误，这里采用的论证方法是（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D.类比法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闻一多最具有代表性的诗集是（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A.《真我集》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B.《红烛》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下列句子中，运用侧面描写渲染演出效果的是（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A.引商刻羽，抗坠疾徐，并称善也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B.或大呼命酒，或移坐更进之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C.我闻今相国顾秉谦者，严相国俦也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D.以分宜教分宜，安得不工哉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下列句子中，不是宾语前置的是（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A.丘未之逮也，而有志焉。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B.姜氏何厌之有？不如早为之所，无使滋蔓。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C.人之将死，其脏腑必有先受其病者。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D.辞曰：“责毕收，以何市而反？”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契诃夫是（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https://d.book118.com/008062026132006040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008062026132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