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spacing w:line="500" w:lineRule="auto"/>
        <w:jc w:val="center"/>
        <w:rPr>
          <w:rFonts w:ascii="宋体" w:hAnsi="宋体" w:cs="宋体" w:hint="eastAsia"/>
          <w:b/>
          <w:kern w:val="0"/>
          <w:sz w:val="32"/>
          <w:szCs w:val="32"/>
        </w:rPr>
      </w:pPr>
      <w:r>
        <w:rPr>
          <w:rFonts w:ascii="宋体" w:hAnsi="宋体" w:cs="宋体" w:hint="eastAsia"/>
          <w:b/>
          <w:kern w:val="0"/>
          <w:sz w:val="32"/>
          <w:szCs w:val="32"/>
        </w:rPr>
        <w:t>香港太平洋（武汉区）营销推广提案</w:t>
      </w:r>
    </w:p>
    <w:p>
      <w:pPr>
        <w:spacing w:line="500" w:lineRule="auto"/>
        <w:ind w:right="2339" w:rightChars="1114"/>
        <w:jc w:val="center"/>
        <w:rPr>
          <w:rFonts w:ascii="宋体" w:hAnsi="宋体" w:hint="eastAsia"/>
          <w:b/>
          <w:bCs/>
          <w:sz w:val="24"/>
        </w:rPr>
      </w:pPr>
      <w:r>
        <w:rPr>
          <w:rFonts w:ascii="宋体" w:hAnsi="宋体" w:hint="eastAsia"/>
          <w:b/>
          <w:bCs/>
          <w:sz w:val="24"/>
        </w:rPr>
        <w:t>目   录</w:t>
      </w:r>
    </w:p>
    <w:p>
      <w:pPr>
        <w:spacing w:line="360" w:lineRule="auto"/>
        <w:ind w:right="2339" w:rightChars="1114"/>
        <w:jc w:val="center"/>
        <w:rPr>
          <w:rFonts w:ascii="宋体" w:hAnsi="宋体" w:hint="eastAsia"/>
          <w:b/>
          <w:bCs/>
          <w:sz w:val="24"/>
        </w:rPr>
      </w:pPr>
    </w:p>
    <w:p>
      <w:pPr>
        <w:pStyle w:val="TOC1"/>
        <w:tabs>
          <w:tab w:val="right" w:leader="dot" w:pos="13992"/>
        </w:tabs>
        <w:spacing w:line="500" w:lineRule="auto"/>
        <w:rPr>
          <w:rFonts w:ascii="Times New Roman" w:eastAsia="宋体" w:hAnsi="Times New Roman"/>
          <w:sz w:val="21"/>
          <w:szCs w:val="24"/>
        </w:rPr>
      </w:pPr>
      <w:bookmarkStart w:id="0" w:name="_Toc182639465"/>
      <w:bookmarkStart w:id="1" w:name="_Toc182640114"/>
      <w:bookmarkStart w:id="2" w:name="_Toc182715753"/>
      <w:bookmarkStart w:id="3" w:name="_Toc182715983"/>
      <w:r>
        <w:rPr>
          <w:rFonts w:ascii="宋体" w:eastAsia="宋体" w:hAnsi="宋体"/>
          <w:bCs/>
          <w:sz w:val="24"/>
          <w:szCs w:val="24"/>
        </w:rPr>
        <w:fldChar w:fldCharType="begin"/>
      </w:r>
      <w:r>
        <w:rPr>
          <w:rFonts w:ascii="宋体" w:eastAsia="宋体" w:hAnsi="宋体"/>
          <w:bCs/>
          <w:sz w:val="24"/>
          <w:szCs w:val="24"/>
        </w:rPr>
        <w:instrText xml:space="preserve"> TOC \o "1-2" \h \z \u </w:instrText>
      </w:r>
      <w:r>
        <w:rPr>
          <w:rFonts w:ascii="宋体" w:eastAsia="宋体" w:hAnsi="宋体"/>
          <w:bCs/>
          <w:sz w:val="24"/>
          <w:szCs w:val="24"/>
        </w:rPr>
        <w:fldChar w:fldCharType="separate"/>
      </w:r>
      <w:hyperlink w:anchor="_Toc" w:history="1">
        <w:r>
          <w:rPr>
            <w:rStyle w:val="Hyperlink"/>
            <w:rFonts w:ascii="宋体" w:hAnsi="宋体" w:hint="eastAsia"/>
          </w:rPr>
          <w:t>第一章</w:t>
        </w:r>
        <w:r>
          <w:rPr>
            <w:rStyle w:val="Hyperlink"/>
            <w:rFonts w:ascii="宋体" w:hAnsi="宋体"/>
          </w:rPr>
          <w:t xml:space="preserve">  </w:t>
        </w:r>
        <w:r>
          <w:rPr>
            <w:rStyle w:val="Hyperlink"/>
            <w:rFonts w:ascii="宋体" w:hAnsi="宋体" w:hint="eastAsia"/>
          </w:rPr>
          <w:t>市</w:t>
        </w:r>
        <w:r>
          <w:rPr>
            <w:rStyle w:val="Hyperlink"/>
            <w:rFonts w:ascii="宋体" w:hAnsi="宋体" w:cs="宋体" w:hint="eastAsia"/>
          </w:rPr>
          <w:t>场</w:t>
        </w:r>
        <w:r>
          <w:rPr>
            <w:rStyle w:val="Hyperlink"/>
            <w:rFonts w:ascii="宋体" w:hAnsi="宋体" w:hint="eastAsia"/>
          </w:rPr>
          <w:t>分析</w:t>
        </w:r>
        <w:r>
          <w:tab/>
        </w:r>
        <w:r>
          <w:fldChar w:fldCharType="begin"/>
        </w:r>
        <w:r>
          <w:instrText xml:space="preserve"> PAGEREF _Toc \h </w:instrText>
        </w:r>
        <w:r>
          <w:fldChar w:fldCharType="separate"/>
        </w:r>
        <w:r>
          <w:t>5</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kern w:val="0"/>
          </w:rPr>
          <w:t>一、</w:t>
        </w:r>
        <w:r>
          <w:rPr>
            <w:rStyle w:val="Hyperlink"/>
            <w:rFonts w:ascii="宋体" w:hAnsi="宋体" w:hint="eastAsia"/>
          </w:rPr>
          <w:t>宏观政策环境</w:t>
        </w:r>
        <w:r>
          <w:tab/>
        </w:r>
        <w:r>
          <w:fldChar w:fldCharType="begin"/>
        </w:r>
        <w:r>
          <w:instrText xml:space="preserve"> PAGEREF _Toc \h </w:instrText>
        </w:r>
        <w:r>
          <w:fldChar w:fldCharType="separate"/>
        </w:r>
        <w:r>
          <w:t>5</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二、区域概况</w:t>
        </w:r>
        <w:r>
          <w:tab/>
        </w:r>
        <w:r>
          <w:fldChar w:fldCharType="begin"/>
        </w:r>
        <w:r>
          <w:instrText xml:space="preserve"> PAGEREF _Toc \h </w:instrText>
        </w:r>
        <w:r>
          <w:fldChar w:fldCharType="separate"/>
        </w:r>
        <w:r>
          <w:t>10</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kern w:val="0"/>
          </w:rPr>
          <w:t>三、光谷房地</w:t>
        </w:r>
        <w:r>
          <w:rPr>
            <w:rStyle w:val="Hyperlink"/>
            <w:rFonts w:ascii="宋体" w:hAnsi="宋体" w:cs="宋体" w:hint="eastAsia"/>
            <w:kern w:val="0"/>
          </w:rPr>
          <w:t>产</w:t>
        </w:r>
        <w:r>
          <w:rPr>
            <w:rStyle w:val="Hyperlink"/>
            <w:rFonts w:ascii="宋体" w:hAnsi="宋体" w:cs="Batang" w:hint="eastAsia"/>
            <w:kern w:val="0"/>
          </w:rPr>
          <w:t>市</w:t>
        </w:r>
        <w:r>
          <w:rPr>
            <w:rStyle w:val="Hyperlink"/>
            <w:rFonts w:ascii="宋体" w:hAnsi="宋体" w:cs="宋体" w:hint="eastAsia"/>
            <w:kern w:val="0"/>
          </w:rPr>
          <w:t>场</w:t>
        </w:r>
        <w:r>
          <w:rPr>
            <w:rStyle w:val="Hyperlink"/>
            <w:rFonts w:ascii="宋体" w:hAnsi="宋体" w:cs="Batang" w:hint="eastAsia"/>
            <w:kern w:val="0"/>
          </w:rPr>
          <w:t>分析</w:t>
        </w:r>
        <w:r>
          <w:tab/>
        </w:r>
        <w:r>
          <w:fldChar w:fldCharType="begin"/>
        </w:r>
        <w:r>
          <w:instrText xml:space="preserve"> PAGEREF _Toc \h </w:instrText>
        </w:r>
        <w:r>
          <w:fldChar w:fldCharType="separate"/>
        </w:r>
        <w:r>
          <w:t>13</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四、直接竞争楼盘分析</w:t>
        </w:r>
        <w:r>
          <w:tab/>
        </w:r>
        <w:r>
          <w:fldChar w:fldCharType="begin"/>
        </w:r>
        <w:r>
          <w:instrText xml:space="preserve"> PAGEREF _Toc \h </w:instrText>
        </w:r>
        <w:r>
          <w:fldChar w:fldCharType="separate"/>
        </w:r>
        <w:r>
          <w:t>15</w:t>
        </w:r>
        <w:r>
          <w:fldChar w:fldCharType="end"/>
        </w:r>
      </w:hyperlink>
    </w:p>
    <w:p>
      <w:pPr>
        <w:pStyle w:val="TOC1"/>
        <w:tabs>
          <w:tab w:val="right" w:leader="dot" w:pos="13992"/>
        </w:tabs>
        <w:spacing w:line="500" w:lineRule="auto"/>
        <w:rPr>
          <w:rFonts w:ascii="Times New Roman" w:eastAsia="宋体" w:hAnsi="Times New Roman"/>
          <w:sz w:val="21"/>
          <w:szCs w:val="24"/>
        </w:rPr>
      </w:pPr>
      <w:hyperlink w:anchor="_Toc" w:history="1">
        <w:r>
          <w:rPr>
            <w:rStyle w:val="Hyperlink"/>
            <w:rFonts w:ascii="宋体" w:hAnsi="宋体" w:hint="eastAsia"/>
          </w:rPr>
          <w:t>第二章</w:t>
        </w:r>
        <w:r>
          <w:rPr>
            <w:rStyle w:val="Hyperlink"/>
            <w:rFonts w:ascii="宋体" w:hAnsi="宋体"/>
          </w:rPr>
          <w:t xml:space="preserve">  </w:t>
        </w:r>
        <w:r>
          <w:rPr>
            <w:rStyle w:val="Hyperlink"/>
            <w:rFonts w:ascii="宋体" w:hAnsi="宋体" w:cs="宋体" w:hint="eastAsia"/>
          </w:rPr>
          <w:t>项</w:t>
        </w:r>
        <w:r>
          <w:rPr>
            <w:rStyle w:val="Hyperlink"/>
            <w:rFonts w:ascii="宋体" w:hAnsi="宋体" w:cs="Batang" w:hint="eastAsia"/>
          </w:rPr>
          <w:t>目分析</w:t>
        </w:r>
        <w:r>
          <w:tab/>
        </w:r>
        <w:r>
          <w:fldChar w:fldCharType="begin"/>
        </w:r>
        <w:r>
          <w:instrText xml:space="preserve"> PAGEREF _Toc \h </w:instrText>
        </w:r>
        <w:r>
          <w:fldChar w:fldCharType="separate"/>
        </w:r>
        <w:r>
          <w:t>24</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一、</w:t>
        </w:r>
        <w:r>
          <w:rPr>
            <w:rStyle w:val="Hyperlink"/>
            <w:rFonts w:ascii="宋体" w:hAnsi="宋体" w:cs="宋体" w:hint="eastAsia"/>
          </w:rPr>
          <w:t>项目概况</w:t>
        </w:r>
        <w:r>
          <w:tab/>
        </w:r>
        <w:r>
          <w:fldChar w:fldCharType="begin"/>
        </w:r>
        <w:r>
          <w:instrText xml:space="preserve"> PAGEREF _Toc \h </w:instrText>
        </w:r>
        <w:r>
          <w:fldChar w:fldCharType="separate"/>
        </w:r>
        <w:r>
          <w:t>24</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kern w:val="0"/>
          </w:rPr>
          <w:t>二、本案</w:t>
        </w:r>
        <w:r>
          <w:rPr>
            <w:rStyle w:val="Hyperlink"/>
            <w:rFonts w:ascii="宋体" w:hAnsi="宋体"/>
            <w:kern w:val="0"/>
          </w:rPr>
          <w:t>SWOT</w:t>
        </w:r>
        <w:r>
          <w:rPr>
            <w:rStyle w:val="Hyperlink"/>
            <w:rFonts w:ascii="宋体" w:hAnsi="宋体" w:hint="eastAsia"/>
            <w:kern w:val="0"/>
          </w:rPr>
          <w:t>分析</w:t>
        </w:r>
        <w:r>
          <w:tab/>
        </w:r>
        <w:r>
          <w:fldChar w:fldCharType="begin"/>
        </w:r>
        <w:r>
          <w:instrText xml:space="preserve"> PAGEREF _Toc \h </w:instrText>
        </w:r>
        <w:r>
          <w:fldChar w:fldCharType="separate"/>
        </w:r>
        <w:r>
          <w:t>24</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kern w:val="0"/>
          </w:rPr>
          <w:t>三、卖点与买点提炼</w:t>
        </w:r>
        <w:r>
          <w:tab/>
        </w:r>
        <w:r>
          <w:fldChar w:fldCharType="begin"/>
        </w:r>
        <w:r>
          <w:instrText xml:space="preserve"> PAGEREF _Toc \h </w:instrText>
        </w:r>
        <w:r>
          <w:fldChar w:fldCharType="separate"/>
        </w:r>
        <w:r>
          <w:t>27</w:t>
        </w:r>
        <w:r>
          <w:fldChar w:fldCharType="end"/>
        </w:r>
      </w:hyperlink>
    </w:p>
    <w:p>
      <w:pPr>
        <w:pStyle w:val="TOC1"/>
        <w:tabs>
          <w:tab w:val="right" w:leader="dot" w:pos="13992"/>
        </w:tabs>
        <w:spacing w:line="500" w:lineRule="auto"/>
        <w:rPr>
          <w:rFonts w:ascii="Times New Roman" w:eastAsia="宋体" w:hAnsi="Times New Roman"/>
          <w:sz w:val="21"/>
          <w:szCs w:val="24"/>
        </w:rPr>
        <w:sectPr>
          <w:pgSz w:w="16838" w:h="11906" w:orient="landscape"/>
          <w:pgMar w:top="1797" w:right="1440" w:bottom="1701" w:left="1440" w:header="851" w:footer="992" w:gutter="0"/>
          <w:pgNumType w:fmt="decimal"/>
          <w:cols w:space="708"/>
          <w:titlePg w:val="0"/>
          <w:docGrid w:type="lines" w:linePitch="312"/>
        </w:sectPr>
      </w:pPr>
      <w:hyperlink w:anchor="_Toc" w:history="1">
        <w:r>
          <w:rPr>
            <w:rStyle w:val="Hyperlink"/>
            <w:rFonts w:ascii="宋体" w:hAnsi="宋体" w:hint="eastAsia"/>
          </w:rPr>
          <w:t>第三章</w:t>
        </w:r>
        <w:r>
          <w:rPr>
            <w:rStyle w:val="Hyperlink"/>
            <w:rFonts w:ascii="宋体" w:hAnsi="宋体"/>
          </w:rPr>
          <w:t xml:space="preserve"> </w:t>
        </w:r>
        <w:r>
          <w:rPr>
            <w:rStyle w:val="Hyperlink"/>
            <w:rFonts w:ascii="宋体" w:hAnsi="宋体" w:hint="eastAsia"/>
          </w:rPr>
          <w:t>项目定位</w:t>
        </w:r>
        <w:r>
          <w:tab/>
        </w:r>
        <w:r>
          <w:fldChar w:fldCharType="begin"/>
        </w:r>
        <w:r>
          <w:instrText xml:space="preserve"> PAGEREF _Toc \h </w:instrText>
        </w:r>
        <w:r>
          <w:fldChar w:fldCharType="separate"/>
        </w:r>
        <w:r>
          <w:t>29</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一、客群定位</w:t>
        </w:r>
        <w:r>
          <w:tab/>
        </w:r>
        <w:r>
          <w:fldChar w:fldCharType="begin"/>
        </w:r>
        <w:r>
          <w:instrText xml:space="preserve"> PAGEREF _Toc \h </w:instrText>
        </w:r>
        <w:r>
          <w:fldChar w:fldCharType="separate"/>
        </w:r>
        <w:r>
          <w:t>29</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二、产品定位</w:t>
        </w:r>
        <w:r>
          <w:tab/>
        </w:r>
        <w:r>
          <w:fldChar w:fldCharType="begin"/>
        </w:r>
        <w:r>
          <w:instrText xml:space="preserve"> PAGEREF _Toc \h </w:instrText>
        </w:r>
        <w:r>
          <w:fldChar w:fldCharType="separate"/>
        </w:r>
        <w:r>
          <w:t>34</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三、价格定位</w:t>
        </w:r>
        <w:r>
          <w:tab/>
        </w:r>
        <w:r>
          <w:fldChar w:fldCharType="begin"/>
        </w:r>
        <w:r>
          <w:instrText xml:space="preserve"> PAGEREF _Toc \h </w:instrText>
        </w:r>
        <w:r>
          <w:fldChar w:fldCharType="separate"/>
        </w:r>
        <w:r>
          <w:t>35</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四、形象定位</w:t>
        </w:r>
        <w:r>
          <w:tab/>
        </w:r>
        <w:r>
          <w:fldChar w:fldCharType="begin"/>
        </w:r>
        <w:r>
          <w:instrText xml:space="preserve"> PAGEREF _Toc \h </w:instrText>
        </w:r>
        <w:r>
          <w:fldChar w:fldCharType="separate"/>
        </w:r>
        <w:r>
          <w:t>36</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五、档次定位</w:t>
        </w:r>
        <w:r>
          <w:tab/>
        </w:r>
        <w:r>
          <w:fldChar w:fldCharType="begin"/>
        </w:r>
        <w:r>
          <w:instrText xml:space="preserve"> PAGEREF _Toc \h </w:instrText>
        </w:r>
        <w:r>
          <w:fldChar w:fldCharType="separate"/>
        </w:r>
        <w:r>
          <w:t>36</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六、项目定位</w:t>
        </w:r>
        <w:r>
          <w:tab/>
        </w:r>
        <w:r>
          <w:fldChar w:fldCharType="begin"/>
        </w:r>
        <w:r>
          <w:instrText xml:space="preserve"> PAGEREF _Toc \h </w:instrText>
        </w:r>
        <w:r>
          <w:fldChar w:fldCharType="separate"/>
        </w:r>
        <w:r>
          <w:t>37</w:t>
        </w:r>
        <w:r>
          <w:fldChar w:fldCharType="end"/>
        </w:r>
      </w:hyperlink>
    </w:p>
    <w:p>
      <w:pPr>
        <w:pStyle w:val="TOC1"/>
        <w:tabs>
          <w:tab w:val="left" w:pos="1260"/>
          <w:tab w:val="right" w:leader="dot" w:pos="13992"/>
        </w:tabs>
        <w:spacing w:line="500" w:lineRule="auto"/>
        <w:rPr>
          <w:rFonts w:ascii="Times New Roman" w:eastAsia="宋体" w:hAnsi="Times New Roman"/>
          <w:sz w:val="21"/>
          <w:szCs w:val="24"/>
        </w:rPr>
      </w:pPr>
      <w:hyperlink w:anchor="_Toc" w:history="1">
        <w:r>
          <w:rPr>
            <w:rStyle w:val="Hyperlink"/>
            <w:rFonts w:ascii="宋体" w:hAnsi="宋体" w:cs="宋体" w:hint="eastAsia"/>
          </w:rPr>
          <w:t>第四章</w:t>
        </w:r>
        <w:r>
          <w:rPr>
            <w:rFonts w:ascii="Times New Roman" w:eastAsia="宋体" w:hAnsi="Times New Roman"/>
            <w:sz w:val="21"/>
            <w:szCs w:val="24"/>
          </w:rPr>
          <w:tab/>
        </w:r>
        <w:r>
          <w:rPr>
            <w:rStyle w:val="Hyperlink"/>
            <w:rFonts w:ascii="宋体" w:hAnsi="宋体" w:cs="宋体" w:hint="eastAsia"/>
          </w:rPr>
          <w:t>营销策略</w:t>
        </w:r>
        <w:r>
          <w:tab/>
        </w:r>
        <w:r>
          <w:fldChar w:fldCharType="begin"/>
        </w:r>
        <w:r>
          <w:instrText xml:space="preserve"> PAGEREF _Toc \h </w:instrText>
        </w:r>
        <w:r>
          <w:fldChar w:fldCharType="separate"/>
        </w:r>
        <w:r>
          <w:t>38</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cs="宋体" w:hint="eastAsia"/>
            <w:kern w:val="0"/>
          </w:rPr>
          <w:t>一、营销总体策略</w:t>
        </w:r>
        <w:r>
          <w:tab/>
        </w:r>
        <w:r>
          <w:fldChar w:fldCharType="begin"/>
        </w:r>
        <w:r>
          <w:instrText xml:space="preserve"> PAGEREF _Toc \h </w:instrText>
        </w:r>
        <w:r>
          <w:fldChar w:fldCharType="separate"/>
        </w:r>
        <w:r>
          <w:t>38</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cs="宋体" w:hint="eastAsia"/>
            <w:kern w:val="0"/>
          </w:rPr>
          <w:t>二、营销总纲</w:t>
        </w:r>
        <w:r>
          <w:tab/>
        </w:r>
        <w:r>
          <w:fldChar w:fldCharType="begin"/>
        </w:r>
        <w:r>
          <w:instrText xml:space="preserve"> PAGEREF _Toc \h </w:instrText>
        </w:r>
        <w:r>
          <w:fldChar w:fldCharType="separate"/>
        </w:r>
        <w:r>
          <w:t>39</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kern w:val="0"/>
          </w:rPr>
          <w:t>四、</w:t>
        </w:r>
        <w:r>
          <w:rPr>
            <w:rStyle w:val="Hyperlink"/>
            <w:rFonts w:ascii="宋体" w:hAnsi="宋体" w:cs="宋体" w:hint="eastAsia"/>
            <w:kern w:val="0"/>
          </w:rPr>
          <w:t>营销</w:t>
        </w:r>
        <w:r>
          <w:rPr>
            <w:rStyle w:val="Hyperlink"/>
            <w:rFonts w:ascii="宋体" w:hAnsi="宋体" w:cs="Batang" w:hint="eastAsia"/>
            <w:kern w:val="0"/>
          </w:rPr>
          <w:t>整体</w:t>
        </w:r>
        <w:r>
          <w:rPr>
            <w:rStyle w:val="Hyperlink"/>
            <w:rFonts w:ascii="宋体" w:hAnsi="宋体" w:cs="宋体" w:hint="eastAsia"/>
            <w:kern w:val="0"/>
          </w:rPr>
          <w:t>节</w:t>
        </w:r>
        <w:r>
          <w:rPr>
            <w:rStyle w:val="Hyperlink"/>
            <w:rFonts w:ascii="宋体" w:hAnsi="宋体" w:cs="Batang" w:hint="eastAsia"/>
            <w:kern w:val="0"/>
          </w:rPr>
          <w:t>奏安排原</w:t>
        </w:r>
        <w:r>
          <w:rPr>
            <w:rStyle w:val="Hyperlink"/>
            <w:rFonts w:ascii="宋体" w:hAnsi="宋体" w:cs="宋体" w:hint="eastAsia"/>
            <w:kern w:val="0"/>
          </w:rPr>
          <w:t>则</w:t>
        </w:r>
        <w:r>
          <w:tab/>
        </w:r>
        <w:r>
          <w:fldChar w:fldCharType="begin"/>
        </w:r>
        <w:r>
          <w:instrText xml:space="preserve"> PAGEREF _Toc \h </w:instrText>
        </w:r>
        <w:r>
          <w:fldChar w:fldCharType="separate"/>
        </w:r>
        <w:r>
          <w:t>39</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kern w:val="0"/>
          </w:rPr>
          <w:t>五、</w:t>
        </w:r>
        <w:r>
          <w:rPr>
            <w:rStyle w:val="Hyperlink"/>
            <w:rFonts w:ascii="宋体" w:hAnsi="宋体" w:hint="eastAsia"/>
          </w:rPr>
          <w:t>营销推动策略</w:t>
        </w:r>
        <w:r>
          <w:tab/>
        </w:r>
        <w:r>
          <w:fldChar w:fldCharType="begin"/>
        </w:r>
        <w:r>
          <w:instrText xml:space="preserve"> PAGEREF _Toc \h </w:instrText>
        </w:r>
        <w:r>
          <w:fldChar w:fldCharType="separate"/>
        </w:r>
        <w:r>
          <w:t>40</w:t>
        </w:r>
        <w:r>
          <w:fldChar w:fldCharType="end"/>
        </w:r>
      </w:hyperlink>
    </w:p>
    <w:p>
      <w:pPr>
        <w:pStyle w:val="TOC1"/>
        <w:tabs>
          <w:tab w:val="right" w:leader="dot" w:pos="13992"/>
        </w:tabs>
        <w:spacing w:line="500" w:lineRule="auto"/>
        <w:rPr>
          <w:rFonts w:ascii="Times New Roman" w:eastAsia="宋体" w:hAnsi="Times New Roman"/>
          <w:sz w:val="21"/>
          <w:szCs w:val="24"/>
        </w:rPr>
      </w:pPr>
      <w:hyperlink w:anchor="_Toc" w:history="1">
        <w:r>
          <w:rPr>
            <w:rStyle w:val="Hyperlink"/>
            <w:rFonts w:ascii="宋体" w:hAnsi="宋体" w:hint="eastAsia"/>
          </w:rPr>
          <w:t>第五章</w:t>
        </w:r>
        <w:r>
          <w:rPr>
            <w:rStyle w:val="Hyperlink"/>
            <w:rFonts w:ascii="宋体" w:hAnsi="宋体"/>
          </w:rPr>
          <w:t xml:space="preserve">  </w:t>
        </w:r>
        <w:r>
          <w:rPr>
            <w:rStyle w:val="Hyperlink"/>
            <w:rFonts w:ascii="宋体" w:hAnsi="宋体" w:hint="eastAsia"/>
          </w:rPr>
          <w:t>推广策略</w:t>
        </w:r>
        <w:r>
          <w:tab/>
        </w:r>
        <w:r>
          <w:fldChar w:fldCharType="begin"/>
        </w:r>
        <w:r>
          <w:instrText xml:space="preserve"> PAGEREF _Toc \h </w:instrText>
        </w:r>
        <w:r>
          <w:fldChar w:fldCharType="separate"/>
        </w:r>
        <w:r>
          <w:t>43</w:t>
        </w:r>
        <w:r>
          <w:fldChar w:fldCharType="end"/>
        </w:r>
      </w:hyperlink>
    </w:p>
    <w:p>
      <w:pPr>
        <w:pStyle w:val="TOC2"/>
        <w:tabs>
          <w:tab w:val="right" w:leader="dot" w:pos="13948"/>
        </w:tabs>
        <w:spacing w:line="500" w:lineRule="auto"/>
        <w:rPr>
          <w:rFonts w:ascii="Times New Roman" w:eastAsia="宋体" w:hAnsi="Times New Roman"/>
          <w:sz w:val="21"/>
          <w:szCs w:val="24"/>
        </w:rPr>
        <w:sectPr>
          <w:type w:val="nextPage"/>
          <w:pgSz w:w="16838" w:h="11906" w:orient="landscape"/>
          <w:pgMar w:top="1797" w:right="1440" w:bottom="1701" w:left="1440" w:header="851" w:footer="992" w:gutter="0"/>
          <w:pgNumType w:fmt="decimal" w:start="2"/>
          <w:cols w:space="708"/>
          <w:titlePg w:val="0"/>
          <w:docGrid w:type="lines" w:linePitch="312"/>
        </w:sectPr>
      </w:pPr>
      <w:hyperlink w:anchor="_Toc" w:history="1">
        <w:r>
          <w:rPr>
            <w:rStyle w:val="Hyperlink"/>
            <w:rFonts w:ascii="宋体" w:hAnsi="宋体" w:hint="eastAsia"/>
            <w:kern w:val="0"/>
          </w:rPr>
          <w:t>一、营销推广思绪</w:t>
        </w:r>
        <w:r>
          <w:tab/>
        </w:r>
        <w:r>
          <w:fldChar w:fldCharType="begin"/>
        </w:r>
        <w:r>
          <w:instrText xml:space="preserve"> PAGEREF _Toc \h </w:instrText>
        </w:r>
        <w:r>
          <w:fldChar w:fldCharType="separate"/>
        </w:r>
        <w:r>
          <w:t>43</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二、具体推广策略</w:t>
        </w:r>
        <w:r>
          <w:tab/>
        </w:r>
        <w:r>
          <w:fldChar w:fldCharType="begin"/>
        </w:r>
        <w:r>
          <w:instrText xml:space="preserve"> PAGEREF _Toc \h </w:instrText>
        </w:r>
        <w:r>
          <w:fldChar w:fldCharType="separate"/>
        </w:r>
        <w:r>
          <w:t>46</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三、推广亮点</w:t>
        </w:r>
        <w:r>
          <w:tab/>
        </w:r>
        <w:r>
          <w:fldChar w:fldCharType="begin"/>
        </w:r>
        <w:r>
          <w:instrText xml:space="preserve"> PAGEREF _Toc \h </w:instrText>
        </w:r>
        <w:r>
          <w:fldChar w:fldCharType="separate"/>
        </w:r>
        <w:r>
          <w:t>48</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四、推广渠道</w:t>
        </w:r>
        <w:r>
          <w:rPr>
            <w:rStyle w:val="Hyperlink"/>
            <w:rFonts w:ascii="宋体" w:hAnsi="宋体" w:cs="宋体" w:hint="eastAsia"/>
          </w:rPr>
          <w:t>选择</w:t>
        </w:r>
        <w:r>
          <w:tab/>
        </w:r>
        <w:r>
          <w:fldChar w:fldCharType="begin"/>
        </w:r>
        <w:r>
          <w:instrText xml:space="preserve"> PAGEREF _Toc \h </w:instrText>
        </w:r>
        <w:r>
          <w:fldChar w:fldCharType="separate"/>
        </w:r>
        <w:r>
          <w:t>49</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五、重要推广活动建议</w:t>
        </w:r>
        <w:r>
          <w:tab/>
        </w:r>
        <w:r>
          <w:fldChar w:fldCharType="begin"/>
        </w:r>
        <w:r>
          <w:instrText xml:space="preserve"> PAGEREF _Toc \h </w:instrText>
        </w:r>
        <w:r>
          <w:fldChar w:fldCharType="separate"/>
        </w:r>
        <w:r>
          <w:t>50</w:t>
        </w:r>
        <w:r>
          <w:fldChar w:fldCharType="end"/>
        </w:r>
      </w:hyperlink>
    </w:p>
    <w:p>
      <w:pPr>
        <w:pStyle w:val="TOC1"/>
        <w:tabs>
          <w:tab w:val="right" w:leader="dot" w:pos="13992"/>
        </w:tabs>
        <w:spacing w:line="500" w:lineRule="auto"/>
        <w:rPr>
          <w:rFonts w:ascii="Times New Roman" w:eastAsia="宋体" w:hAnsi="Times New Roman"/>
          <w:sz w:val="21"/>
          <w:szCs w:val="24"/>
        </w:rPr>
      </w:pPr>
      <w:hyperlink w:anchor="_Toc" w:history="1">
        <w:r>
          <w:rPr>
            <w:rStyle w:val="Hyperlink"/>
            <w:rFonts w:ascii="宋体" w:hAnsi="宋体" w:cs="宋体" w:hint="eastAsia"/>
          </w:rPr>
          <w:t>第六章</w:t>
        </w:r>
        <w:r>
          <w:rPr>
            <w:rStyle w:val="Hyperlink"/>
            <w:rFonts w:ascii="宋体" w:hAnsi="宋体" w:cs="宋体"/>
          </w:rPr>
          <w:t xml:space="preserve">  </w:t>
        </w:r>
        <w:r>
          <w:rPr>
            <w:rStyle w:val="Hyperlink"/>
            <w:rFonts w:ascii="宋体" w:hAnsi="宋体" w:cs="宋体" w:hint="eastAsia"/>
          </w:rPr>
          <w:t>销</w:t>
        </w:r>
        <w:r>
          <w:rPr>
            <w:rStyle w:val="Hyperlink"/>
            <w:rFonts w:ascii="宋体" w:hAnsi="宋体" w:cs="Batang" w:hint="eastAsia"/>
          </w:rPr>
          <w:t>售与推广</w:t>
        </w:r>
        <w:r>
          <w:rPr>
            <w:rStyle w:val="Hyperlink"/>
            <w:rFonts w:ascii="宋体" w:hAnsi="宋体" w:cs="宋体" w:hint="eastAsia"/>
          </w:rPr>
          <w:t>执</w:t>
        </w:r>
        <w:r>
          <w:rPr>
            <w:rStyle w:val="Hyperlink"/>
            <w:rFonts w:ascii="宋体" w:hAnsi="宋体" w:cs="Batang" w:hint="eastAsia"/>
          </w:rPr>
          <w:t>行</w:t>
        </w:r>
        <w:r>
          <w:tab/>
        </w:r>
        <w:r>
          <w:fldChar w:fldCharType="begin"/>
        </w:r>
        <w:r>
          <w:instrText xml:space="preserve"> PAGEREF _Toc \h </w:instrText>
        </w:r>
        <w:r>
          <w:fldChar w:fldCharType="separate"/>
        </w:r>
        <w:r>
          <w:t>52</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一、</w:t>
        </w:r>
        <w:r>
          <w:rPr>
            <w:rStyle w:val="Hyperlink"/>
            <w:rFonts w:ascii="宋体" w:hAnsi="宋体" w:cs="宋体" w:hint="eastAsia"/>
          </w:rPr>
          <w:t>销</w:t>
        </w:r>
        <w:r>
          <w:rPr>
            <w:rStyle w:val="Hyperlink"/>
            <w:rFonts w:ascii="宋体" w:hAnsi="宋体" w:cs="Batang" w:hint="eastAsia"/>
          </w:rPr>
          <w:t>售</w:t>
        </w:r>
        <w:r>
          <w:rPr>
            <w:rStyle w:val="Hyperlink"/>
            <w:rFonts w:ascii="宋体" w:hAnsi="宋体" w:cs="宋体" w:hint="eastAsia"/>
          </w:rPr>
          <w:t>总</w:t>
        </w:r>
        <w:r>
          <w:rPr>
            <w:rStyle w:val="Hyperlink"/>
            <w:rFonts w:ascii="宋体" w:hAnsi="宋体" w:cs="Batang" w:hint="eastAsia"/>
          </w:rPr>
          <w:t>体思绪</w:t>
        </w:r>
        <w:r>
          <w:tab/>
        </w:r>
        <w:r>
          <w:fldChar w:fldCharType="begin"/>
        </w:r>
        <w:r>
          <w:instrText xml:space="preserve"> PAGEREF _Toc \h </w:instrText>
        </w:r>
        <w:r>
          <w:fldChar w:fldCharType="separate"/>
        </w:r>
        <w:r>
          <w:t>52</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二、重要工作节点</w:t>
        </w:r>
        <w:r>
          <w:tab/>
        </w:r>
        <w:r>
          <w:fldChar w:fldCharType="begin"/>
        </w:r>
        <w:r>
          <w:instrText xml:space="preserve"> PAGEREF _Toc \h </w:instrText>
        </w:r>
        <w:r>
          <w:fldChar w:fldCharType="separate"/>
        </w:r>
        <w:r>
          <w:t>53</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三、销售与推广组织实行流程安排</w:t>
        </w:r>
        <w:r>
          <w:tab/>
        </w:r>
        <w:r>
          <w:fldChar w:fldCharType="begin"/>
        </w:r>
        <w:r>
          <w:instrText xml:space="preserve"> PAGEREF _Toc \h </w:instrText>
        </w:r>
        <w:r>
          <w:fldChar w:fldCharType="separate"/>
        </w:r>
        <w:r>
          <w:t>53</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四、分阶</w:t>
        </w:r>
        <w:r>
          <w:rPr>
            <w:rStyle w:val="Hyperlink"/>
            <w:rFonts w:ascii="宋体" w:hAnsi="宋体" w:cs="Batang" w:hint="eastAsia"/>
          </w:rPr>
          <w:t>段</w:t>
        </w:r>
        <w:r>
          <w:rPr>
            <w:rStyle w:val="Hyperlink"/>
            <w:rFonts w:ascii="宋体" w:hAnsi="宋体" w:hint="eastAsia"/>
          </w:rPr>
          <w:t>销</w:t>
        </w:r>
        <w:r>
          <w:rPr>
            <w:rStyle w:val="Hyperlink"/>
            <w:rFonts w:ascii="宋体" w:hAnsi="宋体" w:cs="Batang" w:hint="eastAsia"/>
          </w:rPr>
          <w:t>售与推广</w:t>
        </w:r>
        <w:r>
          <w:rPr>
            <w:rStyle w:val="Hyperlink"/>
            <w:rFonts w:ascii="宋体" w:hAnsi="宋体" w:hint="eastAsia"/>
          </w:rPr>
          <w:t>组织具体实行</w:t>
        </w:r>
        <w:r>
          <w:tab/>
        </w:r>
        <w:r>
          <w:fldChar w:fldCharType="begin"/>
        </w:r>
        <w:r>
          <w:instrText xml:space="preserve"> PAGEREF _Toc \h </w:instrText>
        </w:r>
        <w:r>
          <w:fldChar w:fldCharType="separate"/>
        </w:r>
        <w:r>
          <w:t>54</w:t>
        </w:r>
        <w:r>
          <w:fldChar w:fldCharType="end"/>
        </w:r>
      </w:hyperlink>
    </w:p>
    <w:p>
      <w:pPr>
        <w:pStyle w:val="TOC2"/>
        <w:tabs>
          <w:tab w:val="right" w:leader="dot" w:pos="13948"/>
        </w:tabs>
        <w:spacing w:line="500" w:lineRule="auto"/>
        <w:rPr>
          <w:rFonts w:ascii="Times New Roman" w:eastAsia="宋体" w:hAnsi="Times New Roman"/>
          <w:sz w:val="21"/>
          <w:szCs w:val="24"/>
        </w:rPr>
      </w:pPr>
      <w:hyperlink w:anchor="_Toc" w:history="1">
        <w:r>
          <w:rPr>
            <w:rStyle w:val="Hyperlink"/>
            <w:rFonts w:ascii="宋体" w:hAnsi="宋体" w:hint="eastAsia"/>
          </w:rPr>
          <w:t>五、推广具体安排</w:t>
        </w:r>
        <w:r>
          <w:tab/>
        </w:r>
        <w:r>
          <w:fldChar w:fldCharType="begin"/>
        </w:r>
        <w:r>
          <w:instrText xml:space="preserve"> PAGEREF _Toc \h </w:instrText>
        </w:r>
        <w:r>
          <w:fldChar w:fldCharType="separate"/>
        </w:r>
        <w:r>
          <w:t>69</w:t>
        </w:r>
        <w:r>
          <w:fldChar w:fldCharType="end"/>
        </w:r>
      </w:hyperlink>
    </w:p>
    <w:p>
      <w:pPr>
        <w:pStyle w:val="Heading1"/>
        <w:numPr>
          <w:ilvl w:val="0"/>
          <w:numId w:val="0"/>
        </w:numPr>
        <w:spacing w:line="360" w:lineRule="auto"/>
        <w:rPr>
          <w:rFonts w:hint="eastAsia"/>
        </w:rPr>
      </w:pPr>
      <w:r>
        <w:rPr>
          <w:kern w:val="2"/>
        </w:rPr>
        <w:fldChar w:fldCharType="end"/>
      </w:r>
    </w:p>
    <w:p>
      <w:pPr>
        <w:spacing w:line="360" w:lineRule="auto"/>
        <w:rPr>
          <w:rFonts w:ascii="宋体" w:hAnsi="宋体" w:hint="eastAsia"/>
        </w:rPr>
      </w:pPr>
    </w:p>
    <w:p>
      <w:pPr>
        <w:pStyle w:val="Heading1"/>
        <w:numPr>
          <w:ilvl w:val="0"/>
          <w:numId w:val="0"/>
        </w:numPr>
        <w:spacing w:line="500" w:lineRule="auto"/>
        <w:rPr>
          <w:rFonts w:ascii="宋体" w:eastAsia="宋体" w:hAnsi="宋体" w:hint="eastAsia"/>
          <w:color w:val="auto"/>
          <w:sz w:val="24"/>
          <w:szCs w:val="24"/>
        </w:rPr>
        <w:sectPr>
          <w:type w:val="nextPage"/>
          <w:pgSz w:w="16838" w:h="11906" w:orient="landscape"/>
          <w:pgMar w:top="1797" w:right="1440" w:bottom="1701" w:left="1440" w:header="851" w:footer="992" w:gutter="0"/>
          <w:pgNumType w:fmt="decimal" w:start="3"/>
          <w:cols w:space="708"/>
          <w:titlePg w:val="0"/>
          <w:docGrid w:type="lines" w:linePitch="312"/>
        </w:sectPr>
      </w:pPr>
      <w:r>
        <w:rPr>
          <w:rFonts w:ascii="宋体" w:eastAsia="宋体" w:hAnsi="宋体" w:hint="eastAsia"/>
        </w:rPr>
        <w:t xml:space="preserve">                           </w:t>
      </w:r>
      <w:bookmarkStart w:id="4" w:name="_Toc183311181"/>
      <w:r>
        <w:rPr>
          <w:rFonts w:ascii="宋体" w:eastAsia="宋体" w:hAnsi="宋体" w:hint="eastAsia"/>
          <w:color w:val="auto"/>
          <w:sz w:val="24"/>
          <w:szCs w:val="24"/>
        </w:rPr>
        <w:t>第一章  市</w:t>
      </w:r>
      <w:r>
        <w:rPr>
          <w:rFonts w:ascii="宋体" w:eastAsia="宋体" w:hAnsi="宋体" w:cs="宋体" w:hint="eastAsia"/>
          <w:color w:val="auto"/>
          <w:sz w:val="24"/>
          <w:szCs w:val="24"/>
        </w:rPr>
        <w:t>场</w:t>
      </w:r>
      <w:r>
        <w:rPr>
          <w:rFonts w:ascii="宋体" w:eastAsia="宋体" w:hAnsi="宋体" w:hint="eastAsia"/>
          <w:color w:val="auto"/>
          <w:sz w:val="24"/>
          <w:szCs w:val="24"/>
        </w:rPr>
        <w:t>分析</w:t>
      </w:r>
      <w:bookmarkEnd w:id="0"/>
      <w:bookmarkEnd w:id="1"/>
      <w:bookmarkEnd w:id="2"/>
      <w:bookmarkEnd w:id="3"/>
      <w:bookmarkEnd w:id="4"/>
    </w:p>
    <w:p>
      <w:pPr>
        <w:pStyle w:val="Heading2"/>
        <w:numPr>
          <w:ilvl w:val="1"/>
          <w:numId w:val="0"/>
        </w:numPr>
        <w:spacing w:before="0" w:beforeLines="0" w:after="0" w:afterLines="0" w:line="500" w:lineRule="auto"/>
        <w:rPr>
          <w:rFonts w:ascii="宋体" w:eastAsia="宋体" w:hAnsi="宋体" w:hint="eastAsia"/>
          <w:kern w:val="0"/>
          <w:sz w:val="24"/>
          <w:szCs w:val="24"/>
        </w:rPr>
      </w:pPr>
      <w:bookmarkStart w:id="5" w:name="_Toc183311182"/>
      <w:bookmarkStart w:id="6" w:name="_Toc182639466"/>
      <w:bookmarkStart w:id="7" w:name="_Toc182640115"/>
      <w:bookmarkStart w:id="8" w:name="_Toc182715754"/>
      <w:bookmarkStart w:id="9" w:name="_Toc182715984"/>
      <w:r>
        <w:rPr>
          <w:rFonts w:ascii="宋体" w:eastAsia="宋体" w:hAnsi="宋体" w:hint="eastAsia"/>
          <w:kern w:val="0"/>
          <w:sz w:val="24"/>
          <w:szCs w:val="24"/>
        </w:rPr>
        <w:t>一、</w:t>
      </w:r>
      <w:r>
        <w:rPr>
          <w:rFonts w:ascii="宋体" w:eastAsia="宋体" w:hAnsi="宋体"/>
          <w:sz w:val="24"/>
          <w:szCs w:val="24"/>
        </w:rPr>
        <w:t>宏观政策</w:t>
      </w:r>
      <w:r>
        <w:rPr>
          <w:rFonts w:ascii="宋体" w:eastAsia="宋体" w:hAnsi="宋体" w:hint="eastAsia"/>
          <w:sz w:val="24"/>
          <w:szCs w:val="24"/>
        </w:rPr>
        <w:t>环境</w:t>
      </w:r>
      <w:bookmarkEnd w:id="5"/>
    </w:p>
    <w:p>
      <w:pPr>
        <w:pStyle w:val="Heading3"/>
        <w:spacing w:before="0" w:beforeLines="0" w:after="0" w:afterLines="0" w:line="500" w:lineRule="auto"/>
        <w:ind w:left="0"/>
        <w:rPr>
          <w:rFonts w:ascii="宋体" w:eastAsia="宋体" w:hAnsi="宋体"/>
          <w:color w:val="000000"/>
          <w:sz w:val="24"/>
          <w:szCs w:val="24"/>
        </w:rPr>
      </w:pPr>
      <w:r>
        <w:rPr>
          <w:rFonts w:ascii="宋体" w:eastAsia="宋体" w:hAnsi="宋体"/>
          <w:sz w:val="24"/>
          <w:szCs w:val="24"/>
        </w:rPr>
        <w:t>（一） 国家宏观政策对房地产市场影响不容忽视</w:t>
      </w:r>
    </w:p>
    <w:p>
      <w:pPr>
        <w:spacing w:line="500" w:lineRule="auto"/>
        <w:rPr>
          <w:rFonts w:ascii="宋体" w:hAnsi="宋体" w:cs="宋体" w:hint="eastAsia"/>
          <w:color w:val="000000"/>
          <w:kern w:val="0"/>
          <w:sz w:val="24"/>
        </w:rPr>
      </w:pPr>
      <w:r>
        <w:rPr>
          <w:rFonts w:ascii="宋体" w:hAnsi="宋体" w:hint="eastAsia"/>
          <w:sz w:val="24"/>
        </w:rPr>
        <w:t xml:space="preserve">    </w:t>
      </w:r>
      <w:r>
        <w:rPr>
          <w:rFonts w:ascii="宋体" w:hAnsi="宋体" w:cs="宋体"/>
          <w:color w:val="000000"/>
          <w:kern w:val="0"/>
          <w:sz w:val="24"/>
        </w:rPr>
        <w:t>“高增长”</w:t>
      </w:r>
      <w:r>
        <w:rPr>
          <w:rFonts w:ascii="宋体" w:hAnsi="宋体" w:cs="宋体" w:hint="eastAsia"/>
          <w:color w:val="000000"/>
          <w:kern w:val="0"/>
          <w:sz w:val="24"/>
        </w:rPr>
        <w:t>的宏观经济发展态势显然已经引起政策制定者的密切关注，从近年来国家种种调控政策的出台看，经济运营随着通货膨胀率的快速上升成为中央比较担忧的一个方面。武汉市房地产市场近期经历快速发展的过程，体现在房价的快速上涨，与全国房地产市场发展大势紧密相系。</w:t>
      </w:r>
    </w:p>
    <w:p>
      <w:pPr>
        <w:spacing w:line="500" w:lineRule="auto"/>
        <w:rPr>
          <w:rFonts w:ascii="宋体" w:hAnsi="宋体" w:hint="eastAsia"/>
          <w:b/>
          <w:sz w:val="24"/>
        </w:rPr>
      </w:pPr>
      <w:r>
        <w:rPr>
          <w:rFonts w:ascii="宋体" w:hAnsi="宋体" w:cs="宋体" w:hint="eastAsia"/>
          <w:color w:val="000000"/>
          <w:kern w:val="0"/>
          <w:sz w:val="24"/>
        </w:rPr>
        <w:t xml:space="preserve">    武汉市宏观经济发展迅速，一批批大项目的成功落户武汉，以及</w:t>
      </w:r>
      <w:r>
        <w:rPr>
          <w:rFonts w:ascii="宋体" w:hAnsi="宋体" w:cs="宋体" w:hint="eastAsia"/>
          <w:color w:val="000000"/>
          <w:kern w:val="0"/>
          <w:sz w:val="24"/>
        </w:rPr>
        <w:t>“</w:t>
      </w:r>
      <w:r>
        <w:rPr>
          <w:rFonts w:ascii="宋体" w:hAnsi="宋体" w:cs="宋体" w:hint="eastAsia"/>
          <w:color w:val="000000"/>
          <w:kern w:val="0"/>
          <w:sz w:val="24"/>
        </w:rPr>
        <w:t>8＋1</w:t>
      </w:r>
      <w:r>
        <w:rPr>
          <w:rFonts w:ascii="宋体" w:hAnsi="宋体" w:cs="宋体" w:hint="eastAsia"/>
          <w:color w:val="000000"/>
          <w:kern w:val="0"/>
          <w:sz w:val="24"/>
        </w:rPr>
        <w:t>”</w:t>
      </w:r>
      <w:r>
        <w:rPr>
          <w:rFonts w:ascii="宋体" w:hAnsi="宋体" w:cs="宋体" w:hint="eastAsia"/>
          <w:color w:val="000000"/>
          <w:kern w:val="0"/>
          <w:sz w:val="24"/>
        </w:rPr>
        <w:t>城市圈战略的逐渐进一步，种种迹象表白武汉区域经济发展良好，进而催发房地产市场的迅速上升。但过热的经济发展，必然为宏观政策制定者所密切关注，随着一系列针对宏观经济过热的调控政策出台，房地产市场发展也必然受其影响，出现新的情况，这是所要关注到的。</w:t>
      </w:r>
    </w:p>
    <w:p>
      <w:pPr>
        <w:spacing w:line="500" w:lineRule="auto"/>
        <w:rPr>
          <w:rFonts w:ascii="宋体" w:hAnsi="宋体" w:hint="eastAsia"/>
          <w:sz w:val="24"/>
        </w:rPr>
      </w:pPr>
      <w:r>
        <w:rPr>
          <w:rFonts w:ascii="宋体" w:hAnsi="宋体" w:hint="eastAsia"/>
          <w:sz w:val="24"/>
        </w:rPr>
        <w:t xml:space="preserve">    对经济良好增长的预期不会有太大改变，随着加息、房贷新政以及针对房地产开发公司的种种政策出台，国家打击投机性房地产市场需求对市场的影响逐渐被消化，也将是房地产市场调整并回归市场真正价值的时机。因此，可以预期市场真实需求将成为推动区域房地产市场发展的核心动力，区域价值逐渐凸现将为本案提供良好的市场基础。</w:t>
      </w:r>
    </w:p>
    <w:p>
      <w:pPr>
        <w:pStyle w:val="Heading3"/>
        <w:spacing w:before="0" w:beforeLines="0" w:after="0" w:afterLines="0" w:line="500" w:lineRule="auto"/>
        <w:ind w:left="0"/>
        <w:rPr>
          <w:rFonts w:ascii="宋体" w:eastAsia="宋体" w:hAnsi="宋体"/>
          <w:sz w:val="24"/>
          <w:szCs w:val="24"/>
        </w:rPr>
      </w:pPr>
      <w:r>
        <w:rPr>
          <w:rFonts w:ascii="宋体" w:eastAsia="宋体" w:hAnsi="宋体"/>
          <w:sz w:val="24"/>
          <w:szCs w:val="24"/>
        </w:rPr>
        <w:t>（二）相关政策</w:t>
      </w:r>
      <w:r>
        <w:rPr>
          <w:rFonts w:ascii="宋体" w:eastAsia="宋体" w:hAnsi="宋体"/>
          <w:color w:val="000000"/>
          <w:sz w:val="24"/>
          <w:szCs w:val="24"/>
        </w:rPr>
        <w:t>和法规</w:t>
      </w:r>
    </w:p>
    <w:p>
      <w:pPr>
        <w:spacing w:line="500" w:lineRule="auto"/>
        <w:rPr>
          <w:rFonts w:ascii="宋体" w:hAnsi="宋体"/>
          <w:b/>
          <w:sz w:val="24"/>
        </w:rPr>
        <w:sectPr>
          <w:type w:val="nextPage"/>
          <w:pgSz w:w="16838" w:h="11906" w:orient="landscape"/>
          <w:pgMar w:top="1797" w:right="1440" w:bottom="1701" w:left="1440" w:header="851" w:footer="992" w:gutter="0"/>
          <w:pgNumType w:fmt="decimal" w:start="4"/>
          <w:cols w:space="708"/>
          <w:titlePg w:val="0"/>
          <w:docGrid w:type="lines" w:linePitch="312"/>
        </w:sectPr>
      </w:pPr>
      <w:r>
        <w:rPr>
          <w:rFonts w:ascii="宋体" w:hAnsi="宋体" w:hint="eastAsia"/>
          <w:b/>
          <w:sz w:val="24"/>
        </w:rPr>
        <w:t>1、</w:t>
      </w:r>
      <w:r>
        <w:rPr>
          <w:rFonts w:ascii="宋体" w:hAnsi="宋体"/>
          <w:b/>
          <w:sz w:val="24"/>
        </w:rPr>
        <w:t>央行和银监会9月27日发布《关于加强商业性房地产信贷管理的告知》，房贷新政备受关注；</w:t>
      </w:r>
    </w:p>
    <w:p>
      <w:pPr>
        <w:spacing w:line="500" w:lineRule="auto"/>
        <w:ind w:firstLine="480" w:firstLineChars="200"/>
        <w:rPr>
          <w:rFonts w:ascii="宋体" w:hAnsi="宋体" w:hint="eastAsia"/>
          <w:color w:val="000000"/>
          <w:sz w:val="24"/>
        </w:rPr>
      </w:pPr>
      <w:r>
        <w:rPr>
          <w:rFonts w:ascii="宋体" w:hAnsi="宋体"/>
          <w:sz w:val="24"/>
        </w:rPr>
        <w:t>新政规定：第二套（含）以上的住房，需首付四成以上，贷款利率不得低于同期同档基准利率的1</w:t>
      </w:r>
      <w:r>
        <w:rPr>
          <w:rFonts w:ascii="宋体" w:hAnsi="宋体" w:hint="eastAsia"/>
          <w:sz w:val="24"/>
        </w:rPr>
        <w:t>.</w:t>
      </w:r>
      <w:r>
        <w:rPr>
          <w:rFonts w:ascii="宋体" w:hAnsi="宋体"/>
          <w:sz w:val="24"/>
        </w:rPr>
        <w:t>1倍。商业用房首付不得低于五成，利率不得低</w:t>
      </w:r>
      <w:r>
        <w:rPr>
          <w:rFonts w:ascii="宋体" w:hAnsi="宋体" w:hint="eastAsia"/>
          <w:sz w:val="24"/>
        </w:rPr>
        <w:t>于同期同档次利率的1.1倍；</w:t>
      </w:r>
      <w:r>
        <w:rPr>
          <w:rFonts w:ascii="宋体" w:hAnsi="宋体"/>
          <w:sz w:val="24"/>
        </w:rPr>
        <w:t>对以“商住两用房”名义申请贷款的，首付款比例不得低于45%</w:t>
      </w:r>
      <w:r>
        <w:rPr>
          <w:rFonts w:ascii="宋体" w:hAnsi="宋体" w:hint="eastAsia"/>
          <w:sz w:val="24"/>
        </w:rPr>
        <w:t>，</w:t>
      </w:r>
      <w:r>
        <w:rPr>
          <w:rFonts w:ascii="宋体" w:hAnsi="宋体"/>
          <w:color w:val="000000"/>
          <w:sz w:val="24"/>
        </w:rPr>
        <w:t>给投资买房者以巨大</w:t>
      </w:r>
      <w:r>
        <w:rPr>
          <w:rFonts w:ascii="宋体" w:hAnsi="宋体" w:hint="eastAsia"/>
          <w:color w:val="000000"/>
          <w:sz w:val="24"/>
        </w:rPr>
        <w:t>的</w:t>
      </w:r>
      <w:r>
        <w:rPr>
          <w:rFonts w:ascii="宋体" w:hAnsi="宋体"/>
          <w:color w:val="000000"/>
          <w:sz w:val="24"/>
        </w:rPr>
        <w:t>压力</w:t>
      </w:r>
      <w:r>
        <w:rPr>
          <w:rFonts w:ascii="宋体" w:hAnsi="宋体" w:hint="eastAsia"/>
          <w:color w:val="000000"/>
          <w:sz w:val="24"/>
        </w:rPr>
        <w:t>；但</w:t>
      </w:r>
      <w:r>
        <w:rPr>
          <w:rFonts w:ascii="宋体" w:hAnsi="宋体" w:hint="eastAsia"/>
          <w:spacing w:val="-4"/>
          <w:sz w:val="24"/>
        </w:rPr>
        <w:t>“</w:t>
      </w:r>
      <w:r>
        <w:rPr>
          <w:rFonts w:ascii="宋体" w:hAnsi="宋体" w:hint="eastAsia"/>
          <w:spacing w:val="-4"/>
          <w:sz w:val="24"/>
        </w:rPr>
        <w:t>第二套贷款住房</w:t>
      </w:r>
      <w:r>
        <w:rPr>
          <w:rFonts w:ascii="宋体" w:hAnsi="宋体" w:hint="eastAsia"/>
          <w:spacing w:val="-4"/>
          <w:sz w:val="24"/>
        </w:rPr>
        <w:t>”</w:t>
      </w:r>
      <w:r>
        <w:rPr>
          <w:rFonts w:ascii="宋体" w:hAnsi="宋体" w:hint="eastAsia"/>
          <w:spacing w:val="-4"/>
          <w:sz w:val="24"/>
        </w:rPr>
        <w:t>各地各家银行界定不一，微观金融政策效应也许在银行博弈中被弱化，长期走势待关注。</w:t>
      </w:r>
    </w:p>
    <w:p>
      <w:pPr>
        <w:spacing w:line="500" w:lineRule="auto"/>
        <w:rPr>
          <w:rFonts w:ascii="宋体" w:hAnsi="宋体" w:hint="eastAsia"/>
          <w:b/>
          <w:sz w:val="24"/>
        </w:rPr>
      </w:pPr>
      <w:r>
        <w:rPr>
          <w:rFonts w:ascii="宋体" w:hAnsi="宋体" w:hint="eastAsia"/>
          <w:b/>
          <w:sz w:val="24"/>
        </w:rPr>
        <w:t>2、央</w:t>
      </w:r>
      <w:r>
        <w:rPr>
          <w:rFonts w:ascii="宋体" w:hAnsi="宋体"/>
          <w:b/>
          <w:sz w:val="24"/>
        </w:rPr>
        <w:t>行</w:t>
      </w:r>
      <w:r>
        <w:rPr>
          <w:rFonts w:ascii="宋体" w:hAnsi="宋体" w:hint="eastAsia"/>
          <w:b/>
          <w:sz w:val="24"/>
        </w:rPr>
        <w:t>屡屡宣布</w:t>
      </w:r>
      <w:r>
        <w:rPr>
          <w:rFonts w:ascii="宋体" w:hAnsi="宋体"/>
          <w:b/>
          <w:sz w:val="24"/>
        </w:rPr>
        <w:t>上调存款类金融机构人民币存款准备金率</w:t>
      </w:r>
      <w:r>
        <w:rPr>
          <w:rFonts w:ascii="宋体" w:hAnsi="宋体" w:hint="eastAsia"/>
          <w:b/>
          <w:sz w:val="24"/>
        </w:rPr>
        <w:t>；</w:t>
      </w:r>
    </w:p>
    <w:p>
      <w:pPr>
        <w:spacing w:line="500" w:lineRule="auto"/>
        <w:rPr>
          <w:rFonts w:ascii="宋体" w:hAnsi="宋体" w:hint="eastAsia"/>
          <w:color w:val="000000"/>
          <w:sz w:val="24"/>
        </w:rPr>
      </w:pPr>
      <w:r>
        <w:rPr>
          <w:rFonts w:ascii="宋体" w:hAnsi="宋体" w:hint="eastAsia"/>
          <w:b/>
          <w:sz w:val="24"/>
        </w:rPr>
        <w:t xml:space="preserve">   </w:t>
      </w:r>
      <w:r>
        <w:rPr>
          <w:rFonts w:ascii="宋体" w:hAnsi="宋体" w:hint="eastAsia"/>
          <w:color w:val="000000"/>
          <w:sz w:val="24"/>
        </w:rPr>
        <w:t xml:space="preserve"> 不断提高银行准备金率，是国家</w:t>
      </w:r>
      <w:r>
        <w:rPr>
          <w:rFonts w:ascii="宋体" w:hAnsi="宋体" w:hint="eastAsia"/>
          <w:color w:val="000000"/>
          <w:sz w:val="24"/>
        </w:rPr>
        <w:t>“</w:t>
      </w:r>
      <w:r>
        <w:rPr>
          <w:rFonts w:ascii="宋体" w:hAnsi="宋体" w:hint="eastAsia"/>
          <w:color w:val="000000"/>
          <w:sz w:val="24"/>
        </w:rPr>
        <w:t>收紧银根</w:t>
      </w:r>
      <w:r>
        <w:rPr>
          <w:rFonts w:ascii="宋体" w:hAnsi="宋体" w:hint="eastAsia"/>
          <w:color w:val="000000"/>
          <w:sz w:val="24"/>
        </w:rPr>
        <w:t>”</w:t>
      </w:r>
      <w:r>
        <w:rPr>
          <w:rFonts w:ascii="宋体" w:hAnsi="宋体" w:hint="eastAsia"/>
          <w:color w:val="000000"/>
          <w:sz w:val="24"/>
        </w:rPr>
        <w:t>克制经济泡沫的体现。但政策过紧住房的刚性需求也将受到很大遏制，绝大部分开发商的资金链将完全陷入困境，因此后市大幅度提高的</w:t>
      </w:r>
      <w:r>
        <w:rPr>
          <w:rFonts w:ascii="宋体" w:hAnsi="宋体"/>
          <w:color w:val="000000"/>
          <w:sz w:val="24"/>
        </w:rPr>
        <w:t>存款准备金率</w:t>
      </w:r>
      <w:r>
        <w:rPr>
          <w:rFonts w:ascii="宋体" w:hAnsi="宋体" w:hint="eastAsia"/>
          <w:color w:val="000000"/>
          <w:sz w:val="24"/>
        </w:rPr>
        <w:t>也许性比较小。</w:t>
      </w:r>
    </w:p>
    <w:p>
      <w:pPr>
        <w:spacing w:line="500" w:lineRule="auto"/>
        <w:rPr>
          <w:rFonts w:ascii="宋体" w:hAnsi="宋体" w:hint="eastAsia"/>
          <w:b/>
          <w:sz w:val="24"/>
        </w:rPr>
      </w:pPr>
      <w:r>
        <w:rPr>
          <w:rFonts w:ascii="宋体" w:hAnsi="宋体" w:hint="eastAsia"/>
          <w:b/>
          <w:sz w:val="24"/>
        </w:rPr>
        <w:t>3、</w:t>
      </w:r>
      <w:r>
        <w:rPr>
          <w:rFonts w:ascii="宋体" w:hAnsi="宋体"/>
          <w:b/>
          <w:sz w:val="24"/>
        </w:rPr>
        <w:t>央行连续</w:t>
      </w:r>
      <w:r>
        <w:rPr>
          <w:rFonts w:ascii="宋体" w:hAnsi="宋体" w:hint="eastAsia"/>
          <w:b/>
          <w:sz w:val="24"/>
        </w:rPr>
        <w:t>加息后，市场加息预期强烈；</w:t>
      </w:r>
    </w:p>
    <w:p>
      <w:pPr>
        <w:spacing w:line="500" w:lineRule="auto"/>
        <w:rPr>
          <w:rFonts w:ascii="宋体" w:hAnsi="宋体" w:hint="eastAsia"/>
          <w:b/>
          <w:color w:val="000000"/>
          <w:sz w:val="24"/>
        </w:rPr>
      </w:pPr>
      <w:r>
        <w:rPr>
          <w:rFonts w:ascii="宋体" w:hAnsi="宋体" w:hint="eastAsia"/>
          <w:b/>
          <w:sz w:val="24"/>
        </w:rPr>
        <w:t xml:space="preserve">    </w:t>
      </w:r>
      <w:r>
        <w:rPr>
          <w:rFonts w:ascii="宋体" w:hAnsi="宋体" w:hint="eastAsia"/>
          <w:color w:val="000000"/>
          <w:sz w:val="24"/>
        </w:rPr>
        <w:t>为了继续贯彻宏观调控政策、遏制固定资产投资增速过快的势头，同时为了有效遏制投资性购房和炒房冲动，2023年，已经连续加息，后市基于对通货膨胀情况的判断以及对经济总体增长情况的预期，加息预期仍然十分强烈。</w:t>
      </w:r>
    </w:p>
    <w:p>
      <w:pPr>
        <w:spacing w:line="500" w:lineRule="auto"/>
        <w:rPr>
          <w:rStyle w:val="Strong"/>
          <w:rFonts w:ascii="宋体" w:hAnsi="宋体" w:hint="eastAsia"/>
          <w:color w:val="000000"/>
          <w:sz w:val="24"/>
        </w:rPr>
      </w:pPr>
      <w:r>
        <w:rPr>
          <w:rFonts w:ascii="宋体" w:hAnsi="宋体" w:hint="eastAsia"/>
          <w:b/>
          <w:sz w:val="24"/>
        </w:rPr>
        <w:t>4、</w:t>
      </w:r>
      <w:r>
        <w:rPr>
          <w:rStyle w:val="Strong"/>
          <w:rFonts w:ascii="宋体" w:hAnsi="宋体" w:hint="eastAsia"/>
          <w:color w:val="000000"/>
          <w:sz w:val="24"/>
        </w:rPr>
        <w:t>保障性住房的建设将取得实质性进展</w:t>
      </w:r>
    </w:p>
    <w:p>
      <w:pPr>
        <w:spacing w:line="500" w:lineRule="auto"/>
        <w:ind w:firstLine="480" w:firstLineChars="200"/>
        <w:rPr>
          <w:rFonts w:ascii="宋体" w:hAnsi="宋体" w:hint="eastAsia"/>
          <w:color w:val="000000"/>
          <w:sz w:val="24"/>
        </w:rPr>
        <w:sectPr>
          <w:type w:val="nextPage"/>
          <w:pgSz w:w="16838" w:h="11906" w:orient="landscape"/>
          <w:pgMar w:top="1797" w:right="1440" w:bottom="1701" w:left="1440" w:header="851" w:footer="992" w:gutter="0"/>
          <w:pgNumType w:fmt="decimal" w:start="5"/>
          <w:cols w:space="708"/>
          <w:titlePg w:val="0"/>
          <w:docGrid w:type="lines" w:linePitch="312"/>
        </w:sectPr>
      </w:pPr>
      <w:r>
        <w:rPr>
          <w:rFonts w:ascii="宋体" w:hAnsi="宋体" w:hint="eastAsia"/>
          <w:color w:val="000000"/>
          <w:sz w:val="24"/>
        </w:rPr>
        <w:t>经济合用住房制度作为一项重要的住房保障制度，在2023年将进一步完善发展。统筹考虑与廉租住房制度、住房公积金制度等住房保障资源的互相衔接，发挥政策合力，促进低收入家庭住房问题的主线解决。经济合用住房建设规模、项目布局和供应对象，将根据本地市场发展状况、居民收入水平、房价水平等合理拟定；经济合用住房购房人的退出机制也将日益规范与完善。</w:t>
      </w:r>
    </w:p>
    <w:p>
      <w:pPr>
        <w:spacing w:line="500" w:lineRule="auto"/>
        <w:rPr>
          <w:rStyle w:val="Strong"/>
          <w:rFonts w:ascii="宋体" w:hAnsi="宋体" w:hint="eastAsia"/>
          <w:color w:val="000000"/>
          <w:sz w:val="24"/>
        </w:rPr>
      </w:pPr>
      <w:r>
        <w:rPr>
          <w:rFonts w:ascii="宋体" w:hAnsi="宋体" w:hint="eastAsia"/>
          <w:b/>
          <w:color w:val="000000"/>
          <w:sz w:val="24"/>
        </w:rPr>
        <w:t>5、</w:t>
      </w:r>
      <w:r>
        <w:rPr>
          <w:rStyle w:val="Strong"/>
          <w:rFonts w:ascii="宋体" w:hAnsi="宋体" w:hint="eastAsia"/>
          <w:color w:val="000000"/>
          <w:sz w:val="24"/>
        </w:rPr>
        <w:t>地方的批地权将明显受限，土地闸门将更加严格，70%、90平米的供地政策将在全国范围内得以贯彻</w:t>
      </w:r>
    </w:p>
    <w:p>
      <w:pPr>
        <w:spacing w:line="500" w:lineRule="auto"/>
        <w:ind w:firstLine="480" w:firstLineChars="200"/>
        <w:rPr>
          <w:rFonts w:ascii="宋体" w:hAnsi="宋体" w:hint="eastAsia"/>
          <w:b/>
          <w:color w:val="000000"/>
          <w:sz w:val="24"/>
        </w:rPr>
      </w:pPr>
      <w:r>
        <w:rPr>
          <w:rFonts w:ascii="宋体" w:hAnsi="宋体" w:hint="eastAsia"/>
          <w:color w:val="000000"/>
          <w:sz w:val="24"/>
        </w:rPr>
        <w:t>随着中央将</w:t>
      </w:r>
      <w:r>
        <w:rPr>
          <w:rFonts w:ascii="宋体" w:hAnsi="宋体" w:hint="eastAsia"/>
          <w:color w:val="000000"/>
          <w:sz w:val="24"/>
        </w:rPr>
        <w:t>“</w:t>
      </w:r>
      <w:r>
        <w:rPr>
          <w:rFonts w:ascii="宋体" w:hAnsi="宋体" w:hint="eastAsia"/>
          <w:color w:val="000000"/>
          <w:sz w:val="24"/>
        </w:rPr>
        <w:t>土地监察局</w:t>
      </w:r>
      <w:r>
        <w:rPr>
          <w:rFonts w:ascii="宋体" w:hAnsi="宋体" w:hint="eastAsia"/>
          <w:color w:val="000000"/>
          <w:sz w:val="24"/>
        </w:rPr>
        <w:t>”</w:t>
      </w:r>
      <w:r>
        <w:rPr>
          <w:rFonts w:ascii="宋体" w:hAnsi="宋体" w:hint="eastAsia"/>
          <w:color w:val="000000"/>
          <w:sz w:val="24"/>
        </w:rPr>
        <w:t>空降到地方的政策铺开，从而使得地方政府的批地大权受限，但整体上重要大中城市的土地供应量将保持稳中有升。</w:t>
      </w:r>
    </w:p>
    <w:p>
      <w:pPr>
        <w:spacing w:line="500" w:lineRule="auto"/>
        <w:rPr>
          <w:rFonts w:ascii="宋体" w:hAnsi="宋体" w:hint="eastAsia"/>
          <w:b/>
          <w:spacing w:val="-4"/>
          <w:sz w:val="24"/>
        </w:rPr>
      </w:pPr>
      <w:r>
        <w:rPr>
          <w:rFonts w:ascii="宋体" w:hAnsi="宋体" w:hint="eastAsia"/>
          <w:b/>
          <w:sz w:val="24"/>
        </w:rPr>
        <w:t>6、</w:t>
      </w:r>
      <w:r>
        <w:rPr>
          <w:rFonts w:ascii="宋体" w:hAnsi="宋体" w:hint="eastAsia"/>
          <w:b/>
          <w:spacing w:val="-4"/>
          <w:sz w:val="24"/>
        </w:rPr>
        <w:t>与国家宏观调控政策相响应，本月武汉地方政府相继出台了关于</w:t>
      </w:r>
      <w:r>
        <w:rPr>
          <w:rFonts w:ascii="宋体" w:hAnsi="宋体" w:hint="eastAsia"/>
          <w:b/>
          <w:spacing w:val="-4"/>
          <w:sz w:val="24"/>
        </w:rPr>
        <w:t>“</w:t>
      </w:r>
      <w:r>
        <w:rPr>
          <w:rFonts w:ascii="宋体" w:hAnsi="宋体" w:hint="eastAsia"/>
          <w:b/>
          <w:spacing w:val="-4"/>
          <w:sz w:val="24"/>
        </w:rPr>
        <w:t>更名、退房</w:t>
      </w:r>
      <w:r>
        <w:rPr>
          <w:rFonts w:ascii="宋体" w:hAnsi="宋体" w:hint="eastAsia"/>
          <w:b/>
          <w:spacing w:val="-4"/>
          <w:sz w:val="24"/>
        </w:rPr>
        <w:t>”</w:t>
      </w:r>
      <w:r>
        <w:rPr>
          <w:rFonts w:ascii="宋体" w:hAnsi="宋体" w:hint="eastAsia"/>
          <w:b/>
          <w:spacing w:val="-4"/>
          <w:sz w:val="24"/>
        </w:rPr>
        <w:t>新政</w:t>
      </w:r>
    </w:p>
    <w:p>
      <w:pPr>
        <w:spacing w:line="500" w:lineRule="auto"/>
        <w:ind w:firstLine="600" w:firstLineChars="250"/>
        <w:rPr>
          <w:rFonts w:ascii="宋体" w:hAnsi="宋体" w:hint="eastAsia"/>
          <w:spacing w:val="-4"/>
          <w:sz w:val="24"/>
        </w:rPr>
      </w:pPr>
      <w:r>
        <w:rPr>
          <w:rFonts w:ascii="宋体" w:hAnsi="宋体" w:hint="eastAsia"/>
          <w:spacing w:val="-4"/>
          <w:sz w:val="24"/>
        </w:rPr>
        <w:t>政策规定：对购买两套以上商品房的单位或个人，所购房屋原则上不得作注销、更名解决，并对购买第一套商品房的单位或个人，具体可以更名或退房情况做了规定。此政策的目的在于在规范房地产市场交易行为，克制过度投机，防止楼价的非自然上涨，</w:t>
      </w:r>
      <w:r>
        <w:rPr>
          <w:rFonts w:ascii="宋体" w:hAnsi="宋体" w:hint="eastAsia"/>
          <w:sz w:val="24"/>
        </w:rPr>
        <w:t>至此</w:t>
      </w:r>
      <w:r>
        <w:rPr>
          <w:rFonts w:ascii="宋体" w:hAnsi="宋体"/>
          <w:sz w:val="24"/>
        </w:rPr>
        <w:t>协议更名、退房名义进行炒房的招数行不通了</w:t>
      </w:r>
      <w:r>
        <w:rPr>
          <w:rFonts w:ascii="宋体" w:hAnsi="宋体" w:hint="eastAsia"/>
          <w:sz w:val="24"/>
        </w:rPr>
        <w:t>。</w:t>
      </w:r>
    </w:p>
    <w:p>
      <w:pPr>
        <w:spacing w:line="500" w:lineRule="auto"/>
        <w:rPr>
          <w:rFonts w:ascii="宋体" w:hAnsi="宋体" w:cs="宋体" w:hint="eastAsia"/>
          <w:b/>
          <w:color w:val="000000"/>
          <w:kern w:val="0"/>
          <w:sz w:val="24"/>
        </w:rPr>
      </w:pPr>
      <w:r>
        <w:rPr>
          <w:rFonts w:ascii="宋体" w:hAnsi="宋体" w:hint="eastAsia"/>
          <w:b/>
          <w:color w:val="000000"/>
          <w:sz w:val="24"/>
        </w:rPr>
        <w:t>7、</w:t>
      </w:r>
      <w:r>
        <w:rPr>
          <w:rFonts w:ascii="宋体" w:hAnsi="宋体" w:cs="宋体" w:hint="eastAsia"/>
          <w:b/>
          <w:color w:val="000000"/>
          <w:kern w:val="0"/>
          <w:sz w:val="24"/>
        </w:rPr>
        <w:t>《物权法》颁布及从2023年10月1日起开始实行，</w:t>
      </w:r>
      <w:r>
        <w:rPr>
          <w:rStyle w:val="Strong"/>
          <w:color w:val="000000"/>
          <w:sz w:val="24"/>
        </w:rPr>
        <w:t>新物业管理条例</w:t>
      </w:r>
      <w:r>
        <w:rPr>
          <w:rStyle w:val="Strong"/>
          <w:rFonts w:hint="eastAsia"/>
          <w:color w:val="000000"/>
          <w:sz w:val="24"/>
        </w:rPr>
        <w:t>也开始实行</w:t>
      </w:r>
    </w:p>
    <w:p>
      <w:pPr>
        <w:spacing w:line="500" w:lineRule="auto"/>
        <w:rPr>
          <w:rFonts w:ascii="宋体" w:hAnsi="宋体" w:cs="宋体" w:hint="eastAsia"/>
          <w:b/>
          <w:color w:val="000000"/>
          <w:kern w:val="0"/>
          <w:sz w:val="24"/>
        </w:rPr>
      </w:pPr>
      <w:r>
        <w:rPr>
          <w:rFonts w:ascii="宋体" w:hAnsi="宋体" w:cs="宋体" w:hint="eastAsia"/>
          <w:b/>
          <w:color w:val="000000"/>
          <w:kern w:val="0"/>
          <w:sz w:val="24"/>
        </w:rPr>
        <w:t>8、土地增值税收开征</w:t>
      </w:r>
    </w:p>
    <w:p>
      <w:pPr>
        <w:spacing w:line="500" w:lineRule="auto"/>
        <w:ind w:firstLine="480" w:firstLineChars="200"/>
        <w:rPr>
          <w:rFonts w:hint="eastAsia"/>
          <w:color w:val="000000"/>
          <w:sz w:val="24"/>
        </w:rPr>
      </w:pPr>
      <w:r>
        <w:rPr>
          <w:rFonts w:ascii="宋体" w:hAnsi="宋体" w:cs="宋体" w:hint="eastAsia"/>
          <w:color w:val="000000"/>
          <w:kern w:val="0"/>
          <w:sz w:val="24"/>
        </w:rPr>
        <w:t>1月16日，国家税务总局发布了《关于房地产开发公司土地增值税清算管理有关问题的告知》(以下简称《告知》)。《告知》规定各地从2023年2月1日起开展房地产开发公司土地增值税清算，正式向公司征收30%-60%不等的土地增值税。该税开征将意味着开发商成本增长，也体现到房价的快速上升。</w:t>
      </w:r>
      <w:r>
        <w:rPr>
          <w:color w:val="000000"/>
          <w:sz w:val="24"/>
        </w:rPr>
        <w:t>税收不断在加重，买房门槛也在不断抬高。</w:t>
      </w:r>
    </w:p>
    <w:p>
      <w:pPr>
        <w:spacing w:line="500" w:lineRule="auto"/>
        <w:ind w:firstLine="480" w:firstLineChars="200"/>
        <w:rPr>
          <w:rFonts w:ascii="宋体" w:hAnsi="宋体" w:cs="宋体" w:hint="eastAsia"/>
          <w:b/>
          <w:color w:val="000000"/>
          <w:kern w:val="0"/>
          <w:sz w:val="24"/>
        </w:rPr>
        <w:sectPr>
          <w:type w:val="nextPage"/>
          <w:pgSz w:w="16838" w:h="11906" w:orient="landscape"/>
          <w:pgMar w:top="1797" w:right="1440" w:bottom="1701" w:left="1440" w:header="851" w:footer="992" w:gutter="0"/>
          <w:pgNumType w:fmt="decimal" w:start="6"/>
          <w:cols w:space="708"/>
          <w:titlePg w:val="0"/>
          <w:docGrid w:type="lines" w:linePitch="312"/>
        </w:sectPr>
      </w:pPr>
      <w:r>
        <w:rPr>
          <w:rFonts w:ascii="宋体" w:hAnsi="宋体" w:cs="宋体"/>
          <w:b/>
          <w:color w:val="000000"/>
          <w:kern w:val="0"/>
          <w:sz w:val="24"/>
        </w:rPr>
        <w:t>连续的加息</w:t>
      </w:r>
      <w:r>
        <w:rPr>
          <w:rFonts w:ascii="宋体" w:hAnsi="宋体" w:cs="宋体" w:hint="eastAsia"/>
          <w:b/>
          <w:color w:val="000000"/>
          <w:kern w:val="0"/>
          <w:sz w:val="24"/>
        </w:rPr>
        <w:t>、调高银行准备金率</w:t>
      </w:r>
      <w:r>
        <w:rPr>
          <w:rFonts w:ascii="宋体" w:hAnsi="宋体" w:cs="宋体"/>
          <w:b/>
          <w:color w:val="000000"/>
          <w:kern w:val="0"/>
          <w:sz w:val="24"/>
        </w:rPr>
        <w:t>和第二套房提高首付等政策的出台，</w:t>
      </w:r>
      <w:r>
        <w:rPr>
          <w:rFonts w:ascii="宋体" w:hAnsi="宋体" w:cs="宋体" w:hint="eastAsia"/>
          <w:b/>
          <w:color w:val="000000"/>
          <w:kern w:val="0"/>
          <w:sz w:val="24"/>
        </w:rPr>
        <w:t>对房地产市场影响很大。由于</w:t>
      </w:r>
    </w:p>
    <w:p>
      <w:pPr>
        <w:spacing w:line="500" w:lineRule="auto"/>
        <w:ind w:firstLine="480" w:firstLineChars="200"/>
        <w:rPr>
          <w:rFonts w:ascii="宋体" w:hAnsi="宋体" w:cs="宋体" w:hint="eastAsia"/>
          <w:b/>
          <w:color w:val="000000"/>
          <w:kern w:val="0"/>
          <w:sz w:val="24"/>
        </w:rPr>
      </w:pPr>
      <w:r>
        <w:rPr>
          <w:rFonts w:ascii="宋体" w:hAnsi="宋体" w:cs="宋体"/>
          <w:b/>
          <w:color w:val="000000"/>
          <w:kern w:val="0"/>
          <w:sz w:val="24"/>
        </w:rPr>
        <w:t>我国正处在流动性过剩时代，市场加息预期</w:t>
      </w:r>
      <w:r>
        <w:rPr>
          <w:rFonts w:ascii="宋体" w:hAnsi="宋体" w:cs="宋体" w:hint="eastAsia"/>
          <w:b/>
          <w:color w:val="000000"/>
          <w:kern w:val="0"/>
          <w:sz w:val="24"/>
        </w:rPr>
        <w:t>并没有消退。对于对房价的继续上涨，由于历次宏观调控政策效果并不明显，房贷新政仍需市场检查，后市可以预期将会有系列调控</w:t>
      </w:r>
      <w:r>
        <w:rPr>
          <w:rFonts w:ascii="宋体" w:hAnsi="宋体" w:cs="宋体" w:hint="eastAsia"/>
          <w:b/>
          <w:color w:val="000000"/>
          <w:kern w:val="0"/>
          <w:sz w:val="24"/>
        </w:rPr>
        <w:t>“</w:t>
      </w:r>
      <w:r>
        <w:rPr>
          <w:rFonts w:ascii="宋体" w:hAnsi="宋体" w:cs="宋体" w:hint="eastAsia"/>
          <w:b/>
          <w:color w:val="000000"/>
          <w:kern w:val="0"/>
          <w:sz w:val="24"/>
        </w:rPr>
        <w:t>组合拳</w:t>
      </w:r>
      <w:r>
        <w:rPr>
          <w:rFonts w:ascii="宋体" w:hAnsi="宋体" w:cs="宋体" w:hint="eastAsia"/>
          <w:b/>
          <w:color w:val="000000"/>
          <w:kern w:val="0"/>
          <w:sz w:val="24"/>
        </w:rPr>
        <w:t>”</w:t>
      </w:r>
      <w:r>
        <w:rPr>
          <w:rFonts w:ascii="宋体" w:hAnsi="宋体" w:cs="宋体" w:hint="eastAsia"/>
          <w:b/>
          <w:color w:val="000000"/>
          <w:kern w:val="0"/>
          <w:sz w:val="24"/>
        </w:rPr>
        <w:t>的出台也不是没有也许。</w:t>
      </w:r>
    </w:p>
    <w:p>
      <w:pPr>
        <w:pStyle w:val="Heading3"/>
        <w:spacing w:before="0" w:beforeLines="0" w:after="0" w:afterLines="0" w:line="500" w:lineRule="auto"/>
        <w:ind w:left="0"/>
        <w:rPr>
          <w:rFonts w:ascii="宋体" w:eastAsia="宋体" w:hAnsi="宋体"/>
          <w:sz w:val="24"/>
          <w:szCs w:val="24"/>
        </w:rPr>
      </w:pPr>
      <w:r>
        <w:rPr>
          <w:rFonts w:ascii="宋体" w:eastAsia="宋体" w:hAnsi="宋体"/>
          <w:sz w:val="24"/>
          <w:szCs w:val="24"/>
        </w:rPr>
        <w:t>（三）宏观政策影响楼市发展，但武汉房地产市场基本面受其影响不大</w:t>
      </w:r>
    </w:p>
    <w:p>
      <w:pPr>
        <w:spacing w:line="500" w:lineRule="auto"/>
        <w:ind w:left="706"/>
        <w:rPr>
          <w:rFonts w:ascii="宋体" w:hAnsi="宋体" w:hint="eastAsia"/>
          <w:b/>
          <w:sz w:val="24"/>
        </w:rPr>
      </w:pPr>
      <w:r>
        <w:rPr>
          <w:rFonts w:ascii="宋体" w:hAnsi="宋体" w:hint="eastAsia"/>
          <w:b/>
          <w:sz w:val="24"/>
        </w:rPr>
        <w:t>1、成交指标表格</w:t>
      </w:r>
    </w:p>
    <w:p>
      <w:pPr>
        <w:spacing w:line="500" w:lineRule="auto"/>
        <w:ind w:left="706"/>
        <w:rPr>
          <w:rFonts w:ascii="宋体" w:hAnsi="宋体" w:hint="eastAsia"/>
          <w:b/>
          <w:sz w:val="24"/>
        </w:rPr>
      </w:pPr>
      <w:r>
        <w:rPr>
          <w:rFonts w:ascii="宋体" w:hAnsi="宋体" w:hint="eastAsia"/>
          <w:b/>
          <w:sz w:val="24"/>
        </w:rPr>
        <w:t xml:space="preserve">                             武汉市房地产市场2023年1-10月成交指标表</w:t>
      </w:r>
    </w:p>
    <w:tbl>
      <w:tblPr>
        <w:tblStyle w:val="TableNormal"/>
        <w:jc w:val="center"/>
        <w:tblInd w:w="-2482" w:type="dxa"/>
        <w:tblLayout w:type="fixed"/>
        <w:tblCellMar>
          <w:top w:w="0" w:type="dxa"/>
          <w:left w:w="108" w:type="dxa"/>
          <w:bottom w:w="0" w:type="dxa"/>
          <w:right w:w="108" w:type="dxa"/>
        </w:tblCellMar>
        <w:tblLook w:val="0000"/>
      </w:tblPr>
      <w:tblGrid>
        <w:gridCol w:w="2314"/>
        <w:gridCol w:w="1200"/>
        <w:gridCol w:w="1035"/>
        <w:gridCol w:w="1034"/>
        <w:gridCol w:w="1035"/>
        <w:gridCol w:w="1034"/>
        <w:gridCol w:w="1035"/>
        <w:gridCol w:w="1034"/>
        <w:gridCol w:w="1035"/>
        <w:gridCol w:w="1034"/>
        <w:gridCol w:w="1035"/>
      </w:tblGrid>
      <w:tr>
        <w:tblPrEx>
          <w:jc w:val="center"/>
          <w:tblInd w:w="-2482" w:type="dxa"/>
          <w:tblLayout w:type="fixed"/>
          <w:tblCellMar>
            <w:top w:w="0" w:type="dxa"/>
            <w:left w:w="108" w:type="dxa"/>
            <w:bottom w:w="0" w:type="dxa"/>
            <w:right w:w="108" w:type="dxa"/>
          </w:tblCellMar>
          <w:tblLook w:val="0000"/>
        </w:tblPrEx>
        <w:trPr>
          <w:trHeight w:val="540"/>
          <w:jc w:val="center"/>
        </w:trPr>
        <w:tc>
          <w:tcPr>
            <w:tcW w:w="2314" w:type="dxa"/>
            <w:tcBorders>
              <w:top w:val="single" w:sz="4" w:space="0" w:color="auto"/>
              <w:left w:val="single" w:sz="4" w:space="0" w:color="auto"/>
              <w:bottom w:val="single" w:sz="4" w:space="0" w:color="auto"/>
              <w:right w:val="single" w:sz="4" w:space="0" w:color="auto"/>
            </w:tcBorders>
            <w:shd w:val="clear" w:color="auto" w:fill="FF9900"/>
            <w:vAlign w:val="bottom"/>
          </w:tcPr>
          <w:p>
            <w:pPr>
              <w:widowControl/>
              <w:jc w:val="center"/>
              <w:rPr>
                <w:rFonts w:ascii="宋体" w:hAnsi="宋体" w:cs="宋体"/>
                <w:b/>
                <w:bCs/>
                <w:kern w:val="0"/>
                <w:sz w:val="24"/>
              </w:rPr>
            </w:pPr>
            <w:r>
              <w:rPr>
                <w:rFonts w:ascii="宋体" w:hAnsi="宋体" w:cs="宋体" w:hint="eastAsia"/>
                <w:b/>
                <w:bCs/>
                <w:kern w:val="0"/>
                <w:sz w:val="24"/>
              </w:rPr>
              <w:t>　</w:t>
            </w:r>
          </w:p>
        </w:tc>
        <w:tc>
          <w:tcPr>
            <w:tcW w:w="1200" w:type="dxa"/>
            <w:tcBorders>
              <w:top w:val="single" w:sz="4" w:space="0" w:color="auto"/>
              <w:left w:val="nil"/>
              <w:bottom w:val="single" w:sz="4" w:space="0" w:color="auto"/>
              <w:right w:val="single" w:sz="4" w:space="0" w:color="auto"/>
            </w:tcBorders>
            <w:shd w:val="clear" w:color="auto" w:fill="FF9900"/>
            <w:vAlign w:val="bottom"/>
          </w:tcPr>
          <w:p>
            <w:pPr>
              <w:widowControl/>
              <w:jc w:val="center"/>
              <w:rPr>
                <w:rFonts w:ascii="宋体" w:hAnsi="宋体" w:cs="宋体"/>
                <w:b/>
                <w:bCs/>
                <w:kern w:val="0"/>
                <w:sz w:val="24"/>
              </w:rPr>
            </w:pPr>
            <w:r>
              <w:rPr>
                <w:rFonts w:ascii="宋体" w:hAnsi="宋体" w:cs="宋体" w:hint="eastAsia"/>
                <w:b/>
                <w:bCs/>
                <w:kern w:val="0"/>
                <w:sz w:val="24"/>
              </w:rPr>
              <w:t>1月</w:t>
            </w:r>
          </w:p>
        </w:tc>
        <w:tc>
          <w:tcPr>
            <w:tcW w:w="1035" w:type="dxa"/>
            <w:tcBorders>
              <w:top w:val="single" w:sz="4" w:space="0" w:color="auto"/>
              <w:left w:val="nil"/>
              <w:bottom w:val="single" w:sz="4" w:space="0" w:color="auto"/>
              <w:right w:val="single" w:sz="4" w:space="0" w:color="auto"/>
            </w:tcBorders>
            <w:shd w:val="clear" w:color="auto" w:fill="FF9900"/>
            <w:vAlign w:val="bottom"/>
          </w:tcPr>
          <w:p>
            <w:pPr>
              <w:widowControl/>
              <w:jc w:val="center"/>
              <w:rPr>
                <w:rFonts w:ascii="宋体" w:hAnsi="宋体" w:cs="宋体"/>
                <w:b/>
                <w:bCs/>
                <w:kern w:val="0"/>
                <w:sz w:val="24"/>
              </w:rPr>
            </w:pPr>
            <w:r>
              <w:rPr>
                <w:rFonts w:ascii="宋体" w:hAnsi="宋体" w:cs="宋体" w:hint="eastAsia"/>
                <w:b/>
                <w:bCs/>
                <w:kern w:val="0"/>
                <w:sz w:val="24"/>
              </w:rPr>
              <w:t>2月</w:t>
            </w:r>
          </w:p>
        </w:tc>
        <w:tc>
          <w:tcPr>
            <w:tcW w:w="1034" w:type="dxa"/>
            <w:tcBorders>
              <w:top w:val="single" w:sz="4" w:space="0" w:color="auto"/>
              <w:left w:val="nil"/>
              <w:bottom w:val="single" w:sz="4" w:space="0" w:color="auto"/>
              <w:right w:val="single" w:sz="4" w:space="0" w:color="auto"/>
            </w:tcBorders>
            <w:shd w:val="clear" w:color="auto" w:fill="FF9900"/>
            <w:vAlign w:val="bottom"/>
          </w:tcPr>
          <w:p>
            <w:pPr>
              <w:widowControl/>
              <w:jc w:val="center"/>
              <w:rPr>
                <w:rFonts w:ascii="宋体" w:hAnsi="宋体" w:cs="宋体"/>
                <w:b/>
                <w:bCs/>
                <w:kern w:val="0"/>
                <w:sz w:val="24"/>
              </w:rPr>
            </w:pPr>
            <w:r>
              <w:rPr>
                <w:rFonts w:ascii="宋体" w:hAnsi="宋体" w:cs="宋体" w:hint="eastAsia"/>
                <w:b/>
                <w:bCs/>
                <w:kern w:val="0"/>
                <w:sz w:val="24"/>
              </w:rPr>
              <w:t>3月</w:t>
            </w:r>
          </w:p>
        </w:tc>
        <w:tc>
          <w:tcPr>
            <w:tcW w:w="1035" w:type="dxa"/>
            <w:tcBorders>
              <w:top w:val="single" w:sz="4" w:space="0" w:color="auto"/>
              <w:left w:val="nil"/>
              <w:bottom w:val="single" w:sz="4" w:space="0" w:color="auto"/>
              <w:right w:val="single" w:sz="4" w:space="0" w:color="auto"/>
            </w:tcBorders>
            <w:shd w:val="clear" w:color="auto" w:fill="FF9900"/>
            <w:vAlign w:val="bottom"/>
          </w:tcPr>
          <w:p>
            <w:pPr>
              <w:widowControl/>
              <w:jc w:val="center"/>
              <w:rPr>
                <w:rFonts w:ascii="宋体" w:hAnsi="宋体" w:cs="宋体"/>
                <w:b/>
                <w:bCs/>
                <w:kern w:val="0"/>
                <w:sz w:val="24"/>
              </w:rPr>
            </w:pPr>
            <w:r>
              <w:rPr>
                <w:rFonts w:ascii="宋体" w:hAnsi="宋体" w:cs="宋体" w:hint="eastAsia"/>
                <w:b/>
                <w:bCs/>
                <w:kern w:val="0"/>
                <w:sz w:val="24"/>
              </w:rPr>
              <w:t>4月</w:t>
            </w:r>
          </w:p>
        </w:tc>
        <w:tc>
          <w:tcPr>
            <w:tcW w:w="1034" w:type="dxa"/>
            <w:tcBorders>
              <w:top w:val="single" w:sz="4" w:space="0" w:color="auto"/>
              <w:left w:val="nil"/>
              <w:bottom w:val="single" w:sz="4" w:space="0" w:color="auto"/>
              <w:right w:val="single" w:sz="4" w:space="0" w:color="auto"/>
            </w:tcBorders>
            <w:shd w:val="clear" w:color="auto" w:fill="FF9900"/>
            <w:vAlign w:val="bottom"/>
          </w:tcPr>
          <w:p>
            <w:pPr>
              <w:widowControl/>
              <w:jc w:val="center"/>
              <w:rPr>
                <w:rFonts w:ascii="宋体" w:hAnsi="宋体" w:cs="宋体"/>
                <w:b/>
                <w:bCs/>
                <w:kern w:val="0"/>
                <w:sz w:val="24"/>
              </w:rPr>
            </w:pPr>
            <w:r>
              <w:rPr>
                <w:rFonts w:ascii="宋体" w:hAnsi="宋体" w:cs="宋体" w:hint="eastAsia"/>
                <w:b/>
                <w:bCs/>
                <w:kern w:val="0"/>
                <w:sz w:val="24"/>
              </w:rPr>
              <w:t>5月</w:t>
            </w:r>
          </w:p>
        </w:tc>
        <w:tc>
          <w:tcPr>
            <w:tcW w:w="1035" w:type="dxa"/>
            <w:tcBorders>
              <w:top w:val="single" w:sz="4" w:space="0" w:color="auto"/>
              <w:left w:val="nil"/>
              <w:bottom w:val="single" w:sz="4" w:space="0" w:color="auto"/>
              <w:right w:val="single" w:sz="4" w:space="0" w:color="auto"/>
            </w:tcBorders>
            <w:shd w:val="clear" w:color="auto" w:fill="FF9900"/>
            <w:vAlign w:val="bottom"/>
          </w:tcPr>
          <w:p>
            <w:pPr>
              <w:widowControl/>
              <w:jc w:val="center"/>
              <w:rPr>
                <w:rFonts w:ascii="宋体" w:hAnsi="宋体" w:cs="宋体"/>
                <w:b/>
                <w:bCs/>
                <w:kern w:val="0"/>
                <w:sz w:val="24"/>
              </w:rPr>
            </w:pPr>
            <w:r>
              <w:rPr>
                <w:rFonts w:ascii="宋体" w:hAnsi="宋体" w:cs="宋体" w:hint="eastAsia"/>
                <w:b/>
                <w:bCs/>
                <w:kern w:val="0"/>
                <w:sz w:val="24"/>
              </w:rPr>
              <w:t>6月</w:t>
            </w:r>
          </w:p>
        </w:tc>
        <w:tc>
          <w:tcPr>
            <w:tcW w:w="1034" w:type="dxa"/>
            <w:tcBorders>
              <w:top w:val="single" w:sz="4" w:space="0" w:color="auto"/>
              <w:left w:val="nil"/>
              <w:bottom w:val="single" w:sz="4" w:space="0" w:color="auto"/>
              <w:right w:val="single" w:sz="4" w:space="0" w:color="auto"/>
            </w:tcBorders>
            <w:shd w:val="clear" w:color="auto" w:fill="FF9900"/>
            <w:vAlign w:val="bottom"/>
          </w:tcPr>
          <w:p>
            <w:pPr>
              <w:widowControl/>
              <w:jc w:val="center"/>
              <w:rPr>
                <w:rFonts w:ascii="宋体" w:hAnsi="宋体" w:cs="宋体"/>
                <w:b/>
                <w:bCs/>
                <w:kern w:val="0"/>
                <w:sz w:val="24"/>
              </w:rPr>
            </w:pPr>
            <w:r>
              <w:rPr>
                <w:rFonts w:ascii="宋体" w:hAnsi="宋体" w:cs="宋体" w:hint="eastAsia"/>
                <w:b/>
                <w:bCs/>
                <w:kern w:val="0"/>
                <w:sz w:val="24"/>
              </w:rPr>
              <w:t>7月</w:t>
            </w:r>
          </w:p>
        </w:tc>
        <w:tc>
          <w:tcPr>
            <w:tcW w:w="1035" w:type="dxa"/>
            <w:tcBorders>
              <w:top w:val="single" w:sz="4" w:space="0" w:color="auto"/>
              <w:left w:val="nil"/>
              <w:bottom w:val="single" w:sz="4" w:space="0" w:color="auto"/>
              <w:right w:val="single" w:sz="4" w:space="0" w:color="auto"/>
            </w:tcBorders>
            <w:shd w:val="clear" w:color="auto" w:fill="FF9900"/>
            <w:vAlign w:val="bottom"/>
          </w:tcPr>
          <w:p>
            <w:pPr>
              <w:widowControl/>
              <w:jc w:val="center"/>
              <w:rPr>
                <w:rFonts w:ascii="宋体" w:hAnsi="宋体" w:cs="宋体"/>
                <w:b/>
                <w:bCs/>
                <w:kern w:val="0"/>
                <w:sz w:val="24"/>
              </w:rPr>
            </w:pPr>
            <w:r>
              <w:rPr>
                <w:rFonts w:ascii="宋体" w:hAnsi="宋体" w:cs="宋体" w:hint="eastAsia"/>
                <w:b/>
                <w:bCs/>
                <w:kern w:val="0"/>
                <w:sz w:val="24"/>
              </w:rPr>
              <w:t>8月</w:t>
            </w:r>
          </w:p>
        </w:tc>
        <w:tc>
          <w:tcPr>
            <w:tcW w:w="1034" w:type="dxa"/>
            <w:tcBorders>
              <w:top w:val="single" w:sz="4" w:space="0" w:color="auto"/>
              <w:left w:val="nil"/>
              <w:bottom w:val="single" w:sz="4" w:space="0" w:color="auto"/>
              <w:right w:val="single" w:sz="4" w:space="0" w:color="auto"/>
            </w:tcBorders>
            <w:shd w:val="clear" w:color="auto" w:fill="FF9900"/>
            <w:vAlign w:val="bottom"/>
          </w:tcPr>
          <w:p>
            <w:pPr>
              <w:widowControl/>
              <w:jc w:val="center"/>
              <w:rPr>
                <w:rFonts w:ascii="宋体" w:hAnsi="宋体" w:cs="宋体"/>
                <w:b/>
                <w:bCs/>
                <w:kern w:val="0"/>
                <w:sz w:val="24"/>
              </w:rPr>
            </w:pPr>
            <w:r>
              <w:rPr>
                <w:rFonts w:ascii="宋体" w:hAnsi="宋体" w:cs="宋体" w:hint="eastAsia"/>
                <w:b/>
                <w:bCs/>
                <w:kern w:val="0"/>
                <w:sz w:val="24"/>
              </w:rPr>
              <w:t>9月</w:t>
            </w:r>
          </w:p>
        </w:tc>
        <w:tc>
          <w:tcPr>
            <w:tcW w:w="1035" w:type="dxa"/>
            <w:tcBorders>
              <w:top w:val="single" w:sz="4" w:space="0" w:color="auto"/>
              <w:left w:val="nil"/>
              <w:bottom w:val="single" w:sz="4" w:space="0" w:color="auto"/>
              <w:right w:val="single" w:sz="4" w:space="0" w:color="auto"/>
            </w:tcBorders>
            <w:shd w:val="clear" w:color="auto" w:fill="FF9900"/>
            <w:vAlign w:val="bottom"/>
          </w:tcPr>
          <w:p>
            <w:pPr>
              <w:widowControl/>
              <w:jc w:val="center"/>
              <w:rPr>
                <w:rFonts w:ascii="宋体" w:hAnsi="宋体" w:cs="宋体"/>
                <w:b/>
                <w:bCs/>
                <w:kern w:val="0"/>
                <w:sz w:val="24"/>
              </w:rPr>
            </w:pPr>
            <w:r>
              <w:rPr>
                <w:rFonts w:ascii="宋体" w:hAnsi="宋体" w:cs="宋体" w:hint="eastAsia"/>
                <w:b/>
                <w:bCs/>
                <w:kern w:val="0"/>
                <w:sz w:val="24"/>
              </w:rPr>
              <w:t>10月</w:t>
            </w:r>
          </w:p>
        </w:tc>
      </w:tr>
      <w:tr>
        <w:tblPrEx>
          <w:jc w:val="center"/>
          <w:tblInd w:w="-2482" w:type="dxa"/>
          <w:tblLayout w:type="fixed"/>
          <w:tblCellMar>
            <w:top w:w="0" w:type="dxa"/>
            <w:left w:w="108" w:type="dxa"/>
            <w:bottom w:w="0" w:type="dxa"/>
            <w:right w:w="108" w:type="dxa"/>
          </w:tblCellMar>
          <w:tblLook w:val="0000"/>
        </w:tblPrEx>
        <w:trPr>
          <w:trHeight w:val="540"/>
          <w:jc w:val="center"/>
        </w:trPr>
        <w:tc>
          <w:tcPr>
            <w:tcW w:w="2314" w:type="dxa"/>
            <w:tcBorders>
              <w:top w:val="nil"/>
              <w:left w:val="single" w:sz="4" w:space="0" w:color="auto"/>
              <w:bottom w:val="single" w:sz="4" w:space="0" w:color="auto"/>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成交套数(套)</w:t>
            </w:r>
          </w:p>
        </w:tc>
        <w:tc>
          <w:tcPr>
            <w:tcW w:w="1200" w:type="dxa"/>
            <w:tcBorders>
              <w:top w:val="nil"/>
              <w:left w:val="nil"/>
              <w:bottom w:val="single" w:sz="4" w:space="0" w:color="auto"/>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7609</w:t>
            </w:r>
          </w:p>
        </w:tc>
        <w:tc>
          <w:tcPr>
            <w:tcW w:w="1035" w:type="dxa"/>
            <w:tcBorders>
              <w:top w:val="nil"/>
              <w:left w:val="nil"/>
              <w:bottom w:val="single" w:sz="4" w:space="0" w:color="auto"/>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3281</w:t>
            </w:r>
          </w:p>
        </w:tc>
        <w:tc>
          <w:tcPr>
            <w:tcW w:w="1034" w:type="dxa"/>
            <w:tcBorders>
              <w:top w:val="nil"/>
              <w:left w:val="nil"/>
              <w:bottom w:val="single" w:sz="4" w:space="0" w:color="auto"/>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5930</w:t>
            </w:r>
          </w:p>
        </w:tc>
        <w:tc>
          <w:tcPr>
            <w:tcW w:w="1035" w:type="dxa"/>
            <w:tcBorders>
              <w:top w:val="nil"/>
              <w:left w:val="nil"/>
              <w:bottom w:val="single" w:sz="4" w:space="0" w:color="auto"/>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7618</w:t>
            </w:r>
          </w:p>
        </w:tc>
        <w:tc>
          <w:tcPr>
            <w:tcW w:w="1034" w:type="dxa"/>
            <w:tcBorders>
              <w:top w:val="nil"/>
              <w:left w:val="nil"/>
              <w:bottom w:val="single" w:sz="4" w:space="0" w:color="auto"/>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7753</w:t>
            </w:r>
          </w:p>
        </w:tc>
        <w:tc>
          <w:tcPr>
            <w:tcW w:w="1035" w:type="dxa"/>
            <w:tcBorders>
              <w:top w:val="nil"/>
              <w:left w:val="nil"/>
              <w:bottom w:val="single" w:sz="4" w:space="0" w:color="auto"/>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9157</w:t>
            </w:r>
          </w:p>
        </w:tc>
        <w:tc>
          <w:tcPr>
            <w:tcW w:w="1034" w:type="dxa"/>
            <w:tcBorders>
              <w:top w:val="nil"/>
              <w:left w:val="nil"/>
              <w:bottom w:val="single" w:sz="4" w:space="0" w:color="auto"/>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8843</w:t>
            </w:r>
          </w:p>
        </w:tc>
        <w:tc>
          <w:tcPr>
            <w:tcW w:w="1035" w:type="dxa"/>
            <w:tcBorders>
              <w:top w:val="nil"/>
              <w:left w:val="nil"/>
              <w:bottom w:val="single" w:sz="4" w:space="0" w:color="auto"/>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7705</w:t>
            </w:r>
          </w:p>
        </w:tc>
        <w:tc>
          <w:tcPr>
            <w:tcW w:w="1034" w:type="dxa"/>
            <w:tcBorders>
              <w:top w:val="nil"/>
              <w:left w:val="nil"/>
              <w:bottom w:val="single" w:sz="4" w:space="0" w:color="auto"/>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10297</w:t>
            </w:r>
          </w:p>
        </w:tc>
        <w:tc>
          <w:tcPr>
            <w:tcW w:w="1035" w:type="dxa"/>
            <w:tcBorders>
              <w:top w:val="nil"/>
              <w:left w:val="nil"/>
              <w:bottom w:val="single" w:sz="4" w:space="0" w:color="auto"/>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9381</w:t>
            </w:r>
          </w:p>
        </w:tc>
      </w:tr>
      <w:tr>
        <w:tblPrEx>
          <w:jc w:val="center"/>
          <w:tblInd w:w="-2482" w:type="dxa"/>
          <w:tblLayout w:type="fixed"/>
          <w:tblCellMar>
            <w:top w:w="0" w:type="dxa"/>
            <w:left w:w="108" w:type="dxa"/>
            <w:bottom w:w="0" w:type="dxa"/>
            <w:right w:w="108" w:type="dxa"/>
          </w:tblCellMar>
          <w:tblLook w:val="0000"/>
        </w:tblPrEx>
        <w:trPr>
          <w:trHeight w:val="540"/>
          <w:jc w:val="center"/>
        </w:trPr>
        <w:tc>
          <w:tcPr>
            <w:tcW w:w="2314" w:type="dxa"/>
            <w:tcBorders>
              <w:top w:val="nil"/>
              <w:left w:val="single" w:sz="4" w:space="0" w:color="auto"/>
              <w:bottom w:val="nil"/>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成交面积（万平方）</w:t>
            </w:r>
          </w:p>
        </w:tc>
        <w:tc>
          <w:tcPr>
            <w:tcW w:w="1200" w:type="dxa"/>
            <w:tcBorders>
              <w:top w:val="nil"/>
              <w:left w:val="nil"/>
              <w:bottom w:val="nil"/>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103.69</w:t>
            </w:r>
          </w:p>
        </w:tc>
        <w:tc>
          <w:tcPr>
            <w:tcW w:w="1035" w:type="dxa"/>
            <w:tcBorders>
              <w:top w:val="nil"/>
              <w:left w:val="nil"/>
              <w:bottom w:val="nil"/>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45.79</w:t>
            </w:r>
          </w:p>
        </w:tc>
        <w:tc>
          <w:tcPr>
            <w:tcW w:w="1034" w:type="dxa"/>
            <w:tcBorders>
              <w:top w:val="nil"/>
              <w:left w:val="nil"/>
              <w:bottom w:val="nil"/>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115.14</w:t>
            </w:r>
          </w:p>
        </w:tc>
        <w:tc>
          <w:tcPr>
            <w:tcW w:w="1035" w:type="dxa"/>
            <w:tcBorders>
              <w:top w:val="nil"/>
              <w:left w:val="nil"/>
              <w:bottom w:val="nil"/>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111.81</w:t>
            </w:r>
          </w:p>
        </w:tc>
        <w:tc>
          <w:tcPr>
            <w:tcW w:w="1034" w:type="dxa"/>
            <w:tcBorders>
              <w:top w:val="nil"/>
              <w:left w:val="nil"/>
              <w:bottom w:val="nil"/>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115.57</w:t>
            </w:r>
          </w:p>
        </w:tc>
        <w:tc>
          <w:tcPr>
            <w:tcW w:w="1035" w:type="dxa"/>
            <w:tcBorders>
              <w:top w:val="nil"/>
              <w:left w:val="nil"/>
              <w:bottom w:val="nil"/>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121.29</w:t>
            </w:r>
          </w:p>
        </w:tc>
        <w:tc>
          <w:tcPr>
            <w:tcW w:w="1034" w:type="dxa"/>
            <w:tcBorders>
              <w:top w:val="nil"/>
              <w:left w:val="nil"/>
              <w:bottom w:val="nil"/>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143.86</w:t>
            </w:r>
          </w:p>
        </w:tc>
        <w:tc>
          <w:tcPr>
            <w:tcW w:w="1035" w:type="dxa"/>
            <w:tcBorders>
              <w:top w:val="nil"/>
              <w:left w:val="nil"/>
              <w:bottom w:val="nil"/>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180.66</w:t>
            </w:r>
          </w:p>
        </w:tc>
        <w:tc>
          <w:tcPr>
            <w:tcW w:w="1034" w:type="dxa"/>
            <w:tcBorders>
              <w:top w:val="nil"/>
              <w:left w:val="nil"/>
              <w:bottom w:val="nil"/>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126.32</w:t>
            </w:r>
          </w:p>
        </w:tc>
        <w:tc>
          <w:tcPr>
            <w:tcW w:w="1035" w:type="dxa"/>
            <w:tcBorders>
              <w:top w:val="nil"/>
              <w:left w:val="nil"/>
              <w:bottom w:val="nil"/>
              <w:right w:val="single" w:sz="4" w:space="0" w:color="auto"/>
            </w:tcBorders>
            <w:vAlign w:val="bottom"/>
          </w:tcPr>
          <w:p>
            <w:pPr>
              <w:widowControl/>
              <w:jc w:val="center"/>
              <w:rPr>
                <w:rFonts w:ascii="宋体" w:hAnsi="宋体" w:cs="宋体"/>
                <w:kern w:val="0"/>
                <w:sz w:val="24"/>
              </w:rPr>
            </w:pPr>
            <w:r>
              <w:rPr>
                <w:rFonts w:ascii="宋体" w:hAnsi="宋体" w:cs="宋体" w:hint="eastAsia"/>
                <w:kern w:val="0"/>
                <w:sz w:val="24"/>
              </w:rPr>
              <w:t>99.5</w:t>
            </w:r>
          </w:p>
        </w:tc>
      </w:tr>
      <w:tr>
        <w:tblPrEx>
          <w:jc w:val="center"/>
          <w:tblInd w:w="-2482" w:type="dxa"/>
          <w:tblLayout w:type="fixed"/>
          <w:tblCellMar>
            <w:top w:w="0" w:type="dxa"/>
            <w:left w:w="108" w:type="dxa"/>
            <w:bottom w:w="0" w:type="dxa"/>
            <w:right w:w="108" w:type="dxa"/>
          </w:tblCellMar>
          <w:tblLook w:val="0000"/>
        </w:tblPrEx>
        <w:trPr>
          <w:trHeight w:val="540"/>
          <w:jc w:val="center"/>
        </w:trPr>
        <w:tc>
          <w:tcPr>
            <w:tcW w:w="2314" w:type="dxa"/>
            <w:tcBorders>
              <w:top w:val="nil"/>
              <w:left w:val="single" w:sz="4" w:space="0" w:color="auto"/>
              <w:bottom w:val="single" w:sz="4" w:space="0" w:color="auto"/>
              <w:right w:val="single" w:sz="4" w:space="0" w:color="auto"/>
            </w:tcBorders>
            <w:vAlign w:val="bottom"/>
          </w:tcPr>
          <w:p>
            <w:pPr>
              <w:widowControl/>
              <w:jc w:val="center"/>
              <w:rPr>
                <w:rFonts w:ascii="宋体" w:hAnsi="宋体" w:cs="宋体" w:hint="eastAsia"/>
                <w:kern w:val="0"/>
                <w:sz w:val="24"/>
              </w:rPr>
            </w:pPr>
            <w:r>
              <w:rPr>
                <w:rFonts w:ascii="宋体" w:hAnsi="宋体" w:cs="宋体" w:hint="eastAsia"/>
                <w:kern w:val="0"/>
                <w:sz w:val="24"/>
              </w:rPr>
              <w:t>成交均价（元/平方）</w:t>
            </w:r>
          </w:p>
        </w:tc>
        <w:tc>
          <w:tcPr>
            <w:tcW w:w="1200" w:type="dxa"/>
            <w:tcBorders>
              <w:top w:val="nil"/>
              <w:left w:val="nil"/>
              <w:bottom w:val="single" w:sz="4" w:space="0" w:color="auto"/>
              <w:right w:val="single" w:sz="4" w:space="0" w:color="auto"/>
            </w:tcBorders>
            <w:vAlign w:val="bottom"/>
          </w:tcPr>
          <w:p>
            <w:pPr>
              <w:widowControl/>
              <w:jc w:val="center"/>
              <w:rPr>
                <w:rFonts w:ascii="宋体" w:hAnsi="宋体" w:cs="宋体" w:hint="eastAsia"/>
                <w:kern w:val="0"/>
                <w:sz w:val="24"/>
              </w:rPr>
            </w:pPr>
            <w:r>
              <w:rPr>
                <w:rFonts w:ascii="宋体" w:hAnsi="宋体" w:cs="宋体" w:hint="eastAsia"/>
                <w:kern w:val="0"/>
                <w:sz w:val="24"/>
              </w:rPr>
              <w:t>3982</w:t>
            </w:r>
          </w:p>
        </w:tc>
        <w:tc>
          <w:tcPr>
            <w:tcW w:w="1035" w:type="dxa"/>
            <w:tcBorders>
              <w:top w:val="nil"/>
              <w:left w:val="nil"/>
              <w:bottom w:val="single" w:sz="4" w:space="0" w:color="auto"/>
              <w:right w:val="single" w:sz="4" w:space="0" w:color="auto"/>
            </w:tcBorders>
            <w:vAlign w:val="bottom"/>
          </w:tcPr>
          <w:p>
            <w:pPr>
              <w:widowControl/>
              <w:jc w:val="center"/>
              <w:rPr>
                <w:rFonts w:ascii="宋体" w:hAnsi="宋体" w:cs="宋体" w:hint="eastAsia"/>
                <w:kern w:val="0"/>
                <w:sz w:val="24"/>
              </w:rPr>
            </w:pPr>
            <w:r>
              <w:rPr>
                <w:rFonts w:ascii="宋体" w:hAnsi="宋体" w:cs="宋体" w:hint="eastAsia"/>
                <w:kern w:val="0"/>
                <w:sz w:val="24"/>
              </w:rPr>
              <w:t>3968</w:t>
            </w:r>
          </w:p>
        </w:tc>
        <w:tc>
          <w:tcPr>
            <w:tcW w:w="1034" w:type="dxa"/>
            <w:tcBorders>
              <w:top w:val="nil"/>
              <w:left w:val="nil"/>
              <w:bottom w:val="single" w:sz="4" w:space="0" w:color="auto"/>
              <w:right w:val="single" w:sz="4" w:space="0" w:color="auto"/>
            </w:tcBorders>
            <w:vAlign w:val="bottom"/>
          </w:tcPr>
          <w:p>
            <w:pPr>
              <w:widowControl/>
              <w:jc w:val="center"/>
              <w:rPr>
                <w:rFonts w:ascii="宋体" w:hAnsi="宋体" w:cs="宋体" w:hint="eastAsia"/>
                <w:kern w:val="0"/>
                <w:sz w:val="24"/>
              </w:rPr>
            </w:pPr>
            <w:r>
              <w:rPr>
                <w:rFonts w:ascii="宋体" w:hAnsi="宋体" w:cs="宋体" w:hint="eastAsia"/>
                <w:kern w:val="0"/>
                <w:sz w:val="24"/>
              </w:rPr>
              <w:t>3933</w:t>
            </w:r>
          </w:p>
        </w:tc>
        <w:tc>
          <w:tcPr>
            <w:tcW w:w="1035" w:type="dxa"/>
            <w:tcBorders>
              <w:top w:val="nil"/>
              <w:left w:val="nil"/>
              <w:bottom w:val="single" w:sz="4" w:space="0" w:color="auto"/>
              <w:right w:val="single" w:sz="4" w:space="0" w:color="auto"/>
            </w:tcBorders>
            <w:vAlign w:val="bottom"/>
          </w:tcPr>
          <w:p>
            <w:pPr>
              <w:widowControl/>
              <w:jc w:val="center"/>
              <w:rPr>
                <w:rFonts w:ascii="宋体" w:hAnsi="宋体" w:cs="宋体" w:hint="eastAsia"/>
                <w:kern w:val="0"/>
                <w:sz w:val="24"/>
              </w:rPr>
            </w:pPr>
            <w:r>
              <w:rPr>
                <w:rFonts w:ascii="宋体" w:hAnsi="宋体" w:cs="宋体" w:hint="eastAsia"/>
                <w:kern w:val="0"/>
                <w:sz w:val="24"/>
              </w:rPr>
              <w:t>3994</w:t>
            </w:r>
          </w:p>
        </w:tc>
        <w:tc>
          <w:tcPr>
            <w:tcW w:w="1034" w:type="dxa"/>
            <w:tcBorders>
              <w:top w:val="nil"/>
              <w:left w:val="nil"/>
              <w:bottom w:val="single" w:sz="4" w:space="0" w:color="auto"/>
              <w:right w:val="single" w:sz="4" w:space="0" w:color="auto"/>
            </w:tcBorders>
            <w:vAlign w:val="bottom"/>
          </w:tcPr>
          <w:p>
            <w:pPr>
              <w:widowControl/>
              <w:jc w:val="center"/>
              <w:rPr>
                <w:rFonts w:ascii="宋体" w:hAnsi="宋体" w:cs="宋体" w:hint="eastAsia"/>
                <w:kern w:val="0"/>
                <w:sz w:val="24"/>
              </w:rPr>
            </w:pPr>
            <w:r>
              <w:rPr>
                <w:rFonts w:ascii="宋体" w:hAnsi="宋体" w:cs="宋体" w:hint="eastAsia"/>
                <w:kern w:val="0"/>
                <w:sz w:val="24"/>
              </w:rPr>
              <w:t>4033</w:t>
            </w:r>
          </w:p>
        </w:tc>
        <w:tc>
          <w:tcPr>
            <w:tcW w:w="1035" w:type="dxa"/>
            <w:tcBorders>
              <w:top w:val="nil"/>
              <w:left w:val="nil"/>
              <w:bottom w:val="single" w:sz="4" w:space="0" w:color="auto"/>
              <w:right w:val="single" w:sz="4" w:space="0" w:color="auto"/>
            </w:tcBorders>
            <w:vAlign w:val="bottom"/>
          </w:tcPr>
          <w:p>
            <w:pPr>
              <w:widowControl/>
              <w:jc w:val="center"/>
              <w:rPr>
                <w:rFonts w:ascii="宋体" w:hAnsi="宋体" w:cs="宋体" w:hint="eastAsia"/>
                <w:kern w:val="0"/>
                <w:sz w:val="24"/>
              </w:rPr>
            </w:pPr>
            <w:r>
              <w:rPr>
                <w:rFonts w:ascii="宋体" w:hAnsi="宋体" w:cs="宋体" w:hint="eastAsia"/>
                <w:kern w:val="0"/>
                <w:sz w:val="24"/>
              </w:rPr>
              <w:t>4167</w:t>
            </w:r>
          </w:p>
        </w:tc>
        <w:tc>
          <w:tcPr>
            <w:tcW w:w="1034" w:type="dxa"/>
            <w:tcBorders>
              <w:top w:val="nil"/>
              <w:left w:val="nil"/>
              <w:bottom w:val="single" w:sz="4" w:space="0" w:color="auto"/>
              <w:right w:val="single" w:sz="4" w:space="0" w:color="auto"/>
            </w:tcBorders>
            <w:vAlign w:val="bottom"/>
          </w:tcPr>
          <w:p>
            <w:pPr>
              <w:widowControl/>
              <w:jc w:val="center"/>
              <w:rPr>
                <w:rFonts w:ascii="宋体" w:hAnsi="宋体" w:cs="宋体" w:hint="eastAsia"/>
                <w:kern w:val="0"/>
                <w:sz w:val="24"/>
              </w:rPr>
            </w:pPr>
            <w:r>
              <w:rPr>
                <w:rFonts w:ascii="宋体" w:hAnsi="宋体" w:cs="宋体" w:hint="eastAsia"/>
                <w:kern w:val="0"/>
                <w:sz w:val="24"/>
              </w:rPr>
              <w:t>4253</w:t>
            </w:r>
          </w:p>
        </w:tc>
        <w:tc>
          <w:tcPr>
            <w:tcW w:w="1035" w:type="dxa"/>
            <w:tcBorders>
              <w:top w:val="nil"/>
              <w:left w:val="nil"/>
              <w:bottom w:val="single" w:sz="4" w:space="0" w:color="auto"/>
              <w:right w:val="single" w:sz="4" w:space="0" w:color="auto"/>
            </w:tcBorders>
            <w:vAlign w:val="bottom"/>
          </w:tcPr>
          <w:p>
            <w:pPr>
              <w:widowControl/>
              <w:jc w:val="center"/>
              <w:rPr>
                <w:rFonts w:ascii="宋体" w:hAnsi="宋体" w:cs="宋体" w:hint="eastAsia"/>
                <w:kern w:val="0"/>
                <w:sz w:val="24"/>
              </w:rPr>
            </w:pPr>
            <w:r>
              <w:rPr>
                <w:rFonts w:ascii="宋体" w:hAnsi="宋体" w:cs="宋体" w:hint="eastAsia"/>
                <w:kern w:val="0"/>
                <w:sz w:val="24"/>
              </w:rPr>
              <w:t>4459</w:t>
            </w:r>
          </w:p>
        </w:tc>
        <w:tc>
          <w:tcPr>
            <w:tcW w:w="1034" w:type="dxa"/>
            <w:tcBorders>
              <w:top w:val="nil"/>
              <w:left w:val="nil"/>
              <w:bottom w:val="single" w:sz="4" w:space="0" w:color="auto"/>
              <w:right w:val="single" w:sz="4" w:space="0" w:color="auto"/>
            </w:tcBorders>
            <w:vAlign w:val="bottom"/>
          </w:tcPr>
          <w:p>
            <w:pPr>
              <w:widowControl/>
              <w:jc w:val="center"/>
              <w:rPr>
                <w:rFonts w:ascii="宋体" w:hAnsi="宋体" w:cs="宋体" w:hint="eastAsia"/>
                <w:kern w:val="0"/>
                <w:sz w:val="24"/>
              </w:rPr>
            </w:pPr>
            <w:r>
              <w:rPr>
                <w:rFonts w:ascii="宋体" w:hAnsi="宋体" w:cs="宋体" w:hint="eastAsia"/>
                <w:kern w:val="0"/>
                <w:sz w:val="24"/>
              </w:rPr>
              <w:t>4837</w:t>
            </w:r>
          </w:p>
        </w:tc>
        <w:tc>
          <w:tcPr>
            <w:tcW w:w="1035" w:type="dxa"/>
            <w:tcBorders>
              <w:top w:val="nil"/>
              <w:left w:val="nil"/>
              <w:bottom w:val="single" w:sz="4" w:space="0" w:color="auto"/>
              <w:right w:val="single" w:sz="4" w:space="0" w:color="auto"/>
            </w:tcBorders>
            <w:vAlign w:val="bottom"/>
          </w:tcPr>
          <w:p>
            <w:pPr>
              <w:widowControl/>
              <w:jc w:val="center"/>
              <w:rPr>
                <w:rFonts w:ascii="宋体" w:hAnsi="宋体" w:cs="宋体" w:hint="eastAsia"/>
                <w:kern w:val="0"/>
                <w:sz w:val="24"/>
              </w:rPr>
            </w:pPr>
            <w:r>
              <w:rPr>
                <w:rFonts w:ascii="宋体" w:hAnsi="宋体" w:cs="宋体" w:hint="eastAsia"/>
                <w:kern w:val="0"/>
                <w:sz w:val="24"/>
              </w:rPr>
              <w:t>5279</w:t>
            </w:r>
          </w:p>
        </w:tc>
      </w:tr>
    </w:tbl>
    <w:p>
      <w:pPr>
        <w:spacing w:line="360" w:lineRule="auto"/>
        <w:ind w:left="706"/>
        <w:rPr>
          <w:rFonts w:ascii="宋体" w:hAnsi="宋体" w:hint="eastAsia"/>
          <w:b/>
          <w:sz w:val="24"/>
        </w:rPr>
      </w:pPr>
    </w:p>
    <w:p>
      <w:pPr>
        <w:spacing w:line="500" w:lineRule="auto"/>
        <w:ind w:left="706"/>
        <w:rPr>
          <w:rFonts w:ascii="宋体" w:hAnsi="宋体" w:hint="eastAsia"/>
          <w:b/>
          <w:sz w:val="24"/>
        </w:rPr>
        <w:sectPr>
          <w:type w:val="nextPage"/>
          <w:pgSz w:w="16838" w:h="11906" w:orient="landscape"/>
          <w:pgMar w:top="1797" w:right="1440" w:bottom="1701" w:left="1440" w:header="851" w:footer="992" w:gutter="0"/>
          <w:pgNumType w:fmt="decimal" w:start="7"/>
          <w:cols w:space="708"/>
          <w:titlePg w:val="0"/>
          <w:docGrid w:type="lines" w:linePitch="312"/>
        </w:sectPr>
      </w:pPr>
      <w:r>
        <w:rPr>
          <w:rFonts w:ascii="宋体" w:hAnsi="宋体" w:hint="eastAsia"/>
          <w:b/>
          <w:sz w:val="24"/>
        </w:rPr>
        <w:t>2、具体指标分析</w:t>
      </w:r>
    </w:p>
    <w:p>
      <w:pPr>
        <w:spacing w:line="360" w:lineRule="auto"/>
        <w:ind w:left="1989" w:hanging="1338" w:leftChars="310" w:hangingChars="637"/>
        <w:jc w:val="center"/>
        <w:rPr>
          <w:rFonts w:ascii="宋体" w:hAnsi="宋体" w:hint="eastAsia"/>
          <w:b/>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7.9pt;height:167.25pt;mso-position-horizontal-relative:page;mso-position-vertical-relative:page;mso-wrap-style:square" filled="f" stroked="f">
            <v:imagedata r:id="rId4" o:title=""/>
            <v:path o:extrusionok="f"/>
            <o:lock v:ext="edit" aspectratio="t"/>
          </v:shape>
        </w:pict>
      </w:r>
    </w:p>
    <w:p>
      <w:pPr>
        <w:spacing w:line="500" w:lineRule="auto"/>
        <w:ind w:firstLine="470" w:firstLineChars="196"/>
        <w:rPr>
          <w:rFonts w:ascii="宋体" w:hAnsi="宋体" w:hint="eastAsia"/>
          <w:sz w:val="24"/>
        </w:rPr>
        <w:sectPr>
          <w:type w:val="nextPage"/>
          <w:pgSz w:w="16838" w:h="11906" w:orient="landscape"/>
          <w:pgMar w:top="1797" w:right="1440" w:bottom="1701" w:left="1440" w:header="851" w:footer="992" w:gutter="0"/>
          <w:pgNumType w:fmt="decimal" w:start="8"/>
          <w:cols w:space="708"/>
          <w:titlePg w:val="0"/>
          <w:docGrid w:type="lines" w:linePitch="312"/>
        </w:sectPr>
      </w:pPr>
      <w:r>
        <w:rPr>
          <w:rFonts w:ascii="宋体" w:hAnsi="宋体" w:hint="eastAsia"/>
          <w:b/>
          <w:sz w:val="24"/>
        </w:rPr>
        <w:t>成交套数分析：</w:t>
      </w:r>
      <w:r>
        <w:rPr>
          <w:rFonts w:ascii="宋体" w:hAnsi="宋体" w:hint="eastAsia"/>
          <w:sz w:val="24"/>
        </w:rPr>
        <w:t>从图表中可以看出，1到10月房地产成交套数基本上处在一个平稳上涨的趋势，其中2月份是传统的春节，属于房地产交易的淡季，住宅成交套数下滑可以理解。7月8月以及10月的住宅成交套数都有所下降，其因素除了市场的冷热规律外，在金9银10的10月份下滑，就不能不忽视国家的宏观调控，以及相继出台的政策对房地产市场影响了</w:t>
      </w:r>
      <w:r>
        <w:rPr>
          <w:rFonts w:ascii="宋体" w:hAnsi="宋体" w:hint="eastAsia"/>
          <w:b/>
          <w:sz w:val="24"/>
        </w:rPr>
        <w:t>。</w:t>
      </w:r>
    </w:p>
    <w:p>
      <w:pPr>
        <w:spacing w:line="360" w:lineRule="auto"/>
        <w:ind w:left="1989" w:hanging="1338" w:leftChars="310" w:hangingChars="637"/>
        <w:jc w:val="center"/>
        <w:rPr>
          <w:rFonts w:hint="eastAsia"/>
        </w:rPr>
      </w:pPr>
      <w:r>
        <w:pict>
          <v:shape id="_x0000_i1026" type="#_x0000_t75" style="width:398.85pt;height:170.15pt;mso-position-horizontal-relative:page;mso-position-vertical-relative:page;mso-wrap-style:square" filled="f" stroked="f">
            <v:imagedata r:id="rId5" o:title=""/>
            <v:path o:extrusionok="f"/>
            <o:lock v:ext="edit" aspectratio="t"/>
          </v:shape>
        </w:pict>
      </w:r>
    </w:p>
    <w:p>
      <w:pPr>
        <w:spacing w:line="500" w:lineRule="auto"/>
        <w:ind w:firstLine="470" w:firstLineChars="196"/>
        <w:rPr>
          <w:rFonts w:hint="eastAsia"/>
          <w:sz w:val="24"/>
        </w:rPr>
        <w:sectPr>
          <w:type w:val="nextPage"/>
          <w:pgSz w:w="16838" w:h="11906" w:orient="landscape"/>
          <w:pgMar w:top="1797" w:right="1440" w:bottom="1701" w:left="1440" w:header="851" w:footer="992" w:gutter="0"/>
          <w:pgNumType w:fmt="decimal" w:start="9"/>
          <w:cols w:space="708"/>
          <w:titlePg w:val="0"/>
          <w:docGrid w:type="lines" w:linePitch="312"/>
        </w:sectPr>
      </w:pPr>
      <w:r>
        <w:rPr>
          <w:rFonts w:hint="eastAsia"/>
          <w:b/>
          <w:sz w:val="24"/>
        </w:rPr>
        <w:t>成交总面积：</w:t>
      </w:r>
      <w:r>
        <w:rPr>
          <w:rFonts w:hint="eastAsia"/>
          <w:sz w:val="24"/>
        </w:rPr>
        <w:t>从上表可以看出1到10月住宅成交面积基本上处在平稳上升的趋势，其中2月，9月以及10月下降的较多，其走势与销售套数相相应，套数的升降直接左右成交面积，但9月的成交套数上升成交面积却成下降的趋势重要是由于9月武汉市的几个经济合用房项目的开盘发售小户型的大量成交导致的。同样10武汉市住宅成交套数受国家政策的影响下滑，成交面积的下滑也是在情理当中的。</w:t>
      </w:r>
    </w:p>
    <w:p>
      <w:pPr>
        <w:spacing w:line="360" w:lineRule="auto"/>
        <w:jc w:val="center"/>
        <w:rPr>
          <w:rFonts w:hint="eastAsia"/>
        </w:rPr>
      </w:pPr>
      <w:r>
        <w:pict>
          <v:shape id="_x0000_i1027" type="#_x0000_t75" style="width:363.75pt;height:198.95pt;mso-position-horizontal-relative:page;mso-position-vertical-relative:page;mso-wrap-style:square" filled="f" stroked="f">
            <v:imagedata r:id="rId6" o:title=""/>
            <v:path o:extrusionok="f"/>
            <o:lock v:ext="edit" aspectratio="t"/>
          </v:shape>
        </w:pict>
      </w:r>
    </w:p>
    <w:p>
      <w:pPr>
        <w:spacing w:line="360" w:lineRule="auto"/>
        <w:ind w:firstLine="470" w:firstLineChars="196"/>
        <w:rPr>
          <w:rFonts w:hint="eastAsia"/>
          <w:b/>
          <w:sz w:val="24"/>
        </w:rPr>
      </w:pPr>
    </w:p>
    <w:p>
      <w:pPr>
        <w:spacing w:line="500" w:lineRule="auto"/>
        <w:ind w:firstLine="470" w:firstLineChars="196"/>
        <w:rPr>
          <w:rFonts w:hint="eastAsia"/>
          <w:sz w:val="24"/>
        </w:rPr>
      </w:pPr>
      <w:r>
        <w:rPr>
          <w:rFonts w:hint="eastAsia"/>
          <w:b/>
          <w:sz w:val="24"/>
        </w:rPr>
        <w:t>成交均价分析：</w:t>
      </w:r>
      <w:r>
        <w:rPr>
          <w:rFonts w:hint="eastAsia"/>
          <w:sz w:val="24"/>
        </w:rPr>
        <w:t>10月商品房成交均价为5279元/㎡，较9月上升442元/㎡，涨幅达14%，创历史新高。从上述数据中可以看出，虽然成交总套数仍在下降，但因各楼盘价格攀升迅速，例如汉口的融科天城等几个高档楼盘的集中开盘，使得成交总金额的下降速度减缓明显，成交均价不断上升。可见，仅管新政不断出台，市场隐现观望之势，但开发商仍然预期良好，楼市价格继续坚挺。</w:t>
      </w:r>
    </w:p>
    <w:p>
      <w:pPr>
        <w:spacing w:line="360" w:lineRule="auto"/>
        <w:rPr>
          <w:rFonts w:hint="eastAsia"/>
          <w:b/>
          <w:sz w:val="24"/>
        </w:rPr>
      </w:pPr>
    </w:p>
    <w:p>
      <w:pPr>
        <w:spacing w:line="500" w:lineRule="auto"/>
        <w:rPr>
          <w:rFonts w:ascii="宋体" w:hAnsi="宋体" w:hint="eastAsia"/>
          <w:b/>
          <w:color w:val="000000"/>
          <w:sz w:val="24"/>
        </w:rPr>
      </w:pPr>
      <w:r>
        <w:rPr>
          <w:rFonts w:ascii="宋体" w:hAnsi="宋体" w:hint="eastAsia"/>
          <w:b/>
          <w:color w:val="000000"/>
          <w:sz w:val="24"/>
        </w:rPr>
        <w:t>总结：</w:t>
      </w:r>
    </w:p>
    <w:p>
      <w:pPr>
        <w:spacing w:line="500" w:lineRule="auto"/>
        <w:ind w:firstLine="588" w:firstLineChars="245"/>
        <w:rPr>
          <w:rFonts w:ascii="宋体" w:hAnsi="宋体" w:hint="eastAsia"/>
          <w:color w:val="000000"/>
          <w:sz w:val="24"/>
        </w:rPr>
        <w:sectPr>
          <w:type w:val="nextPage"/>
          <w:pgSz w:w="16838" w:h="11906" w:orient="landscape"/>
          <w:pgMar w:top="1797" w:right="1440" w:bottom="1701" w:left="1440" w:header="851" w:footer="992" w:gutter="0"/>
          <w:pgNumType w:fmt="decimal" w:start="10"/>
          <w:cols w:space="708"/>
          <w:titlePg w:val="0"/>
          <w:docGrid w:type="lines" w:linePitch="312"/>
        </w:sectPr>
      </w:pPr>
    </w:p>
    <w:p>
      <w:pPr>
        <w:spacing w:line="500" w:lineRule="auto"/>
        <w:ind w:firstLine="588" w:firstLineChars="245"/>
        <w:rPr>
          <w:rFonts w:ascii="宋体" w:hAnsi="宋体" w:hint="eastAsia"/>
          <w:color w:val="000000"/>
          <w:sz w:val="24"/>
        </w:rPr>
      </w:pPr>
      <w:r>
        <w:rPr>
          <w:rFonts w:ascii="宋体" w:hAnsi="宋体" w:hint="eastAsia"/>
          <w:color w:val="000000"/>
          <w:sz w:val="24"/>
        </w:rPr>
        <w:t>国家相关宏观调控政策的出台，目的在于打击楼市中存在的泡沫，特别是投机性炒房市场。房贷新政等政策出来后，投资性住房需求受到极大影响，但自住性购房需求受影响并不大。光谷片区经济加速发展，一些大公司大项目落户将直接推动该片区楼市的走强，因此可以下结论未来该区域房地产市场总体上保持快速增长态势。</w:t>
      </w:r>
    </w:p>
    <w:p>
      <w:pPr>
        <w:spacing w:line="500" w:lineRule="auto"/>
        <w:ind w:firstLine="480" w:firstLineChars="200"/>
        <w:rPr>
          <w:rFonts w:ascii="宋体" w:hAnsi="宋体" w:hint="eastAsia"/>
          <w:b/>
          <w:sz w:val="24"/>
        </w:rPr>
      </w:pPr>
      <w:r>
        <w:rPr>
          <w:rFonts w:ascii="宋体" w:hAnsi="宋体" w:hint="eastAsia"/>
          <w:color w:val="000000"/>
          <w:sz w:val="24"/>
        </w:rPr>
        <w:t>一方面仍有相称大的住房需求未得到满足，另一方面，市场对商品房的投资和投机需求也将继续存在。因此在政策执行方面，央行将继续保持房地产金融政策的连续性。</w:t>
      </w:r>
      <w:r>
        <w:rPr>
          <w:rFonts w:ascii="宋体" w:hAnsi="宋体" w:cs="宋体"/>
          <w:kern w:val="0"/>
          <w:sz w:val="24"/>
        </w:rPr>
        <w:t>楼市的基本面表现在市场、经济、金融、货币、人口、及足够长时期内的发展趋势等六个方面，</w:t>
      </w:r>
      <w:r>
        <w:rPr>
          <w:rFonts w:ascii="宋体" w:hAnsi="宋体" w:cs="宋体" w:hint="eastAsia"/>
          <w:kern w:val="0"/>
          <w:sz w:val="24"/>
        </w:rPr>
        <w:t>各类调控宏观政策的出来短期内影响较大，但对于</w:t>
      </w:r>
      <w:r>
        <w:rPr>
          <w:rFonts w:ascii="宋体" w:hAnsi="宋体" w:cs="宋体"/>
          <w:kern w:val="0"/>
          <w:sz w:val="24"/>
        </w:rPr>
        <w:t>楼市基本面并未发生主线性的改变，也就是说房地产市场继续发展的基础未变</w:t>
      </w:r>
      <w:r>
        <w:rPr>
          <w:rFonts w:ascii="宋体" w:hAnsi="宋体" w:cs="宋体" w:hint="eastAsia"/>
          <w:kern w:val="0"/>
          <w:sz w:val="24"/>
        </w:rPr>
        <w:t>。</w:t>
      </w:r>
    </w:p>
    <w:p>
      <w:pPr>
        <w:spacing w:line="500" w:lineRule="auto"/>
        <w:ind w:firstLine="480" w:firstLineChars="200"/>
        <w:rPr>
          <w:rFonts w:ascii="宋体" w:hAnsi="宋体" w:hint="eastAsia"/>
          <w:sz w:val="24"/>
        </w:rPr>
      </w:pPr>
      <w:r>
        <w:rPr>
          <w:rFonts w:ascii="宋体" w:hAnsi="宋体" w:hint="eastAsia"/>
          <w:sz w:val="24"/>
        </w:rPr>
        <w:t>从上述数据中可以看出，虽然成交总套数仍在下降，但因各楼盘价格攀升迅速，成交均价却在连续上升，可见，</w:t>
      </w:r>
      <w:r>
        <w:rPr>
          <w:rFonts w:ascii="宋体" w:hAnsi="宋体" w:hint="eastAsia"/>
          <w:color w:val="000000"/>
          <w:sz w:val="24"/>
        </w:rPr>
        <w:t>尽管</w:t>
      </w:r>
      <w:r>
        <w:rPr>
          <w:rFonts w:ascii="宋体" w:hAnsi="宋体" w:hint="eastAsia"/>
          <w:sz w:val="24"/>
        </w:rPr>
        <w:t>新政不断出台，市场隐现观望之势，但开发商仍然预期良好，楼市价格继续坚挺。</w:t>
      </w:r>
    </w:p>
    <w:p>
      <w:pPr>
        <w:pStyle w:val="Heading2"/>
        <w:numPr>
          <w:ilvl w:val="1"/>
          <w:numId w:val="0"/>
        </w:numPr>
        <w:spacing w:before="0" w:beforeLines="0" w:after="0" w:afterLines="0" w:line="500" w:lineRule="auto"/>
        <w:rPr>
          <w:rFonts w:ascii="宋体" w:eastAsia="宋体" w:hAnsi="宋体" w:hint="eastAsia"/>
          <w:sz w:val="24"/>
          <w:szCs w:val="24"/>
        </w:rPr>
      </w:pPr>
      <w:bookmarkStart w:id="10" w:name="_Toc183311183"/>
      <w:r>
        <w:rPr>
          <w:rFonts w:ascii="宋体" w:eastAsia="宋体" w:hAnsi="宋体" w:hint="eastAsia"/>
          <w:sz w:val="24"/>
          <w:szCs w:val="24"/>
        </w:rPr>
        <w:t>二、区域概况</w:t>
      </w:r>
      <w:bookmarkEnd w:id="6"/>
      <w:bookmarkEnd w:id="7"/>
      <w:bookmarkEnd w:id="8"/>
      <w:bookmarkEnd w:id="9"/>
      <w:bookmarkEnd w:id="10"/>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（一）武</w:t>
      </w:r>
      <w:r>
        <w:rPr>
          <w:rFonts w:ascii="宋体" w:eastAsia="宋体" w:hAnsi="宋体" w:cs="宋体"/>
          <w:sz w:val="24"/>
          <w:szCs w:val="24"/>
        </w:rPr>
        <w:t>汉</w:t>
      </w:r>
      <w:r>
        <w:rPr>
          <w:rFonts w:ascii="宋体" w:eastAsia="宋体" w:hAnsi="宋体"/>
          <w:sz w:val="24"/>
          <w:szCs w:val="24"/>
        </w:rPr>
        <w:t>中</w:t>
      </w:r>
      <w:r>
        <w:rPr>
          <w:rFonts w:ascii="宋体" w:eastAsia="宋体" w:hAnsi="宋体" w:cs="宋体"/>
          <w:sz w:val="24"/>
          <w:szCs w:val="24"/>
        </w:rPr>
        <w:t>国</w:t>
      </w:r>
      <w:r>
        <w:rPr>
          <w:rFonts w:ascii="宋体" w:eastAsia="宋体" w:hAnsi="宋体"/>
          <w:sz w:val="24"/>
          <w:szCs w:val="24"/>
        </w:rPr>
        <w:t>光谷片</w:t>
      </w:r>
      <w:r>
        <w:rPr>
          <w:rFonts w:ascii="宋体" w:eastAsia="宋体" w:hAnsi="宋体" w:cs="宋体"/>
          <w:sz w:val="24"/>
          <w:szCs w:val="24"/>
        </w:rPr>
        <w:t>区发</w:t>
      </w:r>
      <w:r>
        <w:rPr>
          <w:rFonts w:ascii="宋体" w:eastAsia="宋体" w:hAnsi="宋体"/>
          <w:sz w:val="24"/>
          <w:szCs w:val="24"/>
        </w:rPr>
        <w:t>展连续升</w:t>
      </w:r>
      <w:r>
        <w:rPr>
          <w:rFonts w:ascii="宋体" w:eastAsia="宋体" w:hAnsi="宋体" w:cs="宋体"/>
          <w:sz w:val="24"/>
          <w:szCs w:val="24"/>
        </w:rPr>
        <w:t>温</w:t>
      </w:r>
    </w:p>
    <w:p>
      <w:pPr>
        <w:spacing w:line="500" w:lineRule="auto"/>
        <w:ind w:firstLine="480" w:firstLineChars="200"/>
        <w:rPr>
          <w:rFonts w:ascii="宋体" w:hAnsi="宋体" w:hint="eastAsia"/>
          <w:color w:val="000000"/>
          <w:sz w:val="24"/>
        </w:rPr>
        <w:sectPr>
          <w:type w:val="nextPage"/>
          <w:pgSz w:w="16838" w:h="11906" w:orient="landscape"/>
          <w:pgMar w:top="1797" w:right="1440" w:bottom="1701" w:left="1440" w:header="851" w:footer="992" w:gutter="0"/>
          <w:pgNumType w:fmt="decimal" w:start="11"/>
          <w:cols w:space="708"/>
          <w:titlePg w:val="0"/>
          <w:docGrid w:type="lines" w:linePitch="312"/>
        </w:sectPr>
      </w:pPr>
      <w:r>
        <w:rPr>
          <w:rFonts w:ascii="宋体" w:hAnsi="宋体" w:hint="eastAsia"/>
          <w:color w:val="000000"/>
          <w:sz w:val="24"/>
        </w:rPr>
        <w:t>光谷片区位于武汉市东南面城乡结合部，以鲁巷广场为中心，西抵民院路，南至庙山和汤逊湖,北达珞瑜路，东部延伸到江夏区。在2023年七月，武汉市政府将该片区正式规划成</w:t>
      </w:r>
      <w:r>
        <w:rPr>
          <w:rFonts w:ascii="宋体" w:hAnsi="宋体"/>
          <w:color w:val="000000"/>
          <w:sz w:val="24"/>
        </w:rPr>
        <w:t>国</w:t>
      </w:r>
      <w:r>
        <w:rPr>
          <w:rFonts w:ascii="宋体" w:hAnsi="宋体" w:hint="eastAsia"/>
          <w:color w:val="000000"/>
          <w:sz w:val="24"/>
        </w:rPr>
        <w:t>家</w:t>
      </w:r>
      <w:r>
        <w:rPr>
          <w:rFonts w:ascii="宋体" w:hAnsi="宋体"/>
          <w:color w:val="000000"/>
          <w:sz w:val="24"/>
        </w:rPr>
        <w:t>的</w:t>
      </w:r>
      <w:r>
        <w:rPr>
          <w:rFonts w:ascii="宋体" w:hAnsi="宋体" w:hint="eastAsia"/>
          <w:color w:val="000000"/>
          <w:sz w:val="24"/>
        </w:rPr>
        <w:t>光电子</w:t>
      </w:r>
      <w:r>
        <w:rPr>
          <w:rFonts w:ascii="宋体" w:hAnsi="宋体"/>
          <w:color w:val="000000"/>
          <w:sz w:val="24"/>
        </w:rPr>
        <w:t>产业基地</w:t>
      </w:r>
      <w:r>
        <w:rPr>
          <w:rFonts w:ascii="宋体" w:hAnsi="宋体" w:hint="eastAsia"/>
          <w:color w:val="000000"/>
          <w:sz w:val="24"/>
        </w:rPr>
        <w:t>，且定义为</w:t>
      </w:r>
      <w:r>
        <w:rPr>
          <w:rFonts w:ascii="宋体" w:hAnsi="宋体" w:hint="eastAsia"/>
          <w:color w:val="000000"/>
          <w:sz w:val="24"/>
        </w:rPr>
        <w:t>“</w:t>
      </w:r>
      <w:r>
        <w:rPr>
          <w:rFonts w:ascii="宋体" w:hAnsi="宋体" w:hint="eastAsia"/>
          <w:color w:val="000000"/>
          <w:sz w:val="24"/>
        </w:rPr>
        <w:t>武汉</w:t>
      </w:r>
      <w:r>
        <w:rPr>
          <w:rFonts w:ascii="宋体" w:hAnsi="宋体" w:hint="eastAsia"/>
          <w:color w:val="000000"/>
          <w:sz w:val="24"/>
        </w:rPr>
        <w:t>·</w:t>
      </w:r>
      <w:r>
        <w:rPr>
          <w:rFonts w:ascii="宋体" w:hAnsi="宋体" w:hint="eastAsia"/>
          <w:color w:val="000000"/>
          <w:sz w:val="24"/>
        </w:rPr>
        <w:t>中国光谷</w:t>
      </w:r>
      <w:r>
        <w:rPr>
          <w:rFonts w:ascii="宋体" w:hAnsi="宋体" w:hint="eastAsia"/>
          <w:color w:val="000000"/>
          <w:sz w:val="24"/>
        </w:rPr>
        <w:t>”</w:t>
      </w:r>
      <w:r>
        <w:rPr>
          <w:rFonts w:ascii="宋体" w:hAnsi="宋体" w:hint="eastAsia"/>
          <w:color w:val="000000"/>
          <w:sz w:val="24"/>
        </w:rPr>
        <w:t>,整个光谷占地约120平方公里，总居住人口规模30万，大批高新公司的进入，使该地区得到迅猛的发展。光谷正逐步形成</w:t>
      </w:r>
      <w:r>
        <w:rPr>
          <w:rFonts w:ascii="宋体" w:hAnsi="宋体" w:hint="eastAsia"/>
          <w:color w:val="000000"/>
          <w:sz w:val="24"/>
        </w:rPr>
        <w:t>“</w:t>
      </w:r>
      <w:r>
        <w:rPr>
          <w:rFonts w:ascii="宋体" w:hAnsi="宋体" w:hint="eastAsia"/>
          <w:color w:val="000000"/>
          <w:sz w:val="24"/>
        </w:rPr>
        <w:t>一区（光电子信息产业区）一轴（光电子信息产业研发主轴）</w:t>
      </w:r>
      <w:r>
        <w:rPr>
          <w:rFonts w:ascii="宋体" w:hAnsi="宋体" w:hint="eastAsia"/>
          <w:color w:val="000000"/>
          <w:sz w:val="24"/>
        </w:rPr>
        <w:t>”</w:t>
      </w:r>
      <w:r>
        <w:rPr>
          <w:rFonts w:ascii="宋体" w:hAnsi="宋体" w:hint="eastAsia"/>
          <w:color w:val="000000"/>
          <w:sz w:val="24"/>
        </w:rPr>
        <w:t>的空间布局，</w:t>
      </w:r>
      <w:r>
        <w:rPr>
          <w:rFonts w:ascii="宋体" w:hAnsi="宋体" w:hint="eastAsia"/>
          <w:color w:val="000000"/>
          <w:sz w:val="24"/>
        </w:rPr>
        <w:t>“</w:t>
      </w:r>
      <w:r>
        <w:rPr>
          <w:rFonts w:ascii="宋体" w:hAnsi="宋体" w:hint="eastAsia"/>
          <w:color w:val="000000"/>
          <w:sz w:val="24"/>
        </w:rPr>
        <w:t>一区</w:t>
      </w:r>
      <w:r>
        <w:rPr>
          <w:rFonts w:ascii="宋体" w:hAnsi="宋体" w:hint="eastAsia"/>
          <w:color w:val="000000"/>
          <w:sz w:val="24"/>
        </w:rPr>
        <w:t>”</w:t>
      </w:r>
    </w:p>
    <w:p>
      <w:pPr>
        <w:spacing w:line="500" w:lineRule="auto"/>
        <w:ind w:firstLine="480" w:firstLineChars="200"/>
        <w:rPr>
          <w:rFonts w:ascii="宋体" w:hAnsi="宋体" w:hint="eastAsia"/>
          <w:color w:val="000000"/>
          <w:sz w:val="24"/>
        </w:rPr>
      </w:pPr>
      <w:r>
        <w:rPr>
          <w:rFonts w:ascii="宋体" w:hAnsi="宋体" w:hint="eastAsia"/>
          <w:color w:val="000000"/>
          <w:sz w:val="24"/>
        </w:rPr>
        <w:t>即光电子信息产业区，是光谷的主体区域，它涉及五个园区：东湖高新科技工业园、汤逊湖大学科技产业园、湖北软件产业基地、关山机电工业基地和光电子科技商贸服务区。其中，光电子科技商贸服务区指光谷广场东南角面积1.8平方公里的区域，是整个光电子信息产业区的龙头，是未来光谷的运转枢纽。</w:t>
      </w:r>
    </w:p>
    <w:p>
      <w:pPr>
        <w:spacing w:line="500" w:lineRule="auto"/>
        <w:ind w:firstLine="480" w:firstLineChars="200"/>
        <w:rPr>
          <w:rFonts w:ascii="宋体" w:hAnsi="宋体" w:hint="eastAsia"/>
          <w:color w:val="000000"/>
          <w:sz w:val="24"/>
        </w:rPr>
      </w:pPr>
      <w:r>
        <w:rPr>
          <w:rFonts w:ascii="宋体" w:hAnsi="宋体" w:hint="eastAsia"/>
          <w:color w:val="000000"/>
          <w:sz w:val="24"/>
        </w:rPr>
        <w:t>随着着政府基础设施建设投资力度的加大，光谷广场、鲁巷购物中心和光电子核心市场等配套设施的一一建成，光谷开始吸引海内外科技人员的目光.不断有留学的科研人员归国，在光谷内进行自主创业，预计到今年年终，光谷规模以上的公司总数将达成1500余家。因此,日后，光谷的发展前景将是非常广阔的。</w:t>
      </w:r>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（二） 交通</w:t>
      </w:r>
      <w:r>
        <w:rPr>
          <w:rFonts w:ascii="宋体" w:eastAsia="宋体" w:hAnsi="宋体" w:cs="宋体"/>
          <w:sz w:val="24"/>
          <w:szCs w:val="24"/>
        </w:rPr>
        <w:t>开发</w:t>
      </w:r>
      <w:r>
        <w:rPr>
          <w:rFonts w:ascii="宋体" w:eastAsia="宋体" w:hAnsi="宋体"/>
          <w:sz w:val="24"/>
          <w:szCs w:val="24"/>
        </w:rPr>
        <w:t>已</w:t>
      </w:r>
      <w:r>
        <w:rPr>
          <w:rFonts w:ascii="宋体" w:eastAsia="宋体" w:hAnsi="宋体" w:cs="宋体"/>
          <w:sz w:val="24"/>
          <w:szCs w:val="24"/>
        </w:rPr>
        <w:t>经</w:t>
      </w:r>
      <w:r>
        <w:rPr>
          <w:rFonts w:ascii="宋体" w:eastAsia="宋体" w:hAnsi="宋体"/>
          <w:sz w:val="24"/>
          <w:szCs w:val="24"/>
        </w:rPr>
        <w:t>成熟，配套</w:t>
      </w:r>
      <w:r>
        <w:rPr>
          <w:rFonts w:ascii="宋体" w:eastAsia="宋体" w:hAnsi="宋体" w:cs="宋体"/>
          <w:sz w:val="24"/>
          <w:szCs w:val="24"/>
        </w:rPr>
        <w:t>设</w:t>
      </w:r>
      <w:r>
        <w:rPr>
          <w:rFonts w:ascii="宋体" w:eastAsia="宋体" w:hAnsi="宋体"/>
          <w:sz w:val="24"/>
          <w:szCs w:val="24"/>
        </w:rPr>
        <w:t>施逐</w:t>
      </w:r>
      <w:r>
        <w:rPr>
          <w:rFonts w:ascii="宋体" w:eastAsia="宋体" w:hAnsi="宋体" w:cs="宋体"/>
          <w:sz w:val="24"/>
          <w:szCs w:val="24"/>
        </w:rPr>
        <w:t>渐</w:t>
      </w:r>
      <w:r>
        <w:rPr>
          <w:rFonts w:ascii="宋体" w:eastAsia="宋体" w:hAnsi="宋体"/>
          <w:sz w:val="24"/>
          <w:szCs w:val="24"/>
        </w:rPr>
        <w:t>成型</w:t>
      </w:r>
    </w:p>
    <w:p>
      <w:pPr>
        <w:spacing w:line="500" w:lineRule="auto"/>
        <w:ind w:firstLine="480" w:firstLineChars="200"/>
        <w:rPr>
          <w:rFonts w:ascii="宋体" w:hAnsi="宋体" w:hint="eastAsia"/>
          <w:color w:val="000000"/>
          <w:sz w:val="24"/>
        </w:rPr>
      </w:pPr>
      <w:r>
        <w:rPr>
          <w:rFonts w:ascii="宋体" w:hAnsi="宋体" w:hint="eastAsia"/>
          <w:color w:val="000000"/>
          <w:sz w:val="24"/>
        </w:rPr>
        <w:t>区域内部及周边的道路交通开发已经比较成熟，东西向有珞瑜路和雄楚大街两条主干道,连通光谷与武昌主城区；南北向有民院路,关山一路,关山二路等干道，连通光谷和庙山、江夏郊区，这些大道都相称宽阔，且路面非常平坦洁净。同时地铁的新建又将给光谷的发展带来新一轮的机会。</w:t>
      </w:r>
    </w:p>
    <w:p>
      <w:pPr>
        <w:spacing w:line="500" w:lineRule="auto"/>
        <w:ind w:firstLine="480" w:firstLineChars="200"/>
        <w:rPr>
          <w:rFonts w:ascii="宋体" w:hAnsi="宋体" w:hint="eastAsia"/>
          <w:color w:val="000000"/>
          <w:sz w:val="24"/>
        </w:rPr>
        <w:sectPr>
          <w:type w:val="nextPage"/>
          <w:pgSz w:w="16838" w:h="11906" w:orient="landscape"/>
          <w:pgMar w:top="1797" w:right="1440" w:bottom="1701" w:left="1440" w:header="851" w:footer="992" w:gutter="0"/>
          <w:pgNumType w:fmt="decimal" w:start="12"/>
          <w:cols w:space="708"/>
          <w:titlePg w:val="0"/>
          <w:docGrid w:type="lines" w:linePitch="312"/>
        </w:sectPr>
      </w:pPr>
      <w:r>
        <w:rPr>
          <w:rFonts w:ascii="宋体" w:hAnsi="宋体" w:hint="eastAsia"/>
          <w:color w:val="000000"/>
          <w:sz w:val="24"/>
        </w:rPr>
        <w:t>光谷广场作为武汉市重点建设的绿化广场之一、周边有鲁巷广场大型购物中心，凯鸿苑饭店和关山饭店等各种酒店，中国银行，农行，建行等各大银行的分支机构，也有特色酒吧等娱乐场合。</w:t>
      </w:r>
    </w:p>
    <w:p>
      <w:pPr>
        <w:spacing w:line="500" w:lineRule="auto"/>
        <w:ind w:firstLine="480" w:firstLineChars="200"/>
        <w:rPr>
          <w:rFonts w:ascii="宋体" w:hAnsi="宋体" w:hint="eastAsia"/>
          <w:color w:val="000000"/>
          <w:sz w:val="24"/>
        </w:rPr>
      </w:pPr>
      <w:r>
        <w:rPr>
          <w:rFonts w:ascii="宋体" w:hAnsi="宋体" w:hint="eastAsia"/>
          <w:color w:val="000000"/>
          <w:sz w:val="24"/>
        </w:rPr>
        <w:t xml:space="preserve"> 同时，光谷广场还是规划中的光谷科技商贸服务区，周边将建设剧场、艺术中心、科技公寓等一大批文化交流设施，以及远程教育中心、医疗保健中心、会展中心、国际技术交流中心、情报中心、光电子博物馆、人才资源中心、体育中心和图书馆等公共设施。另据悉，在光谷广场附近，还将兴建18万平方米的光电子市场、30层的金融大厦和1.5平方米公里的步行街商贸区，并在步行街商贸区建1到2个五星级酒店，可见，在不远的将来，光谷片的配套设施会非常完善。</w:t>
      </w:r>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（三） 生</w:t>
      </w:r>
      <w:r>
        <w:rPr>
          <w:rFonts w:ascii="宋体" w:eastAsia="宋体" w:hAnsi="宋体" w:cs="宋体"/>
          <w:sz w:val="24"/>
          <w:szCs w:val="24"/>
        </w:rPr>
        <w:t>态环</w:t>
      </w:r>
      <w:r>
        <w:rPr>
          <w:rFonts w:ascii="宋体" w:eastAsia="宋体" w:hAnsi="宋体"/>
          <w:sz w:val="24"/>
          <w:szCs w:val="24"/>
        </w:rPr>
        <w:t>境</w:t>
      </w:r>
      <w:r>
        <w:rPr>
          <w:rFonts w:ascii="宋体" w:eastAsia="宋体" w:hAnsi="宋体" w:cs="宋体"/>
          <w:sz w:val="24"/>
          <w:szCs w:val="24"/>
        </w:rPr>
        <w:t>优</w:t>
      </w:r>
      <w:r>
        <w:rPr>
          <w:rFonts w:ascii="宋体" w:eastAsia="宋体" w:hAnsi="宋体"/>
          <w:sz w:val="24"/>
          <w:szCs w:val="24"/>
        </w:rPr>
        <w:t>美，人文</w:t>
      </w:r>
      <w:r>
        <w:rPr>
          <w:rFonts w:ascii="宋体" w:eastAsia="宋体" w:hAnsi="宋体" w:cs="宋体"/>
          <w:sz w:val="24"/>
          <w:szCs w:val="24"/>
        </w:rPr>
        <w:t>教</w:t>
      </w:r>
      <w:r>
        <w:rPr>
          <w:rFonts w:ascii="宋体" w:eastAsia="宋体" w:hAnsi="宋体"/>
          <w:sz w:val="24"/>
          <w:szCs w:val="24"/>
        </w:rPr>
        <w:t>育氛</w:t>
      </w:r>
      <w:r>
        <w:rPr>
          <w:rFonts w:ascii="宋体" w:eastAsia="宋体" w:hAnsi="宋体" w:cs="宋体"/>
          <w:sz w:val="24"/>
          <w:szCs w:val="24"/>
        </w:rPr>
        <w:t>围浓</w:t>
      </w:r>
      <w:r>
        <w:rPr>
          <w:rFonts w:ascii="宋体" w:eastAsia="宋体" w:hAnsi="宋体"/>
          <w:sz w:val="24"/>
          <w:szCs w:val="24"/>
        </w:rPr>
        <w:t>厚</w:t>
      </w:r>
    </w:p>
    <w:p>
      <w:pPr>
        <w:spacing w:line="500" w:lineRule="auto"/>
        <w:ind w:firstLine="480" w:firstLineChars="200"/>
        <w:rPr>
          <w:rFonts w:ascii="宋体" w:hAnsi="宋体" w:hint="eastAsia"/>
          <w:color w:val="000000"/>
          <w:sz w:val="24"/>
        </w:rPr>
      </w:pPr>
      <w:r>
        <w:rPr>
          <w:rFonts w:ascii="宋体" w:hAnsi="宋体" w:hint="eastAsia"/>
          <w:color w:val="000000"/>
          <w:sz w:val="24"/>
        </w:rPr>
        <w:t>光谷板块位于东湖新技术开发区内，为武汉东大门之要冲，怀抱生态优美的南湖、汤逊湖，北望郁郁葱葱的喻家山脉，自然环境得天独厚。而光谷不仅环境优美，更具有浓厚的文化教育气息，其内汇集了</w:t>
      </w:r>
      <w:r>
        <w:rPr>
          <w:rFonts w:ascii="宋体" w:hAnsi="宋体"/>
          <w:color w:val="000000"/>
          <w:sz w:val="24"/>
        </w:rPr>
        <w:t>18所全国知名高等院校、56个省部属科研院所，有10多万名各类专业科技人员。</w:t>
      </w:r>
      <w:r>
        <w:rPr>
          <w:rFonts w:ascii="宋体" w:hAnsi="宋体" w:hint="eastAsia"/>
          <w:color w:val="000000"/>
          <w:sz w:val="24"/>
        </w:rPr>
        <w:t>特别在珞瑜路沿线，</w:t>
      </w:r>
      <w:r>
        <w:rPr>
          <w:rFonts w:ascii="宋体" w:hAnsi="宋体"/>
          <w:color w:val="000000"/>
          <w:sz w:val="24"/>
        </w:rPr>
        <w:t>环境静雅，交通便利,</w:t>
      </w:r>
      <w:r>
        <w:rPr>
          <w:rFonts w:ascii="宋体" w:hAnsi="宋体" w:hint="eastAsia"/>
          <w:color w:val="000000"/>
          <w:sz w:val="24"/>
        </w:rPr>
        <w:t>知名</w:t>
      </w:r>
      <w:r>
        <w:rPr>
          <w:rFonts w:ascii="宋体" w:hAnsi="宋体"/>
          <w:color w:val="000000"/>
          <w:sz w:val="24"/>
        </w:rPr>
        <w:t>院校林立，具有</w:t>
      </w:r>
      <w:r>
        <w:rPr>
          <w:rFonts w:ascii="宋体" w:hAnsi="宋体" w:hint="eastAsia"/>
          <w:color w:val="000000"/>
          <w:sz w:val="24"/>
        </w:rPr>
        <w:t>非常</w:t>
      </w:r>
      <w:r>
        <w:rPr>
          <w:rFonts w:ascii="宋体" w:hAnsi="宋体"/>
          <w:color w:val="000000"/>
          <w:sz w:val="24"/>
        </w:rPr>
        <w:t>浓厚的文化氛围,</w:t>
      </w:r>
      <w:r>
        <w:rPr>
          <w:rFonts w:ascii="宋体" w:hAnsi="宋体" w:hint="eastAsia"/>
          <w:color w:val="000000"/>
          <w:sz w:val="24"/>
        </w:rPr>
        <w:t>这里集中了教师、科技公司员工等一大批知识分子。此外，政府已经计划，在紧邻光谷的江夏建成较大规模的大学城，大学家属区预计在2023以内能完毕迁移，光谷片内的人文气氛将因此更加浓厚。</w:t>
      </w:r>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 xml:space="preserve">（四） </w:t>
      </w:r>
      <w:r>
        <w:rPr>
          <w:rFonts w:ascii="宋体" w:eastAsia="宋体" w:hAnsi="宋体" w:cs="宋体"/>
          <w:sz w:val="24"/>
          <w:szCs w:val="24"/>
        </w:rPr>
        <w:t>产业发</w:t>
      </w:r>
      <w:r>
        <w:rPr>
          <w:rFonts w:ascii="宋体" w:eastAsia="宋体" w:hAnsi="宋体"/>
          <w:sz w:val="24"/>
          <w:szCs w:val="24"/>
        </w:rPr>
        <w:t>展已具</w:t>
      </w:r>
      <w:r>
        <w:rPr>
          <w:rFonts w:ascii="宋体" w:eastAsia="宋体" w:hAnsi="宋体" w:cs="宋体"/>
          <w:sz w:val="24"/>
          <w:szCs w:val="24"/>
        </w:rPr>
        <w:t>规</w:t>
      </w:r>
      <w:r>
        <w:rPr>
          <w:rFonts w:ascii="宋体" w:eastAsia="宋体" w:hAnsi="宋体"/>
          <w:sz w:val="24"/>
          <w:szCs w:val="24"/>
        </w:rPr>
        <w:t>模，</w:t>
      </w:r>
      <w:r>
        <w:rPr>
          <w:rFonts w:ascii="宋体" w:eastAsia="宋体" w:hAnsi="宋体" w:cs="宋体"/>
          <w:sz w:val="24"/>
          <w:szCs w:val="24"/>
        </w:rPr>
        <w:t>经济发展状况远</w:t>
      </w:r>
      <w:r>
        <w:rPr>
          <w:rFonts w:ascii="宋体" w:eastAsia="宋体" w:hAnsi="宋体"/>
          <w:sz w:val="24"/>
          <w:szCs w:val="24"/>
        </w:rPr>
        <w:t>高于武</w:t>
      </w:r>
      <w:r>
        <w:rPr>
          <w:rFonts w:ascii="宋体" w:eastAsia="宋体" w:hAnsi="宋体" w:cs="宋体"/>
          <w:sz w:val="24"/>
          <w:szCs w:val="24"/>
        </w:rPr>
        <w:t>汉</w:t>
      </w:r>
      <w:r>
        <w:rPr>
          <w:rFonts w:ascii="宋体" w:eastAsia="宋体" w:hAnsi="宋体"/>
          <w:sz w:val="24"/>
          <w:szCs w:val="24"/>
        </w:rPr>
        <w:t>平均水平</w:t>
      </w:r>
    </w:p>
    <w:p>
      <w:pPr>
        <w:spacing w:line="500" w:lineRule="auto"/>
        <w:ind w:firstLine="480" w:firstLineChars="200"/>
        <w:rPr>
          <w:rFonts w:ascii="宋体" w:hAnsi="宋体" w:hint="eastAsia"/>
          <w:color w:val="000000"/>
          <w:sz w:val="24"/>
        </w:rPr>
        <w:sectPr>
          <w:type w:val="nextPage"/>
          <w:pgSz w:w="16838" w:h="11906" w:orient="landscape"/>
          <w:pgMar w:top="1797" w:right="1440" w:bottom="1701" w:left="1440" w:header="851" w:footer="992" w:gutter="0"/>
          <w:pgNumType w:fmt="decimal" w:start="13"/>
          <w:cols w:space="708"/>
          <w:titlePg w:val="0"/>
          <w:docGrid w:type="lines" w:linePitch="312"/>
        </w:sectPr>
      </w:pPr>
      <w:r>
        <w:rPr>
          <w:rFonts w:ascii="宋体" w:hAnsi="宋体"/>
          <w:color w:val="000000"/>
          <w:sz w:val="24"/>
        </w:rPr>
        <w:t>武汉中国光谷规划发展的重点产业分为信息光电子产业、能量光电子产业、消费光电子产业、及软件产业4大类。</w:t>
      </w:r>
      <w:r>
        <w:rPr>
          <w:rFonts w:ascii="宋体" w:hAnsi="宋体" w:hint="eastAsia"/>
          <w:color w:val="000000"/>
          <w:sz w:val="24"/>
        </w:rPr>
        <w:t>其中，</w:t>
      </w:r>
      <w:r>
        <w:rPr>
          <w:rFonts w:ascii="宋体" w:hAnsi="宋体"/>
          <w:color w:val="000000"/>
          <w:sz w:val="24"/>
        </w:rPr>
        <w:t>信息光电子产业计划产值达500亿元，在4类产业中发展最为看好</w:t>
      </w:r>
      <w:r>
        <w:rPr>
          <w:rFonts w:ascii="宋体" w:hAnsi="宋体" w:hint="eastAsia"/>
          <w:color w:val="000000"/>
          <w:sz w:val="24"/>
        </w:rPr>
        <w:t>，</w:t>
      </w:r>
      <w:r>
        <w:rPr>
          <w:rFonts w:ascii="宋体" w:hAnsi="宋体"/>
          <w:color w:val="000000"/>
          <w:sz w:val="24"/>
        </w:rPr>
        <w:t>在这个领域中，重要龙头公司涉及武汉邮电科学院</w:t>
      </w:r>
      <w:r>
        <w:rPr>
          <w:rFonts w:ascii="宋体" w:hAnsi="宋体" w:hint="eastAsia"/>
          <w:color w:val="000000"/>
          <w:sz w:val="24"/>
        </w:rPr>
        <w:t xml:space="preserve"> </w:t>
      </w:r>
      <w:r>
        <w:rPr>
          <w:rFonts w:ascii="宋体" w:hAnsi="宋体"/>
          <w:color w:val="000000"/>
          <w:sz w:val="24"/>
        </w:rPr>
        <w:t>、武汉电信器件、长飞光纤光缆、武工大光纤中心等</w:t>
      </w:r>
      <w:r>
        <w:rPr>
          <w:rFonts w:ascii="宋体" w:hAnsi="宋体" w:hint="eastAsia"/>
          <w:color w:val="000000"/>
          <w:sz w:val="24"/>
        </w:rPr>
        <w:t>。目前,光谷的</w:t>
      </w:r>
      <w:r>
        <w:rPr>
          <w:rFonts w:ascii="宋体" w:hAnsi="宋体"/>
          <w:color w:val="000000"/>
          <w:sz w:val="24"/>
        </w:rPr>
        <w:t>光纤通信、光纤光缆等产业已形成</w:t>
      </w:r>
      <w:r>
        <w:rPr>
          <w:rFonts w:ascii="宋体" w:hAnsi="宋体" w:hint="eastAsia"/>
          <w:color w:val="000000"/>
          <w:sz w:val="24"/>
        </w:rPr>
        <w:t>较大规模，特别长飞</w:t>
      </w:r>
      <w:r>
        <w:rPr>
          <w:rFonts w:ascii="宋体" w:hAnsi="宋体"/>
          <w:color w:val="000000"/>
          <w:sz w:val="24"/>
        </w:rPr>
        <w:t>光纤光缆</w:t>
      </w:r>
      <w:r>
        <w:rPr>
          <w:rFonts w:ascii="宋体" w:hAnsi="宋体" w:hint="eastAsia"/>
          <w:color w:val="000000"/>
          <w:sz w:val="24"/>
        </w:rPr>
        <w:t>，总产量和总产值均占到我国整个</w:t>
      </w:r>
      <w:r>
        <w:rPr>
          <w:rFonts w:ascii="宋体" w:hAnsi="宋体"/>
          <w:color w:val="000000"/>
          <w:sz w:val="24"/>
        </w:rPr>
        <w:t>光纤光缆</w:t>
      </w:r>
      <w:r>
        <w:rPr>
          <w:rFonts w:ascii="宋体" w:hAnsi="宋体" w:hint="eastAsia"/>
          <w:color w:val="000000"/>
          <w:sz w:val="24"/>
        </w:rPr>
        <w:t>市场的第一位。</w:t>
      </w:r>
    </w:p>
    <w:p>
      <w:pPr>
        <w:spacing w:line="500" w:lineRule="auto"/>
        <w:ind w:firstLine="480" w:firstLineChars="200"/>
        <w:rPr>
          <w:rFonts w:ascii="宋体" w:hAnsi="宋体" w:hint="eastAsia"/>
          <w:color w:val="000000"/>
          <w:sz w:val="24"/>
        </w:rPr>
      </w:pPr>
      <w:r>
        <w:rPr>
          <w:rFonts w:ascii="宋体" w:hAnsi="宋体" w:hint="eastAsia"/>
          <w:color w:val="000000"/>
          <w:sz w:val="24"/>
        </w:rPr>
        <w:t>正由于光谷内的新技术开发公司众多且发展势头良好，所以光谷的人均GDP 已接近沿海发达地区，远高于武汉市平均水平，武汉市1999的GDP是1067亿元，而预计今年光谷的光电信息产业规模能达成1000亿元，可见，光谷经济在整个武汉市经济中所占的比重是相称大的。据报道，在今年</w:t>
      </w:r>
      <w:r>
        <w:rPr>
          <w:rFonts w:ascii="宋体" w:hAnsi="宋体"/>
          <w:color w:val="000000"/>
          <w:sz w:val="24"/>
        </w:rPr>
        <w:t>1月，武汉中国光谷实现“开门红”，完毕财政收入2.483亿元，同比增长44.6%</w:t>
      </w:r>
      <w:r>
        <w:rPr>
          <w:rFonts w:ascii="宋体" w:hAnsi="宋体" w:hint="eastAsia"/>
          <w:color w:val="000000"/>
          <w:sz w:val="24"/>
        </w:rPr>
        <w:t>，这说明，光谷的经济发展状况目前非常好，这就为光谷房地产市场的发展奠定了坚实的基础。</w:t>
      </w:r>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（五）政策鼎力支持，未</w:t>
      </w:r>
      <w:r>
        <w:rPr>
          <w:rFonts w:ascii="宋体" w:eastAsia="宋体" w:hAnsi="宋体" w:cs="宋体"/>
          <w:sz w:val="24"/>
          <w:szCs w:val="24"/>
        </w:rPr>
        <w:t>来规划为</w:t>
      </w:r>
      <w:r>
        <w:rPr>
          <w:rFonts w:ascii="宋体" w:eastAsia="宋体" w:hAnsi="宋体"/>
          <w:sz w:val="24"/>
          <w:szCs w:val="24"/>
        </w:rPr>
        <w:t>科技新城</w:t>
      </w:r>
    </w:p>
    <w:p>
      <w:pPr>
        <w:spacing w:line="500" w:lineRule="auto"/>
        <w:ind w:firstLine="480" w:firstLineChars="200"/>
        <w:rPr>
          <w:rFonts w:ascii="宋体" w:hAnsi="宋体" w:hint="eastAsia"/>
          <w:color w:val="000000"/>
          <w:sz w:val="24"/>
        </w:rPr>
      </w:pPr>
      <w:r>
        <w:rPr>
          <w:rFonts w:ascii="宋体" w:hAnsi="宋体" w:hint="eastAsia"/>
          <w:color w:val="000000"/>
          <w:sz w:val="24"/>
        </w:rPr>
        <w:t>“</w:t>
      </w:r>
      <w:r>
        <w:rPr>
          <w:rFonts w:ascii="宋体" w:hAnsi="宋体" w:hint="eastAsia"/>
          <w:color w:val="000000"/>
          <w:sz w:val="24"/>
        </w:rPr>
        <w:t>武汉</w:t>
      </w:r>
      <w:r>
        <w:rPr>
          <w:rFonts w:ascii="宋体" w:hAnsi="宋体" w:hint="eastAsia"/>
          <w:color w:val="000000"/>
          <w:sz w:val="24"/>
        </w:rPr>
        <w:t>·</w:t>
      </w:r>
      <w:r>
        <w:rPr>
          <w:rFonts w:ascii="宋体" w:hAnsi="宋体" w:hint="eastAsia"/>
          <w:color w:val="000000"/>
          <w:sz w:val="24"/>
        </w:rPr>
        <w:t>中国光谷</w:t>
      </w:r>
      <w:r>
        <w:rPr>
          <w:rFonts w:ascii="宋体" w:hAnsi="宋体" w:hint="eastAsia"/>
          <w:color w:val="000000"/>
          <w:sz w:val="24"/>
        </w:rPr>
        <w:t>”</w:t>
      </w:r>
      <w:r>
        <w:rPr>
          <w:rFonts w:ascii="宋体" w:hAnsi="宋体" w:hint="eastAsia"/>
          <w:color w:val="000000"/>
          <w:sz w:val="24"/>
        </w:rPr>
        <w:t>在发展规划中，将以科技新城为基础，光电子产业为核心，中央商务区为龙头，发挥区域资源的整体优势，逐步增强光谷的示范效应、名牌效应和聚变效应，使之成为全国乃至全球关注的焦点。总之，光谷将逐步形成一个相对独立，集科技、商贸、金融、教育为一体的科技新城。这里就是中国的</w:t>
      </w:r>
      <w:r>
        <w:rPr>
          <w:rFonts w:ascii="宋体" w:hAnsi="宋体" w:hint="eastAsia"/>
          <w:color w:val="000000"/>
          <w:sz w:val="24"/>
        </w:rPr>
        <w:t>“</w:t>
      </w:r>
      <w:r>
        <w:rPr>
          <w:rFonts w:ascii="宋体" w:hAnsi="宋体" w:hint="eastAsia"/>
          <w:color w:val="000000"/>
          <w:sz w:val="24"/>
        </w:rPr>
        <w:t>硅谷</w:t>
      </w:r>
      <w:r>
        <w:rPr>
          <w:rFonts w:ascii="宋体" w:hAnsi="宋体" w:hint="eastAsia"/>
          <w:color w:val="000000"/>
          <w:sz w:val="24"/>
        </w:rPr>
        <w:t>”</w:t>
      </w:r>
      <w:r>
        <w:rPr>
          <w:rFonts w:ascii="宋体" w:hAnsi="宋体" w:hint="eastAsia"/>
          <w:color w:val="000000"/>
          <w:sz w:val="24"/>
        </w:rPr>
        <w:t>，发展前景不可估量。</w:t>
      </w:r>
    </w:p>
    <w:p>
      <w:pPr>
        <w:spacing w:line="500" w:lineRule="auto"/>
        <w:ind w:firstLine="480" w:firstLineChars="200"/>
        <w:rPr>
          <w:rFonts w:ascii="宋体" w:hAnsi="宋体" w:hint="eastAsia"/>
          <w:color w:val="000000"/>
          <w:sz w:val="24"/>
        </w:rPr>
      </w:pPr>
      <w:r>
        <w:rPr>
          <w:rFonts w:ascii="宋体" w:hAnsi="宋体"/>
          <w:color w:val="000000"/>
          <w:sz w:val="24"/>
        </w:rPr>
        <w:t>从整体上看，武汉中国光谷</w:t>
      </w:r>
      <w:r>
        <w:rPr>
          <w:rFonts w:ascii="宋体" w:hAnsi="宋体" w:hint="eastAsia"/>
          <w:color w:val="000000"/>
          <w:sz w:val="24"/>
        </w:rPr>
        <w:t>在</w:t>
      </w:r>
      <w:r>
        <w:rPr>
          <w:rFonts w:ascii="宋体" w:hAnsi="宋体"/>
          <w:color w:val="000000"/>
          <w:sz w:val="24"/>
        </w:rPr>
        <w:t>发展模式上重要采用</w:t>
      </w:r>
      <w:r>
        <w:rPr>
          <w:rFonts w:ascii="宋体" w:hAnsi="宋体" w:hint="eastAsia"/>
          <w:color w:val="000000"/>
          <w:sz w:val="24"/>
        </w:rPr>
        <w:t>通</w:t>
      </w:r>
      <w:r>
        <w:rPr>
          <w:rFonts w:ascii="宋体" w:hAnsi="宋体"/>
          <w:color w:val="000000"/>
          <w:sz w:val="24"/>
        </w:rPr>
        <w:t>过制订优惠政策及环境吸引国内外资金和人才，但是目前光谷产业化限度还不高，</w:t>
      </w:r>
      <w:r>
        <w:rPr>
          <w:rFonts w:ascii="宋体" w:hAnsi="宋体" w:hint="eastAsia"/>
          <w:color w:val="000000"/>
          <w:sz w:val="24"/>
        </w:rPr>
        <w:t>并且</w:t>
      </w:r>
      <w:r>
        <w:rPr>
          <w:rFonts w:ascii="宋体" w:hAnsi="宋体"/>
          <w:color w:val="000000"/>
          <w:sz w:val="24"/>
        </w:rPr>
        <w:t>资金局限性也是发展上的隐忧。</w:t>
      </w:r>
      <w:r>
        <w:rPr>
          <w:rFonts w:ascii="宋体" w:hAnsi="宋体" w:hint="eastAsia"/>
          <w:color w:val="000000"/>
          <w:sz w:val="24"/>
        </w:rPr>
        <w:t>此外，由于很多规划用地成为住宅和商业用地，工业用地开始出现短缺，为保证工业用地，武汉市政府在2023年已明文规定在光谷片区将不再向开发商供应住宅用地。</w:t>
      </w:r>
    </w:p>
    <w:p>
      <w:pPr>
        <w:spacing w:line="500" w:lineRule="auto"/>
        <w:ind w:firstLine="480" w:firstLineChars="200"/>
        <w:rPr>
          <w:rFonts w:ascii="宋体" w:hAnsi="宋体" w:hint="eastAsia"/>
          <w:color w:val="000000"/>
          <w:sz w:val="24"/>
        </w:rPr>
        <w:sectPr>
          <w:type w:val="nextPage"/>
          <w:pgSz w:w="16838" w:h="11906" w:orient="landscape"/>
          <w:pgMar w:top="1797" w:right="1440" w:bottom="1701" w:left="1440" w:header="851" w:footer="992" w:gutter="0"/>
          <w:pgNumType w:fmt="decimal" w:start="14"/>
          <w:cols w:space="708"/>
          <w:titlePg w:val="0"/>
          <w:docGrid w:type="lines" w:linePitch="312"/>
        </w:sectPr>
      </w:pPr>
      <w:r>
        <w:rPr>
          <w:rFonts w:ascii="宋体" w:hAnsi="宋体" w:hint="eastAsia"/>
          <w:color w:val="000000"/>
          <w:sz w:val="24"/>
        </w:rPr>
        <w:t>根据政府对光谷的定位，我们可以预见，政府对光谷未来的住宅土地供应必将有所控制，而由于片区公司的增长，新人口的进入和经济水平的提高，必然导致光谷地块进一步增值，房价继续攀升。</w:t>
      </w:r>
    </w:p>
    <w:p>
      <w:pPr>
        <w:pStyle w:val="Heading2"/>
        <w:numPr>
          <w:ilvl w:val="1"/>
          <w:numId w:val="0"/>
        </w:numPr>
        <w:spacing w:before="0" w:beforeLines="0" w:after="0" w:afterLines="0" w:line="500" w:lineRule="auto"/>
        <w:rPr>
          <w:rFonts w:ascii="宋体" w:eastAsia="宋体" w:hAnsi="宋体" w:hint="eastAsia"/>
          <w:kern w:val="0"/>
          <w:sz w:val="24"/>
          <w:szCs w:val="24"/>
        </w:rPr>
      </w:pPr>
      <w:bookmarkStart w:id="11" w:name="_Toc182639467"/>
      <w:bookmarkStart w:id="12" w:name="_Toc182640116"/>
      <w:bookmarkStart w:id="13" w:name="_Toc182715755"/>
      <w:bookmarkStart w:id="14" w:name="_Toc182715985"/>
      <w:bookmarkStart w:id="15" w:name="_Toc183311184"/>
      <w:r>
        <w:rPr>
          <w:rFonts w:ascii="宋体" w:eastAsia="宋体" w:hAnsi="宋体" w:hint="eastAsia"/>
          <w:kern w:val="0"/>
          <w:sz w:val="24"/>
          <w:szCs w:val="24"/>
        </w:rPr>
        <w:t>三、光谷房地</w:t>
      </w:r>
      <w:r>
        <w:rPr>
          <w:rFonts w:ascii="宋体" w:eastAsia="宋体" w:hAnsi="宋体" w:cs="宋体" w:hint="eastAsia"/>
          <w:kern w:val="0"/>
          <w:sz w:val="24"/>
          <w:szCs w:val="24"/>
        </w:rPr>
        <w:t>产</w:t>
      </w:r>
      <w:r>
        <w:rPr>
          <w:rFonts w:ascii="宋体" w:eastAsia="宋体" w:hAnsi="宋体" w:cs="Batang" w:hint="eastAsia"/>
          <w:kern w:val="0"/>
          <w:sz w:val="24"/>
          <w:szCs w:val="24"/>
        </w:rPr>
        <w:t>市</w:t>
      </w:r>
      <w:r>
        <w:rPr>
          <w:rFonts w:ascii="宋体" w:eastAsia="宋体" w:hAnsi="宋体" w:cs="宋体" w:hint="eastAsia"/>
          <w:kern w:val="0"/>
          <w:sz w:val="24"/>
          <w:szCs w:val="24"/>
        </w:rPr>
        <w:t>场</w:t>
      </w:r>
      <w:r>
        <w:rPr>
          <w:rFonts w:ascii="宋体" w:eastAsia="宋体" w:hAnsi="宋体" w:cs="Batang" w:hint="eastAsia"/>
          <w:kern w:val="0"/>
          <w:sz w:val="24"/>
          <w:szCs w:val="24"/>
        </w:rPr>
        <w:t>分析</w:t>
      </w:r>
      <w:bookmarkEnd w:id="11"/>
      <w:bookmarkEnd w:id="12"/>
      <w:bookmarkEnd w:id="13"/>
      <w:bookmarkEnd w:id="14"/>
      <w:bookmarkEnd w:id="15"/>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（一）、供</w:t>
      </w:r>
      <w:r>
        <w:rPr>
          <w:rFonts w:ascii="宋体" w:eastAsia="宋体" w:hAnsi="宋体" w:cs="宋体"/>
          <w:sz w:val="24"/>
          <w:szCs w:val="24"/>
        </w:rPr>
        <w:t>应总</w:t>
      </w:r>
      <w:r>
        <w:rPr>
          <w:rFonts w:ascii="宋体" w:eastAsia="宋体" w:hAnsi="宋体"/>
          <w:sz w:val="24"/>
          <w:szCs w:val="24"/>
        </w:rPr>
        <w:t>量分析</w:t>
      </w:r>
    </w:p>
    <w:p>
      <w:pPr>
        <w:spacing w:line="500" w:lineRule="auto"/>
        <w:ind w:firstLine="480" w:firstLineChars="200"/>
        <w:rPr>
          <w:rFonts w:ascii="宋体" w:hAnsi="宋体" w:hint="eastAsia"/>
          <w:color w:val="000000"/>
          <w:sz w:val="24"/>
        </w:rPr>
      </w:pPr>
      <w:r>
        <w:rPr>
          <w:rFonts w:ascii="宋体" w:hAnsi="宋体" w:hint="eastAsia"/>
          <w:color w:val="000000"/>
          <w:sz w:val="24"/>
        </w:rPr>
        <w:t>片区内楼盘供应量非常大，目前在售楼盘有十几个之多，粗略估计目前此区域内的楼盘总供应量达成了200万方以上。随着光谷的众多科技园发展和成熟，且众多大型的高科技公司如长飞光纤光缆和邮科院等盘踞于此。</w:t>
      </w:r>
    </w:p>
    <w:p>
      <w:pPr>
        <w:spacing w:line="500" w:lineRule="auto"/>
        <w:ind w:firstLine="480" w:firstLineChars="200"/>
        <w:rPr>
          <w:rFonts w:ascii="宋体" w:hAnsi="宋体" w:hint="eastAsia"/>
          <w:sz w:val="24"/>
        </w:rPr>
      </w:pPr>
      <w:bookmarkStart w:id="16" w:name="_Toc182639468"/>
      <w:bookmarkStart w:id="17" w:name="_Toc182640117"/>
      <w:r>
        <w:rPr>
          <w:rFonts w:ascii="宋体" w:hAnsi="宋体" w:hint="eastAsia"/>
          <w:sz w:val="24"/>
        </w:rPr>
        <w:t>近期随着富士康、华为以及EDS等大型专业制造公司的纷纷入驻，进一步提高了片区的市场热度与升值潜力。一大批制造业、高新科技公司的进入，直接拉升了该区的市场购买力，因此可以预期光谷片区房地产市场将进一步升温，整体市场供应量也将连续放量增长。</w:t>
      </w:r>
      <w:bookmarkEnd w:id="16"/>
      <w:bookmarkEnd w:id="17"/>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（二）、物</w:t>
      </w:r>
      <w:r>
        <w:rPr>
          <w:rFonts w:ascii="宋体" w:eastAsia="宋体" w:hAnsi="宋体" w:cs="宋体"/>
          <w:sz w:val="24"/>
          <w:szCs w:val="24"/>
        </w:rPr>
        <w:t>业类</w:t>
      </w:r>
      <w:r>
        <w:rPr>
          <w:rFonts w:ascii="宋体" w:eastAsia="宋体" w:hAnsi="宋体"/>
          <w:sz w:val="24"/>
          <w:szCs w:val="24"/>
        </w:rPr>
        <w:t>型及</w:t>
      </w:r>
      <w:r>
        <w:rPr>
          <w:rFonts w:ascii="宋体" w:eastAsia="宋体" w:hAnsi="宋体" w:cs="宋体"/>
          <w:sz w:val="24"/>
          <w:szCs w:val="24"/>
        </w:rPr>
        <w:t>规</w:t>
      </w:r>
      <w:r>
        <w:rPr>
          <w:rFonts w:ascii="宋体" w:eastAsia="宋体" w:hAnsi="宋体"/>
          <w:sz w:val="24"/>
          <w:szCs w:val="24"/>
        </w:rPr>
        <w:t>模</w:t>
      </w:r>
    </w:p>
    <w:p>
      <w:pPr>
        <w:spacing w:line="500" w:lineRule="auto"/>
        <w:ind w:firstLine="480" w:firstLineChars="200"/>
        <w:rPr>
          <w:rFonts w:ascii="宋体" w:hAnsi="宋体" w:hint="eastAsia"/>
          <w:color w:val="000000"/>
          <w:sz w:val="24"/>
        </w:rPr>
      </w:pPr>
      <w:r>
        <w:rPr>
          <w:rFonts w:ascii="宋体" w:hAnsi="宋体" w:hint="eastAsia"/>
          <w:color w:val="000000"/>
          <w:sz w:val="24"/>
        </w:rPr>
        <w:t>大规模楼盘开发居多，物业类型因区域而不同。光谷片区目前土地资源丰富属于一个高速发展的区域，凭借着其良好的自然资源和人文资源吸引了众多知名品牌开发商来此，例如万科。众多实力需雄厚开发商的加盟使得光谷单个楼盘开发规模越来越大，大规模楼盘接踵而至，同时新的物业理念被引入进来如townhouse，创意小户型等等</w:t>
      </w:r>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（三）、价格</w:t>
      </w:r>
      <w:r>
        <w:rPr>
          <w:rFonts w:ascii="宋体" w:eastAsia="宋体" w:hAnsi="宋体" w:cs="宋体"/>
          <w:sz w:val="24"/>
          <w:szCs w:val="24"/>
        </w:rPr>
        <w:t>趋势</w:t>
      </w:r>
      <w:r>
        <w:rPr>
          <w:rFonts w:ascii="宋体" w:eastAsia="宋体" w:hAnsi="宋体"/>
          <w:sz w:val="24"/>
          <w:szCs w:val="24"/>
        </w:rPr>
        <w:t>分析</w:t>
      </w:r>
    </w:p>
    <w:p>
      <w:pPr>
        <w:spacing w:line="500" w:lineRule="auto"/>
        <w:ind w:firstLine="480" w:firstLineChars="200"/>
        <w:rPr>
          <w:rFonts w:ascii="宋体" w:hAnsi="宋体" w:hint="eastAsia"/>
          <w:sz w:val="24"/>
        </w:rPr>
        <w:sectPr>
          <w:type w:val="nextPage"/>
          <w:pgSz w:w="16838" w:h="11906" w:orient="landscape"/>
          <w:pgMar w:top="1797" w:right="1440" w:bottom="1701" w:left="1440" w:header="851" w:footer="992" w:gutter="0"/>
          <w:pgNumType w:fmt="decimal" w:start="15"/>
          <w:cols w:space="708"/>
          <w:titlePg w:val="0"/>
          <w:docGrid w:type="lines" w:linePitch="312"/>
        </w:sectPr>
      </w:pPr>
      <w:r>
        <w:rPr>
          <w:rFonts w:ascii="宋体" w:hAnsi="宋体" w:hint="eastAsia"/>
          <w:sz w:val="24"/>
        </w:rPr>
        <w:t>近年来，武汉市房价</w:t>
      </w:r>
    </w:p>
    <w:p>
      <w:pPr>
        <w:spacing w:line="500" w:lineRule="auto"/>
        <w:ind w:firstLine="480" w:firstLineChars="200"/>
        <w:rPr>
          <w:rFonts w:ascii="宋体" w:hAnsi="宋体" w:hint="eastAsia"/>
          <w:sz w:val="24"/>
        </w:rPr>
      </w:pPr>
      <w:r>
        <w:rPr>
          <w:rFonts w:ascii="宋体" w:hAnsi="宋体"/>
          <w:sz w:val="24"/>
        </w:rPr>
        <w:t>在外来人口增长、城市经济实力提高，房地产投资增长，以及城市建设投入加大、土地建安成本提高等因素共同作用下，</w:t>
      </w:r>
      <w:r>
        <w:rPr>
          <w:rFonts w:ascii="宋体" w:hAnsi="宋体" w:hint="eastAsia"/>
          <w:sz w:val="24"/>
        </w:rPr>
        <w:t>一直</w:t>
      </w:r>
      <w:r>
        <w:rPr>
          <w:rFonts w:ascii="宋体" w:hAnsi="宋体"/>
          <w:sz w:val="24"/>
        </w:rPr>
        <w:t>保持上涨</w:t>
      </w:r>
      <w:r>
        <w:rPr>
          <w:rFonts w:ascii="宋体" w:hAnsi="宋体" w:hint="eastAsia"/>
          <w:sz w:val="24"/>
        </w:rPr>
        <w:t>的趋势</w:t>
      </w:r>
      <w:r>
        <w:rPr>
          <w:rFonts w:ascii="宋体" w:hAnsi="宋体"/>
          <w:sz w:val="24"/>
        </w:rPr>
        <w:t>。</w:t>
      </w:r>
      <w:r>
        <w:rPr>
          <w:rStyle w:val="a11"/>
          <w:rFonts w:ascii="宋体" w:hAnsi="宋体"/>
          <w:color w:val="000000"/>
          <w:sz w:val="24"/>
          <w:szCs w:val="24"/>
        </w:rPr>
        <w:t>根据武汉房地产信息网公布数据显示，2023年上本年武汉市商品房成交价格从1月份到5月份上涨约50元/平米，半年上涨幅度达成1.25%，整体价格涨幅相对平稳。各月度成交均价与2023年同期相比有明显提高，6月份成交均价同比增长达成15%。</w:t>
      </w:r>
      <w:r>
        <w:rPr>
          <w:rFonts w:ascii="宋体" w:hAnsi="宋体" w:hint="eastAsia"/>
          <w:sz w:val="24"/>
        </w:rPr>
        <w:t>随着光谷六个科技园的发展以及众多大型公司的扎堆，光谷的需求量日益增大。良好的区域经济环境保证了充足的购买力 ，随着区域楼盘品质的提高，住宅用地的减少，地铁的规划动工使得光谷的楼盘价格连续上扬。其上升趋势更是惊人。</w:t>
      </w:r>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（四）、区内人群特性分析</w:t>
      </w:r>
    </w:p>
    <w:p>
      <w:pPr>
        <w:spacing w:line="500" w:lineRule="auto"/>
        <w:ind w:firstLine="480" w:firstLineChars="200"/>
        <w:rPr>
          <w:rFonts w:ascii="宋体" w:hAnsi="宋体" w:hint="eastAsia"/>
          <w:color w:val="000000"/>
          <w:sz w:val="24"/>
        </w:rPr>
      </w:pPr>
      <w:r>
        <w:rPr>
          <w:rFonts w:ascii="宋体" w:hAnsi="宋体" w:hint="eastAsia"/>
          <w:color w:val="000000"/>
          <w:sz w:val="24"/>
        </w:rPr>
        <w:t>光谷片内高校众多，科研院所林立，教师和科技人员占到人口总数的</w:t>
      </w:r>
      <w:r>
        <w:rPr>
          <w:rFonts w:ascii="宋体" w:hAnsi="宋体"/>
          <w:color w:val="000000"/>
          <w:sz w:val="24"/>
        </w:rPr>
        <w:t>60%</w:t>
      </w:r>
      <w:r>
        <w:rPr>
          <w:rFonts w:ascii="宋体" w:hAnsi="宋体" w:hint="eastAsia"/>
          <w:color w:val="000000"/>
          <w:sz w:val="24"/>
        </w:rPr>
        <w:t>以上，并且他们工作稳定，工资水平较高，具有较好的购房经济实力，因此光谷片的高校教师和科技工作者是本案客户群体之一。关南片内知名院校最多，所以购房者中，高校教师占的比重也最大，如云顶居和金地阳光城，教师群体占到</w:t>
      </w:r>
      <w:r>
        <w:rPr>
          <w:rFonts w:ascii="宋体" w:hAnsi="宋体"/>
          <w:color w:val="000000"/>
          <w:sz w:val="24"/>
        </w:rPr>
        <w:t>70%</w:t>
      </w:r>
      <w:r>
        <w:rPr>
          <w:rFonts w:ascii="宋体" w:hAnsi="宋体" w:hint="eastAsia"/>
          <w:color w:val="000000"/>
          <w:sz w:val="24"/>
        </w:rPr>
        <w:t>以上；而关东片的购房者是以科技园区内的公司职工为主，如保利花园，有很多客户都是邮科院的员工；鲁巷和雄楚大街片则是两者皆有，虽然这两片高校不多，离光谷科技园区也较远，但由于配套设施齐全、交通方便、商贸发达、离武昌主城区较近，所以也成为很多光谷片内的教师和科技人员的居住选择地。</w:t>
      </w:r>
    </w:p>
    <w:p>
      <w:pPr>
        <w:pStyle w:val="Heading3"/>
        <w:spacing w:before="0" w:beforeLines="0" w:after="0" w:afterLines="0" w:line="500" w:lineRule="auto"/>
        <w:ind w:left="0"/>
        <w:rPr>
          <w:rFonts w:ascii="宋体" w:eastAsia="宋体" w:hAnsi="宋体"/>
          <w:color w:val="000000"/>
          <w:sz w:val="24"/>
          <w:szCs w:val="24"/>
        </w:rPr>
      </w:pPr>
      <w:r>
        <w:rPr>
          <w:rFonts w:ascii="宋体" w:eastAsia="宋体" w:hAnsi="宋体"/>
          <w:sz w:val="24"/>
          <w:szCs w:val="24"/>
        </w:rPr>
        <w:t>（五） 区域优势梳理</w:t>
      </w:r>
    </w:p>
    <w:p>
      <w:pPr>
        <w:spacing w:line="500" w:lineRule="auto"/>
        <w:ind w:firstLine="480" w:firstLineChars="200"/>
        <w:rPr>
          <w:rFonts w:ascii="宋体" w:hAnsi="宋体" w:hint="eastAsia"/>
          <w:color w:val="000000"/>
          <w:sz w:val="24"/>
        </w:rPr>
      </w:pPr>
      <w:r>
        <w:rPr>
          <w:rFonts w:ascii="宋体" w:hAnsi="宋体" w:hint="eastAsia"/>
          <w:color w:val="000000"/>
          <w:sz w:val="24"/>
        </w:rPr>
        <w:t>■</w:t>
      </w:r>
      <w:r>
        <w:rPr>
          <w:rFonts w:ascii="宋体" w:hAnsi="宋体" w:hint="eastAsia"/>
          <w:color w:val="000000"/>
          <w:sz w:val="24"/>
        </w:rPr>
        <w:t xml:space="preserve"> 区域内经济飞速发展，高新公司不断的迁入带来大量的需求</w:t>
      </w:r>
    </w:p>
    <w:p>
      <w:pPr>
        <w:spacing w:line="500" w:lineRule="auto"/>
        <w:ind w:firstLine="480" w:firstLineChars="200"/>
        <w:rPr>
          <w:rFonts w:ascii="宋体" w:hAnsi="宋体" w:hint="eastAsia"/>
          <w:color w:val="000000"/>
          <w:sz w:val="24"/>
        </w:rPr>
        <w:sectPr>
          <w:type w:val="nextPage"/>
          <w:pgSz w:w="16838" w:h="11906" w:orient="landscape"/>
          <w:pgMar w:top="1797" w:right="1440" w:bottom="1701" w:left="1440" w:header="851" w:footer="992" w:gutter="0"/>
          <w:pgNumType w:fmt="decimal" w:start="16"/>
          <w:cols w:space="708"/>
          <w:titlePg w:val="0"/>
          <w:docGrid w:type="lines" w:linePitch="312"/>
        </w:sectPr>
      </w:pPr>
      <w:r>
        <w:rPr>
          <w:rFonts w:ascii="宋体" w:hAnsi="宋体" w:hint="eastAsia"/>
          <w:color w:val="000000"/>
          <w:sz w:val="24"/>
        </w:rPr>
        <w:t>■</w:t>
      </w:r>
      <w:r>
        <w:rPr>
          <w:rFonts w:ascii="宋体" w:hAnsi="宋体" w:hint="eastAsia"/>
          <w:color w:val="000000"/>
          <w:sz w:val="24"/>
        </w:rPr>
        <w:t xml:space="preserve"> 经济的腾飞带动商业的发展，步行街的竣工进一步完善了板块内商业的配套</w:t>
      </w:r>
    </w:p>
    <w:p>
      <w:pPr>
        <w:spacing w:line="500" w:lineRule="auto"/>
        <w:ind w:firstLine="480" w:firstLineChars="200"/>
        <w:rPr>
          <w:rFonts w:ascii="宋体" w:hAnsi="宋体" w:hint="eastAsia"/>
          <w:color w:val="000000"/>
          <w:sz w:val="24"/>
        </w:rPr>
      </w:pPr>
      <w:r>
        <w:rPr>
          <w:rFonts w:ascii="宋体" w:hAnsi="宋体" w:hint="eastAsia"/>
          <w:color w:val="000000"/>
          <w:sz w:val="24"/>
        </w:rPr>
        <w:t>■</w:t>
      </w:r>
      <w:r>
        <w:rPr>
          <w:rFonts w:ascii="宋体" w:hAnsi="宋体" w:hint="eastAsia"/>
          <w:color w:val="000000"/>
          <w:sz w:val="24"/>
        </w:rPr>
        <w:t xml:space="preserve"> 城市中环线成型，助推片区发展南移，区域升值空间巨大</w:t>
      </w:r>
    </w:p>
    <w:p>
      <w:pPr>
        <w:spacing w:line="500" w:lineRule="auto"/>
        <w:ind w:firstLine="480" w:firstLineChars="200"/>
        <w:rPr>
          <w:rFonts w:ascii="宋体" w:hAnsi="宋体" w:hint="eastAsia"/>
          <w:color w:val="000000"/>
          <w:sz w:val="24"/>
        </w:rPr>
      </w:pPr>
      <w:r>
        <w:rPr>
          <w:rFonts w:ascii="宋体" w:hAnsi="宋体" w:hint="eastAsia"/>
          <w:color w:val="000000"/>
          <w:sz w:val="24"/>
        </w:rPr>
        <w:t>■</w:t>
      </w:r>
      <w:r>
        <w:rPr>
          <w:rFonts w:ascii="宋体" w:hAnsi="宋体" w:hint="eastAsia"/>
          <w:color w:val="000000"/>
          <w:sz w:val="24"/>
        </w:rPr>
        <w:t xml:space="preserve"> 地铁的动工交通不再是阻碍区域发展的障碍</w:t>
      </w:r>
    </w:p>
    <w:p>
      <w:pPr>
        <w:spacing w:line="500" w:lineRule="auto"/>
        <w:ind w:firstLine="480" w:firstLineChars="200"/>
        <w:rPr>
          <w:rFonts w:ascii="宋体" w:hAnsi="宋体" w:hint="eastAsia"/>
          <w:color w:val="000000"/>
          <w:sz w:val="24"/>
        </w:rPr>
      </w:pPr>
      <w:r>
        <w:rPr>
          <w:rFonts w:ascii="宋体" w:hAnsi="宋体" w:hint="eastAsia"/>
          <w:color w:val="000000"/>
          <w:sz w:val="24"/>
        </w:rPr>
        <w:t>■</w:t>
      </w:r>
      <w:r>
        <w:rPr>
          <w:rFonts w:ascii="宋体" w:hAnsi="宋体" w:hint="eastAsia"/>
          <w:color w:val="000000"/>
          <w:sz w:val="24"/>
        </w:rPr>
        <w:t xml:space="preserve"> 良好的投资环境吸引了众多房地产开发公司，楼盘品质整体提高，百家争鸣</w:t>
      </w:r>
    </w:p>
    <w:p>
      <w:pPr>
        <w:spacing w:line="500" w:lineRule="auto"/>
        <w:ind w:firstLine="480" w:firstLineChars="200"/>
        <w:rPr>
          <w:rFonts w:ascii="宋体" w:hAnsi="宋体" w:hint="eastAsia"/>
          <w:color w:val="000000"/>
          <w:sz w:val="24"/>
        </w:rPr>
      </w:pPr>
      <w:r>
        <w:rPr>
          <w:rFonts w:ascii="宋体" w:hAnsi="宋体" w:hint="eastAsia"/>
          <w:color w:val="000000"/>
          <w:sz w:val="24"/>
        </w:rPr>
        <w:t>■</w:t>
      </w:r>
      <w:r>
        <w:rPr>
          <w:rFonts w:ascii="宋体" w:hAnsi="宋体" w:hint="eastAsia"/>
          <w:color w:val="000000"/>
          <w:sz w:val="24"/>
        </w:rPr>
        <w:t xml:space="preserve"> 区域内楼盘价格连续上扬，楼盘销售仍然火爆</w:t>
      </w:r>
    </w:p>
    <w:p>
      <w:pPr>
        <w:spacing w:line="500" w:lineRule="auto"/>
        <w:ind w:firstLine="480" w:firstLineChars="200"/>
        <w:rPr>
          <w:rFonts w:ascii="宋体" w:hAnsi="宋体" w:hint="eastAsia"/>
          <w:sz w:val="24"/>
        </w:rPr>
      </w:pPr>
      <w:r>
        <w:rPr>
          <w:rFonts w:ascii="宋体" w:hAnsi="宋体" w:hint="eastAsia"/>
          <w:color w:val="000000"/>
          <w:sz w:val="24"/>
        </w:rPr>
        <w:t>■</w:t>
      </w:r>
      <w:r>
        <w:rPr>
          <w:rFonts w:ascii="宋体" w:hAnsi="宋体" w:hint="eastAsia"/>
          <w:color w:val="000000"/>
          <w:sz w:val="24"/>
        </w:rPr>
        <w:t xml:space="preserve"> </w:t>
      </w:r>
      <w:r>
        <w:rPr>
          <w:rFonts w:ascii="宋体" w:hAnsi="宋体" w:hint="eastAsia"/>
          <w:sz w:val="24"/>
        </w:rPr>
        <w:t>居民素质高保证了强大的购买力</w:t>
      </w:r>
      <w:bookmarkStart w:id="18" w:name="_Toc182639469"/>
      <w:bookmarkStart w:id="19" w:name="_Toc182640118"/>
      <w:bookmarkStart w:id="20" w:name="_Toc182715756"/>
      <w:bookmarkStart w:id="21" w:name="_Toc182715986"/>
    </w:p>
    <w:p>
      <w:pPr>
        <w:pStyle w:val="Heading2"/>
        <w:spacing w:before="0" w:beforeLines="0" w:after="0" w:afterLines="0" w:line="500" w:lineRule="auto"/>
        <w:ind w:left="0"/>
        <w:rPr>
          <w:rFonts w:ascii="宋体" w:eastAsia="宋体" w:hAnsi="宋体" w:hint="eastAsia"/>
          <w:color w:val="000000"/>
          <w:sz w:val="24"/>
          <w:szCs w:val="24"/>
        </w:rPr>
      </w:pPr>
      <w:bookmarkStart w:id="22" w:name="_Toc183311185"/>
      <w:r>
        <w:rPr>
          <w:rFonts w:ascii="宋体" w:eastAsia="宋体" w:hAnsi="宋体" w:hint="eastAsia"/>
          <w:color w:val="000000"/>
          <w:sz w:val="24"/>
          <w:szCs w:val="24"/>
        </w:rPr>
        <w:t>四、直接竞争楼盘分析</w:t>
      </w:r>
      <w:bookmarkEnd w:id="18"/>
      <w:bookmarkEnd w:id="19"/>
      <w:bookmarkEnd w:id="20"/>
      <w:bookmarkEnd w:id="21"/>
      <w:bookmarkEnd w:id="22"/>
    </w:p>
    <w:p>
      <w:pPr>
        <w:spacing w:line="360" w:lineRule="auto"/>
        <w:jc w:val="center"/>
        <w:rPr>
          <w:rFonts w:ascii="宋体" w:hAnsi="宋体" w:hint="eastAsia"/>
          <w:b/>
          <w:bCs/>
          <w:sz w:val="24"/>
        </w:rPr>
      </w:pPr>
    </w:p>
    <w:p>
      <w:pPr>
        <w:spacing w:line="360" w:lineRule="auto"/>
        <w:rPr>
          <w:rFonts w:ascii="宋体" w:hAnsi="宋体" w:hint="eastAsia"/>
          <w:b/>
          <w:bCs/>
          <w:sz w:val="24"/>
        </w:rPr>
      </w:pPr>
    </w:p>
    <w:p>
      <w:pPr>
        <w:spacing w:line="360" w:lineRule="auto"/>
        <w:rPr>
          <w:rFonts w:ascii="宋体" w:hAnsi="宋体" w:hint="eastAsia"/>
          <w:b/>
          <w:sz w:val="24"/>
        </w:rPr>
      </w:pPr>
    </w:p>
    <w:p>
      <w:pPr>
        <w:spacing w:line="500" w:lineRule="auto"/>
        <w:rPr>
          <w:rFonts w:ascii="宋体" w:hAnsi="宋体" w:hint="eastAsia"/>
          <w:b/>
          <w:sz w:val="24"/>
        </w:rPr>
      </w:pPr>
      <w:r>
        <w:rPr>
          <w:rFonts w:ascii="宋体" w:hAnsi="宋体"/>
          <w:b/>
          <w:sz w:val="24"/>
        </w:rPr>
        <w:t>（二）竞争楼盘概况：</w:t>
      </w:r>
    </w:p>
    <w:tbl>
      <w:tblPr>
        <w:tblStyle w:val="TableNormal"/>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30" w:type="dxa"/>
          <w:right w:w="30" w:type="dxa"/>
        </w:tblCellMar>
        <w:tblLook w:val="0000"/>
      </w:tblPr>
      <w:tblGrid>
        <w:gridCol w:w="1736"/>
        <w:gridCol w:w="1736"/>
        <w:gridCol w:w="1736"/>
        <w:gridCol w:w="1737"/>
        <w:gridCol w:w="1736"/>
        <w:gridCol w:w="1736"/>
        <w:gridCol w:w="1737"/>
      </w:tblGrid>
      <w:tr>
        <w:tblPrEx>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30" w:type="dxa"/>
            <w:right w:w="30" w:type="dxa"/>
          </w:tblCellMar>
          <w:tblLook w:val="0000"/>
        </w:tblPrEx>
        <w:trPr>
          <w:trHeight w:val="760"/>
          <w:jc w:val="center"/>
        </w:trPr>
        <w:tc>
          <w:tcPr>
            <w:tcW w:w="1736" w:type="dxa"/>
            <w:tcBorders>
              <w:top w:val="single" w:sz="12" w:space="0" w:color="auto"/>
              <w:bottom w:val="single" w:sz="6" w:space="0" w:color="auto"/>
            </w:tcBorders>
            <w:shd w:val="clear" w:color="auto" w:fill="FF9900"/>
            <w:vAlign w:val="center"/>
          </w:tcPr>
          <w:p>
            <w:pPr>
              <w:spacing w:line="360" w:lineRule="auto"/>
              <w:jc w:val="center"/>
              <w:rPr>
                <w:rFonts w:ascii="宋体" w:hAnsi="宋体"/>
                <w:color w:val="000000"/>
                <w:sz w:val="24"/>
              </w:rPr>
            </w:pPr>
            <w:r>
              <w:rPr>
                <w:rFonts w:ascii="宋体" w:hAnsi="宋体" w:hint="eastAsia"/>
                <w:color w:val="000000"/>
                <w:sz w:val="24"/>
              </w:rPr>
              <w:t>楼盘名称</w:t>
            </w:r>
          </w:p>
        </w:tc>
        <w:tc>
          <w:tcPr>
            <w:tcW w:w="1736" w:type="dxa"/>
            <w:tcBorders>
              <w:top w:val="single" w:sz="12" w:space="0" w:color="auto"/>
              <w:bottom w:val="single" w:sz="6" w:space="0" w:color="auto"/>
            </w:tcBorders>
            <w:shd w:val="clear" w:color="auto" w:fill="FF9900"/>
            <w:vAlign w:val="center"/>
          </w:tcPr>
          <w:p>
            <w:pPr>
              <w:spacing w:line="360" w:lineRule="auto"/>
              <w:jc w:val="center"/>
              <w:rPr>
                <w:rFonts w:ascii="宋体" w:hAnsi="宋体" w:hint="eastAsia"/>
                <w:color w:val="000000"/>
                <w:sz w:val="24"/>
              </w:rPr>
            </w:pPr>
            <w:r>
              <w:rPr>
                <w:rFonts w:ascii="宋体" w:hAnsi="宋体" w:hint="eastAsia"/>
                <w:color w:val="000000"/>
                <w:sz w:val="24"/>
              </w:rPr>
              <w:t>光谷坐标城</w:t>
            </w:r>
          </w:p>
        </w:tc>
        <w:tc>
          <w:tcPr>
            <w:tcW w:w="1736" w:type="dxa"/>
            <w:tcBorders>
              <w:top w:val="single" w:sz="12" w:space="0" w:color="auto"/>
              <w:bottom w:val="single" w:sz="6" w:space="0" w:color="auto"/>
            </w:tcBorders>
            <w:shd w:val="clear" w:color="auto" w:fill="FF9900"/>
            <w:vAlign w:val="center"/>
          </w:tcPr>
          <w:p>
            <w:pPr>
              <w:spacing w:line="360" w:lineRule="auto"/>
              <w:jc w:val="center"/>
              <w:rPr>
                <w:rFonts w:ascii="宋体" w:hAnsi="宋体" w:hint="eastAsia"/>
                <w:color w:val="000000"/>
                <w:sz w:val="24"/>
              </w:rPr>
            </w:pPr>
            <w:r>
              <w:rPr>
                <w:rFonts w:ascii="宋体" w:hAnsi="宋体" w:hint="eastAsia"/>
                <w:color w:val="000000"/>
                <w:sz w:val="24"/>
              </w:rPr>
              <w:t>锦绣龙城</w:t>
            </w:r>
          </w:p>
        </w:tc>
        <w:tc>
          <w:tcPr>
            <w:tcW w:w="1737" w:type="dxa"/>
            <w:tcBorders>
              <w:top w:val="single" w:sz="12" w:space="0" w:color="auto"/>
              <w:bottom w:val="single" w:sz="6" w:space="0" w:color="auto"/>
            </w:tcBorders>
            <w:shd w:val="clear" w:color="auto" w:fill="FF9900"/>
            <w:vAlign w:val="center"/>
          </w:tcPr>
          <w:p>
            <w:pPr>
              <w:spacing w:line="360" w:lineRule="auto"/>
              <w:jc w:val="center"/>
              <w:rPr>
                <w:rFonts w:ascii="宋体" w:hAnsi="宋体"/>
                <w:color w:val="000000"/>
                <w:sz w:val="24"/>
              </w:rPr>
            </w:pPr>
            <w:r>
              <w:rPr>
                <w:rFonts w:ascii="宋体" w:hAnsi="宋体" w:hint="eastAsia"/>
                <w:color w:val="000000"/>
                <w:sz w:val="24"/>
              </w:rPr>
              <w:t>清江山水</w:t>
            </w:r>
          </w:p>
        </w:tc>
        <w:tc>
          <w:tcPr>
            <w:tcW w:w="1736" w:type="dxa"/>
            <w:tcBorders>
              <w:top w:val="single" w:sz="12" w:space="0" w:color="auto"/>
              <w:bottom w:val="single" w:sz="6" w:space="0" w:color="auto"/>
            </w:tcBorders>
            <w:shd w:val="clear" w:color="auto" w:fill="FF9900"/>
            <w:vAlign w:val="center"/>
          </w:tcPr>
          <w:p>
            <w:pPr>
              <w:spacing w:line="360" w:lineRule="auto"/>
              <w:jc w:val="center"/>
              <w:rPr>
                <w:rFonts w:ascii="宋体" w:hAnsi="宋体"/>
                <w:color w:val="000000"/>
                <w:sz w:val="24"/>
              </w:rPr>
            </w:pPr>
            <w:r>
              <w:rPr>
                <w:rFonts w:ascii="宋体" w:hAnsi="宋体" w:hint="eastAsia"/>
                <w:color w:val="000000"/>
                <w:sz w:val="24"/>
              </w:rPr>
              <w:t>万科魅力之城</w:t>
            </w:r>
          </w:p>
        </w:tc>
        <w:tc>
          <w:tcPr>
            <w:tcW w:w="1736" w:type="dxa"/>
            <w:tcBorders>
              <w:top w:val="single" w:sz="12" w:space="0" w:color="auto"/>
              <w:bottom w:val="single" w:sz="6" w:space="0" w:color="auto"/>
            </w:tcBorders>
            <w:shd w:val="clear" w:color="auto" w:fill="FF9900"/>
            <w:vAlign w:val="center"/>
          </w:tcPr>
          <w:p>
            <w:pPr>
              <w:spacing w:line="360" w:lineRule="auto"/>
              <w:jc w:val="center"/>
              <w:rPr>
                <w:rFonts w:ascii="宋体" w:hAnsi="宋体"/>
                <w:color w:val="000000"/>
                <w:sz w:val="24"/>
              </w:rPr>
            </w:pPr>
            <w:hyperlink r:id="rId7" w:tgtFrame="_blank" w:history="1">
              <w:r>
                <w:rPr>
                  <w:rStyle w:val="Hyperlink"/>
                  <w:rFonts w:ascii="宋体" w:hAnsi="宋体"/>
                  <w:color w:val="000000"/>
                  <w:sz w:val="24"/>
                </w:rPr>
                <w:t>芭比伦堡</w:t>
              </w:r>
            </w:hyperlink>
          </w:p>
        </w:tc>
        <w:tc>
          <w:tcPr>
            <w:tcW w:w="1737" w:type="dxa"/>
            <w:tcBorders>
              <w:top w:val="single" w:sz="12" w:space="0" w:color="auto"/>
              <w:bottom w:val="single" w:sz="6" w:space="0" w:color="auto"/>
            </w:tcBorders>
            <w:shd w:val="clear" w:color="auto" w:fill="FF9900"/>
            <w:vAlign w:val="center"/>
          </w:tcPr>
          <w:p>
            <w:pPr>
              <w:spacing w:line="360" w:lineRule="auto"/>
              <w:jc w:val="center"/>
              <w:rPr>
                <w:rFonts w:ascii="宋体" w:hAnsi="宋体" w:hint="eastAsia"/>
                <w:color w:val="000000"/>
                <w:sz w:val="24"/>
              </w:rPr>
            </w:pPr>
            <w:r>
              <w:rPr>
                <w:rFonts w:ascii="宋体" w:hAnsi="宋体" w:hint="eastAsia"/>
                <w:color w:val="000000"/>
                <w:sz w:val="24"/>
              </w:rPr>
              <w:t>当代国际花园</w:t>
            </w:r>
          </w:p>
        </w:tc>
      </w:tr>
      <w:tr>
        <w:tblPrEx>
          <w:jc w:val="center"/>
          <w:tblLayout w:type="fixed"/>
          <w:tblCellMar>
            <w:top w:w="0" w:type="dxa"/>
            <w:left w:w="30" w:type="dxa"/>
            <w:bottom w:w="0" w:type="dxa"/>
            <w:right w:w="30" w:type="dxa"/>
          </w:tblCellMar>
          <w:tblLook w:val="0000"/>
        </w:tblPrEx>
        <w:trPr>
          <w:trHeight w:val="912"/>
          <w:jc w:val="center"/>
        </w:trPr>
        <w:tc>
          <w:tcPr>
            <w:tcW w:w="1736" w:type="dxa"/>
            <w:tcBorders>
              <w:top w:val="single" w:sz="6" w:space="0" w:color="auto"/>
            </w:tcBorders>
            <w:vAlign w:val="center"/>
          </w:tcPr>
          <w:p>
            <w:pPr>
              <w:spacing w:line="360" w:lineRule="auto"/>
              <w:jc w:val="center"/>
              <w:rPr>
                <w:rFonts w:ascii="宋体" w:hAnsi="宋体"/>
                <w:color w:val="000000"/>
                <w:sz w:val="24"/>
              </w:rPr>
            </w:pPr>
            <w:r>
              <w:rPr>
                <w:rFonts w:ascii="宋体" w:hAnsi="宋体" w:hint="eastAsia"/>
                <w:color w:val="000000"/>
                <w:sz w:val="24"/>
              </w:rPr>
              <w:t>开发商</w:t>
            </w:r>
          </w:p>
        </w:tc>
        <w:tc>
          <w:tcPr>
            <w:tcW w:w="1736" w:type="dxa"/>
            <w:tcBorders>
              <w:top w:val="single" w:sz="6" w:space="0" w:color="auto"/>
            </w:tcBorders>
            <w:vAlign w:val="center"/>
          </w:tcPr>
          <w:p>
            <w:pPr>
              <w:spacing w:line="360" w:lineRule="auto"/>
              <w:jc w:val="center"/>
              <w:rPr>
                <w:rFonts w:ascii="宋体" w:hAnsi="宋体" w:hint="eastAsia"/>
                <w:color w:val="000000"/>
                <w:sz w:val="24"/>
              </w:rPr>
            </w:pPr>
            <w:r>
              <w:rPr>
                <w:rFonts w:ascii="宋体" w:hAnsi="宋体" w:hint="eastAsia"/>
                <w:color w:val="000000"/>
                <w:sz w:val="24"/>
              </w:rPr>
              <w:t>湖北长城建设实业有限公司</w:t>
            </w:r>
          </w:p>
        </w:tc>
        <w:tc>
          <w:tcPr>
            <w:tcW w:w="1736" w:type="dxa"/>
            <w:tcBorders>
              <w:top w:val="single" w:sz="6" w:space="0" w:color="auto"/>
            </w:tcBorders>
            <w:vAlign w:val="center"/>
          </w:tcPr>
          <w:p>
            <w:pPr>
              <w:spacing w:line="360" w:lineRule="auto"/>
              <w:jc w:val="center"/>
              <w:rPr>
                <w:rFonts w:ascii="宋体" w:hAnsi="宋体" w:hint="eastAsia"/>
                <w:color w:val="000000"/>
                <w:sz w:val="24"/>
              </w:rPr>
            </w:pPr>
            <w:r>
              <w:rPr>
                <w:rFonts w:ascii="宋体" w:hAnsi="宋体" w:hint="eastAsia"/>
                <w:color w:val="000000"/>
                <w:sz w:val="24"/>
              </w:rPr>
              <w:t>湖北长城建设实业有限公司</w:t>
            </w:r>
          </w:p>
        </w:tc>
        <w:tc>
          <w:tcPr>
            <w:tcW w:w="1737" w:type="dxa"/>
            <w:tcBorders>
              <w:top w:val="single" w:sz="6" w:space="0" w:color="auto"/>
            </w:tcBorders>
            <w:vAlign w:val="center"/>
          </w:tcPr>
          <w:p>
            <w:pPr>
              <w:spacing w:line="360" w:lineRule="auto"/>
              <w:jc w:val="center"/>
              <w:rPr>
                <w:rFonts w:ascii="宋体" w:hAnsi="宋体"/>
                <w:color w:val="000000"/>
                <w:sz w:val="24"/>
              </w:rPr>
            </w:pPr>
            <w:r>
              <w:rPr>
                <w:rFonts w:ascii="宋体" w:hAnsi="宋体" w:hint="eastAsia"/>
                <w:color w:val="000000"/>
                <w:sz w:val="24"/>
              </w:rPr>
              <w:t>湖北清江置业有限责任公司</w:t>
            </w:r>
          </w:p>
        </w:tc>
        <w:tc>
          <w:tcPr>
            <w:tcW w:w="1736" w:type="dxa"/>
            <w:tcBorders>
              <w:top w:val="single" w:sz="6" w:space="0" w:color="auto"/>
            </w:tcBorders>
            <w:vAlign w:val="center"/>
          </w:tcPr>
          <w:p>
            <w:pPr>
              <w:spacing w:line="360" w:lineRule="auto"/>
              <w:jc w:val="center"/>
              <w:rPr>
                <w:rFonts w:ascii="宋体" w:hAnsi="宋体"/>
                <w:color w:val="000000"/>
                <w:sz w:val="24"/>
              </w:rPr>
            </w:pPr>
            <w:r>
              <w:rPr>
                <w:rFonts w:ascii="宋体" w:hAnsi="宋体" w:hint="eastAsia"/>
                <w:color w:val="000000"/>
                <w:sz w:val="24"/>
              </w:rPr>
              <w:t>武汉市万科房地产有限公司</w:t>
            </w:r>
          </w:p>
        </w:tc>
        <w:tc>
          <w:tcPr>
            <w:tcW w:w="1736" w:type="dxa"/>
            <w:tcBorders>
              <w:top w:val="single" w:sz="6" w:space="0" w:color="auto"/>
            </w:tcBorders>
            <w:vAlign w:val="center"/>
          </w:tcPr>
          <w:p>
            <w:pPr>
              <w:spacing w:line="360" w:lineRule="auto"/>
              <w:jc w:val="center"/>
              <w:rPr>
                <w:rFonts w:ascii="宋体" w:hAnsi="宋体"/>
                <w:color w:val="000000"/>
                <w:sz w:val="24"/>
              </w:rPr>
            </w:pPr>
            <w:r>
              <w:rPr>
                <w:rFonts w:ascii="宋体" w:hAnsi="宋体"/>
                <w:color w:val="000000"/>
                <w:sz w:val="24"/>
              </w:rPr>
              <w:t>武汉宏腾房地产开发有限公司</w:t>
            </w:r>
          </w:p>
        </w:tc>
        <w:tc>
          <w:tcPr>
            <w:tcW w:w="1737" w:type="dxa"/>
            <w:tcBorders>
              <w:top w:val="single" w:sz="6" w:space="0" w:color="auto"/>
            </w:tcBorders>
            <w:vAlign w:val="center"/>
          </w:tcPr>
          <w:p>
            <w:pPr>
              <w:spacing w:line="360" w:lineRule="auto"/>
              <w:jc w:val="center"/>
              <w:rPr>
                <w:rFonts w:ascii="宋体" w:hAnsi="宋体" w:cs="宋体" w:hint="eastAsia"/>
                <w:color w:val="000000"/>
                <w:sz w:val="24"/>
              </w:rPr>
            </w:pPr>
            <w:r>
              <w:rPr>
                <w:rFonts w:ascii="宋体" w:hAnsi="宋体" w:hint="eastAsia"/>
                <w:color w:val="000000"/>
                <w:sz w:val="24"/>
              </w:rPr>
              <w:t>武汉当代科技产业集团股份有限公司</w:t>
            </w:r>
          </w:p>
        </w:tc>
      </w:tr>
    </w:tbl>
    <w:p>
      <w:pPr>
        <w:sectPr>
          <w:type w:val="nextPage"/>
          <w:pgSz w:w="16838" w:h="11906" w:orient="landscape"/>
          <w:pgMar w:top="1797" w:right="1440" w:bottom="1701" w:left="1440" w:header="851" w:footer="992" w:gutter="0"/>
          <w:pgNumType w:fmt="decimal" w:start="17"/>
          <w:cols w:space="708"/>
          <w:titlePg w:val="0"/>
          <w:docGrid w:type="lines" w:linePitch="312"/>
        </w:sectPr>
      </w:pPr>
    </w:p>
    <w:tbl>
      <w:tblPr>
        <w:tblStyle w:val="TableNormal"/>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30" w:type="dxa"/>
          <w:bottom w:w="0" w:type="dxa"/>
          <w:right w:w="30" w:type="dxa"/>
        </w:tblCellMar>
        <w:tblLook w:val="0000"/>
      </w:tblPr>
      <w:tblGrid>
        <w:gridCol w:w="1736"/>
        <w:gridCol w:w="1736"/>
        <w:gridCol w:w="1736"/>
        <w:gridCol w:w="1737"/>
        <w:gridCol w:w="1736"/>
        <w:gridCol w:w="1736"/>
        <w:gridCol w:w="1737"/>
      </w:tblGrid>
      <w:tr>
        <w:tblPrEx>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30" w:type="dxa"/>
            <w:bottom w:w="0" w:type="dxa"/>
            <w:right w:w="30" w:type="dxa"/>
          </w:tblCellMar>
          <w:tblLook w:val="0000"/>
        </w:tblPrEx>
        <w:trPr>
          <w:trHeight w:val="1065"/>
          <w:jc w:val="center"/>
        </w:trPr>
        <w:tc>
          <w:tcPr>
            <w:tcW w:w="1736" w:type="dxa"/>
            <w:vAlign w:val="center"/>
          </w:tcPr>
          <w:p>
            <w:pPr>
              <w:spacing w:line="360" w:lineRule="auto"/>
              <w:jc w:val="center"/>
              <w:rPr>
                <w:rFonts w:ascii="宋体" w:hAnsi="宋体"/>
                <w:color w:val="000000"/>
                <w:sz w:val="24"/>
              </w:rPr>
            </w:pPr>
            <w:r>
              <w:rPr>
                <w:rFonts w:ascii="宋体" w:hAnsi="宋体" w:hint="eastAsia"/>
                <w:color w:val="000000"/>
                <w:sz w:val="24"/>
              </w:rPr>
              <w:t>项目地址</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东湖新技术开发区大道与南胡交汇处</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中国光谷民族大道与中环交汇处</w:t>
            </w:r>
          </w:p>
        </w:tc>
        <w:tc>
          <w:tcPr>
            <w:tcW w:w="1737" w:type="dxa"/>
            <w:vAlign w:val="center"/>
          </w:tcPr>
          <w:p>
            <w:pPr>
              <w:spacing w:line="360" w:lineRule="auto"/>
              <w:jc w:val="center"/>
              <w:rPr>
                <w:rFonts w:ascii="宋体" w:hAnsi="宋体"/>
                <w:color w:val="000000"/>
                <w:sz w:val="24"/>
              </w:rPr>
            </w:pPr>
            <w:r>
              <w:rPr>
                <w:rFonts w:ascii="宋体" w:hAnsi="宋体" w:hint="eastAsia"/>
                <w:color w:val="000000"/>
                <w:sz w:val="24"/>
              </w:rPr>
              <w:t>洪山区东湖新技术开发区光谷软件园三路</w:t>
            </w:r>
          </w:p>
        </w:tc>
        <w:tc>
          <w:tcPr>
            <w:tcW w:w="1736" w:type="dxa"/>
            <w:vAlign w:val="center"/>
          </w:tcPr>
          <w:p>
            <w:pPr>
              <w:spacing w:line="360" w:lineRule="auto"/>
              <w:jc w:val="center"/>
              <w:rPr>
                <w:rFonts w:ascii="宋体" w:hAnsi="宋体"/>
                <w:color w:val="000000"/>
                <w:sz w:val="24"/>
              </w:rPr>
            </w:pPr>
            <w:r>
              <w:rPr>
                <w:rFonts w:ascii="宋体" w:hAnsi="宋体" w:hint="eastAsia"/>
                <w:color w:val="000000"/>
                <w:sz w:val="24"/>
              </w:rPr>
              <w:t>东湖高新技术开发区高新四路和光谷一路交汇处</w:t>
            </w:r>
          </w:p>
        </w:tc>
        <w:tc>
          <w:tcPr>
            <w:tcW w:w="1736" w:type="dxa"/>
            <w:vAlign w:val="center"/>
          </w:tcPr>
          <w:p>
            <w:pPr>
              <w:spacing w:line="360" w:lineRule="auto"/>
              <w:jc w:val="center"/>
              <w:rPr>
                <w:rFonts w:ascii="宋体" w:hAnsi="宋体" w:hint="eastAsia"/>
                <w:color w:val="000000"/>
                <w:sz w:val="24"/>
              </w:rPr>
            </w:pPr>
            <w:r>
              <w:rPr>
                <w:rFonts w:ascii="宋体" w:hAnsi="宋体"/>
                <w:color w:val="000000"/>
                <w:sz w:val="24"/>
              </w:rPr>
              <w:t>武汉市东湖高新区曙光软件园三路</w:t>
            </w:r>
          </w:p>
        </w:tc>
        <w:tc>
          <w:tcPr>
            <w:tcW w:w="1737" w:type="dxa"/>
            <w:vAlign w:val="center"/>
          </w:tcPr>
          <w:p>
            <w:pPr>
              <w:spacing w:line="360" w:lineRule="auto"/>
              <w:jc w:val="center"/>
              <w:rPr>
                <w:rFonts w:ascii="宋体" w:hAnsi="宋体"/>
                <w:color w:val="000000"/>
                <w:sz w:val="24"/>
              </w:rPr>
            </w:pPr>
            <w:r>
              <w:rPr>
                <w:rFonts w:ascii="宋体" w:hAnsi="宋体" w:hint="eastAsia"/>
                <w:color w:val="000000"/>
                <w:sz w:val="24"/>
              </w:rPr>
              <w:t>武汉市东湖高新技术开发区关凤大道8号</w:t>
            </w:r>
          </w:p>
        </w:tc>
      </w:tr>
      <w:tr>
        <w:tblPrEx>
          <w:jc w:val="center"/>
          <w:tblLayout w:type="fixed"/>
          <w:tblCellMar>
            <w:top w:w="0" w:type="dxa"/>
            <w:left w:w="30" w:type="dxa"/>
            <w:bottom w:w="0" w:type="dxa"/>
            <w:right w:w="30" w:type="dxa"/>
          </w:tblCellMar>
          <w:tblLook w:val="0000"/>
        </w:tblPrEx>
        <w:trPr>
          <w:trHeight w:val="757"/>
          <w:jc w:val="center"/>
        </w:trPr>
        <w:tc>
          <w:tcPr>
            <w:tcW w:w="1736" w:type="dxa"/>
            <w:vAlign w:val="center"/>
          </w:tcPr>
          <w:p>
            <w:pPr>
              <w:spacing w:line="360" w:lineRule="auto"/>
              <w:jc w:val="center"/>
              <w:rPr>
                <w:rFonts w:ascii="宋体" w:hAnsi="宋体"/>
                <w:color w:val="000000"/>
                <w:sz w:val="24"/>
              </w:rPr>
            </w:pPr>
            <w:r>
              <w:rPr>
                <w:rFonts w:ascii="宋体" w:hAnsi="宋体" w:hint="eastAsia"/>
                <w:color w:val="000000"/>
                <w:sz w:val="24"/>
              </w:rPr>
              <w:t>市场均价</w:t>
            </w:r>
          </w:p>
        </w:tc>
        <w:tc>
          <w:tcPr>
            <w:tcW w:w="1736" w:type="dxa"/>
            <w:vAlign w:val="center"/>
          </w:tcPr>
          <w:p>
            <w:pPr>
              <w:spacing w:line="360" w:lineRule="auto"/>
              <w:jc w:val="center"/>
              <w:rPr>
                <w:rFonts w:ascii="宋体" w:hAnsi="宋体" w:hint="eastAsia"/>
                <w:color w:val="000000"/>
                <w:sz w:val="24"/>
              </w:rPr>
            </w:pPr>
            <w:r>
              <w:rPr>
                <w:rFonts w:ascii="宋体" w:hAnsi="宋体"/>
                <w:color w:val="000000"/>
                <w:sz w:val="24"/>
              </w:rPr>
              <w:t>6900</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5800</w:t>
            </w:r>
          </w:p>
        </w:tc>
        <w:tc>
          <w:tcPr>
            <w:tcW w:w="1737" w:type="dxa"/>
            <w:vAlign w:val="center"/>
          </w:tcPr>
          <w:p>
            <w:pPr>
              <w:spacing w:line="360" w:lineRule="auto"/>
              <w:jc w:val="center"/>
              <w:rPr>
                <w:rFonts w:ascii="宋体" w:hAnsi="宋体"/>
                <w:color w:val="000000"/>
                <w:sz w:val="24"/>
              </w:rPr>
            </w:pPr>
            <w:r>
              <w:rPr>
                <w:rFonts w:ascii="宋体" w:hAnsi="宋体" w:hint="eastAsia"/>
                <w:color w:val="000000"/>
                <w:sz w:val="24"/>
              </w:rPr>
              <w:t>6000</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5800</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5600</w:t>
            </w:r>
          </w:p>
        </w:tc>
        <w:tc>
          <w:tcPr>
            <w:tcW w:w="1737" w:type="dxa"/>
            <w:vAlign w:val="center"/>
          </w:tcPr>
          <w:p>
            <w:pPr>
              <w:spacing w:line="360" w:lineRule="auto"/>
              <w:jc w:val="center"/>
              <w:rPr>
                <w:rFonts w:ascii="宋体" w:hAnsi="宋体" w:hint="eastAsia"/>
                <w:color w:val="000000"/>
                <w:sz w:val="24"/>
              </w:rPr>
            </w:pPr>
            <w:r>
              <w:rPr>
                <w:rFonts w:ascii="宋体" w:hAnsi="宋体" w:hint="eastAsia"/>
                <w:color w:val="000000"/>
                <w:sz w:val="24"/>
              </w:rPr>
              <w:t>6400</w:t>
            </w:r>
          </w:p>
        </w:tc>
      </w:tr>
      <w:tr>
        <w:tblPrEx>
          <w:jc w:val="center"/>
          <w:tblLayout w:type="fixed"/>
          <w:tblCellMar>
            <w:top w:w="0" w:type="dxa"/>
            <w:left w:w="30" w:type="dxa"/>
            <w:bottom w:w="0" w:type="dxa"/>
            <w:right w:w="30" w:type="dxa"/>
          </w:tblCellMar>
          <w:tblLook w:val="0000"/>
        </w:tblPrEx>
        <w:trPr>
          <w:trHeight w:val="751"/>
          <w:jc w:val="center"/>
        </w:trPr>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在售栋数</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8栋</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5栋</w:t>
            </w:r>
          </w:p>
        </w:tc>
        <w:tc>
          <w:tcPr>
            <w:tcW w:w="1737" w:type="dxa"/>
            <w:vAlign w:val="center"/>
          </w:tcPr>
          <w:p>
            <w:pPr>
              <w:spacing w:line="360" w:lineRule="auto"/>
              <w:jc w:val="center"/>
              <w:rPr>
                <w:rFonts w:ascii="宋体" w:hAnsi="宋体" w:hint="eastAsia"/>
                <w:color w:val="000000"/>
                <w:sz w:val="24"/>
              </w:rPr>
            </w:pPr>
            <w:r>
              <w:rPr>
                <w:rFonts w:ascii="宋体" w:hAnsi="宋体" w:hint="eastAsia"/>
                <w:color w:val="000000"/>
                <w:sz w:val="24"/>
              </w:rPr>
              <w:t>4栋高层</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4栋</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一期6栋二期6栋</w:t>
            </w:r>
          </w:p>
        </w:tc>
        <w:tc>
          <w:tcPr>
            <w:tcW w:w="1737" w:type="dxa"/>
            <w:vAlign w:val="center"/>
          </w:tcPr>
          <w:p>
            <w:pPr>
              <w:spacing w:line="360" w:lineRule="auto"/>
              <w:jc w:val="center"/>
              <w:rPr>
                <w:rFonts w:ascii="宋体" w:hAnsi="宋体" w:hint="eastAsia"/>
                <w:color w:val="000000"/>
                <w:sz w:val="24"/>
              </w:rPr>
            </w:pPr>
            <w:r>
              <w:rPr>
                <w:rFonts w:ascii="宋体" w:hAnsi="宋体" w:hint="eastAsia"/>
                <w:color w:val="000000"/>
                <w:sz w:val="24"/>
              </w:rPr>
              <w:t>40栋</w:t>
            </w:r>
          </w:p>
        </w:tc>
      </w:tr>
      <w:tr>
        <w:tblPrEx>
          <w:jc w:val="center"/>
          <w:tblLayout w:type="fixed"/>
          <w:tblCellMar>
            <w:top w:w="0" w:type="dxa"/>
            <w:left w:w="30" w:type="dxa"/>
            <w:bottom w:w="0" w:type="dxa"/>
            <w:right w:w="30" w:type="dxa"/>
          </w:tblCellMar>
          <w:tblLook w:val="0000"/>
        </w:tblPrEx>
        <w:trPr>
          <w:trHeight w:val="761"/>
          <w:jc w:val="center"/>
        </w:trPr>
        <w:tc>
          <w:tcPr>
            <w:tcW w:w="1736" w:type="dxa"/>
            <w:vAlign w:val="center"/>
          </w:tcPr>
          <w:p>
            <w:pPr>
              <w:spacing w:line="360" w:lineRule="auto"/>
              <w:jc w:val="center"/>
              <w:rPr>
                <w:rFonts w:ascii="宋体" w:hAnsi="宋体"/>
                <w:color w:val="000000"/>
                <w:sz w:val="24"/>
              </w:rPr>
            </w:pPr>
            <w:r>
              <w:rPr>
                <w:rFonts w:ascii="宋体" w:hAnsi="宋体" w:hint="eastAsia"/>
                <w:color w:val="000000"/>
                <w:sz w:val="24"/>
              </w:rPr>
              <w:t>总户数</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480</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550</w:t>
            </w:r>
          </w:p>
        </w:tc>
        <w:tc>
          <w:tcPr>
            <w:tcW w:w="1737" w:type="dxa"/>
            <w:vAlign w:val="center"/>
          </w:tcPr>
          <w:p>
            <w:pPr>
              <w:spacing w:line="360" w:lineRule="auto"/>
              <w:jc w:val="center"/>
              <w:rPr>
                <w:rFonts w:ascii="宋体" w:hAnsi="宋体" w:hint="eastAsia"/>
                <w:color w:val="000000"/>
                <w:sz w:val="24"/>
              </w:rPr>
            </w:pPr>
            <w:r>
              <w:rPr>
                <w:rFonts w:ascii="宋体" w:hAnsi="宋体"/>
                <w:color w:val="000000"/>
                <w:sz w:val="24"/>
              </w:rPr>
              <w:t>370</w:t>
            </w:r>
            <w:r>
              <w:rPr>
                <w:rFonts w:ascii="宋体" w:hAnsi="宋体" w:hint="eastAsia"/>
                <w:color w:val="000000"/>
                <w:sz w:val="24"/>
              </w:rPr>
              <w:t>套</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500多套</w:t>
            </w:r>
          </w:p>
        </w:tc>
        <w:tc>
          <w:tcPr>
            <w:tcW w:w="1736" w:type="dxa"/>
            <w:vAlign w:val="center"/>
          </w:tcPr>
          <w:p>
            <w:pPr>
              <w:spacing w:line="360" w:lineRule="auto"/>
              <w:jc w:val="center"/>
              <w:rPr>
                <w:rFonts w:ascii="宋体" w:hAnsi="宋体"/>
                <w:color w:val="000000"/>
                <w:sz w:val="24"/>
              </w:rPr>
            </w:pPr>
            <w:r>
              <w:rPr>
                <w:rFonts w:ascii="宋体" w:hAnsi="宋体" w:hint="eastAsia"/>
                <w:color w:val="000000"/>
                <w:sz w:val="24"/>
              </w:rPr>
              <w:t>共计560套</w:t>
            </w:r>
          </w:p>
        </w:tc>
        <w:tc>
          <w:tcPr>
            <w:tcW w:w="1737" w:type="dxa"/>
            <w:vAlign w:val="center"/>
          </w:tcPr>
          <w:p>
            <w:pPr>
              <w:spacing w:line="360" w:lineRule="auto"/>
              <w:jc w:val="center"/>
              <w:rPr>
                <w:rFonts w:ascii="宋体" w:hAnsi="宋体" w:hint="eastAsia"/>
                <w:color w:val="000000"/>
                <w:sz w:val="24"/>
              </w:rPr>
            </w:pPr>
            <w:r>
              <w:rPr>
                <w:rFonts w:ascii="宋体" w:hAnsi="宋体" w:hint="eastAsia"/>
                <w:color w:val="000000"/>
                <w:sz w:val="24"/>
              </w:rPr>
              <w:t>3030</w:t>
            </w:r>
          </w:p>
        </w:tc>
      </w:tr>
      <w:tr>
        <w:tblPrEx>
          <w:jc w:val="center"/>
          <w:tblLayout w:type="fixed"/>
          <w:tblCellMar>
            <w:top w:w="0" w:type="dxa"/>
            <w:left w:w="30" w:type="dxa"/>
            <w:bottom w:w="0" w:type="dxa"/>
            <w:right w:w="30" w:type="dxa"/>
          </w:tblCellMar>
          <w:tblLook w:val="0000"/>
        </w:tblPrEx>
        <w:trPr>
          <w:trHeight w:val="767"/>
          <w:jc w:val="center"/>
        </w:trPr>
        <w:tc>
          <w:tcPr>
            <w:tcW w:w="1736" w:type="dxa"/>
            <w:vAlign w:val="center"/>
          </w:tcPr>
          <w:p>
            <w:pPr>
              <w:spacing w:line="360" w:lineRule="auto"/>
              <w:jc w:val="center"/>
              <w:rPr>
                <w:rFonts w:ascii="宋体" w:hAnsi="宋体"/>
                <w:color w:val="000000"/>
                <w:sz w:val="24"/>
              </w:rPr>
            </w:pPr>
            <w:r>
              <w:rPr>
                <w:rFonts w:ascii="宋体" w:hAnsi="宋体" w:hint="eastAsia"/>
                <w:color w:val="000000"/>
                <w:sz w:val="24"/>
              </w:rPr>
              <w:t>总建筑面积</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5.5万方        共计40万方</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共计80万方</w:t>
            </w:r>
          </w:p>
        </w:tc>
        <w:tc>
          <w:tcPr>
            <w:tcW w:w="1737" w:type="dxa"/>
            <w:vAlign w:val="center"/>
          </w:tcPr>
          <w:p>
            <w:pPr>
              <w:spacing w:line="360" w:lineRule="auto"/>
              <w:jc w:val="center"/>
              <w:rPr>
                <w:rFonts w:ascii="宋体" w:hAnsi="宋体"/>
                <w:color w:val="000000"/>
                <w:sz w:val="24"/>
              </w:rPr>
            </w:pPr>
            <w:r>
              <w:rPr>
                <w:rFonts w:ascii="宋体" w:hAnsi="宋体"/>
                <w:color w:val="000000"/>
                <w:sz w:val="24"/>
              </w:rPr>
              <w:t>74</w:t>
            </w:r>
            <w:r>
              <w:rPr>
                <w:rFonts w:ascii="宋体" w:hAnsi="宋体" w:hint="eastAsia"/>
                <w:color w:val="000000"/>
                <w:sz w:val="24"/>
              </w:rPr>
              <w:t>万方</w:t>
            </w:r>
            <w:r>
              <w:rPr>
                <w:rFonts w:ascii="宋体" w:hAnsi="宋体"/>
                <w:color w:val="000000"/>
                <w:sz w:val="24"/>
              </w:rPr>
              <w:t xml:space="preserve"> 24</w:t>
            </w:r>
            <w:r>
              <w:rPr>
                <w:rFonts w:ascii="宋体" w:hAnsi="宋体" w:hint="eastAsia"/>
                <w:color w:val="000000"/>
                <w:sz w:val="24"/>
              </w:rPr>
              <w:t>万方（一期一组团）</w:t>
            </w:r>
          </w:p>
        </w:tc>
        <w:tc>
          <w:tcPr>
            <w:tcW w:w="1736" w:type="dxa"/>
            <w:vAlign w:val="center"/>
          </w:tcPr>
          <w:p>
            <w:pPr>
              <w:spacing w:line="360" w:lineRule="auto"/>
              <w:jc w:val="center"/>
              <w:rPr>
                <w:rFonts w:ascii="宋体" w:hAnsi="宋体"/>
                <w:color w:val="000000"/>
                <w:sz w:val="24"/>
              </w:rPr>
            </w:pPr>
            <w:r>
              <w:rPr>
                <w:rFonts w:ascii="宋体" w:hAnsi="宋体"/>
                <w:color w:val="000000"/>
                <w:sz w:val="24"/>
              </w:rPr>
              <w:t>40</w:t>
            </w:r>
            <w:r>
              <w:rPr>
                <w:rFonts w:ascii="宋体" w:hAnsi="宋体" w:hint="eastAsia"/>
                <w:color w:val="000000"/>
                <w:sz w:val="24"/>
              </w:rPr>
              <w:t>万方</w:t>
            </w:r>
          </w:p>
        </w:tc>
        <w:tc>
          <w:tcPr>
            <w:tcW w:w="1736" w:type="dxa"/>
            <w:vAlign w:val="center"/>
          </w:tcPr>
          <w:p>
            <w:pPr>
              <w:spacing w:line="360" w:lineRule="auto"/>
              <w:jc w:val="center"/>
              <w:rPr>
                <w:rFonts w:ascii="宋体" w:hAnsi="宋体"/>
                <w:color w:val="000000"/>
                <w:sz w:val="24"/>
              </w:rPr>
            </w:pPr>
            <w:r>
              <w:rPr>
                <w:rFonts w:ascii="宋体" w:hAnsi="宋体" w:hint="eastAsia"/>
                <w:color w:val="000000"/>
                <w:sz w:val="24"/>
              </w:rPr>
              <w:t>4.2万方</w:t>
            </w:r>
          </w:p>
        </w:tc>
        <w:tc>
          <w:tcPr>
            <w:tcW w:w="1737" w:type="dxa"/>
            <w:vAlign w:val="center"/>
          </w:tcPr>
          <w:p>
            <w:pPr>
              <w:spacing w:line="360" w:lineRule="auto"/>
              <w:jc w:val="center"/>
              <w:rPr>
                <w:rFonts w:ascii="宋体" w:hAnsi="宋体" w:hint="eastAsia"/>
                <w:color w:val="000000"/>
                <w:sz w:val="24"/>
              </w:rPr>
            </w:pPr>
            <w:r>
              <w:rPr>
                <w:rFonts w:ascii="宋体" w:hAnsi="宋体" w:hint="eastAsia"/>
                <w:color w:val="000000"/>
                <w:sz w:val="24"/>
              </w:rPr>
              <w:t>59.1万方</w:t>
            </w:r>
          </w:p>
        </w:tc>
      </w:tr>
      <w:tr>
        <w:tblPrEx>
          <w:jc w:val="center"/>
          <w:tblLayout w:type="fixed"/>
          <w:tblCellMar>
            <w:top w:w="0" w:type="dxa"/>
            <w:left w:w="30" w:type="dxa"/>
            <w:bottom w:w="0" w:type="dxa"/>
            <w:right w:w="30" w:type="dxa"/>
          </w:tblCellMar>
          <w:tblLook w:val="0000"/>
        </w:tblPrEx>
        <w:trPr>
          <w:trHeight w:val="734"/>
          <w:jc w:val="center"/>
        </w:trPr>
        <w:tc>
          <w:tcPr>
            <w:tcW w:w="1736" w:type="dxa"/>
            <w:vAlign w:val="center"/>
          </w:tcPr>
          <w:p>
            <w:pPr>
              <w:spacing w:line="360" w:lineRule="auto"/>
              <w:jc w:val="center"/>
              <w:rPr>
                <w:rFonts w:ascii="宋体" w:hAnsi="宋体"/>
                <w:color w:val="000000"/>
                <w:sz w:val="24"/>
              </w:rPr>
            </w:pPr>
            <w:r>
              <w:rPr>
                <w:rFonts w:ascii="宋体" w:hAnsi="宋体" w:hint="eastAsia"/>
                <w:color w:val="000000"/>
                <w:sz w:val="24"/>
              </w:rPr>
              <w:t>主力户型</w:t>
            </w:r>
          </w:p>
        </w:tc>
        <w:tc>
          <w:tcPr>
            <w:tcW w:w="1736" w:type="dxa"/>
            <w:vAlign w:val="center"/>
          </w:tcPr>
          <w:p>
            <w:pPr>
              <w:spacing w:line="360" w:lineRule="auto"/>
              <w:jc w:val="center"/>
              <w:rPr>
                <w:rFonts w:ascii="宋体" w:hAnsi="宋体"/>
                <w:color w:val="000000"/>
                <w:sz w:val="24"/>
              </w:rPr>
            </w:pPr>
            <w:r>
              <w:rPr>
                <w:rFonts w:ascii="宋体" w:hAnsi="宋体" w:hint="eastAsia"/>
                <w:color w:val="000000"/>
                <w:sz w:val="24"/>
              </w:rPr>
              <w:t>93㎡,104㎡-110㎡3*2</w:t>
            </w:r>
          </w:p>
        </w:tc>
        <w:tc>
          <w:tcPr>
            <w:tcW w:w="1736" w:type="dxa"/>
            <w:vAlign w:val="center"/>
          </w:tcPr>
          <w:p>
            <w:pPr>
              <w:spacing w:line="360" w:lineRule="auto"/>
              <w:jc w:val="center"/>
              <w:rPr>
                <w:rFonts w:ascii="宋体" w:hAnsi="宋体" w:hint="eastAsia"/>
                <w:color w:val="000000"/>
                <w:sz w:val="24"/>
              </w:rPr>
            </w:pPr>
            <w:r>
              <w:rPr>
                <w:rFonts w:ascii="宋体" w:hAnsi="宋体" w:hint="eastAsia"/>
                <w:color w:val="000000"/>
                <w:sz w:val="24"/>
              </w:rPr>
              <w:t>3*2 2*2</w:t>
            </w:r>
          </w:p>
        </w:tc>
        <w:tc>
          <w:tcPr>
            <w:tcW w:w="1737" w:type="dxa"/>
            <w:vAlign w:val="center"/>
          </w:tcPr>
          <w:p>
            <w:pPr>
              <w:spacing w:line="360" w:lineRule="auto"/>
              <w:jc w:val="center"/>
              <w:rPr>
                <w:rFonts w:ascii="宋体" w:hAnsi="宋体"/>
                <w:color w:val="000000"/>
                <w:sz w:val="24"/>
              </w:rPr>
            </w:pPr>
            <w:r>
              <w:rPr>
                <w:rFonts w:ascii="宋体" w:hAnsi="宋体"/>
                <w:color w:val="000000"/>
                <w:sz w:val="24"/>
              </w:rPr>
              <w:t>2*2 3*2</w:t>
            </w:r>
          </w:p>
        </w:tc>
        <w:tc>
          <w:tcPr>
            <w:tcW w:w="1736" w:type="dxa"/>
            <w:vAlign w:val="center"/>
          </w:tcPr>
          <w:p>
            <w:pPr>
              <w:spacing w:line="360" w:lineRule="auto"/>
              <w:jc w:val="center"/>
              <w:rPr>
                <w:rFonts w:ascii="宋体" w:hAnsi="宋体"/>
                <w:color w:val="000000"/>
                <w:sz w:val="24"/>
              </w:rPr>
            </w:pPr>
            <w:r>
              <w:rPr>
                <w:rFonts w:ascii="宋体" w:hAnsi="宋体"/>
                <w:color w:val="000000"/>
                <w:sz w:val="24"/>
              </w:rPr>
              <w:t>2*2</w:t>
            </w:r>
          </w:p>
        </w:tc>
        <w:tc>
          <w:tcPr>
            <w:tcW w:w="1736" w:type="dxa"/>
            <w:vAlign w:val="center"/>
          </w:tcPr>
          <w:p>
            <w:pPr>
              <w:spacing w:line="360" w:lineRule="auto"/>
              <w:jc w:val="center"/>
              <w:rPr>
                <w:rFonts w:ascii="宋体" w:hAnsi="宋体"/>
                <w:color w:val="000000"/>
                <w:sz w:val="24"/>
              </w:rPr>
            </w:pPr>
            <w:r>
              <w:rPr>
                <w:rFonts w:ascii="宋体" w:hAnsi="宋体"/>
                <w:color w:val="000000"/>
                <w:sz w:val="24"/>
              </w:rPr>
              <w:t>2*2 3*2</w:t>
            </w:r>
          </w:p>
        </w:tc>
        <w:tc>
          <w:tcPr>
            <w:tcW w:w="1737" w:type="dxa"/>
            <w:vAlign w:val="center"/>
          </w:tcPr>
          <w:p>
            <w:pPr>
              <w:spacing w:line="360" w:lineRule="auto"/>
              <w:jc w:val="center"/>
              <w:rPr>
                <w:rFonts w:ascii="宋体" w:hAnsi="宋体" w:hint="eastAsia"/>
                <w:color w:val="000000"/>
                <w:sz w:val="24"/>
              </w:rPr>
            </w:pPr>
            <w:r>
              <w:rPr>
                <w:rFonts w:ascii="宋体" w:hAnsi="宋体" w:hint="eastAsia"/>
                <w:color w:val="000000"/>
                <w:sz w:val="24"/>
              </w:rPr>
              <w:t>2*2 3*2</w:t>
            </w:r>
          </w:p>
        </w:tc>
      </w:tr>
    </w:tbl>
    <w:p>
      <w:pPr>
        <w:spacing w:line="500" w:lineRule="auto"/>
        <w:ind w:firstLine="480" w:firstLineChars="200"/>
        <w:rPr>
          <w:rFonts w:ascii="宋体" w:hAnsi="宋体" w:hint="eastAsia"/>
          <w:sz w:val="24"/>
        </w:rPr>
        <w:sectPr>
          <w:type w:val="nextPage"/>
          <w:pgSz w:w="16838" w:h="11906" w:orient="landscape"/>
          <w:pgMar w:top="1797" w:right="1440" w:bottom="1701" w:left="1440" w:header="851" w:footer="992" w:gutter="0"/>
          <w:pgNumType w:fmt="decimal" w:start="18"/>
          <w:cols w:space="708"/>
          <w:titlePg w:val="0"/>
          <w:docGrid w:type="lines" w:linePitch="312"/>
        </w:sectPr>
      </w:pPr>
      <w:bookmarkStart w:id="23" w:name="_Toc182639470"/>
      <w:r>
        <w:rPr>
          <w:rFonts w:ascii="宋体" w:hAnsi="宋体" w:hint="eastAsia"/>
          <w:sz w:val="24"/>
        </w:rPr>
        <w:t>本案周边聚集了清江山水、当代国际花园、万科魅力之城、</w:t>
      </w:r>
      <w:hyperlink w:tgtFrame="_blank" w:history="1">
        <w:r>
          <w:rPr>
            <w:rStyle w:val="Hyperlink"/>
            <w:rFonts w:ascii="宋体" w:hAnsi="宋体"/>
            <w:color w:val="auto"/>
            <w:sz w:val="24"/>
          </w:rPr>
          <w:t>芭比伦堡</w:t>
        </w:r>
      </w:hyperlink>
      <w:r>
        <w:rPr>
          <w:rFonts w:ascii="宋体" w:hAnsi="宋体" w:hint="eastAsia"/>
          <w:sz w:val="24"/>
        </w:rPr>
        <w:t>、锦绣龙城、光谷坐标城等六个楼盘，除</w:t>
      </w:r>
      <w:hyperlink w:tgtFrame="_blank" w:history="1">
        <w:r>
          <w:rPr>
            <w:rStyle w:val="Hyperlink"/>
            <w:rFonts w:ascii="宋体" w:hAnsi="宋体"/>
            <w:color w:val="auto"/>
            <w:sz w:val="24"/>
          </w:rPr>
          <w:t>芭比伦堡</w:t>
        </w:r>
      </w:hyperlink>
    </w:p>
    <w:p>
      <w:pPr>
        <w:spacing w:line="500" w:lineRule="auto"/>
        <w:ind w:firstLine="480" w:firstLineChars="200"/>
        <w:rPr>
          <w:rFonts w:ascii="宋体" w:hAnsi="宋体" w:hint="eastAsia"/>
          <w:sz w:val="24"/>
        </w:rPr>
      </w:pPr>
      <w:r>
        <w:rPr>
          <w:rFonts w:ascii="宋体" w:hAnsi="宋体" w:hint="eastAsia"/>
          <w:sz w:val="24"/>
        </w:rPr>
        <w:t>外其他的楼盘体量都非常大，特别是清江山水总的开发达成了74万方。此五个项目都是于今年年终开盘总的体量达成1500套左右，面积多在80-135平方之间。物业类型基本都是小高层和多层。物业类型与户型面积与本案相似，加之本案是在明年4月推出，对前期蓄水期的影响非常大。</w:t>
      </w:r>
      <w:bookmarkEnd w:id="23"/>
    </w:p>
    <w:p>
      <w:pPr>
        <w:pStyle w:val="Heading3"/>
        <w:numPr>
          <w:ilvl w:val="2"/>
          <w:numId w:val="0"/>
        </w:numPr>
        <w:spacing w:before="0" w:beforeLines="0" w:after="0" w:afterLines="0" w:line="500" w:lineRule="auto"/>
        <w:rPr>
          <w:rFonts w:ascii="宋体" w:eastAsia="宋体" w:hAnsi="宋体" w:cs="宋体"/>
          <w:sz w:val="24"/>
          <w:szCs w:val="24"/>
        </w:rPr>
      </w:pPr>
      <w:r>
        <w:rPr>
          <w:rFonts w:ascii="宋体" w:eastAsia="宋体" w:hAnsi="宋体"/>
          <w:sz w:val="24"/>
          <w:szCs w:val="24"/>
        </w:rPr>
        <w:t>（三）、未来竞争楼盘供应趋势</w:t>
      </w:r>
    </w:p>
    <w:tbl>
      <w:tblPr>
        <w:tblStyle w:val="TableNormal"/>
        <w:jc w:val="center"/>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043"/>
        <w:gridCol w:w="4332"/>
        <w:gridCol w:w="3251"/>
      </w:tblGrid>
      <w:tr>
        <w:tblPrEx>
          <w:jc w:val="center"/>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5043" w:type="dxa"/>
            <w:shd w:val="clear" w:color="auto" w:fill="FF9900"/>
            <w:vAlign w:val="center"/>
          </w:tcPr>
          <w:p>
            <w:pPr>
              <w:spacing w:line="360" w:lineRule="auto"/>
              <w:jc w:val="center"/>
              <w:rPr>
                <w:rFonts w:ascii="宋体" w:hAnsi="宋体" w:hint="eastAsia"/>
                <w:color w:val="000000"/>
                <w:sz w:val="24"/>
              </w:rPr>
            </w:pPr>
            <w:r>
              <w:rPr>
                <w:rFonts w:ascii="宋体" w:hAnsi="宋体" w:hint="eastAsia"/>
                <w:color w:val="000000"/>
                <w:sz w:val="24"/>
              </w:rPr>
              <w:t>楼盘名称</w:t>
            </w:r>
          </w:p>
        </w:tc>
        <w:tc>
          <w:tcPr>
            <w:tcW w:w="4332" w:type="dxa"/>
            <w:shd w:val="clear" w:color="auto" w:fill="FF9900"/>
          </w:tcPr>
          <w:p>
            <w:pPr>
              <w:spacing w:line="360" w:lineRule="auto"/>
              <w:jc w:val="center"/>
              <w:rPr>
                <w:rFonts w:ascii="宋体" w:hAnsi="宋体" w:hint="eastAsia"/>
                <w:color w:val="000000"/>
                <w:sz w:val="24"/>
              </w:rPr>
            </w:pPr>
            <w:r>
              <w:rPr>
                <w:rFonts w:ascii="宋体" w:hAnsi="宋体" w:hint="eastAsia"/>
                <w:color w:val="000000"/>
                <w:sz w:val="24"/>
              </w:rPr>
              <w:t>当前供应面积</w:t>
            </w:r>
          </w:p>
        </w:tc>
        <w:tc>
          <w:tcPr>
            <w:tcW w:w="3251" w:type="dxa"/>
            <w:shd w:val="clear" w:color="auto" w:fill="FF9900"/>
            <w:vAlign w:val="center"/>
          </w:tcPr>
          <w:p>
            <w:pPr>
              <w:spacing w:line="360" w:lineRule="auto"/>
              <w:jc w:val="center"/>
              <w:rPr>
                <w:rFonts w:ascii="宋体" w:hAnsi="宋体" w:hint="eastAsia"/>
                <w:color w:val="000000"/>
                <w:sz w:val="24"/>
              </w:rPr>
            </w:pPr>
            <w:r>
              <w:rPr>
                <w:rFonts w:ascii="宋体" w:hAnsi="宋体" w:hint="eastAsia"/>
                <w:color w:val="000000"/>
                <w:sz w:val="24"/>
              </w:rPr>
              <w:t>未来供应面积</w:t>
            </w:r>
          </w:p>
        </w:tc>
      </w:tr>
      <w:tr>
        <w:tblPrEx>
          <w:jc w:val="center"/>
          <w:tblInd w:w="-605" w:type="dxa"/>
          <w:tblLayout w:type="fixed"/>
          <w:tblCellMar>
            <w:top w:w="0" w:type="dxa"/>
            <w:left w:w="108" w:type="dxa"/>
            <w:bottom w:w="0" w:type="dxa"/>
            <w:right w:w="108" w:type="dxa"/>
          </w:tblCellMar>
          <w:tblLook w:val="0000"/>
        </w:tblPrEx>
        <w:trPr>
          <w:cantSplit/>
          <w:jc w:val="center"/>
        </w:trPr>
        <w:tc>
          <w:tcPr>
            <w:tcW w:w="5043" w:type="dxa"/>
            <w:vAlign w:val="center"/>
          </w:tcPr>
          <w:p>
            <w:pPr>
              <w:spacing w:line="360" w:lineRule="auto"/>
              <w:jc w:val="center"/>
              <w:rPr>
                <w:rFonts w:ascii="宋体" w:hAnsi="宋体" w:hint="eastAsia"/>
                <w:color w:val="000000"/>
                <w:sz w:val="24"/>
              </w:rPr>
            </w:pPr>
            <w:r>
              <w:rPr>
                <w:rFonts w:ascii="宋体" w:hAnsi="宋体" w:hint="eastAsia"/>
                <w:color w:val="000000"/>
                <w:sz w:val="24"/>
              </w:rPr>
              <w:t>清江山水</w:t>
            </w:r>
          </w:p>
        </w:tc>
        <w:tc>
          <w:tcPr>
            <w:tcW w:w="4332" w:type="dxa"/>
            <w:vAlign w:val="center"/>
          </w:tcPr>
          <w:p>
            <w:pPr>
              <w:spacing w:line="360" w:lineRule="auto"/>
              <w:jc w:val="center"/>
              <w:rPr>
                <w:rFonts w:ascii="宋体" w:hAnsi="宋体" w:hint="eastAsia"/>
                <w:color w:val="000000"/>
                <w:sz w:val="24"/>
              </w:rPr>
            </w:pPr>
            <w:r>
              <w:rPr>
                <w:rFonts w:ascii="宋体" w:hAnsi="宋体" w:hint="eastAsia"/>
                <w:color w:val="000000"/>
                <w:sz w:val="24"/>
              </w:rPr>
              <w:t>约5万方</w:t>
            </w:r>
          </w:p>
        </w:tc>
        <w:tc>
          <w:tcPr>
            <w:tcW w:w="3251" w:type="dxa"/>
            <w:vAlign w:val="center"/>
          </w:tcPr>
          <w:p>
            <w:pPr>
              <w:spacing w:line="360" w:lineRule="auto"/>
              <w:jc w:val="center"/>
              <w:rPr>
                <w:rFonts w:ascii="宋体" w:hAnsi="宋体" w:hint="eastAsia"/>
                <w:color w:val="000000"/>
                <w:sz w:val="24"/>
              </w:rPr>
            </w:pPr>
            <w:r>
              <w:rPr>
                <w:rFonts w:ascii="宋体" w:hAnsi="宋体" w:hint="eastAsia"/>
                <w:color w:val="000000"/>
                <w:sz w:val="24"/>
              </w:rPr>
              <w:t>约60万方</w:t>
            </w:r>
          </w:p>
        </w:tc>
      </w:tr>
      <w:tr>
        <w:tblPrEx>
          <w:jc w:val="center"/>
          <w:tblInd w:w="-605" w:type="dxa"/>
          <w:tblLayout w:type="fixed"/>
          <w:tblCellMar>
            <w:top w:w="0" w:type="dxa"/>
            <w:left w:w="108" w:type="dxa"/>
            <w:bottom w:w="0" w:type="dxa"/>
            <w:right w:w="108" w:type="dxa"/>
          </w:tblCellMar>
          <w:tblLook w:val="0000"/>
        </w:tblPrEx>
        <w:trPr>
          <w:cantSplit/>
          <w:jc w:val="center"/>
        </w:trPr>
        <w:tc>
          <w:tcPr>
            <w:tcW w:w="5043" w:type="dxa"/>
            <w:vAlign w:val="center"/>
          </w:tcPr>
          <w:p>
            <w:pPr>
              <w:spacing w:line="360" w:lineRule="auto"/>
              <w:jc w:val="center"/>
              <w:rPr>
                <w:rFonts w:ascii="宋体" w:hAnsi="宋体" w:hint="eastAsia"/>
                <w:sz w:val="24"/>
              </w:rPr>
            </w:pPr>
            <w:r>
              <w:rPr>
                <w:rFonts w:ascii="宋体" w:hAnsi="宋体" w:hint="eastAsia"/>
                <w:sz w:val="24"/>
              </w:rPr>
              <w:t>当代国际花园</w:t>
            </w:r>
          </w:p>
        </w:tc>
        <w:tc>
          <w:tcPr>
            <w:tcW w:w="4332" w:type="dxa"/>
            <w:vAlign w:val="center"/>
          </w:tcPr>
          <w:p>
            <w:pPr>
              <w:spacing w:line="360" w:lineRule="auto"/>
              <w:jc w:val="center"/>
              <w:rPr>
                <w:rFonts w:ascii="宋体" w:hAnsi="宋体" w:hint="eastAsia"/>
                <w:color w:val="000000"/>
                <w:sz w:val="24"/>
              </w:rPr>
            </w:pPr>
            <w:r>
              <w:rPr>
                <w:rFonts w:ascii="宋体" w:hAnsi="宋体" w:hint="eastAsia"/>
                <w:color w:val="000000"/>
                <w:sz w:val="24"/>
              </w:rPr>
              <w:t>约8万方</w:t>
            </w:r>
          </w:p>
        </w:tc>
        <w:tc>
          <w:tcPr>
            <w:tcW w:w="3251" w:type="dxa"/>
            <w:vAlign w:val="center"/>
          </w:tcPr>
          <w:p>
            <w:pPr>
              <w:spacing w:line="360" w:lineRule="auto"/>
              <w:jc w:val="center"/>
              <w:rPr>
                <w:rFonts w:ascii="宋体" w:hAnsi="宋体" w:hint="eastAsia"/>
                <w:color w:val="000000"/>
                <w:sz w:val="24"/>
              </w:rPr>
            </w:pPr>
            <w:r>
              <w:rPr>
                <w:rFonts w:ascii="宋体" w:hAnsi="宋体" w:hint="eastAsia"/>
                <w:color w:val="000000"/>
                <w:sz w:val="24"/>
              </w:rPr>
              <w:t>约20万方</w:t>
            </w:r>
          </w:p>
        </w:tc>
      </w:tr>
      <w:tr>
        <w:tblPrEx>
          <w:jc w:val="center"/>
          <w:tblInd w:w="-605" w:type="dxa"/>
          <w:tblLayout w:type="fixed"/>
          <w:tblCellMar>
            <w:top w:w="0" w:type="dxa"/>
            <w:left w:w="108" w:type="dxa"/>
            <w:bottom w:w="0" w:type="dxa"/>
            <w:right w:w="108" w:type="dxa"/>
          </w:tblCellMar>
          <w:tblLook w:val="0000"/>
        </w:tblPrEx>
        <w:trPr>
          <w:cantSplit/>
          <w:jc w:val="center"/>
        </w:trPr>
        <w:tc>
          <w:tcPr>
            <w:tcW w:w="5043" w:type="dxa"/>
            <w:shd w:val="clear" w:color="auto" w:fill="FFFFFF"/>
            <w:vAlign w:val="center"/>
          </w:tcPr>
          <w:p>
            <w:pPr>
              <w:spacing w:line="360" w:lineRule="auto"/>
              <w:jc w:val="center"/>
              <w:rPr>
                <w:rFonts w:ascii="宋体" w:hAnsi="宋体" w:hint="eastAsia"/>
                <w:color w:val="000000"/>
                <w:sz w:val="24"/>
              </w:rPr>
            </w:pPr>
            <w:r>
              <w:rPr>
                <w:rFonts w:ascii="宋体" w:hAnsi="宋体" w:hint="eastAsia"/>
                <w:color w:val="000000"/>
                <w:sz w:val="24"/>
              </w:rPr>
              <w:t>万科魅力之城</w:t>
            </w:r>
          </w:p>
        </w:tc>
        <w:tc>
          <w:tcPr>
            <w:tcW w:w="4332" w:type="dxa"/>
            <w:shd w:val="clear" w:color="auto" w:fill="FFFFFF"/>
            <w:vAlign w:val="center"/>
          </w:tcPr>
          <w:p>
            <w:pPr>
              <w:spacing w:line="360" w:lineRule="auto"/>
              <w:jc w:val="center"/>
              <w:rPr>
                <w:rFonts w:ascii="宋体" w:hAnsi="宋体" w:hint="eastAsia"/>
                <w:color w:val="000000"/>
                <w:sz w:val="24"/>
              </w:rPr>
            </w:pPr>
            <w:r>
              <w:rPr>
                <w:rFonts w:ascii="宋体" w:hAnsi="宋体" w:hint="eastAsia"/>
                <w:color w:val="000000"/>
                <w:sz w:val="24"/>
              </w:rPr>
              <w:t>约4万方</w:t>
            </w:r>
          </w:p>
        </w:tc>
        <w:tc>
          <w:tcPr>
            <w:tcW w:w="3251" w:type="dxa"/>
            <w:shd w:val="clear" w:color="auto" w:fill="FFFFFF"/>
            <w:vAlign w:val="center"/>
          </w:tcPr>
          <w:p>
            <w:pPr>
              <w:spacing w:line="360" w:lineRule="auto"/>
              <w:jc w:val="center"/>
              <w:rPr>
                <w:rFonts w:ascii="宋体" w:hAnsi="宋体" w:hint="eastAsia"/>
                <w:color w:val="000000"/>
                <w:sz w:val="24"/>
              </w:rPr>
            </w:pPr>
            <w:r>
              <w:rPr>
                <w:rFonts w:ascii="宋体" w:hAnsi="宋体" w:hint="eastAsia"/>
                <w:color w:val="000000"/>
                <w:sz w:val="24"/>
              </w:rPr>
              <w:t>约30万方</w:t>
            </w:r>
          </w:p>
        </w:tc>
      </w:tr>
      <w:tr>
        <w:tblPrEx>
          <w:jc w:val="center"/>
          <w:tblInd w:w="-605" w:type="dxa"/>
          <w:tblLayout w:type="fixed"/>
          <w:tblCellMar>
            <w:top w:w="0" w:type="dxa"/>
            <w:left w:w="108" w:type="dxa"/>
            <w:bottom w:w="0" w:type="dxa"/>
            <w:right w:w="108" w:type="dxa"/>
          </w:tblCellMar>
          <w:tblLook w:val="0000"/>
        </w:tblPrEx>
        <w:trPr>
          <w:cantSplit/>
          <w:trHeight w:val="480"/>
          <w:jc w:val="center"/>
        </w:trPr>
        <w:tc>
          <w:tcPr>
            <w:tcW w:w="5043" w:type="dxa"/>
            <w:shd w:val="clear" w:color="auto" w:fill="FFFFFF"/>
            <w:vAlign w:val="center"/>
          </w:tcPr>
          <w:p>
            <w:pPr>
              <w:spacing w:line="360" w:lineRule="auto"/>
              <w:jc w:val="center"/>
              <w:rPr>
                <w:rFonts w:ascii="宋体" w:hAnsi="宋体" w:hint="eastAsia"/>
                <w:color w:val="000000"/>
                <w:sz w:val="24"/>
              </w:rPr>
            </w:pPr>
            <w:hyperlink r:id="rId7" w:tgtFrame="_blank" w:history="1">
              <w:r>
                <w:rPr>
                  <w:rStyle w:val="Hyperlink"/>
                  <w:rFonts w:ascii="宋体" w:hAnsi="宋体"/>
                  <w:color w:val="000000"/>
                  <w:sz w:val="24"/>
                </w:rPr>
                <w:t>芭比伦堡</w:t>
              </w:r>
            </w:hyperlink>
          </w:p>
        </w:tc>
        <w:tc>
          <w:tcPr>
            <w:tcW w:w="4332" w:type="dxa"/>
            <w:shd w:val="clear" w:color="auto" w:fill="FFFFFF"/>
            <w:vAlign w:val="center"/>
          </w:tcPr>
          <w:p>
            <w:pPr>
              <w:spacing w:line="360" w:lineRule="auto"/>
              <w:jc w:val="center"/>
              <w:rPr>
                <w:rFonts w:ascii="宋体" w:hAnsi="宋体" w:hint="eastAsia"/>
                <w:color w:val="000000"/>
                <w:sz w:val="24"/>
              </w:rPr>
            </w:pPr>
            <w:r>
              <w:rPr>
                <w:rFonts w:ascii="宋体" w:hAnsi="宋体" w:hint="eastAsia"/>
                <w:color w:val="000000"/>
                <w:sz w:val="24"/>
              </w:rPr>
              <w:t>约2万方</w:t>
            </w:r>
          </w:p>
        </w:tc>
        <w:tc>
          <w:tcPr>
            <w:tcW w:w="3251" w:type="dxa"/>
            <w:shd w:val="clear" w:color="auto" w:fill="FFFFFF"/>
            <w:vAlign w:val="center"/>
          </w:tcPr>
          <w:p>
            <w:pPr>
              <w:spacing w:line="360" w:lineRule="auto"/>
              <w:jc w:val="center"/>
              <w:rPr>
                <w:rFonts w:ascii="宋体" w:hAnsi="宋体" w:hint="eastAsia"/>
                <w:color w:val="000000"/>
                <w:sz w:val="24"/>
              </w:rPr>
            </w:pPr>
            <w:r>
              <w:rPr>
                <w:rFonts w:ascii="宋体" w:hAnsi="宋体" w:hint="eastAsia"/>
                <w:color w:val="000000"/>
                <w:sz w:val="24"/>
              </w:rPr>
              <w:t>约2万方</w:t>
            </w:r>
          </w:p>
        </w:tc>
      </w:tr>
      <w:tr>
        <w:tblPrEx>
          <w:jc w:val="center"/>
          <w:tblInd w:w="-605" w:type="dxa"/>
          <w:tblLayout w:type="fixed"/>
          <w:tblCellMar>
            <w:top w:w="0" w:type="dxa"/>
            <w:left w:w="108" w:type="dxa"/>
            <w:bottom w:w="0" w:type="dxa"/>
            <w:right w:w="108" w:type="dxa"/>
          </w:tblCellMar>
          <w:tblLook w:val="0000"/>
        </w:tblPrEx>
        <w:trPr>
          <w:cantSplit/>
          <w:jc w:val="center"/>
        </w:trPr>
        <w:tc>
          <w:tcPr>
            <w:tcW w:w="5043" w:type="dxa"/>
            <w:vAlign w:val="center"/>
          </w:tcPr>
          <w:p>
            <w:pPr>
              <w:spacing w:line="360" w:lineRule="auto"/>
              <w:jc w:val="center"/>
              <w:rPr>
                <w:rFonts w:ascii="宋体" w:hAnsi="宋体" w:hint="eastAsia"/>
                <w:color w:val="000000"/>
                <w:sz w:val="24"/>
              </w:rPr>
            </w:pPr>
            <w:r>
              <w:rPr>
                <w:rFonts w:ascii="宋体" w:hAnsi="宋体" w:hint="eastAsia"/>
                <w:color w:val="000000"/>
                <w:sz w:val="24"/>
              </w:rPr>
              <w:t>锦绣龙城</w:t>
            </w:r>
          </w:p>
        </w:tc>
        <w:tc>
          <w:tcPr>
            <w:tcW w:w="4332" w:type="dxa"/>
            <w:vAlign w:val="center"/>
          </w:tcPr>
          <w:p>
            <w:pPr>
              <w:spacing w:line="360" w:lineRule="auto"/>
              <w:jc w:val="center"/>
              <w:rPr>
                <w:rFonts w:ascii="宋体" w:hAnsi="宋体" w:hint="eastAsia"/>
                <w:color w:val="000000"/>
                <w:sz w:val="24"/>
              </w:rPr>
            </w:pPr>
            <w:r>
              <w:rPr>
                <w:rFonts w:ascii="宋体" w:hAnsi="宋体" w:hint="eastAsia"/>
                <w:color w:val="000000"/>
                <w:sz w:val="24"/>
              </w:rPr>
              <w:t>约7万方</w:t>
            </w:r>
          </w:p>
        </w:tc>
        <w:tc>
          <w:tcPr>
            <w:tcW w:w="3251" w:type="dxa"/>
            <w:vAlign w:val="center"/>
          </w:tcPr>
          <w:p>
            <w:pPr>
              <w:spacing w:line="360" w:lineRule="auto"/>
              <w:jc w:val="center"/>
              <w:rPr>
                <w:rFonts w:ascii="宋体" w:hAnsi="宋体" w:hint="eastAsia"/>
                <w:color w:val="000000"/>
                <w:sz w:val="24"/>
              </w:rPr>
            </w:pPr>
            <w:r>
              <w:rPr>
                <w:rFonts w:ascii="宋体" w:hAnsi="宋体" w:hint="eastAsia"/>
                <w:color w:val="000000"/>
                <w:sz w:val="24"/>
              </w:rPr>
              <w:t>约30万方</w:t>
            </w:r>
          </w:p>
        </w:tc>
      </w:tr>
      <w:tr>
        <w:tblPrEx>
          <w:jc w:val="center"/>
          <w:tblInd w:w="-605" w:type="dxa"/>
          <w:tblLayout w:type="fixed"/>
          <w:tblCellMar>
            <w:top w:w="0" w:type="dxa"/>
            <w:left w:w="108" w:type="dxa"/>
            <w:bottom w:w="0" w:type="dxa"/>
            <w:right w:w="108" w:type="dxa"/>
          </w:tblCellMar>
          <w:tblLook w:val="0000"/>
        </w:tblPrEx>
        <w:trPr>
          <w:cantSplit/>
          <w:jc w:val="center"/>
        </w:trPr>
        <w:tc>
          <w:tcPr>
            <w:tcW w:w="5043" w:type="dxa"/>
            <w:vAlign w:val="center"/>
          </w:tcPr>
          <w:p>
            <w:pPr>
              <w:spacing w:line="360" w:lineRule="auto"/>
              <w:jc w:val="center"/>
              <w:rPr>
                <w:rFonts w:ascii="宋体" w:hAnsi="宋体" w:hint="eastAsia"/>
                <w:color w:val="000000"/>
                <w:sz w:val="24"/>
              </w:rPr>
            </w:pPr>
            <w:r>
              <w:rPr>
                <w:rFonts w:ascii="宋体" w:hAnsi="宋体" w:hint="eastAsia"/>
                <w:color w:val="000000"/>
                <w:sz w:val="24"/>
              </w:rPr>
              <w:t>光谷坐标城</w:t>
            </w:r>
          </w:p>
        </w:tc>
        <w:tc>
          <w:tcPr>
            <w:tcW w:w="4332" w:type="dxa"/>
            <w:vAlign w:val="center"/>
          </w:tcPr>
          <w:p>
            <w:pPr>
              <w:spacing w:line="360" w:lineRule="auto"/>
              <w:jc w:val="center"/>
              <w:rPr>
                <w:rFonts w:ascii="宋体" w:hAnsi="宋体" w:hint="eastAsia"/>
                <w:color w:val="000000"/>
                <w:sz w:val="24"/>
              </w:rPr>
            </w:pPr>
            <w:r>
              <w:rPr>
                <w:rFonts w:ascii="宋体" w:hAnsi="宋体" w:hint="eastAsia"/>
                <w:color w:val="000000"/>
                <w:sz w:val="24"/>
              </w:rPr>
              <w:t>约3万方（已售完）</w:t>
            </w:r>
          </w:p>
        </w:tc>
        <w:tc>
          <w:tcPr>
            <w:tcW w:w="3251" w:type="dxa"/>
            <w:vAlign w:val="center"/>
          </w:tcPr>
          <w:p>
            <w:pPr>
              <w:spacing w:line="360" w:lineRule="auto"/>
              <w:jc w:val="center"/>
              <w:rPr>
                <w:rFonts w:ascii="宋体" w:hAnsi="宋体" w:hint="eastAsia"/>
                <w:color w:val="000000"/>
                <w:sz w:val="24"/>
              </w:rPr>
            </w:pPr>
            <w:r>
              <w:rPr>
                <w:rFonts w:ascii="宋体" w:hAnsi="宋体" w:hint="eastAsia"/>
                <w:color w:val="000000"/>
                <w:sz w:val="24"/>
              </w:rPr>
              <w:t>约7万方</w:t>
            </w:r>
          </w:p>
        </w:tc>
      </w:tr>
      <w:tr>
        <w:tblPrEx>
          <w:jc w:val="center"/>
          <w:tblInd w:w="-605" w:type="dxa"/>
          <w:tblLayout w:type="fixed"/>
          <w:tblCellMar>
            <w:top w:w="0" w:type="dxa"/>
            <w:left w:w="108" w:type="dxa"/>
            <w:bottom w:w="0" w:type="dxa"/>
            <w:right w:w="108" w:type="dxa"/>
          </w:tblCellMar>
          <w:tblLook w:val="0000"/>
        </w:tblPrEx>
        <w:trPr>
          <w:cantSplit/>
          <w:jc w:val="center"/>
        </w:trPr>
        <w:tc>
          <w:tcPr>
            <w:tcW w:w="5043" w:type="dxa"/>
            <w:vAlign w:val="center"/>
          </w:tcPr>
          <w:p>
            <w:pPr>
              <w:spacing w:line="360" w:lineRule="auto"/>
              <w:jc w:val="center"/>
              <w:rPr>
                <w:rFonts w:ascii="宋体" w:hAnsi="宋体" w:hint="eastAsia"/>
                <w:color w:val="000000"/>
                <w:sz w:val="24"/>
              </w:rPr>
            </w:pPr>
            <w:r>
              <w:rPr>
                <w:rFonts w:ascii="宋体" w:hAnsi="宋体" w:hint="eastAsia"/>
                <w:color w:val="000000"/>
                <w:sz w:val="24"/>
              </w:rPr>
              <w:t>合计</w:t>
            </w:r>
          </w:p>
        </w:tc>
        <w:tc>
          <w:tcPr>
            <w:tcW w:w="4332" w:type="dxa"/>
            <w:vAlign w:val="center"/>
          </w:tcPr>
          <w:p>
            <w:pPr>
              <w:spacing w:line="360" w:lineRule="auto"/>
              <w:jc w:val="center"/>
              <w:rPr>
                <w:rFonts w:ascii="宋体" w:hAnsi="宋体" w:hint="eastAsia"/>
                <w:color w:val="000000"/>
                <w:sz w:val="24"/>
              </w:rPr>
            </w:pPr>
            <w:r>
              <w:rPr>
                <w:rFonts w:ascii="宋体" w:hAnsi="宋体" w:hint="eastAsia"/>
                <w:color w:val="000000"/>
                <w:sz w:val="24"/>
              </w:rPr>
              <w:t>29万方</w:t>
            </w:r>
          </w:p>
        </w:tc>
        <w:tc>
          <w:tcPr>
            <w:tcW w:w="3251" w:type="dxa"/>
            <w:vAlign w:val="center"/>
          </w:tcPr>
          <w:p>
            <w:pPr>
              <w:spacing w:line="360" w:lineRule="auto"/>
              <w:jc w:val="center"/>
              <w:rPr>
                <w:rFonts w:ascii="宋体" w:hAnsi="宋体" w:hint="eastAsia"/>
                <w:color w:val="000000"/>
                <w:sz w:val="24"/>
              </w:rPr>
            </w:pPr>
            <w:r>
              <w:rPr>
                <w:rFonts w:ascii="宋体" w:hAnsi="宋体" w:hint="eastAsia"/>
                <w:color w:val="000000"/>
                <w:sz w:val="24"/>
              </w:rPr>
              <w:t>149万方</w:t>
            </w:r>
          </w:p>
        </w:tc>
      </w:tr>
    </w:tbl>
    <w:p>
      <w:pPr>
        <w:spacing w:line="500" w:lineRule="auto"/>
        <w:ind w:firstLine="480" w:firstLineChars="200"/>
        <w:rPr>
          <w:rFonts w:ascii="宋体" w:hAnsi="宋体" w:hint="eastAsia"/>
          <w:color w:val="000000"/>
          <w:sz w:val="24"/>
        </w:rPr>
      </w:pPr>
      <w:r>
        <w:rPr>
          <w:rFonts w:ascii="宋体" w:hAnsi="宋体" w:hint="eastAsia"/>
          <w:color w:val="000000"/>
          <w:sz w:val="24"/>
        </w:rPr>
        <w:t>与本案竞争的楼盘当前供应量也比较大，四个楼盘合计有29万平米，虽然本案暂时未开盘，但对本案的目的客户必然形成一定的分流。虽然记录显示，未来供应面积近150万平方，本案将面临比较剧烈的市场竞争。</w:t>
      </w:r>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（四）、直接</w:t>
      </w:r>
      <w:r>
        <w:rPr>
          <w:rFonts w:ascii="宋体" w:eastAsia="宋体" w:hAnsi="宋体" w:cs="宋体"/>
          <w:sz w:val="24"/>
          <w:szCs w:val="24"/>
        </w:rPr>
        <w:t>竞争楼盘</w:t>
      </w:r>
      <w:r>
        <w:rPr>
          <w:rFonts w:ascii="宋体" w:eastAsia="宋体" w:hAnsi="宋体"/>
          <w:sz w:val="24"/>
          <w:szCs w:val="24"/>
        </w:rPr>
        <w:t>对比</w:t>
      </w:r>
    </w:p>
    <w:p>
      <w:pPr>
        <w:pStyle w:val="Heading4"/>
        <w:numPr>
          <w:ilvl w:val="3"/>
          <w:numId w:val="0"/>
        </w:numPr>
        <w:spacing w:before="0" w:beforeLines="0" w:after="0" w:afterLines="0" w:line="500" w:lineRule="auto"/>
        <w:ind w:firstLine="118" w:firstLineChars="49"/>
        <w:rPr>
          <w:rFonts w:ascii="宋体" w:eastAsia="宋体" w:hAnsi="宋体" w:hint="eastAsia"/>
          <w:color w:val="000000"/>
          <w:sz w:val="24"/>
          <w:szCs w:val="24"/>
        </w:rPr>
      </w:pPr>
      <w:r>
        <w:rPr>
          <w:rFonts w:ascii="宋体" w:eastAsia="宋体" w:hAnsi="宋体" w:hint="eastAsia"/>
          <w:color w:val="000000"/>
          <w:sz w:val="24"/>
          <w:szCs w:val="24"/>
        </w:rPr>
        <w:t>1、</w:t>
      </w:r>
      <w:r>
        <w:rPr>
          <w:rFonts w:ascii="宋体" w:eastAsia="宋体" w:hAnsi="宋体" w:cs="宋体"/>
          <w:color w:val="000000"/>
          <w:sz w:val="24"/>
          <w:szCs w:val="24"/>
        </w:rPr>
        <w:t>清</w:t>
      </w:r>
      <w:r>
        <w:rPr>
          <w:rFonts w:ascii="宋体" w:eastAsia="宋体" w:hAnsi="宋体"/>
          <w:color w:val="000000"/>
          <w:sz w:val="24"/>
          <w:szCs w:val="24"/>
        </w:rPr>
        <w:t xml:space="preserve">江山水 </w:t>
      </w:r>
    </w:p>
    <w:p>
      <w:pPr>
        <w:spacing w:line="500" w:lineRule="auto"/>
        <w:ind w:firstLine="353" w:firstLineChars="147"/>
        <w:rPr>
          <w:rFonts w:ascii="宋体" w:hAnsi="宋体" w:hint="eastAsia"/>
          <w:color w:val="000000"/>
          <w:sz w:val="24"/>
        </w:rPr>
        <w:sectPr>
          <w:type w:val="nextPage"/>
          <w:pgSz w:w="16838" w:h="11906" w:orient="landscape"/>
          <w:pgMar w:top="1797" w:right="1440" w:bottom="1701" w:left="1440" w:header="851" w:footer="992" w:gutter="0"/>
          <w:pgNumType w:fmt="decimal" w:start="19"/>
          <w:cols w:space="708"/>
          <w:titlePg w:val="0"/>
          <w:docGrid w:type="lines" w:linePitch="312"/>
        </w:sectPr>
      </w:pPr>
      <w:r>
        <w:rPr>
          <w:rFonts w:ascii="宋体" w:hAnsi="宋体" w:hint="eastAsia"/>
          <w:b/>
          <w:color w:val="000000"/>
          <w:sz w:val="24"/>
        </w:rPr>
        <w:t>项目定位：</w:t>
      </w:r>
      <w:r>
        <w:rPr>
          <w:rFonts w:ascii="宋体" w:hAnsi="宋体" w:hint="eastAsia"/>
          <w:color w:val="000000"/>
          <w:sz w:val="24"/>
        </w:rPr>
        <w:t xml:space="preserve"> </w:t>
      </w:r>
      <w:r>
        <w:rPr>
          <w:rFonts w:ascii="宋体" w:hAnsi="宋体" w:hint="eastAsia"/>
          <w:b/>
          <w:color w:val="000000"/>
          <w:sz w:val="24"/>
        </w:rPr>
        <w:t>74万方纯现代原创生活城</w:t>
      </w:r>
    </w:p>
    <w:p>
      <w:pPr>
        <w:spacing w:line="500" w:lineRule="auto"/>
        <w:ind w:firstLine="470" w:firstLineChars="196"/>
        <w:rPr>
          <w:rFonts w:ascii="宋体" w:hAnsi="宋体" w:hint="eastAsia"/>
          <w:color w:val="000000"/>
          <w:sz w:val="24"/>
        </w:rPr>
      </w:pPr>
      <w:r>
        <w:rPr>
          <w:rFonts w:ascii="宋体" w:hAnsi="宋体" w:hint="eastAsia"/>
          <w:b/>
          <w:color w:val="000000"/>
          <w:sz w:val="24"/>
        </w:rPr>
        <w:t>总体特点：</w:t>
      </w:r>
      <w:r>
        <w:rPr>
          <w:rFonts w:ascii="宋体" w:hAnsi="宋体"/>
          <w:sz w:val="24"/>
        </w:rPr>
        <w:t>项目总建筑面积超过74万平方米，</w:t>
      </w:r>
      <w:r>
        <w:rPr>
          <w:rFonts w:ascii="宋体" w:hAnsi="宋体" w:hint="eastAsia"/>
          <w:color w:val="000000"/>
          <w:sz w:val="24"/>
        </w:rPr>
        <w:t>由筑坝工程鲁班奖清江置业设计。</w:t>
      </w:r>
      <w:r>
        <w:rPr>
          <w:rFonts w:ascii="宋体" w:hAnsi="宋体"/>
          <w:sz w:val="24"/>
        </w:rPr>
        <w:t>建筑形态覆盖情景洋房、小高层和高层</w:t>
      </w:r>
      <w:r>
        <w:rPr>
          <w:rFonts w:ascii="宋体" w:hAnsi="宋体" w:hint="eastAsia"/>
          <w:color w:val="000000"/>
          <w:sz w:val="24"/>
        </w:rPr>
        <w:t>，</w:t>
      </w:r>
      <w:r>
        <w:rPr>
          <w:rFonts w:ascii="宋体" w:hAnsi="宋体"/>
          <w:sz w:val="24"/>
        </w:rPr>
        <w:t>产品面积涵盖55～180平方米，其中以两房和三房及部分小户型为主，同时有10％左右的创意户型</w:t>
      </w:r>
      <w:r>
        <w:rPr>
          <w:rFonts w:ascii="宋体" w:hAnsi="宋体" w:hint="eastAsia"/>
          <w:color w:val="000000"/>
          <w:sz w:val="24"/>
        </w:rPr>
        <w:t>。地理位置较抱负，出行较方便，周边有EDS这样的大公司。社区景观优美，20230平米的中央主轴水景成为了项目的最大看点，社区内的配套也比较完善。</w:t>
      </w:r>
    </w:p>
    <w:p>
      <w:pPr>
        <w:pStyle w:val="Heading4"/>
        <w:numPr>
          <w:ilvl w:val="3"/>
          <w:numId w:val="0"/>
        </w:numPr>
        <w:spacing w:before="0" w:beforeLines="0" w:after="0" w:afterLines="0" w:line="500" w:lineRule="auto"/>
        <w:ind w:firstLine="118" w:firstLineChars="49"/>
        <w:rPr>
          <w:rFonts w:ascii="宋体" w:eastAsia="宋体" w:hAnsi="宋体"/>
          <w:color w:val="000000"/>
          <w:sz w:val="24"/>
          <w:szCs w:val="24"/>
        </w:rPr>
      </w:pPr>
      <w:r>
        <w:rPr>
          <w:rFonts w:ascii="宋体" w:eastAsia="宋体" w:hAnsi="宋体" w:hint="eastAsia"/>
          <w:color w:val="000000"/>
          <w:sz w:val="24"/>
          <w:szCs w:val="24"/>
        </w:rPr>
        <w:t>2、</w:t>
      </w:r>
      <w:r>
        <w:rPr>
          <w:rFonts w:ascii="宋体" w:eastAsia="宋体" w:hAnsi="宋体" w:cs="宋体"/>
          <w:color w:val="000000"/>
          <w:sz w:val="24"/>
          <w:szCs w:val="24"/>
        </w:rPr>
        <w:t>当</w:t>
      </w:r>
      <w:r>
        <w:rPr>
          <w:rFonts w:ascii="宋体" w:eastAsia="宋体" w:hAnsi="宋体"/>
          <w:color w:val="000000"/>
          <w:sz w:val="24"/>
          <w:szCs w:val="24"/>
        </w:rPr>
        <w:t>代</w:t>
      </w:r>
      <w:r>
        <w:rPr>
          <w:rFonts w:ascii="宋体" w:eastAsia="宋体" w:hAnsi="宋体" w:cs="宋体"/>
          <w:color w:val="000000"/>
          <w:sz w:val="24"/>
          <w:szCs w:val="24"/>
        </w:rPr>
        <w:t>国际</w:t>
      </w:r>
      <w:r>
        <w:rPr>
          <w:rFonts w:ascii="宋体" w:eastAsia="宋体" w:hAnsi="宋体" w:cs="Batang"/>
          <w:color w:val="000000"/>
          <w:sz w:val="24"/>
          <w:szCs w:val="24"/>
        </w:rPr>
        <w:t>花</w:t>
      </w:r>
      <w:r>
        <w:rPr>
          <w:rFonts w:ascii="宋体" w:eastAsia="宋体" w:hAnsi="宋体" w:cs="宋体"/>
          <w:color w:val="000000"/>
          <w:sz w:val="24"/>
          <w:szCs w:val="24"/>
        </w:rPr>
        <w:t>园</w:t>
      </w:r>
    </w:p>
    <w:p>
      <w:pPr>
        <w:spacing w:line="500" w:lineRule="auto"/>
        <w:ind w:firstLine="235" w:firstLineChars="98"/>
        <w:rPr>
          <w:rFonts w:ascii="宋体" w:hAnsi="宋体" w:hint="eastAsia"/>
          <w:color w:val="000000"/>
          <w:sz w:val="24"/>
        </w:rPr>
      </w:pPr>
      <w:r>
        <w:rPr>
          <w:rFonts w:ascii="宋体" w:hAnsi="宋体" w:hint="eastAsia"/>
          <w:b/>
          <w:color w:val="000000"/>
          <w:sz w:val="24"/>
        </w:rPr>
        <w:t>项目定位：光谷首府 60万方别墅级国际居住区</w:t>
      </w:r>
    </w:p>
    <w:p>
      <w:pPr>
        <w:spacing w:line="500" w:lineRule="auto"/>
        <w:ind w:firstLine="240" w:firstLineChars="100"/>
        <w:rPr>
          <w:rFonts w:ascii="宋体" w:hAnsi="宋体" w:hint="eastAsia"/>
          <w:color w:val="000000"/>
          <w:sz w:val="24"/>
        </w:rPr>
      </w:pPr>
      <w:r>
        <w:rPr>
          <w:rFonts w:ascii="宋体" w:hAnsi="宋体" w:hint="eastAsia"/>
          <w:b/>
          <w:color w:val="000000"/>
          <w:sz w:val="24"/>
        </w:rPr>
        <w:t>总体特点：</w:t>
      </w:r>
      <w:r>
        <w:rPr>
          <w:rFonts w:ascii="宋体" w:hAnsi="宋体" w:hint="eastAsia"/>
          <w:color w:val="000000"/>
          <w:sz w:val="24"/>
        </w:rPr>
        <w:t>项目体量大，户型分布广，</w:t>
      </w:r>
      <w:r>
        <w:rPr>
          <w:rFonts w:ascii="宋体" w:hAnsi="宋体"/>
          <w:sz w:val="24"/>
        </w:rPr>
        <w:t>涵盖</w:t>
      </w:r>
      <w:r>
        <w:rPr>
          <w:rFonts w:ascii="宋体" w:hAnsi="宋体" w:hint="eastAsia"/>
          <w:color w:val="000000"/>
          <w:sz w:val="24"/>
        </w:rPr>
        <w:t>70</w:t>
      </w:r>
      <w:r>
        <w:rPr>
          <w:rFonts w:ascii="宋体" w:hAnsi="宋体" w:hint="eastAsia"/>
          <w:color w:val="000000"/>
          <w:sz w:val="24"/>
        </w:rPr>
        <w:t>——</w:t>
      </w:r>
      <w:r>
        <w:rPr>
          <w:rFonts w:ascii="宋体" w:hAnsi="宋体" w:hint="eastAsia"/>
          <w:color w:val="000000"/>
          <w:sz w:val="24"/>
        </w:rPr>
        <w:t>300平米，多种户型可供选择，重要有普通多层、退台式花园洋房和宽HOUSE且有城市别墅</w:t>
      </w:r>
      <w:r>
        <w:rPr>
          <w:rFonts w:ascii="宋体" w:hAnsi="宋体" w:hint="eastAsia"/>
          <w:color w:val="000000"/>
          <w:sz w:val="24"/>
        </w:rPr>
        <w:t>“</w:t>
      </w:r>
      <w:r>
        <w:rPr>
          <w:rFonts w:ascii="宋体" w:hAnsi="宋体" w:hint="eastAsia"/>
          <w:color w:val="000000"/>
          <w:sz w:val="24"/>
        </w:rPr>
        <w:t>比弗利</w:t>
      </w:r>
      <w:r>
        <w:rPr>
          <w:rFonts w:ascii="宋体" w:hAnsi="宋体" w:hint="eastAsia"/>
          <w:color w:val="000000"/>
          <w:sz w:val="24"/>
        </w:rPr>
        <w:t>”</w:t>
      </w:r>
      <w:r>
        <w:rPr>
          <w:rFonts w:ascii="宋体" w:hAnsi="宋体" w:hint="eastAsia"/>
          <w:color w:val="000000"/>
          <w:sz w:val="24"/>
        </w:rPr>
        <w:t>，社区配套有</w:t>
      </w:r>
      <w:r>
        <w:rPr>
          <w:rFonts w:ascii="宋体" w:hAnsi="宋体"/>
          <w:sz w:val="24"/>
        </w:rPr>
        <w:t>6</w:t>
      </w:r>
      <w:r>
        <w:rPr>
          <w:rFonts w:ascii="宋体" w:hAnsi="宋体" w:hint="eastAsia"/>
          <w:sz w:val="24"/>
        </w:rPr>
        <w:t>万</w:t>
      </w:r>
      <w:r>
        <w:rPr>
          <w:rFonts w:ascii="宋体" w:hAnsi="宋体"/>
          <w:sz w:val="24"/>
        </w:rPr>
        <w:t>平米运动公园</w:t>
      </w:r>
      <w:r>
        <w:rPr>
          <w:rFonts w:ascii="宋体" w:hAnsi="宋体" w:hint="eastAsia"/>
          <w:sz w:val="24"/>
        </w:rPr>
        <w:t>及</w:t>
      </w:r>
      <w:r>
        <w:rPr>
          <w:rFonts w:ascii="宋体" w:hAnsi="宋体"/>
          <w:sz w:val="24"/>
        </w:rPr>
        <w:t xml:space="preserve"> “当代艺术馆”，</w:t>
      </w:r>
      <w:r>
        <w:rPr>
          <w:rFonts w:ascii="宋体" w:hAnsi="宋体" w:hint="eastAsia"/>
          <w:sz w:val="24"/>
        </w:rPr>
        <w:t>建筑</w:t>
      </w:r>
      <w:r>
        <w:rPr>
          <w:rFonts w:ascii="宋体" w:hAnsi="宋体" w:hint="eastAsia"/>
          <w:color w:val="000000"/>
          <w:sz w:val="24"/>
        </w:rPr>
        <w:t>低密度，24小时供暖。</w:t>
      </w:r>
    </w:p>
    <w:p>
      <w:pPr>
        <w:pStyle w:val="Heading4"/>
        <w:numPr>
          <w:ilvl w:val="3"/>
          <w:numId w:val="0"/>
        </w:numPr>
        <w:spacing w:before="0" w:beforeLines="0" w:after="0" w:afterLines="0" w:line="500" w:lineRule="auto"/>
        <w:ind w:firstLine="118" w:firstLineChars="49"/>
        <w:rPr>
          <w:rFonts w:ascii="宋体" w:eastAsia="宋体" w:hAnsi="宋体"/>
          <w:color w:val="000000"/>
          <w:sz w:val="24"/>
          <w:szCs w:val="24"/>
        </w:rPr>
      </w:pPr>
      <w:r>
        <w:rPr>
          <w:rFonts w:ascii="宋体" w:eastAsia="宋体" w:hAnsi="宋体" w:hint="eastAsia"/>
          <w:color w:val="000000"/>
          <w:sz w:val="24"/>
          <w:szCs w:val="24"/>
        </w:rPr>
        <w:t>3、</w:t>
      </w:r>
      <w:r>
        <w:rPr>
          <w:rFonts w:ascii="宋体" w:eastAsia="宋体" w:hAnsi="宋体"/>
          <w:color w:val="000000"/>
          <w:sz w:val="24"/>
          <w:szCs w:val="24"/>
        </w:rPr>
        <w:t>万科魅力之城</w:t>
      </w:r>
    </w:p>
    <w:p>
      <w:pPr>
        <w:spacing w:line="500" w:lineRule="auto"/>
        <w:ind w:firstLine="480" w:firstLineChars="200"/>
        <w:rPr>
          <w:rFonts w:ascii="宋体" w:hAnsi="宋体" w:hint="eastAsia"/>
          <w:b/>
          <w:color w:val="000000"/>
          <w:sz w:val="24"/>
        </w:rPr>
      </w:pPr>
      <w:r>
        <w:rPr>
          <w:rFonts w:ascii="宋体" w:hAnsi="宋体" w:hint="eastAsia"/>
          <w:b/>
          <w:color w:val="000000"/>
          <w:sz w:val="24"/>
        </w:rPr>
        <w:t>项目定位</w:t>
      </w:r>
      <w:r>
        <w:rPr>
          <w:rFonts w:ascii="宋体" w:hAnsi="宋体" w:hint="eastAsia"/>
          <w:color w:val="000000"/>
          <w:sz w:val="24"/>
        </w:rPr>
        <w:t>：</w:t>
      </w:r>
      <w:r>
        <w:rPr>
          <w:rFonts w:ascii="宋体" w:hAnsi="宋体" w:cs="Arial"/>
          <w:b/>
          <w:color w:val="333333"/>
          <w:sz w:val="24"/>
        </w:rPr>
        <w:t>40万方的多元化大型魅力住区</w:t>
      </w:r>
    </w:p>
    <w:p>
      <w:pPr>
        <w:spacing w:line="500" w:lineRule="auto"/>
        <w:ind w:left="479" w:leftChars="228"/>
        <w:rPr>
          <w:rFonts w:ascii="宋体" w:hAnsi="宋体" w:hint="eastAsia"/>
          <w:color w:val="000000"/>
          <w:sz w:val="24"/>
        </w:rPr>
        <w:sectPr>
          <w:type w:val="nextPage"/>
          <w:pgSz w:w="16838" w:h="11906" w:orient="landscape"/>
          <w:pgMar w:top="1797" w:right="1440" w:bottom="1701" w:left="1440" w:header="851" w:footer="992" w:gutter="0"/>
          <w:pgNumType w:fmt="decimal" w:start="20"/>
          <w:cols w:space="708"/>
          <w:titlePg w:val="0"/>
          <w:docGrid w:type="lines" w:linePitch="312"/>
        </w:sectPr>
      </w:pPr>
      <w:r>
        <w:rPr>
          <w:rFonts w:ascii="宋体" w:hAnsi="宋体" w:hint="eastAsia"/>
          <w:b/>
          <w:color w:val="000000"/>
          <w:sz w:val="24"/>
        </w:rPr>
        <w:t>总体特点：</w:t>
      </w:r>
      <w:r>
        <w:rPr>
          <w:rFonts w:ascii="宋体" w:hAnsi="宋体" w:hint="eastAsia"/>
          <w:color w:val="000000"/>
          <w:sz w:val="24"/>
        </w:rPr>
        <w:t>万科的品牌先天优势，又是离富士康、中芯国际最近的项目，且户型设计上节省空间，76㎡两房和89㎡紧凑小三房，送精装修。一期的楼盘非常成功，陆续推出的楼盘也延续其良好的势头。而万科城市花园受到了消费者的青睐，树立了良好的口碑。依托其上个楼盘的优势，此楼盘将继续受到追捧。</w:t>
      </w:r>
    </w:p>
    <w:p>
      <w:pPr>
        <w:pStyle w:val="Heading4"/>
        <w:numPr>
          <w:ilvl w:val="3"/>
          <w:numId w:val="0"/>
        </w:numPr>
        <w:spacing w:before="0" w:beforeLines="0" w:after="0" w:afterLines="0" w:line="500" w:lineRule="auto"/>
        <w:ind w:firstLine="118" w:firstLineChars="49"/>
        <w:rPr>
          <w:rFonts w:ascii="宋体" w:eastAsia="宋体" w:hAnsi="宋体" w:hint="eastAsia"/>
          <w:color w:val="000000"/>
          <w:sz w:val="24"/>
          <w:szCs w:val="24"/>
        </w:rPr>
      </w:pPr>
      <w:r>
        <w:rPr>
          <w:rFonts w:ascii="宋体" w:eastAsia="宋体" w:hAnsi="宋体" w:hint="eastAsia"/>
          <w:color w:val="000000"/>
          <w:sz w:val="24"/>
          <w:szCs w:val="24"/>
        </w:rPr>
        <w:t>4、</w:t>
      </w:r>
      <w:hyperlink w:tgtFrame="_blank" w:history="1">
        <w:r>
          <w:rPr>
            <w:rStyle w:val="Hyperlink"/>
            <w:rFonts w:ascii="宋体" w:eastAsia="宋体" w:hAnsi="宋体"/>
            <w:color w:val="000000"/>
            <w:sz w:val="24"/>
            <w:szCs w:val="24"/>
          </w:rPr>
          <w:t>芭比</w:t>
        </w:r>
        <w:r>
          <w:rPr>
            <w:rStyle w:val="Hyperlink"/>
            <w:rFonts w:ascii="宋体" w:eastAsia="宋体" w:hAnsi="宋体" w:cs="宋体"/>
            <w:color w:val="000000"/>
            <w:sz w:val="24"/>
            <w:szCs w:val="24"/>
          </w:rPr>
          <w:t>伦</w:t>
        </w:r>
        <w:r>
          <w:rPr>
            <w:rStyle w:val="Hyperlink"/>
            <w:rFonts w:ascii="宋体" w:eastAsia="宋体" w:hAnsi="宋体" w:cs="Batang"/>
            <w:color w:val="000000"/>
            <w:sz w:val="24"/>
            <w:szCs w:val="24"/>
          </w:rPr>
          <w:t>堡</w:t>
        </w:r>
      </w:hyperlink>
    </w:p>
    <w:p>
      <w:pPr>
        <w:spacing w:line="500" w:lineRule="auto"/>
        <w:ind w:firstLine="235" w:firstLineChars="98"/>
        <w:rPr>
          <w:rFonts w:ascii="宋体" w:hAnsi="宋体" w:hint="eastAsia"/>
          <w:b/>
          <w:color w:val="000000"/>
          <w:sz w:val="24"/>
        </w:rPr>
      </w:pPr>
      <w:r>
        <w:rPr>
          <w:rFonts w:ascii="宋体" w:hAnsi="宋体" w:hint="eastAsia"/>
          <w:b/>
          <w:color w:val="000000"/>
          <w:sz w:val="24"/>
        </w:rPr>
        <w:t>项目定位：玲珑空间、魔幻天地</w:t>
      </w:r>
    </w:p>
    <w:p>
      <w:pPr>
        <w:spacing w:line="500" w:lineRule="auto"/>
        <w:ind w:firstLine="240" w:firstLineChars="100"/>
        <w:rPr>
          <w:rFonts w:ascii="宋体" w:hAnsi="宋体" w:hint="eastAsia"/>
          <w:color w:val="000000"/>
          <w:sz w:val="24"/>
        </w:rPr>
      </w:pPr>
      <w:r>
        <w:rPr>
          <w:rFonts w:ascii="宋体" w:hAnsi="宋体" w:hint="eastAsia"/>
          <w:b/>
          <w:color w:val="000000"/>
          <w:sz w:val="24"/>
        </w:rPr>
        <w:t>总体特点：</w:t>
      </w:r>
      <w:r>
        <w:rPr>
          <w:rFonts w:ascii="宋体" w:hAnsi="宋体"/>
          <w:color w:val="000000"/>
          <w:sz w:val="24"/>
        </w:rPr>
        <w:t>楼盘规模较小，总共12栋约500户。社区的配套和绿化也一般，但是其定价是周边楼盘中最低的，其户型也多为精致小户型小至50平方一房一厅， 大至110平方三房两厅。单价低，户型紧凑。</w:t>
      </w:r>
      <w:r>
        <w:rPr>
          <w:rFonts w:ascii="宋体" w:hAnsi="宋体" w:hint="eastAsia"/>
          <w:color w:val="000000"/>
          <w:sz w:val="24"/>
        </w:rPr>
        <w:t>项目的地理位置较抱负，出行较方便，周边有EDS这样的大公司。户型较合理，符合年轻人追求浪漫、追求多变的心理，空中花园可根据自己的需要打造，且只需50%的付出。此外</w:t>
      </w:r>
      <w:r>
        <w:rPr>
          <w:rFonts w:ascii="宋体" w:hAnsi="宋体"/>
          <w:color w:val="000000"/>
          <w:sz w:val="24"/>
        </w:rPr>
        <w:t>其卖点是他的高性价比和较低的总价，这对中低层购房者还是有一定的吸引力的。</w:t>
      </w:r>
    </w:p>
    <w:p>
      <w:pPr>
        <w:pStyle w:val="Heading4"/>
        <w:numPr>
          <w:ilvl w:val="3"/>
          <w:numId w:val="0"/>
        </w:numPr>
        <w:spacing w:before="0" w:beforeLines="0" w:after="0" w:afterLines="0" w:line="500" w:lineRule="auto"/>
        <w:ind w:firstLine="118" w:firstLineChars="49"/>
        <w:rPr>
          <w:rFonts w:ascii="宋体" w:eastAsia="宋体" w:hAnsi="宋体" w:hint="eastAsia"/>
          <w:color w:val="000000"/>
          <w:sz w:val="24"/>
          <w:szCs w:val="24"/>
        </w:rPr>
      </w:pPr>
      <w:r>
        <w:rPr>
          <w:rFonts w:ascii="宋体" w:eastAsia="宋体" w:hAnsi="宋体" w:hint="eastAsia"/>
          <w:color w:val="000000"/>
          <w:sz w:val="24"/>
          <w:szCs w:val="24"/>
        </w:rPr>
        <w:t>5、</w:t>
      </w:r>
      <w:hyperlink w:tgtFrame="_blank" w:history="1">
        <w:r>
          <w:rPr>
            <w:rStyle w:val="Hyperlink"/>
            <w:rFonts w:ascii="宋体" w:eastAsia="宋体" w:hAnsi="宋体" w:hint="eastAsia"/>
            <w:color w:val="000000"/>
            <w:sz w:val="24"/>
            <w:szCs w:val="24"/>
          </w:rPr>
          <w:t>锦绣龙城</w:t>
        </w:r>
      </w:hyperlink>
    </w:p>
    <w:p>
      <w:pPr>
        <w:spacing w:line="500" w:lineRule="auto"/>
        <w:ind w:firstLine="240" w:firstLineChars="100"/>
        <w:rPr>
          <w:rFonts w:ascii="宋体" w:hAnsi="宋体" w:hint="eastAsia"/>
          <w:color w:val="000000"/>
          <w:sz w:val="24"/>
        </w:rPr>
      </w:pPr>
      <w:r>
        <w:rPr>
          <w:rFonts w:ascii="宋体" w:hAnsi="宋体" w:hint="eastAsia"/>
          <w:b/>
          <w:color w:val="000000"/>
          <w:sz w:val="24"/>
        </w:rPr>
        <w:t>项目定位： 80万方坡地公园社区</w:t>
      </w:r>
    </w:p>
    <w:p>
      <w:pPr>
        <w:spacing w:line="500" w:lineRule="auto"/>
        <w:ind w:firstLine="240" w:firstLineChars="100"/>
        <w:rPr>
          <w:rFonts w:ascii="宋体" w:hAnsi="宋体" w:hint="eastAsia"/>
          <w:color w:val="000000"/>
          <w:sz w:val="24"/>
        </w:rPr>
      </w:pPr>
      <w:r>
        <w:rPr>
          <w:rFonts w:ascii="宋体" w:hAnsi="宋体" w:hint="eastAsia"/>
          <w:b/>
          <w:color w:val="000000"/>
          <w:sz w:val="24"/>
        </w:rPr>
        <w:t>总体特点：</w:t>
      </w:r>
      <w:r>
        <w:rPr>
          <w:rFonts w:ascii="宋体" w:hAnsi="宋体" w:hint="eastAsia"/>
          <w:color w:val="000000"/>
          <w:sz w:val="24"/>
        </w:rPr>
        <w:t>项目体量大，与光谷坐标城相呼应，过</w:t>
      </w:r>
      <w:r>
        <w:rPr>
          <w:rFonts w:ascii="宋体" w:hAnsi="宋体"/>
          <w:sz w:val="24"/>
        </w:rPr>
        <w:t>万方大面积绿地</w:t>
      </w:r>
      <w:r>
        <w:rPr>
          <w:rFonts w:ascii="宋体" w:hAnsi="宋体" w:hint="eastAsia"/>
          <w:sz w:val="24"/>
        </w:rPr>
        <w:t>，</w:t>
      </w:r>
      <w:r>
        <w:rPr>
          <w:rFonts w:ascii="宋体" w:hAnsi="宋体" w:hint="eastAsia"/>
          <w:color w:val="000000"/>
          <w:sz w:val="24"/>
        </w:rPr>
        <w:t>8万方大坡地运动公园。建筑类别多样</w:t>
      </w:r>
      <w:r>
        <w:rPr>
          <w:rFonts w:ascii="宋体" w:hAnsi="宋体"/>
          <w:sz w:val="24"/>
        </w:rPr>
        <w:t>有多层、小高层和高层</w:t>
      </w:r>
      <w:r>
        <w:rPr>
          <w:rFonts w:ascii="宋体" w:hAnsi="宋体" w:hint="eastAsia"/>
          <w:color w:val="000000"/>
          <w:sz w:val="24"/>
        </w:rPr>
        <w:t>。户型多样，24小时集中供。暖</w:t>
      </w:r>
      <w:r>
        <w:rPr>
          <w:rFonts w:ascii="宋体" w:hAnsi="宋体"/>
          <w:sz w:val="24"/>
        </w:rPr>
        <w:t>内建设幼儿园，教育配套完善</w:t>
      </w:r>
      <w:r>
        <w:rPr>
          <w:rFonts w:ascii="宋体" w:hAnsi="宋体" w:hint="eastAsia"/>
          <w:color w:val="000000"/>
          <w:sz w:val="24"/>
        </w:rPr>
        <w:t>。</w:t>
      </w:r>
      <w:r>
        <w:rPr>
          <w:rFonts w:ascii="宋体" w:hAnsi="宋体"/>
          <w:sz w:val="24"/>
        </w:rPr>
        <w:t>囊括大型商业中心、儿童天地、生态公园、社区服务中心、运动场等诸多大型配套</w:t>
      </w:r>
    </w:p>
    <w:p>
      <w:pPr>
        <w:spacing w:line="500" w:lineRule="auto"/>
        <w:ind w:firstLine="240" w:firstLineChars="100"/>
        <w:rPr>
          <w:rFonts w:ascii="宋体" w:hAnsi="宋体" w:hint="eastAsia"/>
          <w:color w:val="000000"/>
          <w:sz w:val="24"/>
        </w:rPr>
      </w:pPr>
      <w:r>
        <w:rPr>
          <w:rFonts w:ascii="宋体" w:hAnsi="宋体" w:hint="eastAsia"/>
          <w:b/>
          <w:color w:val="000000"/>
          <w:sz w:val="24"/>
        </w:rPr>
        <w:t>6、光谷坐标城</w:t>
      </w:r>
    </w:p>
    <w:p>
      <w:pPr>
        <w:spacing w:line="500" w:lineRule="auto"/>
        <w:ind w:firstLine="240" w:firstLineChars="100"/>
        <w:rPr>
          <w:rFonts w:ascii="宋体" w:hAnsi="宋体" w:hint="eastAsia"/>
          <w:color w:val="000000"/>
          <w:sz w:val="24"/>
        </w:rPr>
        <w:sectPr>
          <w:type w:val="nextPage"/>
          <w:pgSz w:w="16838" w:h="11906" w:orient="landscape"/>
          <w:pgMar w:top="1797" w:right="1440" w:bottom="1701" w:left="1440" w:header="851" w:footer="992" w:gutter="0"/>
          <w:pgNumType w:fmt="decimal" w:start="21"/>
          <w:cols w:space="708"/>
          <w:titlePg w:val="0"/>
          <w:docGrid w:type="lines" w:linePitch="312"/>
        </w:sectPr>
      </w:pPr>
      <w:r>
        <w:rPr>
          <w:rFonts w:ascii="宋体" w:hAnsi="宋体" w:hint="eastAsia"/>
          <w:b/>
          <w:color w:val="000000"/>
          <w:sz w:val="24"/>
        </w:rPr>
        <w:t>项目定位</w:t>
      </w:r>
      <w:r>
        <w:rPr>
          <w:rFonts w:ascii="宋体" w:hAnsi="宋体" w:hint="eastAsia"/>
          <w:color w:val="000000"/>
          <w:sz w:val="24"/>
        </w:rPr>
        <w:t>：</w:t>
      </w:r>
      <w:r>
        <w:rPr>
          <w:rFonts w:ascii="宋体" w:hAnsi="宋体"/>
          <w:b/>
          <w:sz w:val="24"/>
        </w:rPr>
        <w:t>最具国际气质的光谷24小时供暖大社区</w:t>
      </w:r>
    </w:p>
    <w:p>
      <w:pPr>
        <w:spacing w:line="500" w:lineRule="auto"/>
        <w:ind w:firstLine="240" w:firstLineChars="100"/>
        <w:rPr>
          <w:rFonts w:ascii="宋体" w:hAnsi="宋体" w:hint="eastAsia"/>
          <w:sz w:val="24"/>
        </w:rPr>
      </w:pPr>
      <w:r>
        <w:rPr>
          <w:rFonts w:ascii="宋体" w:hAnsi="宋体" w:hint="eastAsia"/>
          <w:b/>
          <w:color w:val="000000"/>
          <w:sz w:val="24"/>
        </w:rPr>
        <w:t>总体特点：</w:t>
      </w:r>
      <w:r>
        <w:rPr>
          <w:rFonts w:ascii="宋体" w:hAnsi="宋体"/>
          <w:sz w:val="24"/>
        </w:rPr>
        <w:t>凹凸感鲜明的建筑立面，超大尺度的入户花园（或观景阳台），恒温游泳池，集中供暖，节能保温建材的运用，1：1停车位，“庭院式”的园林主题</w:t>
      </w:r>
      <w:r>
        <w:rPr>
          <w:rFonts w:ascii="宋体" w:hAnsi="宋体" w:hint="eastAsia"/>
          <w:sz w:val="24"/>
        </w:rPr>
        <w:t>，</w:t>
      </w:r>
      <w:r>
        <w:rPr>
          <w:rFonts w:ascii="宋体" w:hAnsi="宋体"/>
          <w:sz w:val="24"/>
        </w:rPr>
        <w:t>１5万平方米商业区</w:t>
      </w:r>
      <w:r>
        <w:rPr>
          <w:rFonts w:ascii="宋体" w:hAnsi="宋体" w:hint="eastAsia"/>
          <w:sz w:val="24"/>
        </w:rPr>
        <w:t>配套，</w:t>
      </w:r>
      <w:r>
        <w:rPr>
          <w:rFonts w:ascii="宋体" w:hAnsi="宋体"/>
          <w:sz w:val="24"/>
        </w:rPr>
        <w:t>超五星级酒店、酒店式豪华公寓和高级写字楼的入驻</w:t>
      </w:r>
      <w:r>
        <w:rPr>
          <w:rFonts w:ascii="宋体" w:hAnsi="宋体" w:hint="eastAsia"/>
          <w:sz w:val="24"/>
        </w:rPr>
        <w:t>。</w:t>
      </w:r>
    </w:p>
    <w:p>
      <w:pPr>
        <w:spacing w:line="500" w:lineRule="auto"/>
        <w:rPr>
          <w:rFonts w:ascii="宋体" w:hAnsi="宋体" w:hint="eastAsia"/>
          <w:b/>
          <w:sz w:val="24"/>
        </w:rPr>
      </w:pPr>
      <w:r>
        <w:rPr>
          <w:rFonts w:ascii="宋体" w:hAnsi="宋体" w:hint="eastAsia"/>
          <w:b/>
          <w:sz w:val="24"/>
        </w:rPr>
        <w:t>（五）各竞争楼盘核心卖点及核心概念对比</w:t>
      </w:r>
    </w:p>
    <w:p>
      <w:pPr>
        <w:spacing w:line="360" w:lineRule="auto"/>
        <w:ind w:firstLine="240" w:firstLineChars="100"/>
        <w:rPr>
          <w:rFonts w:ascii="宋体" w:hAnsi="宋体" w:hint="eastAsia"/>
          <w:b/>
          <w:sz w:val="24"/>
        </w:rPr>
      </w:pPr>
    </w:p>
    <w:tbl>
      <w:tblPr>
        <w:tblStyle w:val="TableNormal"/>
        <w:jc w:val="center"/>
        <w:tblInd w:w="-5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30" w:type="dxa"/>
          <w:right w:w="30" w:type="dxa"/>
        </w:tblCellMar>
        <w:tblLook w:val="0000"/>
      </w:tblPr>
      <w:tblGrid>
        <w:gridCol w:w="1910"/>
        <w:gridCol w:w="2062"/>
        <w:gridCol w:w="1736"/>
        <w:gridCol w:w="1858"/>
        <w:gridCol w:w="1615"/>
        <w:gridCol w:w="1736"/>
        <w:gridCol w:w="2333"/>
      </w:tblGrid>
      <w:tr>
        <w:tblPrEx>
          <w:jc w:val="center"/>
          <w:tblInd w:w="-5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30" w:type="dxa"/>
            <w:right w:w="30" w:type="dxa"/>
          </w:tblCellMar>
          <w:tblLook w:val="0000"/>
        </w:tblPrEx>
        <w:trPr>
          <w:trHeight w:val="760"/>
          <w:jc w:val="center"/>
        </w:trPr>
        <w:tc>
          <w:tcPr>
            <w:tcW w:w="1910" w:type="dxa"/>
            <w:tcBorders>
              <w:top w:val="single" w:sz="12" w:space="0" w:color="auto"/>
              <w:bottom w:val="single" w:sz="6" w:space="0" w:color="auto"/>
            </w:tcBorders>
            <w:shd w:val="clear" w:color="auto" w:fill="FF9900"/>
            <w:vAlign w:val="center"/>
          </w:tcPr>
          <w:p>
            <w:pPr>
              <w:spacing w:line="360" w:lineRule="auto"/>
              <w:jc w:val="center"/>
              <w:rPr>
                <w:rFonts w:ascii="宋体" w:hAnsi="宋体"/>
                <w:color w:val="000000"/>
                <w:sz w:val="24"/>
              </w:rPr>
            </w:pPr>
            <w:r>
              <w:rPr>
                <w:rFonts w:ascii="宋体" w:hAnsi="宋体" w:hint="eastAsia"/>
                <w:color w:val="000000"/>
                <w:sz w:val="24"/>
              </w:rPr>
              <w:t>楼盘名称</w:t>
            </w:r>
          </w:p>
        </w:tc>
        <w:tc>
          <w:tcPr>
            <w:tcW w:w="2062" w:type="dxa"/>
            <w:tcBorders>
              <w:top w:val="single" w:sz="12" w:space="0" w:color="auto"/>
              <w:bottom w:val="single" w:sz="6" w:space="0" w:color="auto"/>
            </w:tcBorders>
            <w:shd w:val="clear" w:color="auto" w:fill="FF9900"/>
            <w:vAlign w:val="center"/>
          </w:tcPr>
          <w:p>
            <w:pPr>
              <w:spacing w:line="360" w:lineRule="auto"/>
              <w:jc w:val="center"/>
              <w:rPr>
                <w:rFonts w:ascii="宋体" w:hAnsi="宋体" w:hint="eastAsia"/>
                <w:color w:val="000000"/>
                <w:sz w:val="24"/>
              </w:rPr>
            </w:pPr>
            <w:r>
              <w:rPr>
                <w:rFonts w:ascii="宋体" w:hAnsi="宋体" w:hint="eastAsia"/>
                <w:color w:val="000000"/>
                <w:sz w:val="24"/>
              </w:rPr>
              <w:t>光谷坐标城</w:t>
            </w:r>
          </w:p>
        </w:tc>
        <w:tc>
          <w:tcPr>
            <w:tcW w:w="1736" w:type="dxa"/>
            <w:tcBorders>
              <w:top w:val="single" w:sz="12" w:space="0" w:color="auto"/>
              <w:bottom w:val="single" w:sz="6" w:space="0" w:color="auto"/>
            </w:tcBorders>
            <w:shd w:val="clear" w:color="auto" w:fill="FF9900"/>
            <w:vAlign w:val="center"/>
          </w:tcPr>
          <w:p>
            <w:pPr>
              <w:spacing w:line="360" w:lineRule="auto"/>
              <w:jc w:val="center"/>
              <w:rPr>
                <w:rFonts w:ascii="宋体" w:hAnsi="宋体" w:hint="eastAsia"/>
                <w:color w:val="000000"/>
                <w:sz w:val="24"/>
              </w:rPr>
            </w:pPr>
            <w:r>
              <w:rPr>
                <w:rFonts w:ascii="宋体" w:hAnsi="宋体" w:hint="eastAsia"/>
                <w:color w:val="000000"/>
                <w:sz w:val="24"/>
              </w:rPr>
              <w:t>锦绣龙城</w:t>
            </w:r>
          </w:p>
        </w:tc>
        <w:tc>
          <w:tcPr>
            <w:tcW w:w="1858" w:type="dxa"/>
            <w:tcBorders>
              <w:top w:val="single" w:sz="12" w:space="0" w:color="auto"/>
              <w:bottom w:val="single" w:sz="6" w:space="0" w:color="auto"/>
            </w:tcBorders>
            <w:shd w:val="clear" w:color="auto" w:fill="FF9900"/>
            <w:vAlign w:val="center"/>
          </w:tcPr>
          <w:p>
            <w:pPr>
              <w:spacing w:line="360" w:lineRule="auto"/>
              <w:jc w:val="center"/>
              <w:rPr>
                <w:rFonts w:ascii="宋体" w:hAnsi="宋体"/>
                <w:color w:val="000000"/>
                <w:sz w:val="24"/>
              </w:rPr>
            </w:pPr>
            <w:r>
              <w:rPr>
                <w:rFonts w:ascii="宋体" w:hAnsi="宋体" w:hint="eastAsia"/>
                <w:color w:val="000000"/>
                <w:sz w:val="24"/>
              </w:rPr>
              <w:t>清江山水</w:t>
            </w:r>
          </w:p>
        </w:tc>
        <w:tc>
          <w:tcPr>
            <w:tcW w:w="1615" w:type="dxa"/>
            <w:tcBorders>
              <w:top w:val="single" w:sz="12" w:space="0" w:color="auto"/>
              <w:bottom w:val="single" w:sz="6" w:space="0" w:color="auto"/>
            </w:tcBorders>
            <w:shd w:val="clear" w:color="auto" w:fill="FF9900"/>
            <w:vAlign w:val="center"/>
          </w:tcPr>
          <w:p>
            <w:pPr>
              <w:spacing w:line="360" w:lineRule="auto"/>
              <w:jc w:val="center"/>
              <w:rPr>
                <w:rFonts w:ascii="宋体" w:hAnsi="宋体"/>
                <w:color w:val="000000"/>
                <w:sz w:val="24"/>
              </w:rPr>
            </w:pPr>
            <w:r>
              <w:rPr>
                <w:rFonts w:ascii="宋体" w:hAnsi="宋体" w:hint="eastAsia"/>
                <w:color w:val="000000"/>
                <w:sz w:val="24"/>
              </w:rPr>
              <w:t>万科魅力之城</w:t>
            </w:r>
          </w:p>
        </w:tc>
        <w:tc>
          <w:tcPr>
            <w:tcW w:w="1736" w:type="dxa"/>
            <w:tcBorders>
              <w:top w:val="single" w:sz="12" w:space="0" w:color="auto"/>
              <w:bottom w:val="single" w:sz="6" w:space="0" w:color="auto"/>
            </w:tcBorders>
            <w:shd w:val="clear" w:color="auto" w:fill="FF9900"/>
            <w:vAlign w:val="center"/>
          </w:tcPr>
          <w:p>
            <w:pPr>
              <w:spacing w:line="360" w:lineRule="auto"/>
              <w:jc w:val="center"/>
              <w:rPr>
                <w:rFonts w:ascii="宋体" w:hAnsi="宋体"/>
                <w:color w:val="000000"/>
                <w:sz w:val="24"/>
              </w:rPr>
            </w:pPr>
            <w:hyperlink r:id="rId7" w:tgtFrame="_blank" w:history="1">
              <w:r>
                <w:rPr>
                  <w:rStyle w:val="Hyperlink"/>
                  <w:rFonts w:ascii="宋体" w:hAnsi="宋体"/>
                  <w:color w:val="000000"/>
                  <w:sz w:val="24"/>
                </w:rPr>
                <w:t>芭比伦堡</w:t>
              </w:r>
            </w:hyperlink>
          </w:p>
        </w:tc>
        <w:tc>
          <w:tcPr>
            <w:tcW w:w="2333" w:type="dxa"/>
            <w:tcBorders>
              <w:top w:val="single" w:sz="12" w:space="0" w:color="auto"/>
              <w:bottom w:val="single" w:sz="6" w:space="0" w:color="auto"/>
            </w:tcBorders>
            <w:shd w:val="clear" w:color="auto" w:fill="FF9900"/>
            <w:vAlign w:val="center"/>
          </w:tcPr>
          <w:p>
            <w:pPr>
              <w:spacing w:line="360" w:lineRule="auto"/>
              <w:jc w:val="center"/>
              <w:rPr>
                <w:rFonts w:ascii="宋体" w:hAnsi="宋体" w:hint="eastAsia"/>
                <w:color w:val="000000"/>
                <w:sz w:val="24"/>
              </w:rPr>
            </w:pPr>
            <w:r>
              <w:rPr>
                <w:rFonts w:ascii="宋体" w:hAnsi="宋体" w:hint="eastAsia"/>
                <w:color w:val="000000"/>
                <w:sz w:val="24"/>
              </w:rPr>
              <w:t>当代国际花园</w:t>
            </w:r>
          </w:p>
        </w:tc>
      </w:tr>
      <w:tr>
        <w:tblPrEx>
          <w:jc w:val="center"/>
          <w:tblInd w:w="-500" w:type="dxa"/>
          <w:tblLayout w:type="fixed"/>
          <w:tblCellMar>
            <w:top w:w="0" w:type="dxa"/>
            <w:left w:w="30" w:type="dxa"/>
            <w:bottom w:w="0" w:type="dxa"/>
            <w:right w:w="30" w:type="dxa"/>
          </w:tblCellMar>
          <w:tblLook w:val="0000"/>
        </w:tblPrEx>
        <w:trPr>
          <w:trHeight w:val="1428"/>
          <w:jc w:val="center"/>
        </w:trPr>
        <w:tc>
          <w:tcPr>
            <w:tcW w:w="1910" w:type="dxa"/>
            <w:tcBorders>
              <w:top w:val="single" w:sz="6" w:space="0" w:color="auto"/>
              <w:bottom w:val="single" w:sz="6" w:space="0" w:color="auto"/>
            </w:tcBorders>
            <w:shd w:val="clear" w:color="auto" w:fill="C0C0C0"/>
            <w:vAlign w:val="center"/>
          </w:tcPr>
          <w:p>
            <w:pPr>
              <w:spacing w:line="360" w:lineRule="auto"/>
              <w:jc w:val="center"/>
              <w:rPr>
                <w:rFonts w:ascii="宋体" w:hAnsi="宋体" w:hint="eastAsia"/>
                <w:color w:val="000000"/>
                <w:sz w:val="24"/>
              </w:rPr>
            </w:pPr>
            <w:r>
              <w:rPr>
                <w:rFonts w:ascii="宋体" w:hAnsi="宋体" w:hint="eastAsia"/>
                <w:color w:val="000000"/>
                <w:sz w:val="24"/>
              </w:rPr>
              <w:t>核心卖点</w:t>
            </w:r>
          </w:p>
        </w:tc>
        <w:tc>
          <w:tcPr>
            <w:tcW w:w="2062" w:type="dxa"/>
            <w:tcBorders>
              <w:top w:val="single" w:sz="6" w:space="0" w:color="auto"/>
            </w:tcBorders>
            <w:shd w:val="clear" w:color="auto" w:fill="auto"/>
            <w:vAlign w:val="center"/>
          </w:tcPr>
          <w:p>
            <w:pPr>
              <w:spacing w:line="360" w:lineRule="auto"/>
              <w:jc w:val="center"/>
              <w:rPr>
                <w:rFonts w:ascii="宋体" w:hAnsi="宋体" w:hint="eastAsia"/>
                <w:color w:val="000000"/>
                <w:sz w:val="24"/>
              </w:rPr>
            </w:pPr>
            <w:r>
              <w:rPr>
                <w:rFonts w:ascii="宋体" w:hAnsi="宋体"/>
                <w:sz w:val="24"/>
              </w:rPr>
              <w:t>最具国际气质的光谷24小时供暖大社区</w:t>
            </w:r>
          </w:p>
        </w:tc>
        <w:tc>
          <w:tcPr>
            <w:tcW w:w="1736" w:type="dxa"/>
            <w:tcBorders>
              <w:top w:val="single" w:sz="6" w:space="0" w:color="auto"/>
            </w:tcBorders>
            <w:shd w:val="clear" w:color="auto" w:fill="auto"/>
            <w:vAlign w:val="center"/>
          </w:tcPr>
          <w:p>
            <w:pPr>
              <w:spacing w:line="360" w:lineRule="auto"/>
              <w:jc w:val="center"/>
              <w:rPr>
                <w:rFonts w:ascii="宋体" w:hAnsi="宋体" w:hint="eastAsia"/>
                <w:color w:val="000000"/>
                <w:sz w:val="24"/>
              </w:rPr>
            </w:pPr>
            <w:r>
              <w:rPr>
                <w:rFonts w:ascii="宋体" w:hAnsi="宋体" w:hint="eastAsia"/>
                <w:color w:val="000000"/>
                <w:sz w:val="24"/>
              </w:rPr>
              <w:t>80万方坡地公园社区</w:t>
            </w:r>
          </w:p>
        </w:tc>
        <w:tc>
          <w:tcPr>
            <w:tcW w:w="1858" w:type="dxa"/>
            <w:tcBorders>
              <w:top w:val="single" w:sz="6" w:space="0" w:color="auto"/>
            </w:tcBorders>
            <w:shd w:val="clear" w:color="auto" w:fill="auto"/>
            <w:vAlign w:val="center"/>
          </w:tcPr>
          <w:p>
            <w:pPr>
              <w:spacing w:line="360" w:lineRule="auto"/>
              <w:jc w:val="center"/>
              <w:rPr>
                <w:rFonts w:ascii="宋体" w:hAnsi="宋体" w:hint="eastAsia"/>
                <w:color w:val="000000"/>
                <w:sz w:val="24"/>
              </w:rPr>
            </w:pPr>
            <w:r>
              <w:rPr>
                <w:rFonts w:ascii="宋体" w:hAnsi="宋体" w:hint="eastAsia"/>
                <w:color w:val="000000"/>
                <w:sz w:val="24"/>
              </w:rPr>
              <w:t>74万方纯现代原创生活城</w:t>
            </w:r>
          </w:p>
        </w:tc>
        <w:tc>
          <w:tcPr>
            <w:tcW w:w="1615" w:type="dxa"/>
            <w:tcBorders>
              <w:top w:val="single" w:sz="6" w:space="0" w:color="auto"/>
            </w:tcBorders>
            <w:shd w:val="clear" w:color="auto" w:fill="auto"/>
            <w:vAlign w:val="center"/>
          </w:tcPr>
          <w:p>
            <w:pPr>
              <w:spacing w:line="360" w:lineRule="auto"/>
              <w:jc w:val="center"/>
              <w:rPr>
                <w:rFonts w:ascii="宋体" w:hAnsi="宋体" w:hint="eastAsia"/>
                <w:color w:val="000000"/>
                <w:sz w:val="24"/>
              </w:rPr>
            </w:pPr>
            <w:r>
              <w:rPr>
                <w:rFonts w:ascii="宋体" w:hAnsi="宋体"/>
                <w:sz w:val="24"/>
              </w:rPr>
              <w:t>大型魅力生活住区</w:t>
            </w:r>
          </w:p>
        </w:tc>
        <w:tc>
          <w:tcPr>
            <w:tcW w:w="1736" w:type="dxa"/>
            <w:tcBorders>
              <w:top w:val="single" w:sz="6" w:space="0" w:color="auto"/>
            </w:tcBorders>
            <w:shd w:val="clear" w:color="auto" w:fill="auto"/>
            <w:vAlign w:val="center"/>
          </w:tcPr>
          <w:p>
            <w:pPr>
              <w:spacing w:line="360" w:lineRule="auto"/>
              <w:jc w:val="center"/>
              <w:rPr>
                <w:rFonts w:ascii="宋体" w:hAnsi="宋体"/>
                <w:color w:val="000000"/>
                <w:sz w:val="24"/>
              </w:rPr>
            </w:pPr>
            <w:r>
              <w:rPr>
                <w:rFonts w:ascii="宋体" w:hAnsi="宋体" w:hint="eastAsia"/>
                <w:color w:val="000000"/>
                <w:sz w:val="24"/>
              </w:rPr>
              <w:t>玲珑空间、魔幻天地</w:t>
            </w:r>
          </w:p>
        </w:tc>
        <w:tc>
          <w:tcPr>
            <w:tcW w:w="2333" w:type="dxa"/>
            <w:tcBorders>
              <w:top w:val="single" w:sz="6" w:space="0" w:color="auto"/>
            </w:tcBorders>
            <w:shd w:val="clear" w:color="auto" w:fill="auto"/>
            <w:vAlign w:val="center"/>
          </w:tcPr>
          <w:p>
            <w:pPr>
              <w:spacing w:line="360" w:lineRule="auto"/>
              <w:jc w:val="center"/>
              <w:rPr>
                <w:rFonts w:ascii="宋体" w:hAnsi="宋体" w:hint="eastAsia"/>
                <w:color w:val="000000"/>
                <w:sz w:val="24"/>
              </w:rPr>
            </w:pPr>
            <w:r>
              <w:rPr>
                <w:rFonts w:ascii="宋体" w:hAnsi="宋体" w:hint="eastAsia"/>
                <w:color w:val="000000"/>
                <w:sz w:val="24"/>
              </w:rPr>
              <w:t>光谷首府60万方别墅级国际居住区</w:t>
            </w:r>
          </w:p>
        </w:tc>
      </w:tr>
      <w:tr>
        <w:tblPrEx>
          <w:jc w:val="center"/>
          <w:tblInd w:w="-500" w:type="dxa"/>
          <w:tblLayout w:type="fixed"/>
          <w:tblCellMar>
            <w:top w:w="0" w:type="dxa"/>
            <w:left w:w="30" w:type="dxa"/>
            <w:bottom w:w="0" w:type="dxa"/>
            <w:right w:w="30" w:type="dxa"/>
          </w:tblCellMar>
          <w:tblLook w:val="0000"/>
        </w:tblPrEx>
        <w:trPr>
          <w:trHeight w:val="2109"/>
          <w:jc w:val="center"/>
        </w:trPr>
        <w:tc>
          <w:tcPr>
            <w:tcW w:w="1910" w:type="dxa"/>
            <w:tcBorders>
              <w:top w:val="single" w:sz="6" w:space="0" w:color="auto"/>
              <w:bottom w:val="single" w:sz="12" w:space="0" w:color="auto"/>
            </w:tcBorders>
            <w:shd w:val="clear" w:color="auto" w:fill="C0C0C0"/>
            <w:vAlign w:val="center"/>
          </w:tcPr>
          <w:p>
            <w:pPr>
              <w:spacing w:line="360" w:lineRule="auto"/>
              <w:jc w:val="center"/>
              <w:rPr>
                <w:rFonts w:ascii="宋体" w:hAnsi="宋体" w:hint="eastAsia"/>
                <w:color w:val="000000"/>
                <w:sz w:val="24"/>
              </w:rPr>
            </w:pPr>
            <w:r>
              <w:rPr>
                <w:rFonts w:ascii="宋体" w:hAnsi="宋体" w:hint="eastAsia"/>
                <w:color w:val="000000"/>
                <w:sz w:val="24"/>
              </w:rPr>
              <w:t>核心概念</w:t>
            </w:r>
          </w:p>
        </w:tc>
        <w:tc>
          <w:tcPr>
            <w:tcW w:w="2062" w:type="dxa"/>
            <w:tcBorders>
              <w:top w:val="single" w:sz="6" w:space="0" w:color="auto"/>
            </w:tcBorders>
            <w:shd w:val="clear" w:color="auto" w:fill="auto"/>
            <w:vAlign w:val="center"/>
          </w:tcPr>
          <w:p>
            <w:pPr>
              <w:spacing w:line="360" w:lineRule="auto"/>
              <w:jc w:val="center"/>
              <w:rPr>
                <w:rFonts w:ascii="宋体" w:hAnsi="宋体" w:hint="eastAsia"/>
                <w:color w:val="000000"/>
                <w:sz w:val="24"/>
              </w:rPr>
            </w:pPr>
            <w:r>
              <w:rPr>
                <w:rFonts w:ascii="宋体" w:hAnsi="宋体" w:hint="eastAsia"/>
                <w:color w:val="000000"/>
                <w:sz w:val="24"/>
              </w:rPr>
              <w:t>思想第一城</w:t>
            </w:r>
          </w:p>
        </w:tc>
        <w:tc>
          <w:tcPr>
            <w:tcW w:w="1736" w:type="dxa"/>
            <w:tcBorders>
              <w:top w:val="single" w:sz="6" w:space="0" w:color="auto"/>
            </w:tcBorders>
            <w:shd w:val="clear" w:color="auto" w:fill="auto"/>
            <w:vAlign w:val="center"/>
          </w:tcPr>
          <w:p>
            <w:pPr>
              <w:spacing w:line="360" w:lineRule="auto"/>
              <w:jc w:val="center"/>
              <w:rPr>
                <w:rFonts w:ascii="宋体" w:hAnsi="宋体" w:hint="eastAsia"/>
                <w:color w:val="000000"/>
                <w:sz w:val="24"/>
              </w:rPr>
            </w:pPr>
            <w:r>
              <w:rPr>
                <w:rFonts w:ascii="宋体" w:hAnsi="宋体" w:hint="eastAsia"/>
                <w:color w:val="000000"/>
                <w:sz w:val="24"/>
              </w:rPr>
              <w:t>生态人文城</w:t>
            </w:r>
          </w:p>
        </w:tc>
        <w:tc>
          <w:tcPr>
            <w:tcW w:w="1858" w:type="dxa"/>
            <w:tcBorders>
              <w:top w:val="single" w:sz="6" w:space="0" w:color="auto"/>
            </w:tcBorders>
            <w:shd w:val="clear" w:color="auto" w:fill="auto"/>
            <w:vAlign w:val="center"/>
          </w:tcPr>
          <w:p>
            <w:pPr>
              <w:spacing w:line="360" w:lineRule="auto"/>
              <w:jc w:val="center"/>
              <w:rPr>
                <w:rFonts w:ascii="宋体" w:hAnsi="宋体"/>
                <w:color w:val="000000"/>
                <w:sz w:val="24"/>
              </w:rPr>
            </w:pPr>
            <w:r>
              <w:rPr>
                <w:rFonts w:ascii="宋体" w:hAnsi="宋体"/>
                <w:sz w:val="24"/>
              </w:rPr>
              <w:t>新都市主义之城</w:t>
            </w:r>
          </w:p>
        </w:tc>
        <w:tc>
          <w:tcPr>
            <w:tcW w:w="1615" w:type="dxa"/>
            <w:tcBorders>
              <w:top w:val="single" w:sz="6" w:space="0" w:color="auto"/>
            </w:tcBorders>
            <w:shd w:val="clear" w:color="auto" w:fill="auto"/>
            <w:vAlign w:val="center"/>
          </w:tcPr>
          <w:p>
            <w:pPr>
              <w:spacing w:line="360" w:lineRule="auto"/>
              <w:jc w:val="center"/>
              <w:rPr>
                <w:rFonts w:ascii="宋体" w:hAnsi="宋体" w:hint="eastAsia"/>
                <w:color w:val="000000"/>
                <w:sz w:val="24"/>
              </w:rPr>
            </w:pPr>
            <w:r>
              <w:rPr>
                <w:rFonts w:ascii="宋体" w:hAnsi="宋体"/>
                <w:sz w:val="24"/>
              </w:rPr>
              <w:t>新城市主义</w:t>
            </w:r>
          </w:p>
        </w:tc>
        <w:tc>
          <w:tcPr>
            <w:tcW w:w="1736" w:type="dxa"/>
            <w:tcBorders>
              <w:top w:val="single" w:sz="6" w:space="0" w:color="auto"/>
            </w:tcBorders>
            <w:shd w:val="clear" w:color="auto" w:fill="auto"/>
            <w:vAlign w:val="center"/>
          </w:tcPr>
          <w:p>
            <w:pPr>
              <w:spacing w:line="360" w:lineRule="auto"/>
              <w:jc w:val="center"/>
              <w:rPr>
                <w:rFonts w:ascii="宋体" w:hAnsi="宋体"/>
                <w:color w:val="000000"/>
                <w:sz w:val="24"/>
              </w:rPr>
            </w:pPr>
            <w:r>
              <w:rPr>
                <w:rFonts w:ascii="宋体" w:hAnsi="宋体" w:hint="eastAsia"/>
                <w:sz w:val="24"/>
              </w:rPr>
              <w:t>新古典主义</w:t>
            </w:r>
          </w:p>
        </w:tc>
        <w:tc>
          <w:tcPr>
            <w:tcW w:w="2333" w:type="dxa"/>
            <w:tcBorders>
              <w:top w:val="single" w:sz="6" w:space="0" w:color="auto"/>
            </w:tcBorders>
            <w:shd w:val="clear" w:color="auto" w:fill="auto"/>
            <w:vAlign w:val="center"/>
          </w:tcPr>
          <w:p>
            <w:pPr>
              <w:spacing w:line="360" w:lineRule="auto"/>
              <w:jc w:val="center"/>
              <w:rPr>
                <w:rFonts w:ascii="宋体" w:hAnsi="宋体" w:cs="宋体" w:hint="eastAsia"/>
                <w:color w:val="000000"/>
                <w:sz w:val="24"/>
              </w:rPr>
            </w:pPr>
            <w:r>
              <w:rPr>
                <w:rFonts w:ascii="宋体" w:hAnsi="宋体" w:hint="eastAsia"/>
                <w:color w:val="000000"/>
                <w:sz w:val="24"/>
              </w:rPr>
              <w:t>城市别墅</w:t>
            </w:r>
          </w:p>
        </w:tc>
      </w:tr>
    </w:tbl>
    <w:p>
      <w:pPr>
        <w:pStyle w:val="Heading3"/>
        <w:numPr>
          <w:ilvl w:val="2"/>
          <w:numId w:val="0"/>
        </w:numPr>
        <w:spacing w:before="0" w:beforeLines="0" w:after="0" w:afterLines="0" w:line="500" w:lineRule="auto"/>
        <w:rPr>
          <w:rFonts w:ascii="宋体" w:eastAsia="宋体" w:hAnsi="宋体" w:cs="Batang"/>
          <w:sz w:val="24"/>
          <w:szCs w:val="24"/>
        </w:rPr>
      </w:pPr>
      <w:r>
        <w:rPr>
          <w:rFonts w:ascii="宋体" w:eastAsia="宋体" w:hAnsi="宋体"/>
          <w:sz w:val="24"/>
          <w:szCs w:val="24"/>
        </w:rPr>
        <w:t>（六）</w:t>
      </w:r>
      <w:r>
        <w:rPr>
          <w:rFonts w:ascii="宋体" w:eastAsia="宋体" w:hAnsi="宋体" w:cs="宋体"/>
          <w:sz w:val="24"/>
          <w:szCs w:val="24"/>
        </w:rPr>
        <w:t>竞争楼盘</w:t>
      </w:r>
      <w:r>
        <w:rPr>
          <w:rFonts w:ascii="宋体" w:eastAsia="宋体" w:hAnsi="宋体" w:cs="Batang"/>
          <w:sz w:val="24"/>
          <w:szCs w:val="24"/>
        </w:rPr>
        <w:t>中，周</w:t>
      </w:r>
      <w:r>
        <w:rPr>
          <w:rFonts w:ascii="宋体" w:eastAsia="宋体" w:hAnsi="宋体" w:cs="宋体"/>
          <w:sz w:val="24"/>
          <w:szCs w:val="24"/>
        </w:rPr>
        <w:t>边</w:t>
      </w:r>
      <w:r>
        <w:rPr>
          <w:rFonts w:ascii="宋体" w:eastAsia="宋体" w:hAnsi="宋体" w:cs="Batang"/>
          <w:sz w:val="24"/>
          <w:szCs w:val="24"/>
        </w:rPr>
        <w:t>配套以及社区配套是否健全成</w:t>
      </w:r>
      <w:r>
        <w:rPr>
          <w:rFonts w:ascii="宋体" w:eastAsia="宋体" w:hAnsi="宋体" w:cs="宋体"/>
          <w:sz w:val="24"/>
          <w:szCs w:val="24"/>
        </w:rPr>
        <w:t>为争夺</w:t>
      </w:r>
      <w:r>
        <w:rPr>
          <w:rFonts w:ascii="宋体" w:eastAsia="宋体" w:hAnsi="宋体" w:cs="Batang"/>
          <w:sz w:val="24"/>
          <w:szCs w:val="24"/>
        </w:rPr>
        <w:t>市</w:t>
      </w:r>
      <w:r>
        <w:rPr>
          <w:rFonts w:ascii="宋体" w:eastAsia="宋体" w:hAnsi="宋体" w:cs="宋体"/>
          <w:sz w:val="24"/>
          <w:szCs w:val="24"/>
        </w:rPr>
        <w:t>场</w:t>
      </w:r>
      <w:r>
        <w:rPr>
          <w:rFonts w:ascii="宋体" w:eastAsia="宋体" w:hAnsi="宋体"/>
          <w:sz w:val="24"/>
          <w:szCs w:val="24"/>
        </w:rPr>
        <w:t>的</w:t>
      </w:r>
      <w:r>
        <w:rPr>
          <w:rFonts w:ascii="宋体" w:eastAsia="宋体" w:hAnsi="宋体" w:cs="宋体"/>
          <w:sz w:val="24"/>
          <w:szCs w:val="24"/>
        </w:rPr>
        <w:t>关键</w:t>
      </w:r>
      <w:r>
        <w:rPr>
          <w:rFonts w:ascii="宋体" w:eastAsia="宋体" w:hAnsi="宋体" w:cs="Batang"/>
          <w:sz w:val="24"/>
          <w:szCs w:val="24"/>
        </w:rPr>
        <w:t>点</w:t>
      </w:r>
    </w:p>
    <w:p>
      <w:pPr>
        <w:rPr>
          <w:rFonts w:hint="eastAsia"/>
        </w:rPr>
      </w:pPr>
    </w:p>
    <w:p>
      <w:pPr>
        <w:rPr>
          <w:rFonts w:hint="eastAsia"/>
        </w:rPr>
      </w:pPr>
    </w:p>
    <w:p>
      <w:pPr>
        <w:rPr>
          <w:rFonts w:hint="eastAsia"/>
        </w:rPr>
        <w:sectPr>
          <w:type w:val="nextPage"/>
          <w:pgSz w:w="16838" w:h="11906" w:orient="landscape"/>
          <w:pgMar w:top="1797" w:right="1440" w:bottom="1701" w:left="1440" w:header="851" w:footer="992" w:gutter="0"/>
          <w:pgNumType w:fmt="decimal" w:start="22"/>
          <w:cols w:space="708"/>
          <w:titlePg w:val="0"/>
          <w:docGrid w:type="lines" w:linePitch="312"/>
        </w:sectPr>
      </w:pPr>
    </w:p>
    <w:p>
      <w:pPr>
        <w:rPr>
          <w:rFonts w:hint="eastAsia"/>
        </w:rPr>
      </w:pPr>
    </w:p>
    <w:p>
      <w:pPr>
        <w:rPr>
          <w:rFonts w:hint="eastAsia"/>
        </w:rPr>
      </w:pPr>
    </w:p>
    <w:p>
      <w:pPr>
        <w:rPr>
          <w:rFonts w:hint="eastAsia"/>
        </w:rPr>
      </w:pPr>
    </w:p>
    <w:p>
      <w:pPr>
        <w:rPr>
          <w:rFonts w:hint="eastAsia"/>
        </w:rPr>
      </w:pPr>
    </w:p>
    <w:p>
      <w:pPr>
        <w:pStyle w:val="Heading4"/>
        <w:numPr>
          <w:ilvl w:val="3"/>
          <w:numId w:val="0"/>
        </w:numPr>
        <w:spacing w:before="0" w:beforeLines="0" w:after="0" w:afterLines="0" w:line="500" w:lineRule="auto"/>
        <w:ind w:firstLine="118" w:firstLineChars="49"/>
        <w:rPr>
          <w:rFonts w:ascii="宋体" w:eastAsia="宋体" w:hAnsi="宋体" w:cs="Batang" w:hint="eastAsia"/>
          <w:sz w:val="24"/>
          <w:szCs w:val="24"/>
        </w:rPr>
      </w:pPr>
      <w:r>
        <w:rPr>
          <w:rFonts w:ascii="宋体" w:eastAsia="宋体" w:hAnsi="宋体" w:cs="Batang" w:hint="eastAsia"/>
          <w:sz w:val="24"/>
          <w:szCs w:val="24"/>
        </w:rPr>
        <w:t>1、周边配套较完善楼盘</w:t>
      </w:r>
    </w:p>
    <w:tbl>
      <w:tblPr>
        <w:tblStyle w:val="TableNormal"/>
        <w:jc w:val="center"/>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371"/>
        <w:gridCol w:w="11285"/>
      </w:tblGrid>
      <w:tr>
        <w:tblPrEx>
          <w:jc w:val="center"/>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98"/>
          <w:jc w:val="center"/>
        </w:trPr>
        <w:tc>
          <w:tcPr>
            <w:tcW w:w="2371" w:type="dxa"/>
            <w:shd w:val="clear" w:color="auto" w:fill="FF9900"/>
          </w:tcPr>
          <w:p>
            <w:pPr>
              <w:spacing w:line="360" w:lineRule="auto"/>
              <w:jc w:val="center"/>
              <w:rPr>
                <w:rFonts w:ascii="宋体" w:hAnsi="宋体" w:hint="eastAsia"/>
                <w:sz w:val="24"/>
              </w:rPr>
            </w:pPr>
            <w:r>
              <w:rPr>
                <w:rFonts w:ascii="宋体" w:hAnsi="宋体" w:hint="eastAsia"/>
                <w:sz w:val="24"/>
              </w:rPr>
              <w:t>楼盘名称</w:t>
            </w:r>
          </w:p>
        </w:tc>
        <w:tc>
          <w:tcPr>
            <w:tcW w:w="11285" w:type="dxa"/>
            <w:shd w:val="clear" w:color="auto" w:fill="FF9900"/>
          </w:tcPr>
          <w:p>
            <w:pPr>
              <w:spacing w:line="360" w:lineRule="auto"/>
              <w:jc w:val="center"/>
              <w:rPr>
                <w:rFonts w:ascii="宋体" w:hAnsi="宋体" w:hint="eastAsia"/>
                <w:sz w:val="24"/>
              </w:rPr>
            </w:pPr>
            <w:r>
              <w:rPr>
                <w:rFonts w:ascii="宋体" w:hAnsi="宋体" w:hint="eastAsia"/>
                <w:sz w:val="24"/>
              </w:rPr>
              <w:t>配套设施</w:t>
            </w:r>
          </w:p>
        </w:tc>
      </w:tr>
      <w:tr>
        <w:tblPrEx>
          <w:jc w:val="center"/>
          <w:tblInd w:w="-409" w:type="dxa"/>
          <w:tblLayout w:type="fixed"/>
          <w:tblCellMar>
            <w:top w:w="0" w:type="dxa"/>
            <w:left w:w="108" w:type="dxa"/>
            <w:bottom w:w="0" w:type="dxa"/>
            <w:right w:w="108" w:type="dxa"/>
          </w:tblCellMar>
          <w:tblLook w:val="0000"/>
        </w:tblPrEx>
        <w:trPr>
          <w:trHeight w:val="2171"/>
          <w:jc w:val="center"/>
        </w:trPr>
        <w:tc>
          <w:tcPr>
            <w:tcW w:w="2371" w:type="dxa"/>
          </w:tcPr>
          <w:p>
            <w:pPr>
              <w:spacing w:line="360" w:lineRule="auto"/>
              <w:rPr>
                <w:rFonts w:ascii="宋体" w:hAnsi="宋体" w:hint="eastAsia"/>
                <w:sz w:val="24"/>
              </w:rPr>
            </w:pPr>
            <w:r>
              <w:rPr>
                <w:rFonts w:ascii="宋体" w:hAnsi="宋体" w:hint="eastAsia"/>
                <w:sz w:val="24"/>
              </w:rPr>
              <w:t>芭比伦堡</w:t>
            </w:r>
          </w:p>
        </w:tc>
        <w:tc>
          <w:tcPr>
            <w:tcW w:w="11285" w:type="dxa"/>
          </w:tcPr>
          <w:p>
            <w:pPr>
              <w:spacing w:line="360" w:lineRule="auto"/>
              <w:rPr>
                <w:rFonts w:ascii="宋体" w:hAnsi="宋体" w:hint="eastAsia"/>
                <w:sz w:val="24"/>
              </w:rPr>
            </w:pPr>
            <w:r>
              <w:rPr>
                <w:rFonts w:ascii="宋体" w:hAnsi="宋体" w:hint="eastAsia"/>
                <w:sz w:val="24"/>
              </w:rPr>
              <w:t>学校</w:t>
            </w:r>
            <w:r>
              <w:rPr>
                <w:rFonts w:ascii="宋体" w:hAnsi="宋体"/>
                <w:sz w:val="24"/>
              </w:rPr>
              <w:t>：中建三局幼儿园、光谷小学、华师一附小、光谷实验中学华师一附中（初中部、高中部）等</w:t>
            </w:r>
          </w:p>
          <w:p>
            <w:pPr>
              <w:spacing w:line="360" w:lineRule="auto"/>
              <w:rPr>
                <w:rFonts w:ascii="宋体" w:hAnsi="宋体" w:hint="eastAsia"/>
                <w:sz w:val="24"/>
              </w:rPr>
            </w:pPr>
            <w:r>
              <w:rPr>
                <w:rFonts w:ascii="宋体" w:hAnsi="宋体" w:hint="eastAsia"/>
                <w:sz w:val="24"/>
              </w:rPr>
              <w:t>超市</w:t>
            </w:r>
            <w:r>
              <w:rPr>
                <w:rFonts w:ascii="宋体" w:hAnsi="宋体"/>
                <w:sz w:val="24"/>
              </w:rPr>
              <w:t>：关山超市，曙光超市，鲁广超市，中百超市、苏宁电器、工贸家电等</w:t>
              <w:br/>
              <w:t>银行:招商银行、工商银行、农业银行、建设银行、民生银行等</w:t>
              <w:br/>
              <w:t>医院：武汉融达医院、关山医院、东湖医院、武汉市长动医院、湖北省中医院</w:t>
            </w:r>
          </w:p>
          <w:p>
            <w:pPr>
              <w:spacing w:line="360" w:lineRule="auto"/>
              <w:rPr>
                <w:rFonts w:ascii="宋体" w:hAnsi="宋体" w:hint="eastAsia"/>
                <w:sz w:val="24"/>
              </w:rPr>
            </w:pPr>
            <w:r>
              <w:rPr>
                <w:rFonts w:ascii="宋体" w:hAnsi="宋体" w:hint="eastAsia"/>
                <w:sz w:val="24"/>
              </w:rPr>
              <w:t>商业：</w:t>
            </w:r>
            <w:r>
              <w:rPr>
                <w:rFonts w:ascii="宋体" w:hAnsi="宋体"/>
                <w:sz w:val="24"/>
              </w:rPr>
              <w:t>社区配套商业街</w:t>
            </w:r>
            <w:r>
              <w:rPr>
                <w:rFonts w:ascii="宋体" w:hAnsi="宋体" w:hint="eastAsia"/>
                <w:sz w:val="24"/>
              </w:rPr>
              <w:t>、鲁广15万平米商业街</w:t>
            </w:r>
          </w:p>
          <w:p>
            <w:pPr>
              <w:spacing w:line="360" w:lineRule="auto"/>
              <w:rPr>
                <w:rFonts w:ascii="宋体" w:hAnsi="宋体" w:hint="eastAsia"/>
                <w:sz w:val="24"/>
              </w:rPr>
            </w:pPr>
            <w:r>
              <w:rPr>
                <w:rFonts w:ascii="宋体" w:hAnsi="宋体" w:hint="eastAsia"/>
                <w:sz w:val="24"/>
              </w:rPr>
              <w:t>社区配套：高8米的原生态坡地、水系、篮球场等</w:t>
            </w:r>
          </w:p>
        </w:tc>
      </w:tr>
      <w:tr>
        <w:tblPrEx>
          <w:jc w:val="center"/>
          <w:tblInd w:w="-409" w:type="dxa"/>
          <w:tblLayout w:type="fixed"/>
          <w:tblCellMar>
            <w:top w:w="0" w:type="dxa"/>
            <w:left w:w="108" w:type="dxa"/>
            <w:bottom w:w="0" w:type="dxa"/>
            <w:right w:w="108" w:type="dxa"/>
          </w:tblCellMar>
          <w:tblLook w:val="0000"/>
        </w:tblPrEx>
        <w:trPr>
          <w:trHeight w:val="1860"/>
          <w:jc w:val="center"/>
        </w:trPr>
        <w:tc>
          <w:tcPr>
            <w:tcW w:w="2371" w:type="dxa"/>
          </w:tcPr>
          <w:p>
            <w:pPr>
              <w:spacing w:line="360" w:lineRule="auto"/>
              <w:rPr>
                <w:rFonts w:ascii="宋体" w:hAnsi="宋体" w:hint="eastAsia"/>
                <w:sz w:val="24"/>
              </w:rPr>
            </w:pPr>
            <w:r>
              <w:rPr>
                <w:rFonts w:ascii="宋体" w:hAnsi="宋体" w:hint="eastAsia"/>
                <w:sz w:val="24"/>
              </w:rPr>
              <w:t>锦绣龙城</w:t>
            </w:r>
          </w:p>
        </w:tc>
        <w:tc>
          <w:tcPr>
            <w:tcW w:w="11285" w:type="dxa"/>
          </w:tcPr>
          <w:p>
            <w:pPr>
              <w:spacing w:line="360" w:lineRule="auto"/>
              <w:rPr>
                <w:rFonts w:ascii="宋体" w:hAnsi="宋体" w:hint="eastAsia"/>
                <w:sz w:val="24"/>
              </w:rPr>
            </w:pPr>
            <w:r>
              <w:rPr>
                <w:rFonts w:ascii="宋体" w:hAnsi="宋体" w:hint="eastAsia"/>
                <w:sz w:val="24"/>
              </w:rPr>
              <w:t>学校</w:t>
            </w:r>
            <w:r>
              <w:rPr>
                <w:rFonts w:ascii="宋体" w:hAnsi="宋体"/>
                <w:sz w:val="24"/>
              </w:rPr>
              <w:t>: 中南财经政法幼儿园</w:t>
            </w:r>
            <w:r>
              <w:rPr>
                <w:rFonts w:ascii="宋体" w:hAnsi="宋体" w:hint="eastAsia"/>
                <w:sz w:val="24"/>
              </w:rPr>
              <w:t>、</w:t>
            </w:r>
            <w:r>
              <w:rPr>
                <w:rFonts w:ascii="宋体" w:hAnsi="宋体"/>
                <w:sz w:val="24"/>
              </w:rPr>
              <w:t>光谷实验小学</w:t>
            </w:r>
            <w:r>
              <w:rPr>
                <w:rFonts w:ascii="宋体" w:hAnsi="宋体" w:hint="eastAsia"/>
                <w:sz w:val="24"/>
              </w:rPr>
              <w:t>、</w:t>
            </w:r>
            <w:r>
              <w:rPr>
                <w:rFonts w:ascii="宋体" w:hAnsi="宋体"/>
                <w:sz w:val="24"/>
              </w:rPr>
              <w:t>鲁巷小学</w:t>
            </w:r>
            <w:r>
              <w:rPr>
                <w:rFonts w:ascii="宋体" w:hAnsi="宋体" w:hint="eastAsia"/>
                <w:sz w:val="24"/>
              </w:rPr>
              <w:t>、</w:t>
            </w:r>
            <w:r>
              <w:rPr>
                <w:rFonts w:ascii="宋体" w:hAnsi="宋体"/>
                <w:sz w:val="24"/>
              </w:rPr>
              <w:t>中南民族大学附属小学</w:t>
            </w:r>
            <w:r>
              <w:rPr>
                <w:rFonts w:ascii="宋体" w:hAnsi="宋体" w:hint="eastAsia"/>
                <w:sz w:val="24"/>
              </w:rPr>
              <w:t>、</w:t>
            </w:r>
            <w:r>
              <w:rPr>
                <w:rFonts w:ascii="宋体" w:hAnsi="宋体"/>
                <w:sz w:val="24"/>
              </w:rPr>
              <w:t>关山中学</w:t>
            </w:r>
          </w:p>
          <w:p>
            <w:pPr>
              <w:spacing w:line="360" w:lineRule="auto"/>
              <w:rPr>
                <w:rFonts w:ascii="宋体" w:hAnsi="宋体" w:hint="eastAsia"/>
                <w:sz w:val="24"/>
              </w:rPr>
            </w:pPr>
            <w:r>
              <w:rPr>
                <w:rFonts w:ascii="宋体" w:hAnsi="宋体"/>
                <w:sz w:val="24"/>
              </w:rPr>
              <w:t>综合商场:鲁巷广场</w:t>
            </w:r>
            <w:r>
              <w:rPr>
                <w:rFonts w:ascii="宋体" w:hAnsi="宋体" w:hint="eastAsia"/>
                <w:sz w:val="24"/>
              </w:rPr>
              <w:t>、</w:t>
            </w:r>
            <w:r>
              <w:rPr>
                <w:rFonts w:ascii="宋体" w:hAnsi="宋体"/>
                <w:sz w:val="24"/>
              </w:rPr>
              <w:t>苏宁电器</w:t>
              <w:br/>
              <w:t>银行:工商银行</w:t>
            </w:r>
            <w:r>
              <w:rPr>
                <w:rFonts w:ascii="宋体" w:hAnsi="宋体" w:hint="eastAsia"/>
                <w:sz w:val="24"/>
              </w:rPr>
              <w:t>、</w:t>
            </w:r>
            <w:r>
              <w:rPr>
                <w:rFonts w:ascii="宋体" w:hAnsi="宋体"/>
                <w:sz w:val="24"/>
              </w:rPr>
              <w:t>建设银行</w:t>
            </w:r>
            <w:r>
              <w:rPr>
                <w:rFonts w:ascii="宋体" w:hAnsi="宋体" w:hint="eastAsia"/>
                <w:sz w:val="24"/>
              </w:rPr>
              <w:t>、</w:t>
            </w:r>
            <w:r>
              <w:rPr>
                <w:rFonts w:ascii="宋体" w:hAnsi="宋体"/>
                <w:sz w:val="24"/>
              </w:rPr>
              <w:t>民生银行</w:t>
              <w:br/>
              <w:t>医院:东湖医院光谷门诊部</w:t>
            </w:r>
            <w:r>
              <w:rPr>
                <w:rFonts w:ascii="宋体" w:hAnsi="宋体" w:hint="eastAsia"/>
                <w:sz w:val="24"/>
              </w:rPr>
              <w:t>、关</w:t>
            </w:r>
            <w:r>
              <w:rPr>
                <w:rFonts w:ascii="宋体" w:hAnsi="宋体"/>
                <w:sz w:val="24"/>
              </w:rPr>
              <w:t>山医院</w:t>
            </w:r>
          </w:p>
        </w:tc>
      </w:tr>
    </w:tbl>
    <w:p>
      <w:pPr>
        <w:sectPr>
          <w:type w:val="nextPage"/>
          <w:pgSz w:w="16838" w:h="11906" w:orient="landscape"/>
          <w:pgMar w:top="1797" w:right="1440" w:bottom="1701" w:left="1440" w:header="851" w:footer="992" w:gutter="0"/>
          <w:pgNumType w:fmt="decimal" w:start="23"/>
          <w:cols w:space="708"/>
          <w:titlePg w:val="0"/>
          <w:docGrid w:type="lines" w:linePitch="312"/>
        </w:sectPr>
      </w:pPr>
    </w:p>
    <w:tbl>
      <w:tblPr>
        <w:tblStyle w:val="TableNormal"/>
        <w:jc w:val="center"/>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371"/>
        <w:gridCol w:w="11285"/>
      </w:tblGrid>
      <w:tr>
        <w:tblPrEx>
          <w:jc w:val="center"/>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58"/>
          <w:jc w:val="center"/>
        </w:trPr>
        <w:tc>
          <w:tcPr>
            <w:tcW w:w="2371" w:type="dxa"/>
          </w:tcPr>
          <w:p>
            <w:pPr>
              <w:spacing w:line="360" w:lineRule="auto"/>
              <w:rPr>
                <w:rFonts w:ascii="宋体" w:hAnsi="宋体" w:hint="eastAsia"/>
                <w:sz w:val="24"/>
              </w:rPr>
            </w:pPr>
            <w:r>
              <w:rPr>
                <w:rFonts w:ascii="宋体" w:hAnsi="宋体" w:hint="eastAsia"/>
                <w:sz w:val="24"/>
              </w:rPr>
              <w:t>清江山水</w:t>
            </w:r>
          </w:p>
        </w:tc>
        <w:tc>
          <w:tcPr>
            <w:tcW w:w="11285" w:type="dxa"/>
          </w:tcPr>
          <w:p>
            <w:pPr>
              <w:spacing w:line="360" w:lineRule="auto"/>
              <w:rPr>
                <w:rFonts w:ascii="宋体" w:hAnsi="宋体" w:hint="eastAsia"/>
                <w:sz w:val="24"/>
              </w:rPr>
            </w:pPr>
            <w:r>
              <w:rPr>
                <w:rFonts w:ascii="宋体" w:hAnsi="宋体" w:hint="eastAsia"/>
                <w:sz w:val="24"/>
              </w:rPr>
              <w:t>学校</w:t>
            </w:r>
            <w:r>
              <w:rPr>
                <w:rFonts w:ascii="宋体" w:hAnsi="宋体"/>
                <w:sz w:val="24"/>
              </w:rPr>
              <w:t>：</w:t>
            </w:r>
            <w:r>
              <w:rPr>
                <w:rFonts w:ascii="宋体" w:hAnsi="宋体" w:hint="eastAsia"/>
                <w:sz w:val="24"/>
              </w:rPr>
              <w:t>社区内幼儿园、</w:t>
            </w:r>
            <w:r>
              <w:rPr>
                <w:rFonts w:ascii="宋体" w:hAnsi="宋体"/>
                <w:sz w:val="24"/>
              </w:rPr>
              <w:t>、光谷小学、华师一附小、光谷实验中学华师一附中（初中部、高中部）等</w:t>
            </w:r>
          </w:p>
          <w:p>
            <w:pPr>
              <w:spacing w:line="360" w:lineRule="auto"/>
              <w:rPr>
                <w:rFonts w:ascii="宋体" w:hAnsi="宋体" w:hint="eastAsia"/>
                <w:sz w:val="24"/>
              </w:rPr>
            </w:pPr>
            <w:r>
              <w:rPr>
                <w:rFonts w:ascii="宋体" w:hAnsi="宋体" w:hint="eastAsia"/>
                <w:sz w:val="24"/>
              </w:rPr>
              <w:t>超市</w:t>
            </w:r>
            <w:r>
              <w:rPr>
                <w:rFonts w:ascii="宋体" w:hAnsi="宋体"/>
                <w:sz w:val="24"/>
              </w:rPr>
              <w:t>：关山超市，曙光超市，鲁广超市，中百超市、苏宁电器、工贸家电等</w:t>
              <w:br/>
              <w:t>银行:工行、农行、建行、民行等</w:t>
              <w:br/>
              <w:t>医院：关山医院、东湖医院、武汉市长动医院、湖北省中医院</w:t>
            </w:r>
          </w:p>
          <w:p>
            <w:pPr>
              <w:spacing w:line="360" w:lineRule="auto"/>
              <w:rPr>
                <w:rFonts w:ascii="宋体" w:hAnsi="宋体" w:hint="eastAsia"/>
                <w:sz w:val="24"/>
              </w:rPr>
            </w:pPr>
            <w:r>
              <w:rPr>
                <w:rFonts w:ascii="宋体" w:hAnsi="宋体" w:hint="eastAsia"/>
                <w:sz w:val="24"/>
              </w:rPr>
              <w:t>商业：</w:t>
            </w:r>
            <w:r>
              <w:rPr>
                <w:rFonts w:ascii="宋体" w:hAnsi="宋体"/>
                <w:sz w:val="24"/>
              </w:rPr>
              <w:t>社区配套商业街</w:t>
            </w:r>
            <w:r>
              <w:rPr>
                <w:rFonts w:ascii="宋体" w:hAnsi="宋体" w:hint="eastAsia"/>
                <w:sz w:val="24"/>
              </w:rPr>
              <w:t>、3000平米大超市、鲁广15万平米商业街</w:t>
            </w:r>
          </w:p>
          <w:p>
            <w:pPr>
              <w:spacing w:line="360" w:lineRule="auto"/>
              <w:rPr>
                <w:rFonts w:ascii="宋体" w:hAnsi="宋体" w:hint="eastAsia"/>
                <w:sz w:val="24"/>
              </w:rPr>
            </w:pPr>
            <w:r>
              <w:rPr>
                <w:rFonts w:ascii="宋体" w:hAnsi="宋体" w:hint="eastAsia"/>
                <w:sz w:val="24"/>
              </w:rPr>
              <w:t>社区配套：2万方人工湖、幼儿园、商业街、会所等</w:t>
            </w:r>
          </w:p>
        </w:tc>
      </w:tr>
      <w:tr>
        <w:tblPrEx>
          <w:jc w:val="center"/>
          <w:tblInd w:w="-409" w:type="dxa"/>
          <w:tblLayout w:type="fixed"/>
          <w:tblCellMar>
            <w:top w:w="0" w:type="dxa"/>
            <w:left w:w="108" w:type="dxa"/>
            <w:bottom w:w="0" w:type="dxa"/>
            <w:right w:w="108" w:type="dxa"/>
          </w:tblCellMar>
          <w:tblLook w:val="0000"/>
        </w:tblPrEx>
        <w:trPr>
          <w:trHeight w:val="2158"/>
          <w:jc w:val="center"/>
        </w:trPr>
        <w:tc>
          <w:tcPr>
            <w:tcW w:w="2371" w:type="dxa"/>
          </w:tcPr>
          <w:p>
            <w:pPr>
              <w:spacing w:line="360" w:lineRule="auto"/>
              <w:rPr>
                <w:rFonts w:ascii="宋体" w:hAnsi="宋体" w:hint="eastAsia"/>
                <w:sz w:val="24"/>
              </w:rPr>
            </w:pPr>
            <w:r>
              <w:rPr>
                <w:rFonts w:ascii="宋体" w:hAnsi="宋体" w:hint="eastAsia"/>
                <w:sz w:val="24"/>
              </w:rPr>
              <w:t>光谷坐标城</w:t>
            </w:r>
          </w:p>
        </w:tc>
        <w:tc>
          <w:tcPr>
            <w:tcW w:w="11285" w:type="dxa"/>
          </w:tcPr>
          <w:p>
            <w:pPr>
              <w:spacing w:line="360" w:lineRule="auto"/>
              <w:rPr>
                <w:rFonts w:ascii="宋体" w:hAnsi="宋体" w:hint="eastAsia"/>
                <w:sz w:val="24"/>
              </w:rPr>
            </w:pPr>
            <w:r>
              <w:rPr>
                <w:rFonts w:ascii="宋体" w:hAnsi="宋体" w:hint="eastAsia"/>
                <w:sz w:val="24"/>
              </w:rPr>
              <w:t>超市：关山超市，曙光超市，鲁广超市，中百超市等等</w:t>
            </w:r>
          </w:p>
          <w:p>
            <w:pPr>
              <w:spacing w:line="360" w:lineRule="auto"/>
              <w:rPr>
                <w:rFonts w:ascii="宋体" w:hAnsi="宋体" w:hint="eastAsia"/>
                <w:sz w:val="24"/>
              </w:rPr>
            </w:pPr>
            <w:r>
              <w:rPr>
                <w:rFonts w:ascii="宋体" w:hAnsi="宋体" w:hint="eastAsia"/>
                <w:sz w:val="24"/>
              </w:rPr>
              <w:t>银行：工行，建行，农行，民生银行，招商银行等等</w:t>
            </w:r>
          </w:p>
          <w:p>
            <w:pPr>
              <w:spacing w:line="360" w:lineRule="auto"/>
              <w:rPr>
                <w:rFonts w:ascii="宋体" w:hAnsi="宋体" w:hint="eastAsia"/>
                <w:sz w:val="24"/>
              </w:rPr>
            </w:pPr>
            <w:r>
              <w:rPr>
                <w:rFonts w:ascii="宋体" w:hAnsi="宋体" w:hint="eastAsia"/>
                <w:sz w:val="24"/>
              </w:rPr>
              <w:t>医院：省中医院，关山医院，东湖医院，建设中的中德医院</w:t>
            </w:r>
          </w:p>
          <w:p>
            <w:pPr>
              <w:spacing w:line="360" w:lineRule="auto"/>
              <w:rPr>
                <w:rFonts w:ascii="宋体" w:hAnsi="宋体" w:hint="eastAsia"/>
                <w:sz w:val="24"/>
              </w:rPr>
            </w:pPr>
            <w:r>
              <w:rPr>
                <w:rFonts w:ascii="宋体" w:hAnsi="宋体" w:hint="eastAsia"/>
                <w:sz w:val="24"/>
              </w:rPr>
              <w:t>教育：华师幼儿园、光谷六小、光谷实验小学、新华师一附中、光山中学以及华中科技大学、中南民族大学等18所高等院校</w:t>
            </w:r>
          </w:p>
        </w:tc>
      </w:tr>
    </w:tbl>
    <w:p>
      <w:pPr>
        <w:pStyle w:val="Heading4"/>
        <w:numPr>
          <w:ilvl w:val="3"/>
          <w:numId w:val="0"/>
        </w:numPr>
        <w:spacing w:before="0" w:beforeLines="0" w:after="0" w:afterLines="0" w:line="500" w:lineRule="auto"/>
        <w:ind w:firstLine="118" w:firstLineChars="49"/>
        <w:rPr>
          <w:rFonts w:ascii="宋体" w:eastAsia="宋体" w:hAnsi="宋体" w:hint="eastAsia"/>
          <w:sz w:val="24"/>
          <w:szCs w:val="24"/>
        </w:rPr>
      </w:pPr>
      <w:r>
        <w:rPr>
          <w:rFonts w:ascii="宋体" w:eastAsia="宋体" w:hAnsi="宋体" w:hint="eastAsia"/>
          <w:sz w:val="24"/>
          <w:szCs w:val="24"/>
        </w:rPr>
        <w:t>2、周边配套不够完善楼盘</w:t>
      </w:r>
    </w:p>
    <w:tbl>
      <w:tblPr>
        <w:tblStyle w:val="TableNormal"/>
        <w:jc w:val="center"/>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372"/>
        <w:gridCol w:w="10997"/>
      </w:tblGrid>
      <w:tr>
        <w:tblPrEx>
          <w:jc w:val="center"/>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71"/>
          <w:jc w:val="center"/>
        </w:trPr>
        <w:tc>
          <w:tcPr>
            <w:tcW w:w="2372" w:type="dxa"/>
            <w:shd w:val="clear" w:color="auto" w:fill="FF9900"/>
          </w:tcPr>
          <w:p>
            <w:pPr>
              <w:spacing w:line="360" w:lineRule="auto"/>
              <w:jc w:val="center"/>
              <w:rPr>
                <w:rFonts w:ascii="宋体" w:hAnsi="宋体" w:hint="eastAsia"/>
                <w:sz w:val="24"/>
              </w:rPr>
            </w:pPr>
            <w:r>
              <w:rPr>
                <w:rFonts w:ascii="宋体" w:hAnsi="宋体" w:hint="eastAsia"/>
                <w:sz w:val="24"/>
              </w:rPr>
              <w:t>楼盘名称</w:t>
            </w:r>
          </w:p>
        </w:tc>
        <w:tc>
          <w:tcPr>
            <w:tcW w:w="10997" w:type="dxa"/>
            <w:shd w:val="clear" w:color="auto" w:fill="FF9900"/>
          </w:tcPr>
          <w:p>
            <w:pPr>
              <w:spacing w:line="360" w:lineRule="auto"/>
              <w:jc w:val="center"/>
              <w:rPr>
                <w:rFonts w:ascii="宋体" w:hAnsi="宋体" w:hint="eastAsia"/>
                <w:sz w:val="24"/>
              </w:rPr>
            </w:pPr>
            <w:r>
              <w:rPr>
                <w:rFonts w:ascii="宋体" w:hAnsi="宋体" w:hint="eastAsia"/>
                <w:sz w:val="24"/>
              </w:rPr>
              <w:t>社区配套</w:t>
            </w:r>
          </w:p>
        </w:tc>
      </w:tr>
      <w:tr>
        <w:tblPrEx>
          <w:jc w:val="center"/>
          <w:tblInd w:w="-229" w:type="dxa"/>
          <w:tblLayout w:type="fixed"/>
          <w:tblCellMar>
            <w:top w:w="0" w:type="dxa"/>
            <w:left w:w="108" w:type="dxa"/>
            <w:bottom w:w="0" w:type="dxa"/>
            <w:right w:w="108" w:type="dxa"/>
          </w:tblCellMar>
          <w:tblLook w:val="0000"/>
        </w:tblPrEx>
        <w:trPr>
          <w:trHeight w:val="1679"/>
          <w:jc w:val="center"/>
        </w:trPr>
        <w:tc>
          <w:tcPr>
            <w:tcW w:w="2372" w:type="dxa"/>
          </w:tcPr>
          <w:p>
            <w:pPr>
              <w:spacing w:line="360" w:lineRule="auto"/>
              <w:rPr>
                <w:rFonts w:ascii="宋体" w:hAnsi="宋体" w:hint="eastAsia"/>
                <w:sz w:val="24"/>
              </w:rPr>
            </w:pPr>
            <w:r>
              <w:rPr>
                <w:rFonts w:ascii="宋体" w:hAnsi="宋体" w:hint="eastAsia"/>
                <w:sz w:val="24"/>
              </w:rPr>
              <w:t>当代国际花园</w:t>
            </w:r>
          </w:p>
        </w:tc>
        <w:tc>
          <w:tcPr>
            <w:tcW w:w="10997" w:type="dxa"/>
          </w:tcPr>
          <w:p>
            <w:pPr>
              <w:spacing w:line="360" w:lineRule="auto"/>
              <w:rPr>
                <w:rFonts w:ascii="宋体" w:hAnsi="宋体" w:hint="eastAsia"/>
                <w:sz w:val="24"/>
              </w:rPr>
            </w:pPr>
            <w:r>
              <w:rPr>
                <w:rFonts w:ascii="宋体" w:hAnsi="宋体" w:hint="eastAsia"/>
                <w:sz w:val="24"/>
              </w:rPr>
              <w:t>学校</w:t>
            </w:r>
            <w:r>
              <w:rPr>
                <w:rFonts w:ascii="宋体" w:hAnsi="宋体"/>
                <w:sz w:val="24"/>
              </w:rPr>
              <w:t>:湖北经济学院，</w:t>
            </w:r>
          </w:p>
          <w:p>
            <w:pPr>
              <w:spacing w:line="360" w:lineRule="auto"/>
              <w:rPr>
                <w:rFonts w:ascii="宋体" w:hAnsi="宋体" w:hint="eastAsia"/>
                <w:sz w:val="24"/>
              </w:rPr>
            </w:pPr>
            <w:r>
              <w:rPr>
                <w:rFonts w:ascii="宋体" w:hAnsi="宋体"/>
                <w:sz w:val="24"/>
              </w:rPr>
              <w:t>综合商场:鲁巷广场购物中心，中百超市，万家福超市,银行:中国银行，光大银行，农行，建行，工行,</w:t>
            </w:r>
          </w:p>
          <w:p>
            <w:pPr>
              <w:spacing w:line="360" w:lineRule="auto"/>
              <w:rPr>
                <w:rFonts w:ascii="宋体" w:hAnsi="宋体" w:hint="eastAsia"/>
                <w:sz w:val="24"/>
              </w:rPr>
            </w:pPr>
            <w:r>
              <w:rPr>
                <w:rFonts w:ascii="宋体" w:hAnsi="宋体"/>
                <w:sz w:val="24"/>
              </w:rPr>
              <w:t>医院:关山医院，市十二医院</w:t>
            </w:r>
          </w:p>
        </w:tc>
      </w:tr>
    </w:tbl>
    <w:p>
      <w:pPr>
        <w:sectPr>
          <w:type w:val="nextPage"/>
          <w:pgSz w:w="16838" w:h="11906" w:orient="landscape"/>
          <w:pgMar w:top="1797" w:right="1440" w:bottom="1701" w:left="1440" w:header="851" w:footer="992" w:gutter="0"/>
          <w:pgNumType w:fmt="decimal" w:start="24"/>
          <w:cols w:space="708"/>
          <w:titlePg w:val="0"/>
          <w:docGrid w:type="lines" w:linePitch="312"/>
        </w:sectPr>
      </w:pPr>
    </w:p>
    <w:tbl>
      <w:tblPr>
        <w:tblStyle w:val="TableNormal"/>
        <w:jc w:val="center"/>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372"/>
        <w:gridCol w:w="10997"/>
      </w:tblGrid>
      <w:tr>
        <w:tblPrEx>
          <w:jc w:val="center"/>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21"/>
          <w:jc w:val="center"/>
        </w:trPr>
        <w:tc>
          <w:tcPr>
            <w:tcW w:w="2372" w:type="dxa"/>
          </w:tcPr>
          <w:p>
            <w:pPr>
              <w:spacing w:line="360" w:lineRule="auto"/>
              <w:rPr>
                <w:rFonts w:ascii="宋体" w:hAnsi="宋体" w:hint="eastAsia"/>
                <w:sz w:val="24"/>
              </w:rPr>
            </w:pPr>
            <w:r>
              <w:rPr>
                <w:rFonts w:ascii="宋体" w:hAnsi="宋体" w:hint="eastAsia"/>
                <w:sz w:val="24"/>
              </w:rPr>
              <w:t>万科魅力之城</w:t>
            </w:r>
          </w:p>
        </w:tc>
        <w:tc>
          <w:tcPr>
            <w:tcW w:w="10997" w:type="dxa"/>
          </w:tcPr>
          <w:p>
            <w:pPr>
              <w:spacing w:line="360" w:lineRule="auto"/>
              <w:rPr>
                <w:rFonts w:ascii="宋体" w:hAnsi="宋体" w:hint="eastAsia"/>
                <w:sz w:val="24"/>
              </w:rPr>
            </w:pPr>
            <w:r>
              <w:rPr>
                <w:rFonts w:ascii="宋体" w:hAnsi="宋体" w:hint="eastAsia"/>
                <w:sz w:val="24"/>
              </w:rPr>
              <w:t>学校：世纪双星双语幼儿园、华师附小城市花园分校</w:t>
            </w:r>
          </w:p>
          <w:p>
            <w:pPr>
              <w:spacing w:line="360" w:lineRule="auto"/>
              <w:rPr>
                <w:rFonts w:ascii="宋体" w:hAnsi="宋体" w:hint="eastAsia"/>
                <w:sz w:val="24"/>
              </w:rPr>
            </w:pPr>
            <w:r>
              <w:rPr>
                <w:rFonts w:ascii="宋体" w:hAnsi="宋体" w:hint="eastAsia"/>
                <w:sz w:val="24"/>
              </w:rPr>
              <w:t>商业：休闲商业区、社区商业</w:t>
            </w:r>
          </w:p>
        </w:tc>
      </w:tr>
    </w:tbl>
    <w:p>
      <w:pPr>
        <w:spacing w:line="500" w:lineRule="auto"/>
        <w:ind w:firstLine="240" w:firstLineChars="100"/>
        <w:rPr>
          <w:rFonts w:ascii="宋体" w:hAnsi="宋体" w:hint="eastAsia"/>
          <w:sz w:val="24"/>
        </w:rPr>
      </w:pPr>
      <w:r>
        <w:rPr>
          <w:rFonts w:ascii="宋体" w:hAnsi="宋体" w:hint="eastAsia"/>
          <w:sz w:val="24"/>
        </w:rPr>
        <w:t>从上面配套对比看出，当前各个房地产开发商对项目配套都比较重视，即便周边配套不尽完善的楼盘也加大了社区内的配套建设，同时加大对周边政府将会在此区域投入大量的配套的宣传。</w:t>
      </w:r>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（七）、</w:t>
      </w:r>
      <w:r>
        <w:rPr>
          <w:rFonts w:ascii="宋体" w:eastAsia="宋体" w:hAnsi="宋体" w:cs="宋体"/>
          <w:sz w:val="24"/>
          <w:szCs w:val="24"/>
        </w:rPr>
        <w:t>竞争楼盘</w:t>
      </w:r>
      <w:r>
        <w:rPr>
          <w:rFonts w:ascii="宋体" w:eastAsia="宋体" w:hAnsi="宋体"/>
          <w:sz w:val="24"/>
          <w:szCs w:val="24"/>
        </w:rPr>
        <w:t>均价情</w:t>
      </w:r>
      <w:r>
        <w:rPr>
          <w:rFonts w:ascii="宋体" w:eastAsia="宋体" w:hAnsi="宋体" w:cs="宋体"/>
          <w:sz w:val="24"/>
          <w:szCs w:val="24"/>
        </w:rPr>
        <w:t>况</w:t>
      </w:r>
    </w:p>
    <w:p>
      <w:pPr>
        <w:spacing w:line="360" w:lineRule="auto"/>
        <w:jc w:val="center"/>
        <w:rPr>
          <w:rFonts w:ascii="宋体" w:hAnsi="宋体" w:hint="eastAsia"/>
          <w:color w:val="000000"/>
          <w:sz w:val="24"/>
        </w:rPr>
      </w:pPr>
      <w:r>
        <w:pict>
          <v:shape id="_x0000_i1028" type="#_x0000_t75" style="width:321.8pt;height:167.2pt;mso-position-horizontal-relative:page;mso-position-vertical-relative:page;mso-wrap-style:square" filled="f" stroked="f">
            <v:imagedata r:id="rId8" o:title=""/>
            <v:path o:extrusionok="f"/>
            <o:lock v:ext="edit" aspectratio="t"/>
          </v:shape>
        </w:pict>
      </w:r>
    </w:p>
    <w:p>
      <w:pPr>
        <w:spacing w:line="500" w:lineRule="auto"/>
        <w:rPr>
          <w:rFonts w:ascii="宋体" w:hAnsi="宋体" w:hint="eastAsia"/>
          <w:b/>
          <w:color w:val="000000"/>
          <w:sz w:val="24"/>
        </w:rPr>
        <w:sectPr>
          <w:type w:val="nextPage"/>
          <w:pgSz w:w="16838" w:h="11906" w:orient="landscape"/>
          <w:pgMar w:top="1797" w:right="1440" w:bottom="1701" w:left="1440" w:header="851" w:footer="992" w:gutter="0"/>
          <w:pgNumType w:fmt="decimal" w:start="25"/>
          <w:cols w:space="708"/>
          <w:titlePg w:val="0"/>
          <w:docGrid w:type="lines" w:linePitch="312"/>
        </w:sectPr>
      </w:pPr>
      <w:r>
        <w:rPr>
          <w:rFonts w:ascii="宋体" w:hAnsi="宋体" w:hint="eastAsia"/>
          <w:b/>
          <w:color w:val="000000"/>
          <w:sz w:val="24"/>
        </w:rPr>
        <w:t xml:space="preserve">    由上图可以看出，在光谷片区房地产市场收到热捧的背景下，周边竞争楼盘房屋均价整体高于目前武汉市的市场平均水平，并且有进一步上升的趋势，但区域竞争也将更家剧烈，可为xxxx定价提供参考。</w:t>
      </w:r>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（八）、</w:t>
      </w:r>
      <w:r>
        <w:rPr>
          <w:rFonts w:ascii="宋体" w:eastAsia="宋体" w:hAnsi="宋体"/>
          <w:color w:val="000000"/>
          <w:sz w:val="24"/>
          <w:szCs w:val="24"/>
        </w:rPr>
        <w:t>竞争楼盘分析总结</w:t>
      </w:r>
    </w:p>
    <w:p>
      <w:pPr>
        <w:spacing w:line="500" w:lineRule="auto"/>
        <w:ind w:firstLine="1320" w:firstLineChars="550"/>
        <w:rPr>
          <w:rFonts w:ascii="宋体" w:hAnsi="宋体" w:hint="eastAsia"/>
          <w:color w:val="000000"/>
          <w:sz w:val="24"/>
        </w:rPr>
      </w:pPr>
      <w:r>
        <w:rPr>
          <w:rFonts w:ascii="宋体" w:hAnsi="宋体" w:hint="eastAsia"/>
          <w:color w:val="000000"/>
          <w:sz w:val="24"/>
        </w:rPr>
        <w:t>■</w:t>
      </w:r>
      <w:r>
        <w:rPr>
          <w:rFonts w:ascii="宋体" w:hAnsi="宋体" w:hint="eastAsia"/>
          <w:color w:val="000000"/>
          <w:sz w:val="24"/>
        </w:rPr>
        <w:t xml:space="preserve">  竞争楼盘打造的都是社区大盘，配套设施较为完善</w:t>
      </w:r>
    </w:p>
    <w:p>
      <w:pPr>
        <w:spacing w:line="500" w:lineRule="auto"/>
        <w:ind w:firstLine="1320" w:firstLineChars="550"/>
        <w:rPr>
          <w:rFonts w:ascii="宋体" w:hAnsi="宋体" w:hint="eastAsia"/>
          <w:color w:val="000000"/>
          <w:sz w:val="24"/>
        </w:rPr>
      </w:pPr>
      <w:r>
        <w:rPr>
          <w:rFonts w:ascii="宋体" w:hAnsi="宋体" w:hint="eastAsia"/>
          <w:color w:val="000000"/>
          <w:sz w:val="24"/>
        </w:rPr>
        <w:t>■</w:t>
      </w:r>
      <w:r>
        <w:rPr>
          <w:rFonts w:ascii="宋体" w:hAnsi="宋体" w:hint="eastAsia"/>
          <w:color w:val="000000"/>
          <w:sz w:val="24"/>
        </w:rPr>
        <w:t xml:space="preserve">  产品之间竞争愈演愈烈，谁先抓住客户的心谁就是最大的赢家</w:t>
      </w:r>
    </w:p>
    <w:p>
      <w:pPr>
        <w:spacing w:line="500" w:lineRule="auto"/>
        <w:ind w:firstLine="1320" w:firstLineChars="550"/>
        <w:rPr>
          <w:rFonts w:hint="eastAsia"/>
          <w:sz w:val="24"/>
        </w:rPr>
      </w:pPr>
      <w:r>
        <w:rPr>
          <w:rFonts w:hint="eastAsia"/>
          <w:sz w:val="24"/>
        </w:rPr>
        <w:t>■</w:t>
      </w:r>
      <w:r>
        <w:rPr>
          <w:rFonts w:hint="eastAsia"/>
          <w:sz w:val="24"/>
        </w:rPr>
        <w:t xml:space="preserve">  景观设计与社区规划趋同，园林、绿化加水系景观设计成为主打</w:t>
      </w:r>
    </w:p>
    <w:p>
      <w:pPr>
        <w:spacing w:line="500" w:lineRule="auto"/>
        <w:ind w:firstLine="1320" w:firstLineChars="550"/>
        <w:rPr>
          <w:rFonts w:ascii="宋体" w:hAnsi="宋体" w:hint="eastAsia"/>
          <w:color w:val="000000"/>
          <w:sz w:val="24"/>
        </w:rPr>
      </w:pPr>
      <w:r>
        <w:rPr>
          <w:rFonts w:ascii="宋体" w:hAnsi="宋体" w:hint="eastAsia"/>
          <w:color w:val="000000"/>
          <w:sz w:val="24"/>
        </w:rPr>
        <w:t>■</w:t>
      </w:r>
      <w:r>
        <w:rPr>
          <w:rFonts w:ascii="宋体" w:hAnsi="宋体" w:hint="eastAsia"/>
          <w:color w:val="000000"/>
          <w:sz w:val="24"/>
        </w:rPr>
        <w:t xml:space="preserve">  产品同质化严重，产品品质间的距离越来越小，价格导向、环境导向逐渐淡化</w:t>
      </w:r>
    </w:p>
    <w:p>
      <w:pPr>
        <w:spacing w:line="500" w:lineRule="auto"/>
        <w:ind w:firstLine="1320" w:firstLineChars="550"/>
        <w:rPr>
          <w:rFonts w:ascii="宋体" w:hAnsi="宋体" w:hint="eastAsia"/>
          <w:color w:val="000000"/>
          <w:sz w:val="24"/>
        </w:rPr>
      </w:pPr>
      <w:r>
        <w:rPr>
          <w:rFonts w:ascii="宋体" w:hAnsi="宋体" w:hint="eastAsia"/>
          <w:color w:val="000000"/>
          <w:sz w:val="24"/>
        </w:rPr>
        <w:t>■</w:t>
      </w:r>
      <w:r>
        <w:rPr>
          <w:rFonts w:ascii="宋体" w:hAnsi="宋体" w:hint="eastAsia"/>
          <w:color w:val="000000"/>
          <w:sz w:val="24"/>
        </w:rPr>
        <w:t xml:space="preserve">  大品牌、好口碑、定位新奇准确的产品将备受购房者的青睐</w:t>
      </w:r>
    </w:p>
    <w:p>
      <w:pPr>
        <w:spacing w:line="500" w:lineRule="auto"/>
        <w:ind w:firstLine="1320" w:firstLineChars="550"/>
        <w:rPr>
          <w:rFonts w:hint="eastAsia"/>
          <w:sz w:val="24"/>
        </w:rPr>
      </w:pPr>
      <w:r>
        <w:rPr>
          <w:rFonts w:hint="eastAsia"/>
          <w:sz w:val="24"/>
        </w:rPr>
        <w:t>■</w:t>
      </w:r>
      <w:r>
        <w:rPr>
          <w:rFonts w:hint="eastAsia"/>
          <w:sz w:val="24"/>
        </w:rPr>
        <w:t xml:space="preserve"> </w:t>
      </w:r>
      <w:r>
        <w:rPr>
          <w:rFonts w:hint="eastAsia"/>
        </w:rPr>
        <w:t xml:space="preserve"> </w:t>
      </w:r>
      <w:r>
        <w:rPr>
          <w:rFonts w:hint="eastAsia"/>
          <w:sz w:val="24"/>
        </w:rPr>
        <w:t>各个楼盘都重视楼盘自身的文化注入，强调提供高品质文化知性的居住生活环境</w:t>
      </w:r>
      <w:bookmarkStart w:id="24" w:name="_Toc182639471"/>
      <w:bookmarkStart w:id="25" w:name="_Toc182640119"/>
    </w:p>
    <w:p>
      <w:pPr>
        <w:spacing w:line="500" w:lineRule="auto"/>
        <w:rPr>
          <w:rFonts w:ascii="宋体" w:hAnsi="宋体" w:hint="eastAsia"/>
          <w:b/>
          <w:color w:val="000000"/>
          <w:sz w:val="24"/>
        </w:rPr>
      </w:pPr>
      <w:r>
        <w:rPr>
          <w:rFonts w:ascii="宋体" w:hAnsi="宋体" w:hint="eastAsia"/>
          <w:b/>
          <w:color w:val="000000"/>
          <w:sz w:val="24"/>
        </w:rPr>
        <w:t>（九）、项目建议</w:t>
      </w:r>
    </w:p>
    <w:p>
      <w:pPr>
        <w:spacing w:line="500" w:lineRule="auto"/>
        <w:ind w:firstLine="480" w:firstLineChars="200"/>
        <w:rPr>
          <w:rFonts w:ascii="宋体" w:hAnsi="宋体" w:hint="eastAsia"/>
          <w:color w:val="000000"/>
          <w:sz w:val="24"/>
        </w:rPr>
      </w:pPr>
      <w:r>
        <w:rPr>
          <w:rFonts w:ascii="宋体" w:hAnsi="宋体" w:hint="eastAsia"/>
          <w:color w:val="000000"/>
          <w:sz w:val="24"/>
        </w:rPr>
        <w:t>通过上面对光谷各楼盘卖点及概念的分析我们可以看出：光谷大部分楼盘根据本区域客群的特点都不约而同的提出了</w:t>
      </w:r>
      <w:r>
        <w:rPr>
          <w:rFonts w:ascii="宋体" w:hAnsi="宋体" w:hint="eastAsia"/>
          <w:color w:val="000000"/>
          <w:sz w:val="24"/>
        </w:rPr>
        <w:t>“</w:t>
      </w:r>
      <w:r>
        <w:rPr>
          <w:rFonts w:ascii="宋体" w:hAnsi="宋体" w:hint="eastAsia"/>
          <w:color w:val="000000"/>
          <w:sz w:val="24"/>
        </w:rPr>
        <w:t>知性、文化</w:t>
      </w:r>
      <w:r>
        <w:rPr>
          <w:rFonts w:ascii="宋体" w:hAnsi="宋体" w:hint="eastAsia"/>
          <w:color w:val="000000"/>
          <w:sz w:val="24"/>
        </w:rPr>
        <w:t>”</w:t>
      </w:r>
      <w:r>
        <w:rPr>
          <w:rFonts w:ascii="宋体" w:hAnsi="宋体" w:hint="eastAsia"/>
          <w:color w:val="000000"/>
          <w:sz w:val="24"/>
        </w:rPr>
        <w:t>路线，例如光谷坐标城的</w:t>
      </w:r>
      <w:r>
        <w:rPr>
          <w:rFonts w:ascii="宋体" w:hAnsi="宋体" w:hint="eastAsia"/>
          <w:color w:val="000000"/>
          <w:sz w:val="24"/>
        </w:rPr>
        <w:t>“</w:t>
      </w:r>
      <w:r>
        <w:rPr>
          <w:rFonts w:ascii="宋体" w:hAnsi="宋体" w:hint="eastAsia"/>
          <w:color w:val="000000"/>
          <w:sz w:val="24"/>
        </w:rPr>
        <w:t>思想第一城</w:t>
      </w:r>
      <w:r>
        <w:rPr>
          <w:rFonts w:ascii="宋体" w:hAnsi="宋体" w:hint="eastAsia"/>
          <w:color w:val="000000"/>
          <w:sz w:val="24"/>
        </w:rPr>
        <w:t>”</w:t>
      </w:r>
      <w:r>
        <w:rPr>
          <w:rFonts w:ascii="宋体" w:hAnsi="宋体" w:hint="eastAsia"/>
          <w:color w:val="000000"/>
          <w:sz w:val="24"/>
        </w:rPr>
        <w:t>概念，锦绣龙城的</w:t>
      </w:r>
      <w:r>
        <w:rPr>
          <w:rFonts w:ascii="宋体" w:hAnsi="宋体" w:hint="eastAsia"/>
          <w:color w:val="000000"/>
          <w:sz w:val="24"/>
        </w:rPr>
        <w:t>“</w:t>
      </w:r>
      <w:r>
        <w:rPr>
          <w:rFonts w:ascii="宋体" w:hAnsi="宋体" w:hint="eastAsia"/>
          <w:color w:val="000000"/>
          <w:sz w:val="24"/>
        </w:rPr>
        <w:t>生态人文城</w:t>
      </w:r>
      <w:r>
        <w:rPr>
          <w:rFonts w:ascii="宋体" w:hAnsi="宋体" w:hint="eastAsia"/>
          <w:color w:val="000000"/>
          <w:sz w:val="24"/>
        </w:rPr>
        <w:t>”</w:t>
      </w:r>
      <w:r>
        <w:rPr>
          <w:rFonts w:ascii="宋体" w:hAnsi="宋体" w:hint="eastAsia"/>
          <w:color w:val="000000"/>
          <w:sz w:val="24"/>
        </w:rPr>
        <w:t>概念，说明</w:t>
      </w:r>
      <w:r>
        <w:rPr>
          <w:rFonts w:ascii="宋体" w:hAnsi="宋体" w:hint="eastAsia"/>
          <w:color w:val="000000"/>
          <w:sz w:val="24"/>
        </w:rPr>
        <w:t>“</w:t>
      </w:r>
      <w:r>
        <w:rPr>
          <w:rFonts w:ascii="宋体" w:hAnsi="宋体" w:hint="eastAsia"/>
          <w:color w:val="000000"/>
          <w:sz w:val="24"/>
        </w:rPr>
        <w:t>知性</w:t>
      </w:r>
      <w:r>
        <w:rPr>
          <w:rFonts w:ascii="宋体" w:hAnsi="宋体" w:hint="eastAsia"/>
          <w:color w:val="000000"/>
          <w:sz w:val="24"/>
        </w:rPr>
        <w:t>”“</w:t>
      </w:r>
      <w:r>
        <w:rPr>
          <w:rFonts w:ascii="宋体" w:hAnsi="宋体" w:hint="eastAsia"/>
          <w:color w:val="000000"/>
          <w:sz w:val="24"/>
        </w:rPr>
        <w:t>文化</w:t>
      </w:r>
      <w:r>
        <w:rPr>
          <w:rFonts w:ascii="宋体" w:hAnsi="宋体" w:hint="eastAsia"/>
          <w:color w:val="000000"/>
          <w:sz w:val="24"/>
        </w:rPr>
        <w:t>”</w:t>
      </w:r>
      <w:r>
        <w:rPr>
          <w:rFonts w:ascii="宋体" w:hAnsi="宋体" w:hint="eastAsia"/>
          <w:color w:val="000000"/>
          <w:sz w:val="24"/>
        </w:rPr>
        <w:t>路线是我们所拟定的客群乐于接受的。</w:t>
      </w:r>
    </w:p>
    <w:p>
      <w:pPr>
        <w:spacing w:line="500" w:lineRule="auto"/>
        <w:ind w:firstLine="480" w:firstLineChars="200"/>
        <w:rPr>
          <w:rFonts w:ascii="宋体" w:hAnsi="宋体" w:hint="eastAsia"/>
          <w:color w:val="000000"/>
          <w:sz w:val="24"/>
        </w:rPr>
      </w:pPr>
      <w:r>
        <w:rPr>
          <w:rFonts w:ascii="宋体" w:hAnsi="宋体" w:hint="eastAsia"/>
          <w:color w:val="000000"/>
          <w:sz w:val="24"/>
        </w:rPr>
        <w:t>那么xxxx项目怎么才干做到即有自己的特色又切合该区域内的客群呢？</w:t>
      </w:r>
    </w:p>
    <w:p>
      <w:pPr>
        <w:spacing w:line="500" w:lineRule="auto"/>
        <w:ind w:firstLine="480" w:firstLineChars="200"/>
        <w:rPr>
          <w:rFonts w:ascii="宋体" w:hAnsi="宋体" w:hint="eastAsia"/>
          <w:color w:val="000000"/>
          <w:sz w:val="24"/>
        </w:rPr>
        <w:sectPr>
          <w:type w:val="nextPage"/>
          <w:pgSz w:w="16838" w:h="11906" w:orient="landscape"/>
          <w:pgMar w:top="1797" w:right="1440" w:bottom="1701" w:left="1440" w:header="851" w:footer="992" w:gutter="0"/>
          <w:pgNumType w:fmt="decimal" w:start="26"/>
          <w:cols w:space="708"/>
          <w:titlePg w:val="0"/>
          <w:docGrid w:type="lines" w:linePitch="312"/>
        </w:sectPr>
      </w:pPr>
      <w:r>
        <w:rPr>
          <w:rFonts w:ascii="宋体" w:hAnsi="宋体" w:hint="eastAsia"/>
          <w:color w:val="000000"/>
          <w:sz w:val="24"/>
        </w:rPr>
        <w:t>那就是在充足体现集团</w:t>
      </w:r>
      <w:r>
        <w:rPr>
          <w:rFonts w:ascii="宋体" w:hAnsi="宋体" w:hint="eastAsia"/>
          <w:color w:val="000000"/>
          <w:sz w:val="24"/>
        </w:rPr>
        <w:t>“</w:t>
      </w:r>
      <w:r>
        <w:rPr>
          <w:rFonts w:ascii="宋体" w:hAnsi="宋体" w:hint="eastAsia"/>
          <w:color w:val="000000"/>
          <w:sz w:val="24"/>
        </w:rPr>
        <w:t>健康为本，快乐为贵</w:t>
      </w:r>
      <w:r>
        <w:rPr>
          <w:rFonts w:ascii="宋体" w:hAnsi="宋体" w:hint="eastAsia"/>
          <w:color w:val="000000"/>
          <w:sz w:val="24"/>
        </w:rPr>
        <w:t>”</w:t>
      </w:r>
      <w:r>
        <w:rPr>
          <w:rFonts w:ascii="宋体" w:hAnsi="宋体" w:hint="eastAsia"/>
          <w:color w:val="000000"/>
          <w:sz w:val="24"/>
        </w:rPr>
        <w:t>的理念同时，将本案所固有的</w:t>
      </w:r>
      <w:r>
        <w:rPr>
          <w:rFonts w:ascii="宋体" w:hAnsi="宋体" w:hint="eastAsia"/>
          <w:color w:val="000000"/>
          <w:sz w:val="24"/>
        </w:rPr>
        <w:t>“</w:t>
      </w:r>
      <w:r>
        <w:rPr>
          <w:rFonts w:ascii="宋体" w:hAnsi="宋体" w:hint="eastAsia"/>
          <w:color w:val="000000"/>
          <w:sz w:val="24"/>
        </w:rPr>
        <w:t>健康</w:t>
      </w:r>
      <w:r>
        <w:rPr>
          <w:rFonts w:ascii="宋体" w:hAnsi="宋体" w:hint="eastAsia"/>
          <w:color w:val="000000"/>
          <w:sz w:val="24"/>
        </w:rPr>
        <w:t>”</w:t>
      </w:r>
      <w:r>
        <w:rPr>
          <w:rFonts w:ascii="宋体" w:hAnsi="宋体" w:hint="eastAsia"/>
          <w:color w:val="000000"/>
          <w:sz w:val="24"/>
        </w:rPr>
        <w:t>与</w:t>
      </w:r>
      <w:r>
        <w:rPr>
          <w:rFonts w:ascii="宋体" w:hAnsi="宋体" w:hint="eastAsia"/>
          <w:color w:val="000000"/>
          <w:sz w:val="24"/>
        </w:rPr>
        <w:t>“</w:t>
      </w:r>
      <w:r>
        <w:rPr>
          <w:rFonts w:ascii="宋体" w:hAnsi="宋体" w:hint="eastAsia"/>
          <w:color w:val="000000"/>
          <w:sz w:val="24"/>
        </w:rPr>
        <w:t>快乐主张</w:t>
      </w:r>
      <w:r>
        <w:rPr>
          <w:rFonts w:ascii="宋体" w:hAnsi="宋体" w:hint="eastAsia"/>
          <w:color w:val="000000"/>
          <w:sz w:val="24"/>
        </w:rPr>
        <w:t>”</w:t>
      </w:r>
    </w:p>
    <w:p>
      <w:pPr>
        <w:spacing w:line="500" w:lineRule="auto"/>
        <w:ind w:firstLine="480" w:firstLineChars="200"/>
        <w:rPr>
          <w:rFonts w:ascii="宋体" w:hAnsi="宋体" w:hint="eastAsia"/>
          <w:color w:val="000000"/>
          <w:sz w:val="24"/>
        </w:rPr>
      </w:pPr>
      <w:r>
        <w:rPr>
          <w:rFonts w:ascii="宋体" w:hAnsi="宋体" w:hint="eastAsia"/>
          <w:color w:val="000000"/>
          <w:sz w:val="24"/>
        </w:rPr>
        <w:t>路线表达出来，且要照顾到区域客群所认同的</w:t>
      </w:r>
      <w:r>
        <w:rPr>
          <w:rFonts w:ascii="宋体" w:hAnsi="宋体" w:hint="eastAsia"/>
          <w:color w:val="000000"/>
          <w:sz w:val="24"/>
        </w:rPr>
        <w:t>“</w:t>
      </w:r>
      <w:r>
        <w:rPr>
          <w:rFonts w:ascii="宋体" w:hAnsi="宋体" w:hint="eastAsia"/>
          <w:color w:val="000000"/>
          <w:sz w:val="24"/>
        </w:rPr>
        <w:t>知性</w:t>
      </w:r>
      <w:r>
        <w:rPr>
          <w:rFonts w:ascii="宋体" w:hAnsi="宋体" w:hint="eastAsia"/>
          <w:color w:val="000000"/>
          <w:sz w:val="24"/>
        </w:rPr>
        <w:t>”</w:t>
      </w:r>
      <w:r>
        <w:rPr>
          <w:rFonts w:ascii="宋体" w:hAnsi="宋体" w:hint="eastAsia"/>
          <w:color w:val="000000"/>
          <w:sz w:val="24"/>
        </w:rPr>
        <w:t>路线，由此提出本案的概念与文化路线：</w:t>
      </w:r>
    </w:p>
    <w:p>
      <w:pPr>
        <w:spacing w:line="500" w:lineRule="auto"/>
        <w:ind w:firstLine="3646" w:firstLineChars="1519"/>
        <w:rPr>
          <w:rFonts w:ascii="宋体" w:hAnsi="宋体" w:hint="eastAsia"/>
          <w:b/>
          <w:color w:val="000000"/>
          <w:sz w:val="24"/>
        </w:rPr>
      </w:pPr>
      <w:r>
        <w:rPr>
          <w:rFonts w:ascii="宋体" w:hAnsi="宋体" w:hint="eastAsia"/>
          <w:b/>
          <w:color w:val="000000"/>
          <w:sz w:val="24"/>
        </w:rPr>
        <w:t>“</w:t>
      </w:r>
      <w:r>
        <w:rPr>
          <w:rFonts w:ascii="宋体" w:hAnsi="宋体" w:hint="eastAsia"/>
          <w:b/>
          <w:color w:val="000000"/>
          <w:sz w:val="24"/>
        </w:rPr>
        <w:t>健康品质体验</w:t>
      </w:r>
      <w:r>
        <w:rPr>
          <w:rFonts w:ascii="宋体" w:hAnsi="宋体" w:hint="eastAsia"/>
          <w:b/>
          <w:color w:val="000000"/>
          <w:sz w:val="24"/>
        </w:rPr>
        <w:t>”</w:t>
      </w:r>
      <w:r>
        <w:rPr>
          <w:rFonts w:ascii="宋体" w:hAnsi="宋体" w:hint="eastAsia"/>
          <w:b/>
          <w:color w:val="000000"/>
          <w:sz w:val="24"/>
        </w:rPr>
        <w:t>+</w:t>
      </w:r>
      <w:r>
        <w:rPr>
          <w:rFonts w:ascii="宋体" w:hAnsi="宋体" w:hint="eastAsia"/>
          <w:b/>
          <w:color w:val="000000"/>
          <w:sz w:val="24"/>
        </w:rPr>
        <w:t>“</w:t>
      </w:r>
      <w:r>
        <w:rPr>
          <w:rFonts w:ascii="宋体" w:hAnsi="宋体" w:hint="eastAsia"/>
          <w:b/>
          <w:color w:val="000000"/>
          <w:sz w:val="24"/>
        </w:rPr>
        <w:t>知性人文表达</w:t>
      </w:r>
      <w:r>
        <w:rPr>
          <w:rFonts w:ascii="宋体" w:hAnsi="宋体" w:hint="eastAsia"/>
          <w:b/>
          <w:color w:val="000000"/>
          <w:sz w:val="24"/>
        </w:rPr>
        <w:t>”</w:t>
      </w:r>
      <w:r>
        <w:rPr>
          <w:rFonts w:ascii="宋体" w:hAnsi="宋体" w:hint="eastAsia"/>
          <w:b/>
          <w:color w:val="000000"/>
          <w:sz w:val="24"/>
        </w:rPr>
        <w:t xml:space="preserve"> + </w:t>
      </w:r>
      <w:r>
        <w:rPr>
          <w:rFonts w:ascii="宋体" w:hAnsi="宋体" w:hint="eastAsia"/>
          <w:b/>
          <w:color w:val="000000"/>
          <w:sz w:val="24"/>
        </w:rPr>
        <w:t>“</w:t>
      </w:r>
      <w:r>
        <w:rPr>
          <w:rFonts w:ascii="宋体" w:hAnsi="宋体" w:hint="eastAsia"/>
          <w:b/>
          <w:color w:val="000000"/>
          <w:sz w:val="24"/>
        </w:rPr>
        <w:t>快乐生活主张</w:t>
      </w:r>
      <w:r>
        <w:rPr>
          <w:rFonts w:ascii="宋体" w:hAnsi="宋体" w:hint="eastAsia"/>
          <w:b/>
          <w:color w:val="000000"/>
          <w:sz w:val="24"/>
        </w:rPr>
        <w:t>”</w:t>
      </w:r>
      <w:r>
        <w:rPr>
          <w:rFonts w:ascii="宋体" w:hAnsi="宋体" w:hint="eastAsia"/>
          <w:b/>
          <w:color w:val="000000"/>
          <w:sz w:val="24"/>
        </w:rPr>
        <w:t xml:space="preserve"> =</w:t>
      </w:r>
      <w:r>
        <w:rPr>
          <w:rFonts w:ascii="宋体" w:hAnsi="宋体" w:hint="eastAsia"/>
          <w:b/>
          <w:color w:val="000000"/>
          <w:sz w:val="24"/>
        </w:rPr>
        <w:t>“</w:t>
      </w:r>
      <w:r>
        <w:rPr>
          <w:rFonts w:ascii="宋体" w:hAnsi="宋体" w:hint="eastAsia"/>
          <w:b/>
          <w:color w:val="000000"/>
          <w:sz w:val="24"/>
        </w:rPr>
        <w:t>乐活</w:t>
      </w:r>
      <w:r>
        <w:rPr>
          <w:rFonts w:ascii="宋体" w:hAnsi="宋体" w:hint="eastAsia"/>
          <w:b/>
          <w:color w:val="000000"/>
          <w:sz w:val="24"/>
        </w:rPr>
        <w:t>”</w:t>
      </w:r>
    </w:p>
    <w:p>
      <w:pPr>
        <w:pStyle w:val="Heading1"/>
        <w:numPr>
          <w:ilvl w:val="0"/>
          <w:numId w:val="0"/>
        </w:numPr>
        <w:spacing w:line="360" w:lineRule="auto"/>
        <w:ind w:left="7200"/>
        <w:rPr>
          <w:rFonts w:ascii="宋体" w:eastAsia="宋体" w:hAnsi="宋体" w:hint="eastAsia"/>
          <w:color w:val="auto"/>
          <w:sz w:val="24"/>
          <w:szCs w:val="24"/>
          <w:lang w:val="en-US"/>
        </w:rPr>
      </w:pPr>
    </w:p>
    <w:p>
      <w:pPr>
        <w:rPr>
          <w:rFonts w:hint="eastAsia"/>
        </w:rPr>
      </w:pPr>
    </w:p>
    <w:p>
      <w:pPr>
        <w:rPr>
          <w:rFonts w:hint="eastAsia"/>
        </w:rPr>
      </w:pPr>
    </w:p>
    <w:p>
      <w:pPr>
        <w:pStyle w:val="Heading1"/>
        <w:numPr>
          <w:ilvl w:val="0"/>
          <w:numId w:val="0"/>
        </w:numPr>
        <w:spacing w:line="500" w:lineRule="auto"/>
        <w:ind w:firstLine="6233" w:firstLineChars="2597"/>
        <w:rPr>
          <w:rFonts w:ascii="宋体" w:eastAsia="宋体" w:hAnsi="宋体" w:hint="eastAsia"/>
          <w:color w:val="auto"/>
          <w:sz w:val="24"/>
          <w:szCs w:val="24"/>
        </w:rPr>
      </w:pPr>
      <w:bookmarkStart w:id="26" w:name="_Toc183311186"/>
      <w:r>
        <w:rPr>
          <w:rFonts w:ascii="宋体" w:eastAsia="宋体" w:hAnsi="宋体" w:hint="eastAsia"/>
          <w:color w:val="auto"/>
          <w:sz w:val="24"/>
          <w:szCs w:val="24"/>
          <w:lang w:val="en-US"/>
        </w:rPr>
        <w:t>第二章</w:t>
      </w:r>
      <w:r>
        <w:rPr>
          <w:rFonts w:ascii="宋体" w:eastAsia="宋体" w:hAnsi="宋体" w:hint="eastAsia"/>
          <w:color w:val="auto"/>
          <w:sz w:val="24"/>
          <w:szCs w:val="24"/>
        </w:rPr>
        <w:t xml:space="preserve">  </w:t>
      </w:r>
      <w:bookmarkStart w:id="27" w:name="_Toc182715757"/>
      <w:bookmarkStart w:id="28" w:name="_Toc182715987"/>
      <w:r>
        <w:rPr>
          <w:rFonts w:ascii="宋体" w:eastAsia="宋体" w:hAnsi="宋体" w:cs="宋体" w:hint="eastAsia"/>
          <w:color w:val="auto"/>
          <w:sz w:val="24"/>
          <w:szCs w:val="24"/>
        </w:rPr>
        <w:t>项</w:t>
      </w:r>
      <w:r>
        <w:rPr>
          <w:rFonts w:ascii="宋体" w:eastAsia="宋体" w:hAnsi="宋体" w:cs="Batang" w:hint="eastAsia"/>
          <w:color w:val="auto"/>
          <w:sz w:val="24"/>
          <w:szCs w:val="24"/>
        </w:rPr>
        <w:t>目分析</w:t>
      </w:r>
      <w:bookmarkEnd w:id="24"/>
      <w:bookmarkEnd w:id="25"/>
      <w:bookmarkEnd w:id="26"/>
      <w:bookmarkEnd w:id="27"/>
      <w:bookmarkEnd w:id="28"/>
    </w:p>
    <w:p>
      <w:pPr>
        <w:pStyle w:val="Heading2"/>
        <w:numPr>
          <w:ilvl w:val="1"/>
          <w:numId w:val="0"/>
        </w:numPr>
        <w:spacing w:before="0" w:beforeLines="0" w:after="0" w:afterLines="0" w:line="500" w:lineRule="auto"/>
        <w:rPr>
          <w:rFonts w:ascii="宋体" w:eastAsia="宋体" w:hAnsi="宋体" w:hint="eastAsia"/>
          <w:sz w:val="24"/>
          <w:szCs w:val="24"/>
        </w:rPr>
      </w:pPr>
      <w:bookmarkStart w:id="29" w:name="_Toc182715758"/>
      <w:bookmarkStart w:id="30" w:name="_Toc182715988"/>
      <w:bookmarkStart w:id="31" w:name="_Toc183311187"/>
      <w:r>
        <w:rPr>
          <w:rFonts w:ascii="宋体" w:eastAsia="宋体" w:hAnsi="宋体" w:hint="eastAsia"/>
          <w:sz w:val="24"/>
          <w:szCs w:val="24"/>
        </w:rPr>
        <w:t>一、</w:t>
      </w:r>
      <w:r>
        <w:rPr>
          <w:rFonts w:ascii="宋体" w:eastAsia="宋体" w:hAnsi="宋体" w:cs="宋体" w:hint="eastAsia"/>
          <w:sz w:val="24"/>
          <w:szCs w:val="24"/>
        </w:rPr>
        <w:t>项目概况</w:t>
      </w:r>
      <w:bookmarkEnd w:id="29"/>
      <w:bookmarkEnd w:id="30"/>
      <w:bookmarkEnd w:id="31"/>
    </w:p>
    <w:p>
      <w:pPr>
        <w:pStyle w:val="Heading4"/>
        <w:numPr>
          <w:ilvl w:val="3"/>
          <w:numId w:val="0"/>
        </w:numPr>
        <w:spacing w:before="0" w:beforeLines="0" w:after="0" w:afterLines="0" w:line="500" w:lineRule="auto"/>
        <w:rPr>
          <w:rFonts w:ascii="宋体" w:eastAsia="宋体" w:hAnsi="宋体" w:hint="eastAsia"/>
          <w:sz w:val="24"/>
          <w:szCs w:val="24"/>
        </w:rPr>
      </w:pPr>
      <w:r>
        <w:rPr>
          <w:rFonts w:ascii="宋体" w:eastAsia="宋体" w:hAnsi="宋体" w:hint="eastAsia"/>
          <w:sz w:val="24"/>
          <w:szCs w:val="24"/>
        </w:rPr>
        <w:t>（一）、社区</w:t>
      </w:r>
      <w:r>
        <w:rPr>
          <w:rFonts w:ascii="宋体" w:eastAsia="宋体" w:hAnsi="宋体" w:cs="宋体" w:hint="eastAsia"/>
          <w:sz w:val="24"/>
          <w:szCs w:val="24"/>
        </w:rPr>
        <w:t>总</w:t>
      </w:r>
      <w:r>
        <w:rPr>
          <w:rFonts w:ascii="宋体" w:eastAsia="宋体" w:hAnsi="宋体" w:cs="Batang" w:hint="eastAsia"/>
          <w:sz w:val="24"/>
          <w:szCs w:val="24"/>
        </w:rPr>
        <w:t>体</w:t>
      </w:r>
      <w:r>
        <w:rPr>
          <w:rFonts w:ascii="宋体" w:eastAsia="宋体" w:hAnsi="宋体" w:cs="宋体" w:hint="eastAsia"/>
          <w:sz w:val="24"/>
          <w:szCs w:val="24"/>
        </w:rPr>
        <w:t>规划</w:t>
      </w:r>
    </w:p>
    <w:p>
      <w:pPr>
        <w:spacing w:line="500" w:lineRule="auto"/>
        <w:ind w:firstLine="480" w:firstLineChars="200"/>
        <w:rPr>
          <w:rFonts w:ascii="宋体" w:hAnsi="宋体" w:hint="eastAsia"/>
          <w:color w:val="000000"/>
          <w:sz w:val="24"/>
        </w:rPr>
      </w:pPr>
      <w:r>
        <w:rPr>
          <w:rFonts w:ascii="宋体" w:hAnsi="宋体" w:hint="eastAsia"/>
          <w:color w:val="000000"/>
          <w:sz w:val="24"/>
        </w:rPr>
        <w:t>社区总的建筑面积约30万方，占地面积400亩,共分3期开发每期10万方。其中一期推出11栋小高层、高层，社区容积率1.61，建筑密度18.6，绿化率35.1%，总户数2405，车位共计1250个</w:t>
      </w:r>
    </w:p>
    <w:p>
      <w:pPr>
        <w:pStyle w:val="Heading4"/>
        <w:numPr>
          <w:ilvl w:val="3"/>
          <w:numId w:val="0"/>
        </w:numPr>
        <w:spacing w:before="0" w:beforeLines="0" w:after="0" w:afterLines="0" w:line="500" w:lineRule="auto"/>
        <w:rPr>
          <w:rFonts w:ascii="宋体" w:eastAsia="宋体" w:hAnsi="宋体" w:hint="eastAsia"/>
          <w:sz w:val="24"/>
          <w:szCs w:val="24"/>
        </w:rPr>
      </w:pPr>
      <w:r>
        <w:rPr>
          <w:rFonts w:ascii="宋体" w:eastAsia="宋体" w:hAnsi="宋体" w:hint="eastAsia"/>
          <w:sz w:val="24"/>
          <w:szCs w:val="24"/>
        </w:rPr>
        <w:t>（二）、社区物</w:t>
      </w:r>
      <w:r>
        <w:rPr>
          <w:rFonts w:ascii="宋体" w:eastAsia="宋体" w:hAnsi="宋体" w:cs="宋体" w:hint="eastAsia"/>
          <w:sz w:val="24"/>
          <w:szCs w:val="24"/>
        </w:rPr>
        <w:t>业</w:t>
      </w:r>
      <w:r>
        <w:rPr>
          <w:rFonts w:ascii="宋体" w:eastAsia="宋体" w:hAnsi="宋体" w:cs="Batang" w:hint="eastAsia"/>
          <w:sz w:val="24"/>
          <w:szCs w:val="24"/>
        </w:rPr>
        <w:t>形</w:t>
      </w:r>
      <w:r>
        <w:rPr>
          <w:rFonts w:ascii="宋体" w:eastAsia="宋体" w:hAnsi="宋体" w:cs="宋体" w:hint="eastAsia"/>
          <w:sz w:val="24"/>
          <w:szCs w:val="24"/>
        </w:rPr>
        <w:t>态</w:t>
      </w:r>
    </w:p>
    <w:p>
      <w:pPr>
        <w:spacing w:line="500" w:lineRule="auto"/>
        <w:ind w:firstLine="480" w:firstLineChars="200"/>
        <w:rPr>
          <w:rFonts w:ascii="宋体" w:hAnsi="宋体" w:hint="eastAsia"/>
          <w:color w:val="000000"/>
          <w:sz w:val="24"/>
        </w:rPr>
      </w:pPr>
      <w:r>
        <w:rPr>
          <w:rFonts w:ascii="宋体" w:hAnsi="宋体" w:hint="eastAsia"/>
          <w:color w:val="000000"/>
          <w:sz w:val="24"/>
        </w:rPr>
        <w:t>社区的物业形态为纯板式结构的小高层和高层，户型面积跨度大，种类齐全</w:t>
      </w:r>
    </w:p>
    <w:p>
      <w:pPr>
        <w:pStyle w:val="Heading4"/>
        <w:numPr>
          <w:ilvl w:val="3"/>
          <w:numId w:val="0"/>
        </w:numPr>
        <w:spacing w:before="0" w:beforeLines="0" w:after="0" w:afterLines="0" w:line="500" w:lineRule="auto"/>
        <w:rPr>
          <w:rFonts w:ascii="宋体" w:eastAsia="宋体" w:hAnsi="宋体" w:hint="eastAsia"/>
          <w:sz w:val="24"/>
          <w:szCs w:val="24"/>
        </w:rPr>
      </w:pPr>
      <w:r>
        <w:rPr>
          <w:rFonts w:ascii="宋体" w:eastAsia="宋体" w:hAnsi="宋体" w:hint="eastAsia"/>
          <w:sz w:val="24"/>
          <w:szCs w:val="24"/>
        </w:rPr>
        <w:t>（三）、社区</w:t>
      </w:r>
      <w:r>
        <w:rPr>
          <w:rFonts w:ascii="宋体" w:eastAsia="宋体" w:hAnsi="宋体" w:cs="Batang" w:hint="eastAsia"/>
          <w:sz w:val="24"/>
          <w:szCs w:val="24"/>
        </w:rPr>
        <w:t>配套</w:t>
      </w:r>
    </w:p>
    <w:p>
      <w:pPr>
        <w:spacing w:line="500" w:lineRule="auto"/>
        <w:ind w:firstLine="480" w:firstLineChars="200"/>
        <w:rPr>
          <w:rFonts w:ascii="宋体" w:hAnsi="宋体" w:hint="eastAsia"/>
          <w:color w:val="000000"/>
          <w:sz w:val="24"/>
        </w:rPr>
        <w:sectPr>
          <w:type w:val="nextPage"/>
          <w:pgSz w:w="16838" w:h="11906" w:orient="landscape"/>
          <w:pgMar w:top="1797" w:right="1440" w:bottom="1701" w:left="1440" w:header="851" w:footer="992" w:gutter="0"/>
          <w:pgNumType w:fmt="decimal" w:start="27"/>
          <w:cols w:space="708"/>
          <w:titlePg w:val="0"/>
          <w:docGrid w:type="lines" w:linePitch="312"/>
        </w:sectPr>
      </w:pPr>
      <w:r>
        <w:rPr>
          <w:rFonts w:ascii="宋体" w:hAnsi="宋体" w:hint="eastAsia"/>
          <w:color w:val="000000"/>
          <w:sz w:val="24"/>
        </w:rPr>
        <w:t>社区内设有四星酒店，俱乐部，幼儿园，游泳池，森林广场，钟楼，底商 超市</w:t>
      </w:r>
    </w:p>
    <w:p>
      <w:pPr>
        <w:pStyle w:val="Heading4"/>
        <w:numPr>
          <w:ilvl w:val="3"/>
          <w:numId w:val="0"/>
        </w:numPr>
        <w:spacing w:before="0" w:beforeLines="0" w:after="0" w:afterLines="0" w:line="500" w:lineRule="auto"/>
        <w:rPr>
          <w:rFonts w:ascii="宋体" w:eastAsia="宋体" w:hAnsi="宋体" w:hint="eastAsia"/>
          <w:sz w:val="24"/>
          <w:szCs w:val="24"/>
        </w:rPr>
      </w:pPr>
      <w:r>
        <w:rPr>
          <w:rFonts w:ascii="宋体" w:eastAsia="宋体" w:hAnsi="宋体" w:hint="eastAsia"/>
          <w:sz w:val="24"/>
          <w:szCs w:val="24"/>
        </w:rPr>
        <w:t>（四）、社区景</w:t>
      </w:r>
      <w:r>
        <w:rPr>
          <w:rFonts w:ascii="宋体" w:eastAsia="宋体" w:hAnsi="宋体" w:cs="宋体" w:hint="eastAsia"/>
          <w:sz w:val="24"/>
          <w:szCs w:val="24"/>
        </w:rPr>
        <w:t>观设计</w:t>
      </w:r>
    </w:p>
    <w:p>
      <w:pPr>
        <w:spacing w:line="500" w:lineRule="auto"/>
        <w:ind w:firstLine="480" w:firstLineChars="200"/>
        <w:rPr>
          <w:rFonts w:ascii="宋体" w:hAnsi="宋体" w:hint="eastAsia"/>
          <w:sz w:val="24"/>
        </w:rPr>
      </w:pPr>
      <w:r>
        <w:rPr>
          <w:rFonts w:ascii="宋体" w:hAnsi="宋体" w:hint="eastAsia"/>
          <w:sz w:val="24"/>
        </w:rPr>
        <w:t>人工水系贯穿整个社区，自然划分社区组团，园林景观精致典雅，小品景观应接不暇，超大的花园广场彰显大气。</w:t>
      </w:r>
    </w:p>
    <w:p>
      <w:pPr>
        <w:pStyle w:val="Heading2"/>
        <w:numPr>
          <w:ilvl w:val="1"/>
          <w:numId w:val="0"/>
        </w:numPr>
        <w:spacing w:before="0" w:beforeLines="0" w:after="0" w:afterLines="0" w:line="500" w:lineRule="auto"/>
        <w:rPr>
          <w:rFonts w:ascii="宋体" w:eastAsia="宋体" w:hAnsi="宋体" w:hint="eastAsia"/>
          <w:color w:val="FF0000"/>
          <w:kern w:val="0"/>
          <w:sz w:val="24"/>
          <w:szCs w:val="24"/>
        </w:rPr>
      </w:pPr>
      <w:bookmarkStart w:id="32" w:name="_Toc182715759"/>
      <w:bookmarkStart w:id="33" w:name="_Toc182715989"/>
      <w:bookmarkStart w:id="34" w:name="_Toc183311188"/>
      <w:r>
        <w:rPr>
          <w:rFonts w:ascii="宋体" w:eastAsia="宋体" w:hAnsi="宋体" w:hint="eastAsia"/>
          <w:color w:val="FF0000"/>
          <w:kern w:val="0"/>
          <w:sz w:val="24"/>
          <w:szCs w:val="24"/>
        </w:rPr>
        <w:t>二、本案SWOT分析</w:t>
      </w:r>
      <w:bookmarkEnd w:id="32"/>
      <w:bookmarkEnd w:id="33"/>
      <w:bookmarkEnd w:id="34"/>
    </w:p>
    <w:p>
      <w:pPr>
        <w:pStyle w:val="Heading4"/>
        <w:numPr>
          <w:ilvl w:val="3"/>
          <w:numId w:val="0"/>
        </w:numPr>
        <w:spacing w:before="0" w:beforeLines="0" w:after="0" w:afterLines="0" w:line="500" w:lineRule="auto"/>
        <w:rPr>
          <w:rFonts w:ascii="宋体" w:eastAsia="宋体" w:hAnsi="宋体" w:hint="eastAsia"/>
          <w:sz w:val="24"/>
          <w:szCs w:val="24"/>
        </w:rPr>
      </w:pPr>
      <w:r>
        <w:rPr>
          <w:rFonts w:ascii="宋体" w:eastAsia="宋体" w:hAnsi="宋体" w:hint="eastAsia"/>
          <w:sz w:val="24"/>
          <w:szCs w:val="24"/>
        </w:rPr>
        <w:t>（一）</w:t>
      </w:r>
      <w:r>
        <w:rPr>
          <w:rFonts w:ascii="宋体" w:eastAsia="宋体" w:hAnsi="宋体" w:cs="宋体" w:hint="eastAsia"/>
          <w:sz w:val="24"/>
          <w:szCs w:val="24"/>
        </w:rPr>
        <w:t>项</w:t>
      </w:r>
      <w:r>
        <w:rPr>
          <w:rFonts w:ascii="宋体" w:eastAsia="宋体" w:hAnsi="宋体" w:cs="Batang" w:hint="eastAsia"/>
          <w:sz w:val="24"/>
          <w:szCs w:val="24"/>
        </w:rPr>
        <w:t>目</w:t>
      </w:r>
      <w:r>
        <w:rPr>
          <w:rFonts w:ascii="宋体" w:eastAsia="宋体" w:hAnsi="宋体" w:cs="宋体" w:hint="eastAsia"/>
          <w:sz w:val="24"/>
          <w:szCs w:val="24"/>
        </w:rPr>
        <w:t>优势</w:t>
      </w:r>
    </w:p>
    <w:p>
      <w:pPr>
        <w:spacing w:line="500" w:lineRule="auto"/>
        <w:ind w:firstLine="118" w:firstLineChars="49"/>
        <w:rPr>
          <w:rFonts w:ascii="宋体" w:hAnsi="宋体" w:hint="eastAsia"/>
          <w:color w:val="000000"/>
          <w:sz w:val="24"/>
        </w:rPr>
      </w:pPr>
      <w:r>
        <w:rPr>
          <w:rFonts w:ascii="宋体" w:hAnsi="宋体" w:hint="eastAsia"/>
          <w:b/>
          <w:bCs/>
          <w:color w:val="000000"/>
          <w:sz w:val="24"/>
        </w:rPr>
        <w:t>1、地块规整</w:t>
      </w:r>
      <w:r>
        <w:rPr>
          <w:rFonts w:ascii="宋体" w:hAnsi="宋体" w:hint="eastAsia"/>
          <w:color w:val="000000"/>
          <w:sz w:val="24"/>
        </w:rPr>
        <w:t>：比较利于规划出优质的产品；</w:t>
      </w:r>
    </w:p>
    <w:p>
      <w:pPr>
        <w:spacing w:line="500" w:lineRule="auto"/>
        <w:ind w:left="1764" w:hanging="1644" w:leftChars="57" w:hangingChars="685"/>
        <w:rPr>
          <w:rFonts w:ascii="宋体" w:hAnsi="宋体" w:hint="eastAsia"/>
          <w:color w:val="000000"/>
          <w:sz w:val="24"/>
        </w:rPr>
      </w:pPr>
      <w:r>
        <w:rPr>
          <w:rFonts w:ascii="宋体" w:hAnsi="宋体" w:hint="eastAsia"/>
          <w:b/>
          <w:color w:val="000000"/>
          <w:sz w:val="24"/>
        </w:rPr>
        <w:t>2、</w:t>
      </w:r>
      <w:r>
        <w:rPr>
          <w:rFonts w:ascii="宋体" w:hAnsi="宋体" w:hint="eastAsia"/>
          <w:b/>
          <w:bCs/>
          <w:color w:val="000000"/>
          <w:sz w:val="24"/>
        </w:rPr>
        <w:t>规模优势：</w:t>
      </w:r>
      <w:r>
        <w:rPr>
          <w:rFonts w:ascii="宋体" w:hAnsi="宋体" w:hint="eastAsia"/>
          <w:color w:val="000000"/>
          <w:sz w:val="24"/>
        </w:rPr>
        <w:t xml:space="preserve">30万平米的规模大盘，内部配套设施完善，占有较大的竞争优势。社区内俱乐部，幼儿园，高级会所，游泳池，酒店，超市一应俱全。更有高达8900余平米的商业配套使居民的生活无忧，对客户吸引力不言而喻；                                                                                                                                                                                                                                                               </w:t>
      </w:r>
    </w:p>
    <w:p>
      <w:pPr>
        <w:spacing w:line="500" w:lineRule="auto"/>
        <w:ind w:firstLine="118" w:firstLineChars="49"/>
        <w:rPr>
          <w:rFonts w:ascii="宋体" w:hAnsi="宋体" w:hint="eastAsia"/>
          <w:color w:val="000000"/>
          <w:sz w:val="24"/>
        </w:rPr>
      </w:pPr>
      <w:r>
        <w:rPr>
          <w:rFonts w:ascii="宋体" w:hAnsi="宋体" w:hint="eastAsia"/>
          <w:b/>
          <w:bCs/>
          <w:color w:val="000000"/>
          <w:sz w:val="24"/>
        </w:rPr>
        <w:t>3、交通畅达：</w:t>
      </w:r>
      <w:r>
        <w:rPr>
          <w:rFonts w:ascii="宋体" w:hAnsi="宋体" w:hint="eastAsia"/>
          <w:color w:val="000000"/>
          <w:sz w:val="24"/>
        </w:rPr>
        <w:t>项目东临光谷大道，北邻中环线，南接高新四路，各主干道已形成完善路网，交通成熟便捷；</w:t>
      </w:r>
    </w:p>
    <w:p>
      <w:pPr>
        <w:spacing w:line="500" w:lineRule="auto"/>
        <w:ind w:firstLine="118" w:firstLineChars="49"/>
        <w:rPr>
          <w:rFonts w:ascii="宋体" w:hAnsi="宋体" w:hint="eastAsia"/>
          <w:color w:val="000000"/>
          <w:sz w:val="24"/>
        </w:rPr>
      </w:pPr>
      <w:r>
        <w:rPr>
          <w:rFonts w:ascii="宋体" w:hAnsi="宋体" w:hint="eastAsia"/>
          <w:b/>
          <w:bCs/>
          <w:color w:val="000000"/>
          <w:sz w:val="24"/>
        </w:rPr>
        <w:t>4、片区规划品质高、功能完善：</w:t>
      </w:r>
      <w:r>
        <w:rPr>
          <w:rFonts w:ascii="宋体" w:hAnsi="宋体" w:hint="eastAsia"/>
          <w:color w:val="000000"/>
          <w:sz w:val="24"/>
        </w:rPr>
        <w:t>项目周边已经聚集了众多一流地产开发公司，各种规划皆属于高品质片区；</w:t>
      </w:r>
    </w:p>
    <w:p>
      <w:pPr>
        <w:spacing w:line="500" w:lineRule="auto"/>
        <w:ind w:firstLine="118" w:firstLineChars="49"/>
        <w:rPr>
          <w:rFonts w:ascii="宋体" w:hAnsi="宋体" w:hint="eastAsia"/>
          <w:color w:val="000000"/>
          <w:sz w:val="24"/>
        </w:rPr>
      </w:pPr>
      <w:r>
        <w:rPr>
          <w:rFonts w:ascii="宋体" w:hAnsi="宋体" w:hint="eastAsia"/>
          <w:b/>
          <w:bCs/>
          <w:color w:val="000000"/>
          <w:sz w:val="24"/>
        </w:rPr>
        <w:t>5、配套已逐步实行：</w:t>
      </w:r>
      <w:r>
        <w:rPr>
          <w:rFonts w:ascii="宋体" w:hAnsi="宋体" w:hint="eastAsia"/>
          <w:color w:val="000000"/>
          <w:sz w:val="24"/>
        </w:rPr>
        <w:t>地块西侧已经在建光谷第一附中，随着片区发展，相应配套设施将逐步到位；</w:t>
      </w:r>
    </w:p>
    <w:p>
      <w:pPr>
        <w:spacing w:line="500" w:lineRule="auto"/>
        <w:rPr>
          <w:rFonts w:ascii="宋体" w:hAnsi="宋体" w:hint="eastAsia"/>
          <w:color w:val="000000"/>
          <w:sz w:val="24"/>
        </w:rPr>
      </w:pPr>
      <w:r>
        <w:rPr>
          <w:rFonts w:ascii="宋体" w:hAnsi="宋体" w:hint="eastAsia"/>
          <w:b/>
          <w:bCs/>
          <w:color w:val="000000"/>
          <w:sz w:val="24"/>
        </w:rPr>
        <w:t xml:space="preserve"> 6、周边开发项目品质一致：</w:t>
      </w:r>
      <w:r>
        <w:rPr>
          <w:rFonts w:ascii="宋体" w:hAnsi="宋体" w:hint="eastAsia"/>
          <w:color w:val="000000"/>
          <w:sz w:val="24"/>
        </w:rPr>
        <w:t>本地块周边项目都以品牌开发公司开发住宅用地为主，产品档次较高，利于塑造高品质的区域形象；</w:t>
      </w:r>
    </w:p>
    <w:p>
      <w:pPr>
        <w:spacing w:line="500" w:lineRule="auto"/>
        <w:rPr>
          <w:rFonts w:ascii="宋体" w:hAnsi="宋体" w:hint="eastAsia"/>
          <w:color w:val="000000"/>
          <w:sz w:val="24"/>
        </w:rPr>
      </w:pPr>
      <w:r>
        <w:rPr>
          <w:rFonts w:ascii="宋体" w:hAnsi="宋体" w:hint="eastAsia"/>
          <w:b/>
          <w:color w:val="000000"/>
          <w:sz w:val="24"/>
        </w:rPr>
        <w:t xml:space="preserve"> 7、外部景观资源：</w:t>
      </w:r>
      <w:r>
        <w:rPr>
          <w:rFonts w:ascii="宋体" w:hAnsi="宋体" w:hint="eastAsia"/>
          <w:color w:val="000000"/>
          <w:sz w:val="24"/>
        </w:rPr>
        <w:t>光谷大道景观绿化带和一排防护林，环境比较优美；</w:t>
      </w:r>
    </w:p>
    <w:p>
      <w:pPr>
        <w:spacing w:line="500" w:lineRule="auto"/>
        <w:rPr>
          <w:rFonts w:ascii="宋体" w:hAnsi="宋体" w:hint="eastAsia"/>
          <w:color w:val="000000"/>
          <w:sz w:val="24"/>
        </w:rPr>
        <w:sectPr>
          <w:type w:val="nextPage"/>
          <w:pgSz w:w="16838" w:h="11906" w:orient="landscape"/>
          <w:pgMar w:top="1797" w:right="1440" w:bottom="1701" w:left="1440" w:header="851" w:footer="992" w:gutter="0"/>
          <w:pgNumType w:fmt="decimal" w:start="28"/>
          <w:cols w:space="708"/>
          <w:titlePg w:val="0"/>
          <w:docGrid w:type="lines" w:linePitch="312"/>
        </w:sectPr>
      </w:pPr>
      <w:r>
        <w:rPr>
          <w:rFonts w:ascii="宋体" w:hAnsi="宋体" w:hint="eastAsia"/>
          <w:b/>
          <w:bCs/>
          <w:color w:val="000000"/>
          <w:sz w:val="24"/>
        </w:rPr>
        <w:t xml:space="preserve"> 8、内部景观资源：</w:t>
      </w:r>
      <w:r>
        <w:rPr>
          <w:rFonts w:ascii="宋体" w:hAnsi="宋体" w:hint="eastAsia"/>
          <w:color w:val="000000"/>
          <w:sz w:val="24"/>
        </w:rPr>
        <w:t>以森林为主题的内部景观，原生态风貌，无污染，生态环境纯粹，具有较高的景观资源价值，为区域唯一；</w:t>
      </w:r>
    </w:p>
    <w:p>
      <w:pPr>
        <w:spacing w:line="500" w:lineRule="auto"/>
        <w:rPr>
          <w:rFonts w:ascii="宋体" w:hAnsi="宋体" w:hint="eastAsia"/>
          <w:bCs/>
          <w:color w:val="000000"/>
          <w:sz w:val="24"/>
        </w:rPr>
      </w:pPr>
      <w:r>
        <w:rPr>
          <w:rFonts w:ascii="宋体" w:hAnsi="宋体" w:hint="eastAsia"/>
          <w:b/>
          <w:bCs/>
          <w:color w:val="000000"/>
          <w:sz w:val="24"/>
        </w:rPr>
        <w:t xml:space="preserve"> 9、物业形态实现差异化：</w:t>
      </w:r>
      <w:r>
        <w:rPr>
          <w:rFonts w:ascii="宋体" w:hAnsi="宋体" w:hint="eastAsia"/>
          <w:bCs/>
          <w:color w:val="000000"/>
          <w:sz w:val="24"/>
        </w:rPr>
        <w:t>本案物业形态与周边直接竞争对手都形成了差异，拥有一定的互补优势，竞争力较强；</w:t>
      </w:r>
    </w:p>
    <w:p>
      <w:pPr>
        <w:spacing w:line="500" w:lineRule="auto"/>
        <w:ind w:left="1721" w:hanging="1601" w:leftChars="57" w:hangingChars="667"/>
        <w:rPr>
          <w:rFonts w:ascii="宋体" w:hAnsi="宋体" w:hint="eastAsia"/>
          <w:b/>
          <w:sz w:val="24"/>
        </w:rPr>
      </w:pPr>
      <w:r>
        <w:rPr>
          <w:rFonts w:ascii="宋体" w:hAnsi="宋体" w:hint="eastAsia"/>
          <w:b/>
          <w:bCs/>
          <w:sz w:val="24"/>
        </w:rPr>
        <w:t>10、</w:t>
      </w:r>
      <w:r>
        <w:rPr>
          <w:rFonts w:ascii="宋体" w:hAnsi="宋体" w:cs="宋体" w:hint="eastAsia"/>
          <w:b/>
          <w:sz w:val="24"/>
        </w:rPr>
        <w:t>物业形态齐备户型</w:t>
      </w:r>
      <w:r>
        <w:rPr>
          <w:rFonts w:ascii="宋体" w:hAnsi="宋体" w:hint="eastAsia"/>
          <w:b/>
          <w:sz w:val="24"/>
        </w:rPr>
        <w:t>丰富，符合市场主流需求：</w:t>
      </w:r>
    </w:p>
    <w:p>
      <w:pPr>
        <w:spacing w:line="500" w:lineRule="auto"/>
        <w:ind w:left="598" w:leftChars="285"/>
        <w:rPr>
          <w:rFonts w:ascii="宋体" w:hAnsi="宋体" w:hint="eastAsia"/>
          <w:sz w:val="24"/>
        </w:rPr>
      </w:pPr>
      <w:r>
        <w:rPr>
          <w:rFonts w:ascii="宋体" w:hAnsi="宋体" w:hint="eastAsia"/>
          <w:sz w:val="24"/>
        </w:rPr>
        <w:t>本案户型面积从50平方-130平方，涵盖一房一厅、两房两厅、三房两厅，户型的多样化使客户有了更多的选择，也更契合市场</w:t>
      </w:r>
    </w:p>
    <w:p>
      <w:pPr>
        <w:spacing w:line="500" w:lineRule="auto"/>
        <w:ind w:firstLine="480" w:firstLineChars="200"/>
        <w:rPr>
          <w:rFonts w:ascii="宋体" w:hAnsi="宋体" w:hint="eastAsia"/>
          <w:sz w:val="24"/>
        </w:rPr>
      </w:pPr>
      <w:r>
        <w:rPr>
          <w:rFonts w:ascii="宋体" w:hAnsi="宋体" w:hint="eastAsia"/>
          <w:sz w:val="24"/>
        </w:rPr>
        <w:t>对中小户型房屋的需求，物业形态丰富齐备是本案特色之一。</w:t>
      </w:r>
    </w:p>
    <w:p>
      <w:pPr>
        <w:spacing w:line="500" w:lineRule="auto"/>
        <w:ind w:left="1529" w:hanging="1409" w:leftChars="57" w:hangingChars="587"/>
        <w:rPr>
          <w:rFonts w:ascii="宋体" w:hAnsi="宋体" w:hint="eastAsia"/>
          <w:color w:val="000000"/>
          <w:sz w:val="24"/>
        </w:rPr>
      </w:pPr>
      <w:r>
        <w:rPr>
          <w:rFonts w:ascii="宋体" w:hAnsi="宋体" w:hint="eastAsia"/>
          <w:b/>
          <w:bCs/>
          <w:color w:val="000000"/>
          <w:sz w:val="24"/>
        </w:rPr>
        <w:t>11、产业支撑：</w:t>
      </w:r>
      <w:r>
        <w:rPr>
          <w:rFonts w:ascii="宋体" w:hAnsi="宋体" w:hint="eastAsia"/>
          <w:color w:val="000000"/>
          <w:sz w:val="24"/>
        </w:rPr>
        <w:t>周边多家高新技术公司和高校先期入驻，同时距离富士康大型工业园、中芯国际工业园、藏龙科技园等新兴科技园区，带来更多的稳定的较高收入人群；</w:t>
      </w:r>
    </w:p>
    <w:p>
      <w:pPr>
        <w:spacing w:line="500" w:lineRule="auto"/>
        <w:ind w:firstLine="118" w:firstLineChars="49"/>
        <w:rPr>
          <w:rFonts w:ascii="宋体" w:hAnsi="宋体" w:hint="eastAsia"/>
          <w:b/>
          <w:bCs/>
          <w:color w:val="000000"/>
          <w:sz w:val="24"/>
        </w:rPr>
      </w:pPr>
      <w:r>
        <w:rPr>
          <w:rFonts w:ascii="宋体" w:hAnsi="宋体" w:hint="eastAsia"/>
          <w:b/>
          <w:bCs/>
          <w:color w:val="000000"/>
          <w:sz w:val="24"/>
        </w:rPr>
        <w:t>12 、集团品牌优势：</w:t>
      </w:r>
    </w:p>
    <w:p>
      <w:pPr>
        <w:spacing w:line="500" w:lineRule="auto"/>
        <w:ind w:firstLine="706" w:firstLineChars="294"/>
        <w:rPr>
          <w:rFonts w:ascii="宋体" w:hAnsi="宋体" w:hint="eastAsia"/>
          <w:color w:val="000000"/>
          <w:sz w:val="24"/>
        </w:rPr>
      </w:pPr>
      <w:r>
        <w:rPr>
          <w:rFonts w:ascii="宋体" w:hAnsi="宋体" w:hint="eastAsia"/>
          <w:color w:val="000000"/>
          <w:sz w:val="24"/>
        </w:rPr>
        <w:t>作为武汉房地产开发公司前20强之一，已通过前期楼盘的成功开发，获得了较高的市场形象，拥有一批忠实的品牌拥护者，后期品牌号召力呈上升趋势。</w:t>
      </w:r>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（二）、</w:t>
      </w:r>
      <w:r>
        <w:rPr>
          <w:rFonts w:ascii="宋体" w:eastAsia="宋体" w:hAnsi="宋体" w:cs="宋体"/>
          <w:sz w:val="24"/>
          <w:szCs w:val="24"/>
        </w:rPr>
        <w:t>项</w:t>
      </w:r>
      <w:r>
        <w:rPr>
          <w:rFonts w:ascii="宋体" w:eastAsia="宋体" w:hAnsi="宋体" w:cs="Batang"/>
          <w:sz w:val="24"/>
          <w:szCs w:val="24"/>
        </w:rPr>
        <w:t>目</w:t>
      </w:r>
      <w:r>
        <w:rPr>
          <w:rFonts w:ascii="宋体" w:eastAsia="宋体" w:hAnsi="宋体"/>
          <w:sz w:val="24"/>
          <w:szCs w:val="24"/>
        </w:rPr>
        <w:t>劣</w:t>
      </w:r>
      <w:r>
        <w:rPr>
          <w:rFonts w:ascii="宋体" w:eastAsia="宋体" w:hAnsi="宋体" w:cs="宋体"/>
          <w:sz w:val="24"/>
          <w:szCs w:val="24"/>
        </w:rPr>
        <w:t>势</w:t>
      </w:r>
    </w:p>
    <w:p>
      <w:pPr>
        <w:numPr>
          <w:ilvl w:val="0"/>
          <w:numId w:val="2"/>
        </w:numPr>
        <w:spacing w:line="500" w:lineRule="auto"/>
        <w:rPr>
          <w:rFonts w:ascii="宋体" w:hAnsi="宋体" w:hint="eastAsia"/>
          <w:color w:val="000000"/>
          <w:sz w:val="24"/>
        </w:rPr>
      </w:pPr>
      <w:r>
        <w:rPr>
          <w:rFonts w:ascii="宋体" w:hAnsi="宋体" w:hint="eastAsia"/>
          <w:b/>
          <w:color w:val="000000"/>
          <w:sz w:val="24"/>
        </w:rPr>
        <w:t>地块地势低：</w:t>
      </w:r>
      <w:r>
        <w:rPr>
          <w:rFonts w:ascii="宋体" w:hAnsi="宋体" w:hint="eastAsia"/>
          <w:color w:val="000000"/>
          <w:sz w:val="24"/>
        </w:rPr>
        <w:t>项目地块地势低于光谷大道路面很多，也许容易积水；</w:t>
      </w:r>
    </w:p>
    <w:p>
      <w:pPr>
        <w:numPr>
          <w:ilvl w:val="0"/>
          <w:numId w:val="2"/>
        </w:numPr>
        <w:spacing w:line="500" w:lineRule="auto"/>
        <w:rPr>
          <w:rFonts w:ascii="宋体" w:hAnsi="宋体" w:hint="eastAsia"/>
          <w:color w:val="000000"/>
          <w:sz w:val="24"/>
        </w:rPr>
      </w:pPr>
      <w:r>
        <w:rPr>
          <w:rFonts w:ascii="宋体" w:hAnsi="宋体" w:hint="eastAsia"/>
          <w:b/>
          <w:bCs/>
          <w:color w:val="000000"/>
          <w:sz w:val="24"/>
        </w:rPr>
        <w:t>周边风景资源严重贫乏：</w:t>
      </w:r>
      <w:r>
        <w:rPr>
          <w:rFonts w:ascii="宋体" w:hAnsi="宋体" w:hint="eastAsia"/>
          <w:color w:val="000000"/>
          <w:sz w:val="24"/>
        </w:rPr>
        <w:t>项目周边没有优质的风景，无山、无水、无湖；</w:t>
      </w:r>
    </w:p>
    <w:p>
      <w:pPr>
        <w:numPr>
          <w:ilvl w:val="0"/>
          <w:numId w:val="2"/>
        </w:numPr>
        <w:spacing w:line="500" w:lineRule="auto"/>
        <w:rPr>
          <w:rFonts w:ascii="宋体" w:hAnsi="宋体" w:hint="eastAsia"/>
          <w:color w:val="000000"/>
          <w:sz w:val="24"/>
        </w:rPr>
        <w:sectPr>
          <w:type w:val="nextPage"/>
          <w:pgSz w:w="16838" w:h="11906" w:orient="landscape"/>
          <w:pgMar w:top="1797" w:right="1440" w:bottom="1701" w:left="1440" w:header="851" w:footer="992" w:gutter="0"/>
          <w:pgNumType w:fmt="decimal" w:start="29"/>
          <w:cols w:space="708"/>
          <w:titlePg w:val="0"/>
          <w:docGrid w:type="lines" w:linePitch="312"/>
        </w:sectPr>
      </w:pPr>
      <w:r>
        <w:rPr>
          <w:rFonts w:ascii="宋体" w:hAnsi="宋体" w:hint="eastAsia"/>
          <w:b/>
          <w:color w:val="000000"/>
          <w:sz w:val="24"/>
        </w:rPr>
        <w:t>公交系统严重缺少：</w:t>
      </w:r>
      <w:r>
        <w:rPr>
          <w:rFonts w:ascii="宋体" w:hAnsi="宋体" w:hint="eastAsia"/>
          <w:color w:val="000000"/>
          <w:sz w:val="24"/>
        </w:rPr>
        <w:t>本案距离城区较远，目前只有两路公交车通行；</w:t>
      </w:r>
    </w:p>
    <w:p>
      <w:pPr>
        <w:numPr>
          <w:ilvl w:val="0"/>
          <w:numId w:val="2"/>
        </w:numPr>
        <w:spacing w:line="500" w:lineRule="auto"/>
        <w:rPr>
          <w:rFonts w:ascii="宋体" w:hAnsi="宋体" w:hint="eastAsia"/>
          <w:color w:val="000000"/>
          <w:sz w:val="24"/>
        </w:rPr>
      </w:pPr>
      <w:r>
        <w:rPr>
          <w:rFonts w:ascii="宋体" w:hAnsi="宋体" w:hint="eastAsia"/>
          <w:b/>
          <w:color w:val="000000"/>
          <w:sz w:val="24"/>
        </w:rPr>
        <w:t>区域配套期待完善：</w:t>
      </w:r>
      <w:r>
        <w:rPr>
          <w:rFonts w:ascii="宋体" w:hAnsi="宋体" w:hint="eastAsia"/>
          <w:color w:val="000000"/>
          <w:sz w:val="24"/>
        </w:rPr>
        <w:t>项目周边缺少医疗、金融、邮政、通讯</w:t>
      </w:r>
      <w:r>
        <w:rPr>
          <w:rFonts w:ascii="宋体" w:hAnsi="宋体" w:hint="eastAsia"/>
          <w:color w:val="000000"/>
          <w:sz w:val="24"/>
        </w:rPr>
        <w:t>……</w:t>
      </w:r>
      <w:r>
        <w:rPr>
          <w:rFonts w:ascii="宋体" w:hAnsi="宋体" w:hint="eastAsia"/>
          <w:color w:val="000000"/>
          <w:sz w:val="24"/>
        </w:rPr>
        <w:t>等配套，需要尽快完善；</w:t>
      </w:r>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（三）、机</w:t>
      </w:r>
      <w:r>
        <w:rPr>
          <w:rFonts w:ascii="宋体" w:eastAsia="宋体" w:hAnsi="宋体" w:cs="宋体"/>
          <w:sz w:val="24"/>
          <w:szCs w:val="24"/>
        </w:rPr>
        <w:t>会</w:t>
      </w:r>
      <w:r>
        <w:rPr>
          <w:rFonts w:ascii="宋体" w:eastAsia="宋体" w:hAnsi="宋体"/>
          <w:sz w:val="24"/>
          <w:szCs w:val="24"/>
        </w:rPr>
        <w:t>点</w:t>
      </w:r>
    </w:p>
    <w:p>
      <w:pPr>
        <w:spacing w:line="500" w:lineRule="auto"/>
        <w:ind w:left="353" w:hanging="353" w:hangingChars="147"/>
        <w:rPr>
          <w:rFonts w:ascii="宋体" w:hAnsi="宋体" w:hint="eastAsia"/>
          <w:color w:val="000000"/>
          <w:sz w:val="24"/>
        </w:rPr>
      </w:pPr>
      <w:r>
        <w:rPr>
          <w:rFonts w:ascii="宋体" w:hAnsi="宋体" w:hint="eastAsia"/>
          <w:b/>
          <w:color w:val="000000"/>
          <w:sz w:val="24"/>
        </w:rPr>
        <w:t>1、中环线通车：</w:t>
      </w:r>
      <w:r>
        <w:rPr>
          <w:rFonts w:ascii="宋体" w:hAnsi="宋体" w:hint="eastAsia"/>
          <w:color w:val="000000"/>
          <w:sz w:val="24"/>
        </w:rPr>
        <w:t>城市主干线，缩短与城区及汉口、汉阳的距离，城市中环线价值开始凸现。</w:t>
      </w:r>
      <w:r>
        <w:rPr>
          <w:rFonts w:ascii="宋体" w:hAnsi="宋体"/>
          <w:color w:val="000000"/>
          <w:sz w:val="24"/>
        </w:rPr>
        <w:t>随着武汉城市规模的迅速扩张，第一条全立交的快速的城市环线</w:t>
      </w:r>
      <w:r>
        <w:rPr>
          <w:rFonts w:ascii="宋体" w:hAnsi="宋体" w:hint="eastAsia"/>
          <w:color w:val="000000"/>
          <w:sz w:val="24"/>
        </w:rPr>
        <w:t>——</w:t>
      </w:r>
      <w:r>
        <w:rPr>
          <w:rFonts w:ascii="宋体" w:hAnsi="宋体"/>
          <w:color w:val="000000"/>
          <w:sz w:val="24"/>
        </w:rPr>
        <w:t>中环线</w:t>
      </w:r>
      <w:r>
        <w:rPr>
          <w:rFonts w:ascii="宋体" w:hAnsi="宋体" w:hint="eastAsia"/>
          <w:color w:val="000000"/>
          <w:sz w:val="24"/>
        </w:rPr>
        <w:t>成型</w:t>
      </w:r>
      <w:r>
        <w:rPr>
          <w:rStyle w:val="lan1"/>
          <w:rFonts w:ascii="宋体" w:hAnsi="宋体"/>
          <w:color w:val="000000"/>
          <w:sz w:val="24"/>
          <w:szCs w:val="24"/>
        </w:rPr>
        <w:t>，</w:t>
      </w:r>
      <w:r>
        <w:rPr>
          <w:rStyle w:val="lan1"/>
          <w:rFonts w:ascii="宋体" w:hAnsi="宋体" w:hint="eastAsia"/>
          <w:color w:val="000000"/>
          <w:sz w:val="24"/>
          <w:szCs w:val="24"/>
        </w:rPr>
        <w:t>将对</w:t>
      </w:r>
      <w:r>
        <w:rPr>
          <w:rStyle w:val="lan1"/>
          <w:rFonts w:ascii="宋体" w:hAnsi="宋体"/>
          <w:color w:val="000000"/>
          <w:sz w:val="24"/>
          <w:szCs w:val="24"/>
        </w:rPr>
        <w:t>武汉三镇</w:t>
      </w:r>
      <w:r>
        <w:rPr>
          <w:rStyle w:val="lan1"/>
          <w:rFonts w:ascii="宋体" w:hAnsi="宋体" w:hint="eastAsia"/>
          <w:color w:val="000000"/>
          <w:sz w:val="24"/>
          <w:szCs w:val="24"/>
        </w:rPr>
        <w:t>格局</w:t>
      </w:r>
      <w:r>
        <w:rPr>
          <w:rStyle w:val="lan1"/>
          <w:rFonts w:ascii="宋体" w:hAnsi="宋体"/>
          <w:color w:val="000000"/>
          <w:sz w:val="24"/>
          <w:szCs w:val="24"/>
        </w:rPr>
        <w:t>而言</w:t>
      </w:r>
      <w:r>
        <w:rPr>
          <w:rStyle w:val="lan1"/>
          <w:rFonts w:ascii="宋体" w:hAnsi="宋体" w:hint="eastAsia"/>
          <w:color w:val="000000"/>
          <w:sz w:val="24"/>
          <w:szCs w:val="24"/>
        </w:rPr>
        <w:t>形成巨力推动</w:t>
      </w:r>
      <w:r>
        <w:rPr>
          <w:rStyle w:val="lan1"/>
          <w:rFonts w:ascii="宋体" w:hAnsi="宋体"/>
          <w:color w:val="000000"/>
          <w:sz w:val="24"/>
          <w:szCs w:val="24"/>
        </w:rPr>
        <w:t>，中环线的形成将会带来前所未有的</w:t>
      </w:r>
      <w:hyperlink w:history="1">
        <w:r>
          <w:rPr>
            <w:rStyle w:val="Hyperlink"/>
            <w:rFonts w:ascii="宋体" w:hAnsi="宋体"/>
            <w:color w:val="000000"/>
            <w:sz w:val="24"/>
          </w:rPr>
          <w:t>改变</w:t>
        </w:r>
      </w:hyperlink>
      <w:r>
        <w:rPr>
          <w:rStyle w:val="lan1"/>
          <w:rFonts w:ascii="宋体" w:hAnsi="宋体"/>
          <w:color w:val="000000"/>
          <w:sz w:val="24"/>
          <w:szCs w:val="24"/>
        </w:rPr>
        <w:t>。</w:t>
      </w:r>
      <w:r>
        <w:rPr>
          <w:rFonts w:ascii="宋体" w:hAnsi="宋体" w:hint="eastAsia"/>
          <w:sz w:val="24"/>
        </w:rPr>
        <w:t>武昌大区经济发展与区域开发逐步进一步，城市地区价值逐步体现到城市中环线带，这些因素都将为本案提供极大支持与发展机会；</w:t>
      </w:r>
    </w:p>
    <w:p>
      <w:pPr>
        <w:spacing w:line="500" w:lineRule="auto"/>
        <w:ind w:left="353" w:hanging="353" w:hangingChars="147"/>
        <w:rPr>
          <w:rFonts w:ascii="宋体" w:hAnsi="宋体" w:hint="eastAsia"/>
          <w:color w:val="000000"/>
          <w:sz w:val="24"/>
        </w:rPr>
      </w:pPr>
      <w:r>
        <w:rPr>
          <w:rFonts w:ascii="宋体" w:hAnsi="宋体" w:hint="eastAsia"/>
          <w:b/>
          <w:bCs/>
          <w:color w:val="000000"/>
          <w:sz w:val="24"/>
        </w:rPr>
        <w:t>2、片区市场良性发展：</w:t>
      </w:r>
      <w:r>
        <w:rPr>
          <w:rFonts w:ascii="宋体" w:hAnsi="宋体" w:hint="eastAsia"/>
          <w:color w:val="000000"/>
          <w:sz w:val="24"/>
        </w:rPr>
        <w:t>光谷片区已经成为武汉高档房区域，市场口碑一直呈现良性趋势，所着光谷发展趋势逐渐南移，将助推本案发展；</w:t>
      </w:r>
    </w:p>
    <w:p>
      <w:pPr>
        <w:spacing w:line="500" w:lineRule="auto"/>
        <w:rPr>
          <w:rFonts w:ascii="宋体" w:hAnsi="宋体" w:hint="eastAsia"/>
          <w:color w:val="000000"/>
          <w:sz w:val="24"/>
        </w:rPr>
      </w:pPr>
      <w:r>
        <w:rPr>
          <w:rFonts w:ascii="宋体" w:hAnsi="宋体" w:hint="eastAsia"/>
          <w:b/>
          <w:bCs/>
          <w:color w:val="000000"/>
          <w:sz w:val="24"/>
        </w:rPr>
        <w:t>3、差异物业形态竞争力较强：</w:t>
      </w:r>
      <w:r>
        <w:rPr>
          <w:rFonts w:ascii="宋体" w:hAnsi="宋体" w:hint="eastAsia"/>
          <w:bCs/>
          <w:color w:val="000000"/>
          <w:sz w:val="24"/>
        </w:rPr>
        <w:t>与周边竞争楼盘差异鲜明，填补了其市场白点，增强了选择范围；</w:t>
      </w:r>
    </w:p>
    <w:p>
      <w:pPr>
        <w:spacing w:line="500" w:lineRule="auto"/>
        <w:rPr>
          <w:rFonts w:ascii="宋体" w:hAnsi="宋体" w:hint="eastAsia"/>
          <w:color w:val="000000"/>
          <w:sz w:val="24"/>
        </w:rPr>
      </w:pPr>
      <w:r>
        <w:rPr>
          <w:rFonts w:ascii="宋体" w:hAnsi="宋体" w:hint="eastAsia"/>
          <w:b/>
          <w:bCs/>
          <w:color w:val="000000"/>
          <w:sz w:val="24"/>
        </w:rPr>
        <w:t>4、片区公司和高校带来巨大购买人群：</w:t>
      </w:r>
      <w:r>
        <w:rPr>
          <w:rFonts w:ascii="宋体" w:hAnsi="宋体" w:hint="eastAsia"/>
          <w:color w:val="000000"/>
          <w:sz w:val="24"/>
        </w:rPr>
        <w:t>富士康和中芯国际等国际大型公司陆续入驻，高校不断立足，连续带来众多购买人群；</w:t>
      </w:r>
    </w:p>
    <w:p>
      <w:pPr>
        <w:spacing w:line="500" w:lineRule="auto"/>
        <w:ind w:left="353" w:hanging="353" w:hangingChars="147"/>
        <w:rPr>
          <w:rFonts w:ascii="宋体" w:hAnsi="宋体" w:hint="eastAsia"/>
          <w:color w:val="000000"/>
          <w:sz w:val="24"/>
        </w:rPr>
      </w:pPr>
      <w:r>
        <w:rPr>
          <w:rFonts w:ascii="宋体" w:hAnsi="宋体" w:hint="eastAsia"/>
          <w:b/>
          <w:color w:val="000000"/>
          <w:sz w:val="24"/>
        </w:rPr>
        <w:t>5、城市</w:t>
      </w:r>
      <w:r>
        <w:rPr>
          <w:rFonts w:ascii="宋体" w:hAnsi="宋体" w:hint="eastAsia"/>
          <w:b/>
          <w:color w:val="000000"/>
          <w:sz w:val="24"/>
        </w:rPr>
        <w:t>“</w:t>
      </w:r>
      <w:r>
        <w:rPr>
          <w:rFonts w:ascii="宋体" w:hAnsi="宋体" w:hint="eastAsia"/>
          <w:b/>
          <w:color w:val="000000"/>
          <w:sz w:val="24"/>
        </w:rPr>
        <w:t>地铁效应</w:t>
      </w:r>
      <w:r>
        <w:rPr>
          <w:rFonts w:ascii="宋体" w:hAnsi="宋体" w:hint="eastAsia"/>
          <w:b/>
          <w:color w:val="000000"/>
          <w:sz w:val="24"/>
        </w:rPr>
        <w:t>”</w:t>
      </w:r>
      <w:r>
        <w:rPr>
          <w:rFonts w:ascii="宋体" w:hAnsi="宋体" w:hint="eastAsia"/>
          <w:b/>
          <w:color w:val="000000"/>
          <w:sz w:val="24"/>
        </w:rPr>
        <w:t>扩大也将成为本案机会点：</w:t>
      </w:r>
      <w:r>
        <w:rPr>
          <w:rFonts w:ascii="宋体" w:hAnsi="宋体" w:hint="eastAsia"/>
          <w:color w:val="000000"/>
          <w:sz w:val="24"/>
        </w:rPr>
        <w:t>随着武汉市主城区地铁项目的逐步建成，</w:t>
      </w:r>
      <w:r>
        <w:rPr>
          <w:rFonts w:ascii="宋体" w:hAnsi="宋体" w:hint="eastAsia"/>
          <w:color w:val="000000"/>
          <w:sz w:val="24"/>
        </w:rPr>
        <w:t>“</w:t>
      </w:r>
      <w:r>
        <w:rPr>
          <w:rFonts w:ascii="宋体" w:hAnsi="宋体" w:hint="eastAsia"/>
          <w:color w:val="000000"/>
          <w:sz w:val="24"/>
        </w:rPr>
        <w:t>地铁效应</w:t>
      </w:r>
      <w:r>
        <w:rPr>
          <w:rFonts w:ascii="宋体" w:hAnsi="宋体" w:hint="eastAsia"/>
          <w:color w:val="000000"/>
          <w:sz w:val="24"/>
        </w:rPr>
        <w:t>”</w:t>
      </w:r>
      <w:r>
        <w:rPr>
          <w:rFonts w:ascii="宋体" w:hAnsi="宋体" w:hint="eastAsia"/>
          <w:color w:val="000000"/>
          <w:sz w:val="24"/>
        </w:rPr>
        <w:t>扩大，也为本案提供了市场机会</w:t>
      </w:r>
    </w:p>
    <w:p>
      <w:pPr>
        <w:pStyle w:val="Heading3"/>
        <w:numPr>
          <w:ilvl w:val="2"/>
          <w:numId w:val="0"/>
        </w:numPr>
        <w:spacing w:before="0" w:beforeLines="0" w:after="0" w:afterLines="0" w:line="500" w:lineRule="auto"/>
        <w:rPr>
          <w:rFonts w:ascii="宋体" w:eastAsia="宋体" w:hAnsi="宋体"/>
          <w:sz w:val="24"/>
          <w:szCs w:val="24"/>
        </w:rPr>
      </w:pPr>
      <w:r>
        <w:rPr>
          <w:rFonts w:ascii="宋体" w:eastAsia="宋体" w:hAnsi="宋体"/>
          <w:sz w:val="24"/>
          <w:szCs w:val="24"/>
        </w:rPr>
        <w:t>（四）、威胁点</w:t>
      </w:r>
    </w:p>
    <w:p>
      <w:pPr>
        <w:spacing w:line="500" w:lineRule="auto"/>
        <w:rPr>
          <w:rFonts w:ascii="宋体" w:hAnsi="宋体" w:hint="eastAsia"/>
          <w:b/>
          <w:sz w:val="24"/>
        </w:rPr>
        <w:sectPr>
          <w:type w:val="nextPage"/>
          <w:pgSz w:w="16838" w:h="11906" w:orient="landscape"/>
          <w:pgMar w:top="1797" w:right="1440" w:bottom="1701" w:left="1440" w:header="851" w:footer="992" w:gutter="0"/>
          <w:pgNumType w:fmt="decimal" w:start="30"/>
          <w:cols w:space="708"/>
          <w:titlePg w:val="0"/>
          <w:docGrid w:type="lines" w:linePitch="312"/>
        </w:sectPr>
      </w:pPr>
      <w:r>
        <w:rPr>
          <w:rFonts w:ascii="宋体" w:hAnsi="宋体"/>
          <w:b/>
          <w:sz w:val="24"/>
        </w:rPr>
        <w:t>1</w:t>
      </w:r>
      <w:r>
        <w:rPr>
          <w:rFonts w:ascii="宋体" w:hAnsi="宋体" w:hint="eastAsia"/>
          <w:b/>
          <w:sz w:val="24"/>
        </w:rPr>
        <w:t>、项目运作风险：</w:t>
      </w:r>
    </w:p>
    <w:p>
      <w:pPr>
        <w:spacing w:line="500" w:lineRule="auto"/>
        <w:ind w:firstLine="600" w:firstLineChars="250"/>
        <w:rPr>
          <w:rFonts w:ascii="宋体" w:hAnsi="宋体" w:hint="eastAsia"/>
          <w:sz w:val="24"/>
        </w:rPr>
      </w:pPr>
      <w:r>
        <w:rPr>
          <w:rFonts w:ascii="宋体" w:hAnsi="宋体" w:hint="eastAsia"/>
          <w:sz w:val="24"/>
        </w:rPr>
        <w:t>项目规模大，运作周期长，不拟定因素多，面临的市场变化风险比较大，由于市场热度过高而为政策制定者关注，后期也许出台的种种调控政策会影响本案的发展；</w:t>
      </w:r>
    </w:p>
    <w:p>
      <w:pPr>
        <w:spacing w:line="500" w:lineRule="auto"/>
        <w:rPr>
          <w:rFonts w:ascii="宋体" w:hAnsi="宋体" w:hint="eastAsia"/>
          <w:b/>
          <w:sz w:val="24"/>
        </w:rPr>
      </w:pPr>
      <w:r>
        <w:rPr>
          <w:rFonts w:ascii="宋体" w:hAnsi="宋体" w:hint="eastAsia"/>
          <w:b/>
          <w:sz w:val="24"/>
        </w:rPr>
        <w:t>2、来自成熟板块的拦截与分流：</w:t>
      </w:r>
    </w:p>
    <w:p>
      <w:pPr>
        <w:spacing w:line="500" w:lineRule="auto"/>
        <w:ind w:firstLine="600" w:firstLineChars="250"/>
        <w:rPr>
          <w:rFonts w:ascii="宋体" w:hAnsi="宋体" w:hint="eastAsia"/>
          <w:sz w:val="24"/>
        </w:rPr>
      </w:pPr>
      <w:r>
        <w:rPr>
          <w:rFonts w:ascii="宋体" w:hAnsi="宋体" w:hint="eastAsia"/>
          <w:sz w:val="24"/>
        </w:rPr>
        <w:t>本案片区通过一段时间发展，已经逐渐趋向南边延伸，北部已经相对比较成熟，该区域对本案的客户拦截与分流影响较大，同时万科魅力之城拦截了富士康、中芯国际到城区的客户；</w:t>
      </w:r>
    </w:p>
    <w:p>
      <w:pPr>
        <w:spacing w:line="500" w:lineRule="auto"/>
        <w:rPr>
          <w:rFonts w:ascii="宋体" w:hAnsi="宋体" w:hint="eastAsia"/>
          <w:b/>
          <w:bCs/>
          <w:color w:val="000000"/>
          <w:sz w:val="24"/>
        </w:rPr>
      </w:pPr>
      <w:r>
        <w:rPr>
          <w:rFonts w:ascii="宋体" w:hAnsi="宋体" w:hint="eastAsia"/>
          <w:b/>
          <w:color w:val="000000"/>
          <w:sz w:val="24"/>
        </w:rPr>
        <w:t>3、</w:t>
      </w:r>
      <w:r>
        <w:rPr>
          <w:rFonts w:ascii="宋体" w:hAnsi="宋体" w:hint="eastAsia"/>
          <w:b/>
          <w:bCs/>
          <w:color w:val="000000"/>
          <w:sz w:val="24"/>
        </w:rPr>
        <w:t>板块内潜量同质竞争压力不小：</w:t>
      </w:r>
    </w:p>
    <w:p>
      <w:pPr>
        <w:spacing w:line="500" w:lineRule="auto"/>
        <w:ind w:firstLine="720" w:firstLineChars="300"/>
        <w:rPr>
          <w:rFonts w:ascii="宋体" w:hAnsi="宋体" w:hint="eastAsia"/>
          <w:color w:val="000000"/>
          <w:sz w:val="24"/>
        </w:rPr>
      </w:pPr>
      <w:r>
        <w:rPr>
          <w:rFonts w:ascii="宋体" w:hAnsi="宋体" w:hint="eastAsia"/>
          <w:color w:val="000000"/>
          <w:sz w:val="24"/>
        </w:rPr>
        <w:t>板块内品质类似的项目较多，在本案发展的中后期易形成竞争。在本案所在区域受市场追捧的过程中，将也许面临更多竞争对手的加入。将面临更多楼盘相伴，左右竞争剧烈也许会对本案形成夹攻之势。</w:t>
      </w:r>
    </w:p>
    <w:p>
      <w:pPr>
        <w:spacing w:line="500" w:lineRule="auto"/>
        <w:rPr>
          <w:rFonts w:ascii="宋体" w:hAnsi="宋体" w:hint="eastAsia"/>
          <w:b/>
          <w:color w:val="000000"/>
          <w:sz w:val="24"/>
        </w:rPr>
      </w:pPr>
      <w:r>
        <w:rPr>
          <w:rFonts w:ascii="宋体" w:hAnsi="宋体" w:hint="eastAsia"/>
          <w:b/>
          <w:color w:val="000000"/>
          <w:sz w:val="24"/>
        </w:rPr>
        <w:t>经由SWOT分析，我们提出以下项目发展策略：</w:t>
      </w:r>
    </w:p>
    <w:p>
      <w:pPr>
        <w:spacing w:line="500" w:lineRule="auto"/>
        <w:ind w:firstLine="2710" w:firstLineChars="1129"/>
        <w:jc w:val="left"/>
        <w:rPr>
          <w:rFonts w:ascii="宋体" w:hAnsi="宋体" w:hint="eastAsia"/>
          <w:b/>
          <w:color w:val="000000"/>
          <w:sz w:val="24"/>
        </w:rPr>
      </w:pPr>
      <w:r>
        <w:rPr>
          <w:rFonts w:ascii="宋体" w:hAnsi="宋体" w:hint="eastAsia"/>
          <w:b/>
          <w:color w:val="000000"/>
          <w:sz w:val="24"/>
          <w:u w:val="single"/>
        </w:rPr>
        <w:t>“</w:t>
      </w:r>
      <w:r>
        <w:rPr>
          <w:rFonts w:ascii="宋体" w:hAnsi="宋体" w:hint="eastAsia"/>
          <w:b/>
          <w:color w:val="000000"/>
          <w:sz w:val="24"/>
          <w:u w:val="single"/>
        </w:rPr>
        <w:t>资源整合，建立优势</w:t>
      </w:r>
      <w:r>
        <w:rPr>
          <w:rFonts w:ascii="宋体" w:hAnsi="宋体" w:hint="eastAsia"/>
          <w:b/>
          <w:color w:val="000000"/>
          <w:sz w:val="24"/>
          <w:u w:val="single"/>
        </w:rPr>
        <w:t>”</w:t>
      </w:r>
      <w:r>
        <w:rPr>
          <w:rFonts w:ascii="宋体" w:hAnsi="宋体" w:hint="eastAsia"/>
          <w:b/>
          <w:color w:val="000000"/>
          <w:sz w:val="24"/>
          <w:u w:val="single"/>
        </w:rPr>
        <w:t xml:space="preserve">的市场竞争策略 </w:t>
      </w:r>
      <w:r>
        <w:rPr>
          <w:rFonts w:ascii="宋体" w:hAnsi="宋体" w:hint="eastAsia"/>
          <w:b/>
          <w:color w:val="000000"/>
          <w:sz w:val="24"/>
        </w:rPr>
        <w:t xml:space="preserve">               </w:t>
      </w:r>
    </w:p>
    <w:p>
      <w:pPr>
        <w:spacing w:line="500" w:lineRule="auto"/>
        <w:ind w:firstLine="2705" w:firstLineChars="1127"/>
        <w:jc w:val="left"/>
        <w:rPr>
          <w:rFonts w:ascii="宋体" w:hAnsi="宋体" w:hint="eastAsia"/>
          <w:b/>
          <w:color w:val="000000"/>
          <w:sz w:val="24"/>
          <w:u w:val="single"/>
        </w:rPr>
      </w:pPr>
      <w:r>
        <w:rPr>
          <w:rFonts w:ascii="宋体" w:hAnsi="宋体" w:hint="eastAsia"/>
          <w:b/>
          <w:color w:val="000000"/>
          <w:sz w:val="24"/>
          <w:u w:val="single"/>
        </w:rPr>
        <w:t>“</w:t>
      </w:r>
      <w:r>
        <w:rPr>
          <w:rFonts w:ascii="宋体" w:hAnsi="宋体" w:hint="eastAsia"/>
          <w:b/>
          <w:color w:val="000000"/>
          <w:sz w:val="24"/>
          <w:u w:val="single"/>
        </w:rPr>
        <w:t>文化营销，显化价值</w:t>
      </w:r>
      <w:r>
        <w:rPr>
          <w:rFonts w:ascii="宋体" w:hAnsi="宋体" w:hint="eastAsia"/>
          <w:b/>
          <w:color w:val="000000"/>
          <w:sz w:val="24"/>
          <w:u w:val="single"/>
        </w:rPr>
        <w:t>”</w:t>
      </w:r>
      <w:r>
        <w:rPr>
          <w:rFonts w:ascii="宋体" w:hAnsi="宋体" w:hint="eastAsia"/>
          <w:b/>
          <w:color w:val="000000"/>
          <w:sz w:val="24"/>
          <w:u w:val="single"/>
        </w:rPr>
        <w:t>的市场营销策略</w:t>
      </w:r>
    </w:p>
    <w:p>
      <w:pPr>
        <w:spacing w:line="500" w:lineRule="auto"/>
        <w:ind w:firstLine="2705" w:firstLineChars="1127"/>
        <w:jc w:val="left"/>
        <w:rPr>
          <w:rFonts w:ascii="宋体" w:hAnsi="宋体" w:hint="eastAsia"/>
          <w:b/>
          <w:color w:val="000000"/>
          <w:sz w:val="24"/>
          <w:u w:val="single"/>
        </w:rPr>
      </w:pPr>
      <w:r>
        <w:rPr>
          <w:rFonts w:ascii="宋体" w:hAnsi="宋体" w:hint="eastAsia"/>
          <w:b/>
          <w:color w:val="000000"/>
          <w:sz w:val="24"/>
          <w:u w:val="single"/>
        </w:rPr>
        <w:t>“</w:t>
      </w:r>
      <w:r>
        <w:rPr>
          <w:rFonts w:ascii="宋体" w:hAnsi="宋体" w:hint="eastAsia"/>
          <w:b/>
          <w:color w:val="000000"/>
          <w:sz w:val="24"/>
          <w:u w:val="single"/>
        </w:rPr>
        <w:t>引入标准，提高品质</w:t>
      </w:r>
      <w:r>
        <w:rPr>
          <w:rFonts w:ascii="宋体" w:hAnsi="宋体" w:hint="eastAsia"/>
          <w:b/>
          <w:color w:val="000000"/>
          <w:sz w:val="24"/>
          <w:u w:val="single"/>
        </w:rPr>
        <w:t>”</w:t>
      </w:r>
      <w:r>
        <w:rPr>
          <w:rFonts w:ascii="宋体" w:hAnsi="宋体" w:hint="eastAsia"/>
          <w:b/>
          <w:color w:val="000000"/>
          <w:sz w:val="24"/>
          <w:u w:val="single"/>
        </w:rPr>
        <w:t xml:space="preserve">的产品开发策略 </w:t>
      </w:r>
      <w:r>
        <w:rPr>
          <w:rFonts w:ascii="宋体" w:hAnsi="宋体" w:hint="eastAsia"/>
          <w:b/>
          <w:color w:val="000000"/>
          <w:sz w:val="24"/>
        </w:rPr>
        <w:t xml:space="preserve">               </w:t>
      </w:r>
      <w:r>
        <w:rPr>
          <w:rFonts w:ascii="宋体" w:hAnsi="宋体" w:hint="eastAsia"/>
          <w:b/>
          <w:color w:val="000000"/>
          <w:sz w:val="24"/>
          <w:u w:val="single"/>
        </w:rPr>
        <w:t xml:space="preserve"> </w:t>
      </w:r>
    </w:p>
    <w:p>
      <w:pPr>
        <w:spacing w:line="500" w:lineRule="auto"/>
        <w:ind w:firstLine="2700" w:firstLineChars="1125"/>
        <w:jc w:val="left"/>
        <w:rPr>
          <w:rFonts w:ascii="宋体" w:hAnsi="宋体" w:hint="eastAsia"/>
          <w:b/>
          <w:color w:val="000000"/>
          <w:sz w:val="24"/>
          <w:u w:val="single"/>
        </w:rPr>
        <w:sectPr>
          <w:type w:val="nextPage"/>
          <w:pgSz w:w="16838" w:h="11906" w:orient="landscape"/>
          <w:pgMar w:top="1797" w:right="1440" w:bottom="1701" w:left="1440" w:header="851" w:footer="992" w:gutter="0"/>
          <w:pgNumType w:fmt="decimal" w:start="31"/>
          <w:cols w:space="708"/>
          <w:titlePg w:val="0"/>
          <w:docGrid w:type="lines" w:linePitch="312"/>
        </w:sectPr>
      </w:pPr>
      <w:r>
        <w:rPr>
          <w:rFonts w:ascii="宋体" w:hAnsi="宋体" w:hint="eastAsia"/>
          <w:b/>
          <w:color w:val="000000"/>
          <w:sz w:val="24"/>
          <w:u w:val="single"/>
        </w:rPr>
        <w:t xml:space="preserve"> </w:t>
      </w:r>
      <w:r>
        <w:rPr>
          <w:rFonts w:ascii="宋体" w:hAnsi="宋体" w:hint="eastAsia"/>
          <w:b/>
          <w:color w:val="000000"/>
          <w:sz w:val="24"/>
          <w:u w:val="single"/>
        </w:rPr>
        <w:t>“</w:t>
      </w:r>
      <w:r>
        <w:rPr>
          <w:rFonts w:ascii="宋体" w:hAnsi="宋体" w:hint="eastAsia"/>
          <w:b/>
          <w:color w:val="000000"/>
          <w:sz w:val="24"/>
          <w:u w:val="single"/>
        </w:rPr>
        <w:t>尽快入市，快速销售</w:t>
      </w:r>
      <w:r>
        <w:rPr>
          <w:rFonts w:ascii="宋体" w:hAnsi="宋体" w:hint="eastAsia"/>
          <w:b/>
          <w:color w:val="000000"/>
          <w:sz w:val="24"/>
          <w:u w:val="single"/>
        </w:rPr>
        <w:t>”</w:t>
      </w:r>
      <w:r>
        <w:rPr>
          <w:rFonts w:ascii="宋体" w:hAnsi="宋体" w:hint="eastAsia"/>
          <w:b/>
          <w:color w:val="000000"/>
          <w:sz w:val="24"/>
          <w:u w:val="single"/>
        </w:rPr>
        <w:t>的风险控制策略</w:t>
      </w:r>
      <w:bookmarkStart w:id="35" w:name="_Toc182715760"/>
      <w:bookmarkStart w:id="36" w:name="_Toc182715990"/>
    </w:p>
    <w:p>
      <w:pPr>
        <w:pStyle w:val="Heading2"/>
        <w:spacing w:before="0" w:beforeLines="0" w:after="0" w:afterLines="0" w:line="500" w:lineRule="auto"/>
        <w:ind w:left="0" w:firstLine="235" w:firstLineChars="98"/>
        <w:rPr>
          <w:rFonts w:ascii="宋体" w:eastAsia="宋体" w:hAnsi="宋体" w:hint="eastAsia"/>
          <w:kern w:val="0"/>
          <w:sz w:val="24"/>
          <w:szCs w:val="24"/>
        </w:rPr>
      </w:pPr>
      <w:bookmarkStart w:id="37" w:name="_Toc183311189"/>
      <w:r>
        <w:rPr>
          <w:rFonts w:ascii="宋体" w:eastAsia="宋体" w:hAnsi="宋体" w:hint="eastAsia"/>
          <w:kern w:val="0"/>
          <w:sz w:val="24"/>
          <w:szCs w:val="24"/>
        </w:rPr>
        <w:t>三、卖点与买点提炼</w:t>
      </w:r>
      <w:bookmarkEnd w:id="35"/>
      <w:bookmarkEnd w:id="36"/>
      <w:bookmarkEnd w:id="37"/>
    </w:p>
    <w:p>
      <w:pPr>
        <w:spacing w:line="500" w:lineRule="auto"/>
        <w:ind w:firstLine="706" w:firstLineChars="294"/>
        <w:rPr>
          <w:rFonts w:ascii="宋体" w:hAnsi="宋体" w:hint="eastAsia"/>
          <w:b/>
          <w:bCs/>
          <w:color w:val="FF0000"/>
          <w:sz w:val="24"/>
        </w:rPr>
      </w:pPr>
      <w:r>
        <w:rPr>
          <w:rFonts w:ascii="宋体" w:hAnsi="宋体" w:hint="eastAsia"/>
          <w:b/>
          <w:bCs/>
          <w:color w:val="FF0000"/>
          <w:sz w:val="24"/>
        </w:rPr>
        <w:t xml:space="preserve">              本案核心价值点和立基点：</w:t>
      </w:r>
      <w:r>
        <w:rPr>
          <w:rFonts w:ascii="宋体" w:hAnsi="宋体" w:hint="eastAsia"/>
          <w:b/>
          <w:bCs/>
          <w:color w:val="FF0000"/>
          <w:sz w:val="28"/>
        </w:rPr>
        <w:t>光谷中心区域，欧式小镇，内部森林景观</w:t>
      </w:r>
    </w:p>
    <w:p>
      <w:pPr>
        <w:spacing w:line="500" w:lineRule="auto"/>
        <w:ind w:firstLine="2839" w:firstLineChars="1183"/>
        <w:rPr>
          <w:rFonts w:ascii="宋体" w:hAnsi="宋体" w:hint="eastAsia"/>
          <w:b/>
          <w:color w:val="000000"/>
          <w:sz w:val="24"/>
        </w:rPr>
      </w:pPr>
      <w:r>
        <w:rPr>
          <w:rFonts w:ascii="宋体" w:hAnsi="宋体" w:hint="eastAsia"/>
          <w:b/>
          <w:bCs/>
          <w:color w:val="000000"/>
          <w:sz w:val="24"/>
        </w:rPr>
        <w:t>光谷中心：</w:t>
      </w:r>
      <w:r>
        <w:rPr>
          <w:rFonts w:ascii="宋体" w:hAnsi="宋体" w:hint="eastAsia"/>
          <w:bCs/>
          <w:color w:val="000000"/>
          <w:sz w:val="24"/>
        </w:rPr>
        <w:t>升值潜力巨大，中环线汇聚、科技产业园提供支撑。</w:t>
      </w:r>
    </w:p>
    <w:p>
      <w:pPr>
        <w:spacing w:line="500" w:lineRule="auto"/>
        <w:ind w:left="472" w:firstLine="2352" w:leftChars="225" w:firstLineChars="980"/>
        <w:rPr>
          <w:rFonts w:ascii="宋体" w:hAnsi="宋体" w:hint="eastAsia"/>
          <w:b/>
          <w:color w:val="000000"/>
          <w:sz w:val="24"/>
        </w:rPr>
      </w:pPr>
      <w:r>
        <w:rPr>
          <w:rFonts w:ascii="宋体" w:hAnsi="宋体" w:hint="eastAsia"/>
          <w:b/>
          <w:color w:val="000000"/>
          <w:sz w:val="24"/>
        </w:rPr>
        <w:t>欧式：</w:t>
      </w:r>
      <w:r>
        <w:rPr>
          <w:rFonts w:ascii="宋体" w:hAnsi="宋体" w:hint="eastAsia"/>
          <w:color w:val="000000"/>
          <w:sz w:val="24"/>
        </w:rPr>
        <w:t>从建筑风格上彰显建筑特色，以及其蕴涵的高贵、典雅的欧式生活。</w:t>
      </w:r>
    </w:p>
    <w:p>
      <w:pPr>
        <w:spacing w:line="500" w:lineRule="auto"/>
        <w:ind w:left="472" w:firstLine="2352" w:leftChars="225" w:firstLineChars="980"/>
        <w:rPr>
          <w:rFonts w:ascii="宋体" w:hAnsi="宋体" w:hint="eastAsia"/>
          <w:color w:val="000000"/>
          <w:sz w:val="24"/>
        </w:rPr>
      </w:pPr>
      <w:r>
        <w:rPr>
          <w:rFonts w:ascii="宋体" w:hAnsi="宋体" w:hint="eastAsia"/>
          <w:b/>
          <w:color w:val="000000"/>
          <w:sz w:val="24"/>
        </w:rPr>
        <w:t>小镇：</w:t>
      </w:r>
      <w:r>
        <w:rPr>
          <w:rFonts w:ascii="宋体" w:hAnsi="宋体" w:hint="eastAsia"/>
          <w:color w:val="000000"/>
          <w:sz w:val="24"/>
        </w:rPr>
        <w:t>武汉全新的居住理念、生活理念，生活在这里，享受不同样的生活情趣。</w:t>
      </w:r>
    </w:p>
    <w:p>
      <w:pPr>
        <w:spacing w:line="500" w:lineRule="auto"/>
        <w:ind w:left="472" w:firstLine="2352" w:leftChars="225" w:firstLineChars="980"/>
        <w:rPr>
          <w:rFonts w:ascii="宋体" w:hAnsi="宋体" w:hint="eastAsia"/>
          <w:b/>
          <w:bCs/>
          <w:color w:val="FF0000"/>
          <w:sz w:val="24"/>
        </w:rPr>
      </w:pPr>
      <w:r>
        <w:rPr>
          <w:rFonts w:ascii="宋体" w:hAnsi="宋体" w:hint="eastAsia"/>
          <w:b/>
          <w:color w:val="000000"/>
          <w:sz w:val="24"/>
        </w:rPr>
        <w:t>森林：</w:t>
      </w:r>
      <w:r>
        <w:rPr>
          <w:rFonts w:ascii="宋体" w:hAnsi="宋体" w:hint="eastAsia"/>
          <w:color w:val="000000"/>
          <w:sz w:val="24"/>
        </w:rPr>
        <w:t>强调生态，体现环境，突出与周边楼盘的本质区别，用森林这个突破点，体现生态的纯粹。</w:t>
      </w:r>
      <w:r>
        <w:rPr>
          <w:rFonts w:ascii="宋体" w:hAnsi="宋体" w:hint="eastAsia"/>
          <w:b/>
          <w:bCs/>
          <w:color w:val="FF0000"/>
          <w:sz w:val="24"/>
        </w:rPr>
        <w:t>卖点                                                                   买点</w:t>
      </w:r>
    </w:p>
    <w:p>
      <w:pPr>
        <w:spacing w:line="360" w:lineRule="auto"/>
        <w:ind w:firstLine="706" w:firstLineChars="294"/>
        <w:rPr>
          <w:rFonts w:ascii="宋体" w:hAnsi="宋体" w:hint="eastAsia"/>
          <w:b/>
          <w:bCs/>
          <w:color w:val="FF0000"/>
          <w:sz w:val="24"/>
        </w:rPr>
      </w:pPr>
      <w:r>
        <w:rPr>
          <w:rFonts w:ascii="宋体" w:hAnsi="宋体" w:hint="eastAsia"/>
          <w:b/>
          <w:bCs/>
          <w:color w:val="FF0000"/>
          <w:sz w:val="24"/>
        </w:rPr>
        <w:pict>
          <v:rect id="_x0000_s1029" style="width:306pt;height:327.6pt;margin-top:15.6pt;margin-left:387pt;mso-wrap-style:square;position:absolute;z-index:251658240">
            <v:stroke linestyle="single"/>
            <v:shadow on="t" opacity="0.5" offset="6pt,-6pt"/>
            <o:lock v:ext="edit" aspectratio="f"/>
            <v:textbox>
              <w:txbxContent>
                <w:p>
                  <w:pPr>
                    <w:spacing w:line="500" w:lineRule="auto"/>
                    <w:rPr>
                      <w:rFonts w:ascii="宋体" w:hAnsi="宋体" w:hint="eastAsia"/>
                      <w:b/>
                      <w:sz w:val="24"/>
                    </w:rPr>
                  </w:pPr>
                  <w:r>
                    <w:rPr>
                      <w:rFonts w:ascii="宋体" w:hAnsi="宋体" w:hint="eastAsia"/>
                      <w:b/>
                      <w:sz w:val="24"/>
                    </w:rPr>
                    <w:t>高知性人文生活环境，升值空间不可估量</w:t>
                  </w:r>
                </w:p>
                <w:p>
                  <w:pPr>
                    <w:spacing w:line="500" w:lineRule="auto"/>
                    <w:rPr>
                      <w:rFonts w:ascii="宋体" w:hAnsi="宋体" w:hint="eastAsia"/>
                      <w:b/>
                      <w:sz w:val="24"/>
                    </w:rPr>
                  </w:pPr>
                  <w:r>
                    <w:rPr>
                      <w:rFonts w:ascii="宋体" w:hAnsi="宋体" w:hint="eastAsia"/>
                      <w:b/>
                      <w:sz w:val="24"/>
                    </w:rPr>
                    <w:t>四通八达中环线成型提供最畅捷交通；</w:t>
                  </w:r>
                </w:p>
                <w:p>
                  <w:pPr>
                    <w:spacing w:line="500" w:lineRule="auto"/>
                    <w:rPr>
                      <w:rFonts w:ascii="宋体" w:hAnsi="宋体" w:hint="eastAsia"/>
                      <w:b/>
                      <w:sz w:val="24"/>
                    </w:rPr>
                  </w:pPr>
                  <w:r>
                    <w:rPr>
                      <w:rFonts w:ascii="宋体" w:hAnsi="宋体" w:hint="eastAsia"/>
                      <w:b/>
                      <w:sz w:val="24"/>
                    </w:rPr>
                    <w:t>近距离接近工作地，方便省心更舒适</w:t>
                  </w:r>
                </w:p>
                <w:p>
                  <w:pPr>
                    <w:spacing w:line="500" w:lineRule="auto"/>
                    <w:rPr>
                      <w:rFonts w:ascii="宋体" w:hAnsi="宋体" w:hint="eastAsia"/>
                      <w:b/>
                      <w:sz w:val="24"/>
                    </w:rPr>
                  </w:pPr>
                  <w:r>
                    <w:rPr>
                      <w:rFonts w:ascii="宋体" w:hAnsi="宋体" w:hint="eastAsia"/>
                      <w:b/>
                      <w:sz w:val="24"/>
                    </w:rPr>
                    <w:t>美轮美奂内景设计与外景规划提高居住美感与荣耀感；</w:t>
                  </w:r>
                </w:p>
                <w:p>
                  <w:pPr>
                    <w:spacing w:line="500" w:lineRule="auto"/>
                    <w:rPr>
                      <w:rFonts w:ascii="宋体" w:hAnsi="宋体" w:hint="eastAsia"/>
                      <w:b/>
                      <w:sz w:val="24"/>
                    </w:rPr>
                  </w:pPr>
                  <w:r>
                    <w:rPr>
                      <w:rFonts w:ascii="宋体" w:hAnsi="宋体" w:hint="eastAsia"/>
                      <w:b/>
                      <w:sz w:val="24"/>
                    </w:rPr>
                    <w:t>欧式小镇生活情调主打，让居住与格调生活零距离；</w:t>
                  </w:r>
                </w:p>
                <w:p>
                  <w:pPr>
                    <w:spacing w:line="500" w:lineRule="auto"/>
                    <w:rPr>
                      <w:rFonts w:ascii="宋体" w:hAnsi="宋体" w:hint="eastAsia"/>
                      <w:b/>
                      <w:sz w:val="24"/>
                    </w:rPr>
                  </w:pPr>
                  <w:r>
                    <w:rPr>
                      <w:rFonts w:ascii="宋体" w:hAnsi="宋体" w:hint="eastAsia"/>
                      <w:b/>
                      <w:sz w:val="24"/>
                    </w:rPr>
                    <w:t>社区完美配套，足不出户满足生活各种所需</w:t>
                  </w:r>
                </w:p>
                <w:p>
                  <w:pPr>
                    <w:spacing w:line="500" w:lineRule="auto"/>
                    <w:rPr>
                      <w:rFonts w:ascii="宋体" w:hAnsi="宋体" w:hint="eastAsia"/>
                      <w:b/>
                      <w:sz w:val="24"/>
                    </w:rPr>
                  </w:pPr>
                  <w:r>
                    <w:rPr>
                      <w:rFonts w:ascii="宋体" w:hAnsi="宋体" w:hint="eastAsia"/>
                      <w:b/>
                      <w:sz w:val="24"/>
                    </w:rPr>
                    <w:t>丰富选择中意户型舒适居住</w:t>
                  </w:r>
                </w:p>
                <w:p>
                  <w:pPr>
                    <w:spacing w:line="500" w:lineRule="auto"/>
                    <w:rPr>
                      <w:rFonts w:ascii="宋体" w:hAnsi="宋体" w:hint="eastAsia"/>
                      <w:b/>
                      <w:sz w:val="24"/>
                    </w:rPr>
                  </w:pPr>
                  <w:r>
                    <w:rPr>
                      <w:rFonts w:ascii="宋体" w:hAnsi="宋体" w:hint="eastAsia"/>
                      <w:b/>
                      <w:sz w:val="24"/>
                    </w:rPr>
                    <w:t>体贴到家，让居住更享舒适</w:t>
                  </w:r>
                </w:p>
                <w:p>
                  <w:pPr>
                    <w:spacing w:line="500" w:lineRule="auto"/>
                    <w:rPr>
                      <w:rFonts w:ascii="宋体" w:hAnsi="宋体" w:hint="eastAsia"/>
                      <w:b/>
                      <w:sz w:val="24"/>
                    </w:rPr>
                  </w:pPr>
                  <w:r>
                    <w:rPr>
                      <w:rFonts w:ascii="宋体" w:hAnsi="宋体" w:hint="eastAsia"/>
                      <w:b/>
                      <w:sz w:val="24"/>
                    </w:rPr>
                    <w:t>科技创新品质保证，专家物业让居家生活充满幸福；</w:t>
                  </w:r>
                </w:p>
                <w:p>
                  <w:pPr>
                    <w:spacing w:line="500" w:lineRule="auto"/>
                    <w:rPr>
                      <w:b/>
                      <w:sz w:val="24"/>
                    </w:rPr>
                  </w:pPr>
                  <w:r>
                    <w:rPr>
                      <w:rFonts w:ascii="宋体" w:hAnsi="宋体" w:hint="eastAsia"/>
                      <w:b/>
                      <w:sz w:val="24"/>
                    </w:rPr>
                    <w:t>专注品质建筑，为居住提供品牌保证；</w:t>
                  </w:r>
                </w:p>
              </w:txbxContent>
            </v:textbox>
          </v:rect>
        </w:pict>
      </w:r>
      <w:r>
        <w:rPr>
          <w:rFonts w:ascii="宋体" w:hAnsi="宋体" w:hint="eastAsia"/>
          <w:b/>
          <w:bCs/>
          <w:color w:val="FF0000"/>
          <w:sz w:val="24"/>
        </w:rPr>
        <w:pict>
          <v:rect id="_x0000_s1030" style="width:279pt;height:335.4pt;margin-top:15.6pt;margin-left:9pt;mso-wrap-style:square;position:absolute;z-index:251659264">
            <v:stroke linestyle="single"/>
            <v:shadow on="t" opacity="0.5" offset="6pt,-6pt"/>
            <o:lock v:ext="edit" aspectratio="f"/>
            <v:textbox>
              <w:txbxContent>
                <w:p>
                  <w:pPr>
                    <w:spacing w:line="500" w:lineRule="auto"/>
                    <w:rPr>
                      <w:rFonts w:hint="eastAsia"/>
                      <w:b/>
                      <w:sz w:val="24"/>
                    </w:rPr>
                  </w:pPr>
                  <w:r>
                    <w:rPr>
                      <w:rFonts w:hint="eastAsia"/>
                      <w:b/>
                      <w:sz w:val="24"/>
                    </w:rPr>
                    <w:t>位于光谷核心区域</w:t>
                  </w:r>
                </w:p>
                <w:p>
                  <w:pPr>
                    <w:spacing w:line="500" w:lineRule="auto"/>
                    <w:rPr>
                      <w:rFonts w:hint="eastAsia"/>
                      <w:sz w:val="24"/>
                    </w:rPr>
                  </w:pPr>
                  <w:r>
                    <w:rPr>
                      <w:rFonts w:ascii="宋体" w:hAnsi="宋体" w:hint="eastAsia"/>
                      <w:b/>
                      <w:bCs/>
                      <w:color w:val="000000"/>
                      <w:sz w:val="24"/>
                    </w:rPr>
                    <w:t>中环线成型，交通畅达</w:t>
                  </w:r>
                </w:p>
                <w:p>
                  <w:pPr>
                    <w:spacing w:line="500" w:lineRule="auto"/>
                    <w:rPr>
                      <w:rFonts w:hint="eastAsia"/>
                      <w:b/>
                      <w:sz w:val="24"/>
                    </w:rPr>
                  </w:pPr>
                  <w:r>
                    <w:rPr>
                      <w:rFonts w:hint="eastAsia"/>
                      <w:b/>
                      <w:sz w:val="24"/>
                    </w:rPr>
                    <w:t>科技产业园支撑</w:t>
                  </w:r>
                </w:p>
                <w:p>
                  <w:pPr>
                    <w:spacing w:line="500" w:lineRule="auto"/>
                    <w:rPr>
                      <w:rFonts w:hint="eastAsia"/>
                      <w:b/>
                      <w:sz w:val="24"/>
                    </w:rPr>
                  </w:pPr>
                  <w:r>
                    <w:rPr>
                      <w:rFonts w:hint="eastAsia"/>
                      <w:b/>
                      <w:sz w:val="24"/>
                    </w:rPr>
                    <w:t>匠心制造内部园林景观与外部规划：</w:t>
                  </w:r>
                </w:p>
                <w:p>
                  <w:pPr>
                    <w:spacing w:line="500" w:lineRule="auto"/>
                    <w:rPr>
                      <w:rFonts w:hint="eastAsia"/>
                      <w:b/>
                      <w:sz w:val="24"/>
                    </w:rPr>
                  </w:pPr>
                  <w:r>
                    <w:rPr>
                      <w:rFonts w:hint="eastAsia"/>
                      <w:b/>
                      <w:sz w:val="24"/>
                    </w:rPr>
                    <w:t>片区规划品质高、功能完善</w:t>
                  </w:r>
                </w:p>
                <w:p>
                  <w:pPr>
                    <w:spacing w:line="500" w:lineRule="auto"/>
                    <w:rPr>
                      <w:rFonts w:ascii="宋体" w:hAnsi="宋体" w:hint="eastAsia"/>
                      <w:b/>
                      <w:bCs/>
                      <w:color w:val="000000"/>
                      <w:sz w:val="24"/>
                    </w:rPr>
                  </w:pPr>
                  <w:r>
                    <w:rPr>
                      <w:rFonts w:ascii="宋体" w:hAnsi="宋体" w:hint="eastAsia"/>
                      <w:b/>
                      <w:bCs/>
                      <w:color w:val="000000"/>
                      <w:sz w:val="24"/>
                    </w:rPr>
                    <w:t>30万方大社区规模优势</w:t>
                  </w:r>
                </w:p>
                <w:p>
                  <w:pPr>
                    <w:spacing w:line="500" w:lineRule="auto"/>
                    <w:rPr>
                      <w:rFonts w:ascii="宋体" w:hAnsi="宋体" w:hint="eastAsia"/>
                      <w:b/>
                      <w:sz w:val="24"/>
                    </w:rPr>
                  </w:pPr>
                  <w:r>
                    <w:rPr>
                      <w:rFonts w:ascii="宋体" w:hAnsi="宋体" w:cs="宋体" w:hint="eastAsia"/>
                      <w:b/>
                      <w:sz w:val="24"/>
                    </w:rPr>
                    <w:t>物业形态齐备户型</w:t>
                  </w:r>
                  <w:r>
                    <w:rPr>
                      <w:rFonts w:ascii="宋体" w:hAnsi="宋体" w:hint="eastAsia"/>
                      <w:b/>
                      <w:sz w:val="24"/>
                    </w:rPr>
                    <w:t>丰富，符合市场主流需求</w:t>
                  </w:r>
                </w:p>
                <w:p>
                  <w:pPr>
                    <w:spacing w:line="500" w:lineRule="auto"/>
                    <w:rPr>
                      <w:rFonts w:hint="eastAsia"/>
                      <w:sz w:val="24"/>
                    </w:rPr>
                  </w:pPr>
                  <w:r>
                    <w:rPr>
                      <w:rFonts w:hint="eastAsia"/>
                      <w:b/>
                      <w:sz w:val="24"/>
                    </w:rPr>
                    <w:t>完备配套：集中供暖、供冷气、24小时热水</w:t>
                  </w:r>
                </w:p>
                <w:p>
                  <w:pPr>
                    <w:spacing w:line="500" w:lineRule="auto"/>
                    <w:rPr>
                      <w:rFonts w:hint="eastAsia"/>
                      <w:b/>
                      <w:sz w:val="24"/>
                    </w:rPr>
                  </w:pPr>
                  <w:r>
                    <w:rPr>
                      <w:rFonts w:hint="eastAsia"/>
                      <w:b/>
                      <w:sz w:val="24"/>
                    </w:rPr>
                    <w:t>科技建筑</w:t>
                  </w:r>
                </w:p>
                <w:p>
                  <w:pPr>
                    <w:spacing w:line="500" w:lineRule="auto"/>
                    <w:rPr>
                      <w:rFonts w:hint="eastAsia"/>
                      <w:b/>
                      <w:sz w:val="24"/>
                    </w:rPr>
                  </w:pPr>
                  <w:r>
                    <w:rPr>
                      <w:rFonts w:hint="eastAsia"/>
                      <w:b/>
                      <w:sz w:val="24"/>
                    </w:rPr>
                    <w:t>集团品牌优势</w:t>
                  </w:r>
                </w:p>
              </w:txbxContent>
            </v:textbox>
          </v:rect>
        </w:pict>
      </w:r>
    </w:p>
    <w:p>
      <w:pPr>
        <w:spacing w:line="360" w:lineRule="auto"/>
        <w:ind w:firstLine="706" w:firstLineChars="294"/>
        <w:rPr>
          <w:rFonts w:ascii="宋体" w:hAnsi="宋体" w:hint="eastAsia"/>
          <w:b/>
          <w:bCs/>
          <w:color w:val="FF0000"/>
          <w:sz w:val="24"/>
        </w:rPr>
      </w:pPr>
    </w:p>
    <w:p>
      <w:pPr>
        <w:spacing w:line="360" w:lineRule="auto"/>
        <w:ind w:firstLine="706" w:firstLineChars="294"/>
        <w:rPr>
          <w:rFonts w:ascii="宋体" w:hAnsi="宋体" w:hint="eastAsia"/>
          <w:b/>
          <w:bCs/>
          <w:color w:val="FF0000"/>
          <w:sz w:val="24"/>
        </w:rPr>
      </w:pPr>
    </w:p>
    <w:p>
      <w:pPr>
        <w:spacing w:line="360" w:lineRule="auto"/>
        <w:ind w:firstLine="706" w:firstLineChars="294"/>
        <w:rPr>
          <w:rFonts w:ascii="宋体" w:hAnsi="宋体" w:hint="eastAsia"/>
          <w:b/>
          <w:bCs/>
          <w:color w:val="FF0000"/>
          <w:sz w:val="24"/>
        </w:rPr>
      </w:pPr>
    </w:p>
    <w:p>
      <w:pPr>
        <w:spacing w:line="360" w:lineRule="auto"/>
        <w:ind w:firstLine="706" w:firstLineChars="294"/>
        <w:rPr>
          <w:rFonts w:ascii="宋体" w:hAnsi="宋体" w:hint="eastAsia"/>
          <w:b/>
          <w:bCs/>
          <w:color w:val="FF0000"/>
          <w:sz w:val="24"/>
        </w:rPr>
      </w:pPr>
    </w:p>
    <w:p>
      <w:pPr>
        <w:spacing w:line="360" w:lineRule="auto"/>
        <w:ind w:firstLine="706" w:firstLineChars="294"/>
        <w:rPr>
          <w:rFonts w:ascii="宋体" w:hAnsi="宋体" w:hint="eastAsia"/>
          <w:b/>
          <w:bCs/>
          <w:color w:val="FF0000"/>
          <w:sz w:val="24"/>
        </w:rPr>
      </w:pPr>
    </w:p>
    <w:p>
      <w:pPr>
        <w:spacing w:line="360" w:lineRule="auto"/>
        <w:ind w:firstLine="706" w:firstLineChars="294"/>
        <w:rPr>
          <w:rFonts w:ascii="宋体" w:hAnsi="宋体" w:hint="eastAsia"/>
          <w:b/>
          <w:bCs/>
          <w:color w:val="FF0000"/>
          <w:sz w:val="24"/>
        </w:rPr>
      </w:pPr>
    </w:p>
    <w:p>
      <w:pPr>
        <w:spacing w:line="360" w:lineRule="auto"/>
        <w:ind w:firstLine="706" w:firstLineChars="294"/>
        <w:rPr>
          <w:rFonts w:ascii="宋体" w:hAnsi="宋体" w:hint="eastAsia"/>
          <w:b/>
          <w:bCs/>
          <w:color w:val="FF0000"/>
          <w:sz w:val="24"/>
        </w:rPr>
        <w:sectPr>
          <w:type w:val="nextPage"/>
          <w:pgSz w:w="16838" w:h="11906" w:orient="landscape"/>
          <w:pgMar w:top="1797" w:right="1440" w:bottom="1701" w:left="1440" w:header="851" w:footer="992" w:gutter="0"/>
          <w:pgNumType w:fmt="decimal" w:start="32"/>
          <w:cols w:space="708"/>
          <w:titlePg w:val="0"/>
          <w:docGrid w:type="lines" w:linePitch="312"/>
        </w:sectPr>
      </w:pPr>
    </w:p>
    <w:p>
      <w:pPr>
        <w:spacing w:line="360" w:lineRule="auto"/>
        <w:ind w:firstLine="706" w:firstLineChars="294"/>
        <w:rPr>
          <w:rFonts w:ascii="宋体" w:hAnsi="宋体" w:hint="eastAsia"/>
          <w:b/>
          <w:bCs/>
          <w:color w:val="FF0000"/>
          <w:sz w:val="24"/>
        </w:rPr>
      </w:pPr>
      <w:r>
        <w:rPr>
          <w:rFonts w:ascii="宋体" w:hAnsi="宋体" w:hint="eastAsia"/>
          <w:b/>
          <w:bCs/>
          <w:color w:val="FF0000"/>
          <w:sz w:val="24"/>
        </w:rPr>
        <w:pict>
          <v:line id="_x0000_s1031" style="mso-wrap-style:square;position:absolute;z-index:251661312" from="297pt,0" to="387pt,0" stroked="t" strokecolor="red" strokeweight="13.5pt">
            <v:stroke linestyle="single" endarrow="block"/>
            <o:lock v:ext="edit" aspectratio="f"/>
          </v:line>
        </w:pict>
      </w:r>
    </w:p>
    <w:p>
      <w:pPr>
        <w:pStyle w:val="Heading1"/>
        <w:numPr>
          <w:ilvl w:val="0"/>
          <w:numId w:val="0"/>
        </w:numPr>
        <w:spacing w:line="500" w:lineRule="auto"/>
        <w:jc w:val="both"/>
        <w:rPr>
          <w:rFonts w:ascii="宋体" w:eastAsia="宋体" w:hAnsi="宋体" w:hint="eastAsia"/>
          <w:color w:val="auto"/>
          <w:sz w:val="24"/>
          <w:szCs w:val="24"/>
        </w:rPr>
      </w:pPr>
      <w:bookmarkStart w:id="38" w:name="_Toc183311190"/>
      <w:r>
        <w:rPr>
          <w:rFonts w:ascii="宋体" w:eastAsia="宋体" w:hAnsi="宋体" w:hint="eastAsia"/>
          <w:color w:val="auto"/>
          <w:sz w:val="24"/>
          <w:szCs w:val="24"/>
        </w:rPr>
        <w:t>第三章 项目定位</w:t>
      </w:r>
      <w:bookmarkEnd w:id="38"/>
    </w:p>
    <w:p>
      <w:pPr>
        <w:pStyle w:val="Heading2"/>
        <w:spacing w:before="0" w:beforeLines="0" w:after="0" w:afterLines="0" w:line="500" w:lineRule="auto"/>
        <w:ind w:left="0"/>
        <w:rPr>
          <w:rFonts w:ascii="宋体" w:eastAsia="宋体" w:hAnsi="宋体" w:hint="eastAsia"/>
          <w:color w:val="000000"/>
          <w:sz w:val="24"/>
          <w:szCs w:val="24"/>
        </w:rPr>
      </w:pPr>
      <w:bookmarkStart w:id="39" w:name="_Toc183311191"/>
      <w:r>
        <w:rPr>
          <w:rFonts w:ascii="宋体" w:eastAsia="宋体" w:hAnsi="宋体" w:hint="eastAsia"/>
          <w:bCs w:val="0"/>
          <w:color w:val="000000"/>
          <w:sz w:val="24"/>
          <w:szCs w:val="24"/>
        </w:rPr>
        <w:t>一、客群定位</w:t>
      </w:r>
      <w:bookmarkEnd w:id="39"/>
    </w:p>
    <w:p>
      <w:pPr>
        <w:widowControl/>
        <w:tabs>
          <w:tab w:val="left" w:pos="1260"/>
        </w:tabs>
        <w:spacing w:line="500" w:lineRule="auto"/>
        <w:ind w:firstLine="941" w:firstLineChars="392"/>
        <w:rPr>
          <w:rFonts w:ascii="宋体" w:hAnsi="宋体" w:hint="eastAsia"/>
          <w:b/>
          <w:bCs/>
          <w:color w:val="000000"/>
          <w:sz w:val="24"/>
        </w:rPr>
      </w:pPr>
      <w:r>
        <w:rPr>
          <w:rFonts w:ascii="宋体" w:hAnsi="宋体" w:hint="eastAsia"/>
          <w:b/>
          <w:bCs/>
          <w:color w:val="000000"/>
          <w:sz w:val="24"/>
        </w:rPr>
        <w:pict>
          <v:group id="_x0000_s1032" style="width:414pt;height:249.6pt;margin-top:15.6pt;margin-left:2in;position:absolute;z-index:251660288" coordorigin="0,0" coordsize="4300,2592">
            <v:shape id="_x0000_s1033" type="#_x0000_t75" style="width:4300;height:2592;mso-wrap-style:square;position:absolute" o:preferrelative="f" filled="f" stroked="f">
              <v:fill o:detectmouseclick="t"/>
              <v:path o:extrusionok="f"/>
              <o:lock v:ext="edit" aspectratio="t" text="t"/>
            </v:shape>
            <v:oval id="_x0000_s1034" style="width:1683;height:1539;left:1122;mso-wrap-style:square;position:absolute;top:405;v-text-anchor:middle" filled="t" fillcolor="white" stroked="t" strokecolor="#545472" strokeweight="1.5pt">
              <v:stroke linestyle="single"/>
              <v:shadow color="#9797b7"/>
              <o:lock v:ext="edit" aspectratio="f"/>
              <v:textbox>
                <w:txbxContent>
                  <w:p>
                    <w:pPr>
                      <w:autoSpaceDE w:val="0"/>
                      <w:autoSpaceDN w:val="0"/>
                      <w:adjustRightInd w:val="0"/>
                      <w:spacing w:line="500" w:lineRule="auto"/>
                      <w:jc w:val="center"/>
                      <w:rPr>
                        <w:rFonts w:cs="宋体"/>
                        <w:b/>
                        <w:bCs/>
                        <w:color w:val="FF0000"/>
                        <w:szCs w:val="21"/>
                        <w:lang w:val="zh-CN"/>
                      </w:rPr>
                    </w:pPr>
                    <w:r>
                      <w:rPr>
                        <w:b/>
                        <w:bCs/>
                        <w:color w:val="FF0000"/>
                        <w:szCs w:val="21"/>
                        <w:lang w:val="zh-CN"/>
                      </w:rPr>
                      <w:t>23-</w:t>
                    </w:r>
                    <w:r>
                      <w:rPr>
                        <w:rFonts w:hint="eastAsia"/>
                        <w:b/>
                        <w:bCs/>
                        <w:color w:val="FF0000"/>
                        <w:szCs w:val="21"/>
                        <w:lang w:val="zh-CN"/>
                      </w:rPr>
                      <w:t>38</w:t>
                    </w:r>
                    <w:r>
                      <w:rPr>
                        <w:rFonts w:cs="宋体" w:hint="eastAsia"/>
                        <w:b/>
                        <w:bCs/>
                        <w:color w:val="FF0000"/>
                        <w:szCs w:val="21"/>
                        <w:lang w:val="zh-CN"/>
                      </w:rPr>
                      <w:t>岁科技园内白领</w:t>
                    </w:r>
                  </w:p>
                  <w:p>
                    <w:pPr>
                      <w:autoSpaceDE w:val="0"/>
                      <w:autoSpaceDN w:val="0"/>
                      <w:adjustRightInd w:val="0"/>
                      <w:spacing w:line="500" w:lineRule="auto"/>
                      <w:jc w:val="center"/>
                      <w:rPr>
                        <w:rFonts w:cs="宋体" w:hint="eastAsia"/>
                        <w:color w:val="545472"/>
                        <w:szCs w:val="21"/>
                        <w:lang w:val="zh-CN"/>
                      </w:rPr>
                    </w:pPr>
                    <w:r>
                      <w:rPr>
                        <w:rFonts w:cs="宋体" w:hint="eastAsia"/>
                        <w:color w:val="545472"/>
                        <w:szCs w:val="21"/>
                        <w:lang w:val="zh-CN"/>
                      </w:rPr>
                      <w:t>高新区公司职工</w:t>
                    </w:r>
                  </w:p>
                  <w:p>
                    <w:pPr>
                      <w:autoSpaceDE w:val="0"/>
                      <w:autoSpaceDN w:val="0"/>
                      <w:adjustRightInd w:val="0"/>
                      <w:spacing w:line="500" w:lineRule="auto"/>
                      <w:jc w:val="center"/>
                      <w:rPr>
                        <w:rFonts w:cs="宋体" w:hint="eastAsia"/>
                        <w:color w:val="545472"/>
                        <w:szCs w:val="21"/>
                        <w:lang w:val="zh-CN"/>
                      </w:rPr>
                    </w:pPr>
                    <w:r>
                      <w:rPr>
                        <w:rFonts w:cs="宋体" w:hint="eastAsia"/>
                        <w:color w:val="545472"/>
                        <w:szCs w:val="21"/>
                        <w:lang w:val="zh-CN"/>
                      </w:rPr>
                      <w:t>中高层管理人员</w:t>
                    </w:r>
                  </w:p>
                  <w:p>
                    <w:pPr>
                      <w:autoSpaceDE w:val="0"/>
                      <w:autoSpaceDN w:val="0"/>
                      <w:adjustRightInd w:val="0"/>
                      <w:spacing w:line="500" w:lineRule="auto"/>
                      <w:jc w:val="center"/>
                      <w:rPr>
                        <w:rFonts w:cs="宋体"/>
                        <w:color w:val="545472"/>
                        <w:sz w:val="24"/>
                        <w:lang w:val="zh-CN"/>
                      </w:rPr>
                    </w:pPr>
                    <w:r>
                      <w:rPr>
                        <w:rFonts w:cs="宋体" w:hint="eastAsia"/>
                        <w:color w:val="545472"/>
                        <w:szCs w:val="21"/>
                        <w:lang w:val="zh-CN"/>
                      </w:rPr>
                      <w:t>关联行业从业者</w:t>
                    </w:r>
                  </w:p>
                </w:txbxContent>
              </v:textbox>
            </v:oval>
            <v:oval id="_x0000_s1035" style="width:748;height:729;left:3179;mso-wrap-style:square;position:absolute;top:162;v-text-anchor:middle" filled="t" fillcolor="white" stroked="t" strokecolor="#545472" strokeweight="1.5pt">
              <v:stroke linestyle="single"/>
              <v:shadow color="#9797b7"/>
              <o:lock v:ext="edit" aspectratio="f"/>
              <v:textbox>
                <w:txbxContent>
                  <w:p>
                    <w:pPr>
                      <w:autoSpaceDE w:val="0"/>
                      <w:autoSpaceDN w:val="0"/>
                      <w:adjustRightInd w:val="0"/>
                      <w:spacing w:line="500" w:lineRule="auto"/>
                      <w:jc w:val="center"/>
                      <w:rPr>
                        <w:rFonts w:cs="宋体" w:hint="eastAsia"/>
                        <w:b/>
                        <w:bCs/>
                        <w:color w:val="FF0000"/>
                        <w:sz w:val="24"/>
                        <w:lang w:val="zh-CN"/>
                      </w:rPr>
                    </w:pPr>
                    <w:r>
                      <w:rPr>
                        <w:rFonts w:cs="宋体" w:hint="eastAsia"/>
                        <w:b/>
                        <w:bCs/>
                        <w:color w:val="FF0000"/>
                        <w:sz w:val="24"/>
                        <w:lang w:val="zh-CN"/>
                      </w:rPr>
                      <w:t>城市新移民</w:t>
                    </w:r>
                  </w:p>
                </w:txbxContent>
              </v:textbox>
            </v:oval>
            <v:oval id="_x0000_s1036" style="width:840;height:648;left:3273;mso-wrap-style:square;position:absolute;top:1458;v-text-anchor:middle" filled="t" fillcolor="white" stroked="t" strokecolor="#545472" strokeweight="1.5pt">
              <v:stroke linestyle="single"/>
              <v:shadow color="#9797b7"/>
              <o:lock v:ext="edit" aspectratio="f"/>
              <v:textbox>
                <w:txbxContent>
                  <w:p>
                    <w:pPr>
                      <w:autoSpaceDE w:val="0"/>
                      <w:autoSpaceDN w:val="0"/>
                      <w:adjustRightInd w:val="0"/>
                      <w:spacing w:line="500" w:lineRule="auto"/>
                      <w:jc w:val="center"/>
                      <w:rPr>
                        <w:rFonts w:cs="宋体" w:hint="eastAsia"/>
                        <w:b/>
                        <w:bCs/>
                        <w:color w:val="FF0000"/>
                        <w:sz w:val="24"/>
                        <w:lang w:val="zh-CN"/>
                      </w:rPr>
                    </w:pPr>
                    <w:r>
                      <w:rPr>
                        <w:rFonts w:cs="宋体" w:hint="eastAsia"/>
                        <w:b/>
                        <w:bCs/>
                        <w:color w:val="FF0000"/>
                        <w:sz w:val="24"/>
                        <w:lang w:val="zh-CN"/>
                      </w:rPr>
                      <w:t>私人企事业主</w:t>
                    </w:r>
                  </w:p>
                </w:txbxContent>
              </v:textbox>
            </v:oval>
            <v:line id="_x0000_s1037" style="flip:y;mso-wrap-style:square;position:absolute" from="2711,567" to="3179,797" stroked="t" strokecolor="#545472">
              <v:stroke linestyle="single"/>
              <v:shadow color="#9797b7"/>
              <o:lock v:ext="edit" aspectratio="f"/>
            </v:line>
            <v:line id="_x0000_s1038" style="mso-wrap-style:square;position:absolute" from="2618,1701" to="3272,1782" stroked="t" strokecolor="#545472">
              <v:stroke linestyle="single"/>
              <v:shadow color="#9797b7"/>
              <o:lock v:ext="edit" aspectratio="f"/>
            </v:line>
            <v:rect id="_x0000_s1039" style="width:2060;height:243;left:1028;mso-wrap-style:square;position:absolute;top:1431;v-text-anchor:middle" filled="t" fillcolor="#f90" stroked="t" strokecolor="#545472">
              <v:stroke linestyle="single"/>
              <v:shadow color="#9797b7"/>
              <o:lock v:ext="edit" aspectratio="f"/>
              <v:textbox>
                <w:txbxContent>
                  <w:p>
                    <w:pPr>
                      <w:autoSpaceDE w:val="0"/>
                      <w:autoSpaceDN w:val="0"/>
                      <w:adjustRightInd w:val="0"/>
                      <w:spacing w:line="500" w:lineRule="auto"/>
                      <w:jc w:val="center"/>
                      <w:rPr>
                        <w:rFonts w:cs="宋体"/>
                        <w:b/>
                        <w:bCs/>
                        <w:color w:val="545472"/>
                        <w:szCs w:val="21"/>
                        <w:lang w:val="zh-CN"/>
                      </w:rPr>
                    </w:pPr>
                    <w:r>
                      <w:rPr>
                        <w:rFonts w:cs="宋体" w:hint="eastAsia"/>
                        <w:b/>
                        <w:bCs/>
                        <w:color w:val="545472"/>
                        <w:szCs w:val="21"/>
                        <w:lang w:val="zh-CN"/>
                      </w:rPr>
                      <w:t>自住，多为初次置业，未来可用于投资</w:t>
                    </w:r>
                  </w:p>
                </w:txbxContent>
              </v:textbox>
            </v:rect>
            <v:oval id="_x0000_s1040" style="width:655;height:810;left:187;mso-wrap-style:square;position:absolute;top:1620;v-text-anchor:middle" filled="t" fillcolor="white" stroked="t" strokecolor="#545472" strokeweight="1.5pt">
              <v:stroke linestyle="single"/>
              <v:shadow color="#9797b7"/>
              <o:lock v:ext="edit" aspectratio="f"/>
              <v:textbox>
                <w:txbxContent>
                  <w:p>
                    <w:pPr>
                      <w:autoSpaceDE w:val="0"/>
                      <w:autoSpaceDN w:val="0"/>
                      <w:adjustRightInd w:val="0"/>
                      <w:spacing w:line="500" w:lineRule="auto"/>
                      <w:jc w:val="center"/>
                      <w:rPr>
                        <w:rFonts w:cs="宋体"/>
                        <w:b/>
                        <w:bCs/>
                        <w:color w:val="FF0000"/>
                        <w:sz w:val="24"/>
                        <w:lang w:val="zh-CN"/>
                      </w:rPr>
                    </w:pPr>
                    <w:r>
                      <w:rPr>
                        <w:rFonts w:cs="宋体" w:hint="eastAsia"/>
                        <w:b/>
                        <w:bCs/>
                        <w:color w:val="FF0000"/>
                        <w:sz w:val="24"/>
                        <w:lang w:val="zh-CN"/>
                      </w:rPr>
                      <w:t>本地先富村民</w:t>
                    </w:r>
                  </w:p>
                </w:txbxContent>
              </v:textbox>
            </v:oval>
            <v:oval id="_x0000_s1041" style="width:655;height:810;left:280;mso-wrap-style:square;position:absolute;top:324;v-text-anchor:middle" filled="t" fillcolor="white" stroked="t" strokecolor="#545472" strokeweight="1.5pt">
              <v:stroke linestyle="single"/>
              <v:shadow color="#9797b7"/>
              <o:lock v:ext="edit" aspectratio="f"/>
              <v:textbox>
                <w:txbxContent>
                  <w:p>
                    <w:pPr>
                      <w:autoSpaceDE w:val="0"/>
                      <w:autoSpaceDN w:val="0"/>
                      <w:adjustRightInd w:val="0"/>
                      <w:spacing w:line="500" w:lineRule="auto"/>
                      <w:jc w:val="center"/>
                      <w:rPr>
                        <w:rFonts w:cs="宋体"/>
                        <w:b/>
                        <w:bCs/>
                        <w:color w:val="FF0000"/>
                        <w:sz w:val="24"/>
                        <w:lang w:val="zh-CN"/>
                      </w:rPr>
                    </w:pPr>
                    <w:r>
                      <w:rPr>
                        <w:rFonts w:cs="宋体" w:hint="eastAsia"/>
                        <w:b/>
                        <w:bCs/>
                        <w:color w:val="FF0000"/>
                        <w:sz w:val="24"/>
                        <w:lang w:val="zh-CN"/>
                      </w:rPr>
                      <w:t>高校教职工</w:t>
                    </w:r>
                  </w:p>
                </w:txbxContent>
              </v:textbox>
            </v:oval>
            <v:line id="_x0000_s1042" style="flip:y;mso-wrap-style:square;position:absolute" from="748,1674" to="1028,1755">
              <v:stroke linestyle="single"/>
              <o:lock v:ext="edit" aspectratio="f"/>
            </v:line>
            <v:line id="_x0000_s1043" style="mso-wrap-style:square;position:absolute" from="935,648" to="1216,810">
              <v:stroke linestyle="single"/>
              <o:lock v:ext="edit" aspectratio="f"/>
            </v:line>
            <v:line id="_x0000_s1044" style="mso-wrap-style:square;position:absolute" from="841,1998" to="1215,2133">
              <v:stroke linestyle="single" endarrow="block"/>
              <o:lock v:ext="edit" aspectratio="f"/>
            </v:line>
            <v:line id="_x0000_s1045" style="flip:x;mso-wrap-style:square;position:absolute" from="2992,1917" to="3365,2079">
              <v:stroke linestyle="single" endarrow="block"/>
              <o:lock v:ext="edit" aspectratio="f"/>
            </v:line>
            <v:shapetype id="_x0000_t202" coordsize="21600,21600" o:spt="202" path="m,l,21600r21600,l21600,xe">
              <v:stroke joinstyle="miter"/>
              <v:path gradientshapeok="t" o:connecttype="rect"/>
            </v:shapetype>
            <v:shape id="_x0000_s1046" type="#_x0000_t202" style="width:1778;height:405;left:1215;mso-wrap-style:square;position:absolute;top:1917" filled="t" fillcolor="#f90">
              <v:stroke linestyle="single"/>
              <o:lock v:ext="edit" aspectratio="f"/>
              <v:textbox>
                <w:txbxContent>
                  <w:p>
                    <w:pPr>
                      <w:spacing w:line="500" w:lineRule="auto"/>
                      <w:ind w:left="840" w:hanging="840" w:hangingChars="400"/>
                      <w:rPr>
                        <w:rFonts w:hint="eastAsia"/>
                      </w:rPr>
                    </w:pPr>
                    <w:r>
                      <w:rPr>
                        <w:rFonts w:hint="eastAsia"/>
                      </w:rPr>
                      <w:t>二次置业，改善生活品质       以及投资需求</w:t>
                    </w:r>
                  </w:p>
                </w:txbxContent>
              </v:textbox>
            </v:shape>
            <v:line id="_x0000_s1047" style="mso-wrap-style:square;position:absolute" from="561,1134" to="561,1620">
              <v:stroke linestyle="single"/>
              <o:lock v:ext="edit" aspectratio="f"/>
            </v:line>
            <v:line id="_x0000_s1048" style="mso-wrap-style:square;position:absolute" from="3646,891" to="3646,1458">
              <v:stroke linestyle="single"/>
              <o:lock v:ext="edit" aspectratio="f"/>
            </v:line>
            <w10:wrap type="square"/>
          </v:group>
        </w:pict>
      </w:r>
      <w:r>
        <w:rPr>
          <w:rFonts w:ascii="宋体" w:hAnsi="宋体" w:hint="eastAsia"/>
          <w:b/>
          <w:bCs/>
          <w:color w:val="000000"/>
          <w:sz w:val="24"/>
        </w:rPr>
        <w:t>（一）客群拟定：</w:t>
      </w:r>
    </w:p>
    <w:p>
      <w:pPr>
        <w:widowControl/>
        <w:tabs>
          <w:tab w:val="left" w:pos="1260"/>
        </w:tabs>
        <w:spacing w:line="360" w:lineRule="auto"/>
        <w:ind w:firstLine="941" w:firstLineChars="392"/>
        <w:rPr>
          <w:rFonts w:ascii="宋体" w:hAnsi="宋体" w:hint="eastAsia"/>
          <w:b/>
          <w:bCs/>
          <w:color w:val="000000"/>
          <w:sz w:val="24"/>
        </w:rPr>
      </w:pPr>
    </w:p>
    <w:p>
      <w:pPr>
        <w:widowControl/>
        <w:tabs>
          <w:tab w:val="left" w:pos="1260"/>
        </w:tabs>
        <w:spacing w:line="360" w:lineRule="auto"/>
        <w:ind w:firstLine="941" w:firstLineChars="392"/>
        <w:rPr>
          <w:rFonts w:ascii="宋体" w:hAnsi="宋体" w:hint="eastAsia"/>
          <w:b/>
          <w:bCs/>
          <w:color w:val="000000"/>
          <w:sz w:val="24"/>
        </w:rPr>
      </w:pPr>
    </w:p>
    <w:p>
      <w:pPr>
        <w:widowControl/>
        <w:tabs>
          <w:tab w:val="left" w:pos="1260"/>
        </w:tabs>
        <w:spacing w:line="360" w:lineRule="auto"/>
        <w:ind w:firstLine="941" w:firstLineChars="392"/>
        <w:rPr>
          <w:rFonts w:ascii="宋体" w:hAnsi="宋体" w:hint="eastAsia"/>
          <w:b/>
          <w:bCs/>
          <w:color w:val="000000"/>
          <w:sz w:val="24"/>
        </w:rPr>
      </w:pPr>
    </w:p>
    <w:p>
      <w:pPr>
        <w:widowControl/>
        <w:tabs>
          <w:tab w:val="left" w:pos="1260"/>
        </w:tabs>
        <w:spacing w:line="360" w:lineRule="auto"/>
        <w:ind w:firstLine="941" w:firstLineChars="392"/>
        <w:rPr>
          <w:rFonts w:ascii="宋体" w:hAnsi="宋体" w:hint="eastAsia"/>
          <w:b/>
          <w:bCs/>
          <w:color w:val="000000"/>
          <w:sz w:val="24"/>
        </w:rPr>
      </w:pPr>
    </w:p>
    <w:p>
      <w:pPr>
        <w:widowControl/>
        <w:tabs>
          <w:tab w:val="left" w:pos="1260"/>
        </w:tabs>
        <w:spacing w:line="360" w:lineRule="auto"/>
        <w:ind w:firstLine="941" w:firstLineChars="392"/>
        <w:rPr>
          <w:rFonts w:ascii="宋体" w:hAnsi="宋体" w:hint="eastAsia"/>
          <w:b/>
          <w:bCs/>
          <w:color w:val="000000"/>
          <w:sz w:val="24"/>
        </w:rPr>
      </w:pPr>
    </w:p>
    <w:p>
      <w:pPr>
        <w:widowControl/>
        <w:tabs>
          <w:tab w:val="left" w:pos="1260"/>
        </w:tabs>
        <w:spacing w:line="360" w:lineRule="auto"/>
        <w:ind w:firstLine="941" w:firstLineChars="392"/>
        <w:rPr>
          <w:rFonts w:ascii="宋体" w:hAnsi="宋体" w:hint="eastAsia"/>
          <w:b/>
          <w:bCs/>
          <w:color w:val="000000"/>
          <w:sz w:val="24"/>
        </w:rPr>
      </w:pPr>
    </w:p>
    <w:p>
      <w:pPr>
        <w:widowControl/>
        <w:tabs>
          <w:tab w:val="left" w:pos="1260"/>
        </w:tabs>
        <w:spacing w:line="360" w:lineRule="auto"/>
        <w:ind w:firstLine="941" w:firstLineChars="392"/>
        <w:rPr>
          <w:rFonts w:ascii="宋体" w:hAnsi="宋体" w:hint="eastAsia"/>
          <w:b/>
          <w:bCs/>
          <w:color w:val="00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sectPr>
          <w:type w:val="nextPage"/>
          <w:pgSz w:w="16838" w:h="11906" w:orient="landscape"/>
          <w:pgMar w:top="1797" w:right="1440" w:bottom="1701" w:left="1440" w:header="851" w:footer="992" w:gutter="0"/>
          <w:pgNumType w:fmt="decimal" w:start="33"/>
          <w:cols w:space="708"/>
          <w:titlePg w:val="0"/>
          <w:docGrid w:type="lines" w:linePitch="312"/>
        </w:sect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r>
        <w:rPr>
          <w:rFonts w:ascii="宋体" w:hAnsi="宋体" w:hint="eastAsia"/>
          <w:b/>
          <w:bCs/>
          <w:color w:val="FF0000"/>
          <w:sz w:val="24"/>
        </w:rPr>
        <w:pict>
          <v:group id="_x0000_s1049" style="width:432.05pt;height:257.4pt;margin-top:-163.8pt;margin-left:60.65pt;mso-position-horizontal-relative:char;mso-position-vertical-relative:line;position:absolute;z-index:251662336" coordorigin="0,0" coordsize="4488,2673">
            <v:shape id="_x0000_s1050" type="#_x0000_t75" style="width:4488;height:2673;mso-wrap-style:square;position:absolute" o:preferrelative="f" filled="f" stroked="f">
              <v:fill o:detectmouseclick="t"/>
              <v:path o:extrusionok="f"/>
              <o:lock v:ext="edit" aspectratio="t" text="t"/>
            </v:shape>
            <v:shape id="_x0000_s1051" type="#_x0000_t202" style="width:2151;height:1215;left:2244;mso-wrap-style:square;position:absolute" filled="t" fillcolor="silver">
              <v:stroke linestyle="single"/>
              <o:lock v:ext="edit" aspectratio="f"/>
              <v:textbox>
                <w:txbxContent>
                  <w:p>
                    <w:pPr>
                      <w:spacing w:line="500" w:lineRule="auto"/>
                      <w:rPr>
                        <w:rFonts w:hint="eastAsia"/>
                        <w:b/>
                        <w:szCs w:val="21"/>
                      </w:rPr>
                    </w:pPr>
                    <w:r>
                      <w:rPr>
                        <w:rFonts w:hint="eastAsia"/>
                        <w:b/>
                        <w:szCs w:val="21"/>
                      </w:rPr>
                      <w:t>爱好爱好：</w:t>
                    </w:r>
                  </w:p>
                  <w:p>
                    <w:pPr>
                      <w:spacing w:line="500" w:lineRule="auto"/>
                      <w:rPr>
                        <w:rFonts w:hint="eastAsia"/>
                        <w:b/>
                        <w:bCs/>
                        <w:szCs w:val="21"/>
                      </w:rPr>
                    </w:pPr>
                    <w:r>
                      <w:rPr>
                        <w:rFonts w:hint="eastAsia"/>
                        <w:b/>
                        <w:bCs/>
                        <w:szCs w:val="21"/>
                      </w:rPr>
                      <w:t>◆</w:t>
                    </w:r>
                    <w:r>
                      <w:rPr>
                        <w:rFonts w:hint="eastAsia"/>
                        <w:b/>
                        <w:bCs/>
                        <w:szCs w:val="21"/>
                      </w:rPr>
                      <w:t xml:space="preserve">旅游        </w:t>
                    </w:r>
                    <w:r>
                      <w:rPr>
                        <w:rFonts w:hint="eastAsia"/>
                        <w:b/>
                        <w:bCs/>
                        <w:szCs w:val="21"/>
                      </w:rPr>
                      <w:t>◆</w:t>
                    </w:r>
                    <w:r>
                      <w:rPr>
                        <w:rFonts w:hint="eastAsia"/>
                        <w:b/>
                        <w:bCs/>
                        <w:szCs w:val="21"/>
                      </w:rPr>
                      <w:t>泡吧</w:t>
                    </w:r>
                  </w:p>
                  <w:p>
                    <w:pPr>
                      <w:spacing w:line="500" w:lineRule="auto"/>
                      <w:rPr>
                        <w:b/>
                        <w:bCs/>
                        <w:szCs w:val="21"/>
                      </w:rPr>
                    </w:pPr>
                    <w:r>
                      <w:rPr>
                        <w:rFonts w:hint="eastAsia"/>
                        <w:b/>
                        <w:bCs/>
                        <w:szCs w:val="21"/>
                      </w:rPr>
                      <w:t>◆</w:t>
                    </w:r>
                    <w:r>
                      <w:rPr>
                        <w:b/>
                        <w:bCs/>
                        <w:szCs w:val="21"/>
                      </w:rPr>
                      <w:t>SHOPPING</w:t>
                    </w:r>
                    <w:r>
                      <w:rPr>
                        <w:rFonts w:hint="eastAsia"/>
                        <w:b/>
                        <w:bCs/>
                        <w:szCs w:val="21"/>
                      </w:rPr>
                      <w:t xml:space="preserve">  </w:t>
                    </w:r>
                    <w:r>
                      <w:rPr>
                        <w:rFonts w:hint="eastAsia"/>
                        <w:b/>
                        <w:bCs/>
                        <w:szCs w:val="21"/>
                      </w:rPr>
                      <w:t>◆</w:t>
                    </w:r>
                    <w:r>
                      <w:rPr>
                        <w:rFonts w:hint="eastAsia"/>
                        <w:b/>
                        <w:bCs/>
                        <w:szCs w:val="21"/>
                      </w:rPr>
                      <w:t>速食</w:t>
                    </w:r>
                    <w:r>
                      <w:rPr>
                        <w:b/>
                        <w:bCs/>
                        <w:szCs w:val="21"/>
                      </w:rPr>
                      <w:t>/</w:t>
                    </w:r>
                    <w:r>
                      <w:rPr>
                        <w:rFonts w:hint="eastAsia"/>
                        <w:b/>
                        <w:bCs/>
                        <w:szCs w:val="21"/>
                      </w:rPr>
                      <w:t>素食</w:t>
                    </w:r>
                    <w:r>
                      <w:rPr>
                        <w:b/>
                        <w:bCs/>
                        <w:szCs w:val="21"/>
                      </w:rPr>
                      <w:t>/</w:t>
                    </w:r>
                    <w:r>
                      <w:rPr>
                        <w:rFonts w:hint="eastAsia"/>
                        <w:b/>
                        <w:bCs/>
                        <w:szCs w:val="21"/>
                      </w:rPr>
                      <w:t>西餐</w:t>
                    </w:r>
                    <w:r>
                      <w:rPr>
                        <w:b/>
                        <w:bCs/>
                        <w:szCs w:val="21"/>
                      </w:rPr>
                      <w:t>/</w:t>
                    </w:r>
                    <w:r>
                      <w:rPr>
                        <w:rFonts w:hint="eastAsia"/>
                        <w:b/>
                        <w:bCs/>
                        <w:szCs w:val="21"/>
                      </w:rPr>
                      <w:t>咖啡</w:t>
                    </w:r>
                  </w:p>
                  <w:p>
                    <w:pPr>
                      <w:spacing w:line="500" w:lineRule="auto"/>
                      <w:rPr>
                        <w:rFonts w:hint="eastAsia"/>
                        <w:b/>
                        <w:bCs/>
                        <w:szCs w:val="21"/>
                      </w:rPr>
                    </w:pPr>
                    <w:r>
                      <w:rPr>
                        <w:rFonts w:hint="eastAsia"/>
                        <w:b/>
                        <w:bCs/>
                        <w:szCs w:val="21"/>
                      </w:rPr>
                      <w:t>◆</w:t>
                    </w:r>
                    <w:r>
                      <w:rPr>
                        <w:rFonts w:hint="eastAsia"/>
                        <w:b/>
                        <w:bCs/>
                        <w:szCs w:val="21"/>
                      </w:rPr>
                      <w:t xml:space="preserve">上网        </w:t>
                    </w:r>
                    <w:r>
                      <w:rPr>
                        <w:rFonts w:hint="eastAsia"/>
                        <w:b/>
                        <w:bCs/>
                        <w:szCs w:val="21"/>
                      </w:rPr>
                      <w:t>◆</w:t>
                    </w:r>
                    <w:r>
                      <w:rPr>
                        <w:rFonts w:hint="eastAsia"/>
                        <w:b/>
                        <w:bCs/>
                        <w:szCs w:val="21"/>
                      </w:rPr>
                      <w:t>户外运动</w:t>
                    </w:r>
                  </w:p>
                  <w:p>
                    <w:pPr>
                      <w:spacing w:line="500" w:lineRule="auto"/>
                      <w:rPr>
                        <w:rFonts w:hint="eastAsia"/>
                        <w:b/>
                        <w:bCs/>
                        <w:szCs w:val="21"/>
                      </w:rPr>
                    </w:pPr>
                    <w:r>
                      <w:rPr>
                        <w:rFonts w:hint="eastAsia"/>
                        <w:b/>
                        <w:bCs/>
                        <w:szCs w:val="21"/>
                      </w:rPr>
                      <w:t>◆</w:t>
                    </w:r>
                    <w:r>
                      <w:rPr>
                        <w:b/>
                        <w:bCs/>
                        <w:szCs w:val="21"/>
                      </w:rPr>
                      <w:t>DIY</w:t>
                    </w:r>
                    <w:r>
                      <w:rPr>
                        <w:rFonts w:hint="eastAsia"/>
                        <w:b/>
                        <w:bCs/>
                        <w:szCs w:val="21"/>
                      </w:rPr>
                      <w:t xml:space="preserve">         </w:t>
                    </w:r>
                    <w:r>
                      <w:rPr>
                        <w:rFonts w:hint="eastAsia"/>
                        <w:b/>
                        <w:bCs/>
                        <w:szCs w:val="21"/>
                      </w:rPr>
                      <w:t>◆</w:t>
                    </w:r>
                    <w:r>
                      <w:rPr>
                        <w:rFonts w:hint="eastAsia"/>
                        <w:b/>
                        <w:bCs/>
                        <w:szCs w:val="21"/>
                      </w:rPr>
                      <w:t>朋友欢聚</w:t>
                    </w:r>
                  </w:p>
                </w:txbxContent>
              </v:textbox>
            </v:shape>
            <v:shape id="_x0000_s1052" type="#_x0000_t202" style="width:2151;height:1296;left:2244;mso-wrap-style:square;position:absolute;top:1296" filled="t" fillcolor="#fc0">
              <v:stroke linestyle="single"/>
              <o:lock v:ext="edit" aspectratio="f"/>
              <v:textbox>
                <w:txbxContent>
                  <w:p>
                    <w:pPr>
                      <w:spacing w:line="500" w:lineRule="auto"/>
                      <w:rPr>
                        <w:rFonts w:hint="eastAsia"/>
                        <w:b/>
                        <w:szCs w:val="21"/>
                      </w:rPr>
                    </w:pPr>
                    <w:r>
                      <w:rPr>
                        <w:rFonts w:hint="eastAsia"/>
                        <w:b/>
                        <w:szCs w:val="21"/>
                      </w:rPr>
                      <w:t>情感诉求：</w:t>
                    </w:r>
                  </w:p>
                  <w:p>
                    <w:pPr>
                      <w:spacing w:line="500" w:lineRule="auto"/>
                      <w:rPr>
                        <w:rFonts w:hint="eastAsia"/>
                        <w:b/>
                        <w:bCs/>
                        <w:szCs w:val="21"/>
                      </w:rPr>
                    </w:pPr>
                    <w:r>
                      <w:rPr>
                        <w:rFonts w:hint="eastAsia"/>
                        <w:b/>
                        <w:bCs/>
                        <w:szCs w:val="21"/>
                      </w:rPr>
                      <w:t>◆</w:t>
                    </w:r>
                    <w:r>
                      <w:rPr>
                        <w:rFonts w:hint="eastAsia"/>
                        <w:b/>
                        <w:bCs/>
                        <w:szCs w:val="21"/>
                      </w:rPr>
                      <w:t xml:space="preserve">独立         </w:t>
                    </w:r>
                    <w:r>
                      <w:rPr>
                        <w:rFonts w:hint="eastAsia"/>
                        <w:b/>
                        <w:bCs/>
                        <w:szCs w:val="21"/>
                      </w:rPr>
                      <w:t>◆</w:t>
                    </w:r>
                    <w:r>
                      <w:rPr>
                        <w:rFonts w:hint="eastAsia"/>
                        <w:b/>
                        <w:bCs/>
                        <w:szCs w:val="21"/>
                      </w:rPr>
                      <w:t>个性</w:t>
                    </w:r>
                    <w:r>
                      <w:rPr>
                        <w:b/>
                        <w:bCs/>
                        <w:szCs w:val="21"/>
                      </w:rPr>
                      <w:t>/</w:t>
                    </w:r>
                    <w:r>
                      <w:rPr>
                        <w:rFonts w:hint="eastAsia"/>
                        <w:b/>
                        <w:bCs/>
                        <w:szCs w:val="21"/>
                      </w:rPr>
                      <w:t>热爱自由</w:t>
                    </w:r>
                  </w:p>
                  <w:p>
                    <w:pPr>
                      <w:spacing w:line="500" w:lineRule="auto"/>
                      <w:rPr>
                        <w:rFonts w:hint="eastAsia"/>
                        <w:b/>
                        <w:bCs/>
                        <w:szCs w:val="21"/>
                      </w:rPr>
                    </w:pPr>
                    <w:r>
                      <w:rPr>
                        <w:rFonts w:hint="eastAsia"/>
                        <w:b/>
                        <w:bCs/>
                        <w:szCs w:val="21"/>
                      </w:rPr>
                      <w:t>◆</w:t>
                    </w:r>
                    <w:r>
                      <w:rPr>
                        <w:rFonts w:hint="eastAsia"/>
                        <w:b/>
                        <w:bCs/>
                        <w:szCs w:val="21"/>
                      </w:rPr>
                      <w:t xml:space="preserve">崇尚简约     </w:t>
                    </w:r>
                    <w:r>
                      <w:rPr>
                        <w:rFonts w:hint="eastAsia"/>
                        <w:b/>
                        <w:bCs/>
                        <w:szCs w:val="21"/>
                      </w:rPr>
                      <w:t>◆</w:t>
                    </w:r>
                    <w:r>
                      <w:rPr>
                        <w:rFonts w:hint="eastAsia"/>
                        <w:b/>
                        <w:bCs/>
                        <w:szCs w:val="21"/>
                      </w:rPr>
                      <w:t>文化</w:t>
                    </w:r>
                  </w:p>
                  <w:p>
                    <w:pPr>
                      <w:spacing w:line="500" w:lineRule="auto"/>
                      <w:rPr>
                        <w:b/>
                        <w:bCs/>
                        <w:szCs w:val="21"/>
                      </w:rPr>
                    </w:pPr>
                    <w:r>
                      <w:rPr>
                        <w:rFonts w:hint="eastAsia"/>
                        <w:b/>
                        <w:bCs/>
                        <w:szCs w:val="21"/>
                      </w:rPr>
                      <w:t>◆</w:t>
                    </w:r>
                    <w:r>
                      <w:rPr>
                        <w:rFonts w:hint="eastAsia"/>
                        <w:b/>
                        <w:bCs/>
                        <w:szCs w:val="21"/>
                      </w:rPr>
                      <w:t xml:space="preserve">思想前卫     </w:t>
                    </w:r>
                    <w:r>
                      <w:rPr>
                        <w:rFonts w:hint="eastAsia"/>
                        <w:b/>
                        <w:bCs/>
                        <w:szCs w:val="21"/>
                      </w:rPr>
                      <w:t>◆</w:t>
                    </w:r>
                    <w:r>
                      <w:rPr>
                        <w:rFonts w:hint="eastAsia"/>
                        <w:b/>
                        <w:bCs/>
                        <w:szCs w:val="21"/>
                      </w:rPr>
                      <w:t>自信</w:t>
                    </w:r>
                  </w:p>
                  <w:p>
                    <w:pPr>
                      <w:spacing w:line="500" w:lineRule="auto"/>
                      <w:rPr>
                        <w:rFonts w:hint="eastAsia"/>
                        <w:b/>
                        <w:bCs/>
                        <w:szCs w:val="21"/>
                      </w:rPr>
                    </w:pPr>
                    <w:r>
                      <w:rPr>
                        <w:rFonts w:hint="eastAsia"/>
                        <w:b/>
                        <w:bCs/>
                        <w:szCs w:val="21"/>
                      </w:rPr>
                      <w:t>◆</w:t>
                    </w:r>
                    <w:r>
                      <w:rPr>
                        <w:rFonts w:hint="eastAsia"/>
                        <w:b/>
                        <w:bCs/>
                        <w:szCs w:val="21"/>
                      </w:rPr>
                      <w:t>激情</w:t>
                    </w:r>
                    <w:r>
                      <w:rPr>
                        <w:b/>
                        <w:bCs/>
                        <w:szCs w:val="21"/>
                      </w:rPr>
                      <w:t>/</w:t>
                    </w:r>
                    <w:r>
                      <w:rPr>
                        <w:rFonts w:hint="eastAsia"/>
                        <w:b/>
                        <w:bCs/>
                        <w:szCs w:val="21"/>
                      </w:rPr>
                      <w:t xml:space="preserve">发明性   </w:t>
                    </w:r>
                    <w:r>
                      <w:rPr>
                        <w:rFonts w:hint="eastAsia"/>
                        <w:b/>
                        <w:bCs/>
                        <w:szCs w:val="21"/>
                      </w:rPr>
                      <w:t>◆</w:t>
                    </w:r>
                    <w:r>
                      <w:rPr>
                        <w:rFonts w:hint="eastAsia"/>
                        <w:b/>
                        <w:bCs/>
                        <w:szCs w:val="21"/>
                      </w:rPr>
                      <w:t>实用主义</w:t>
                    </w:r>
                  </w:p>
                  <w:p>
                    <w:pPr>
                      <w:spacing w:line="500" w:lineRule="auto"/>
                      <w:rPr>
                        <w:rFonts w:hint="eastAsia"/>
                        <w:b/>
                        <w:bCs/>
                        <w:szCs w:val="21"/>
                      </w:rPr>
                    </w:pPr>
                    <w:r>
                      <w:rPr>
                        <w:rFonts w:hint="eastAsia"/>
                        <w:b/>
                        <w:bCs/>
                        <w:szCs w:val="21"/>
                      </w:rPr>
                      <w:t>◆</w:t>
                    </w:r>
                    <w:r>
                      <w:rPr>
                        <w:rFonts w:hint="eastAsia"/>
                        <w:b/>
                        <w:bCs/>
                        <w:szCs w:val="21"/>
                      </w:rPr>
                      <w:t xml:space="preserve">即时享受     </w:t>
                    </w:r>
                    <w:r>
                      <w:rPr>
                        <w:rFonts w:hint="eastAsia"/>
                        <w:b/>
                        <w:bCs/>
                        <w:szCs w:val="21"/>
                      </w:rPr>
                      <w:t>◆</w:t>
                    </w:r>
                    <w:r>
                      <w:rPr>
                        <w:rFonts w:hint="eastAsia"/>
                        <w:b/>
                        <w:bCs/>
                        <w:szCs w:val="21"/>
                      </w:rPr>
                      <w:t>珍藏抱负</w:t>
                    </w:r>
                  </w:p>
                </w:txbxContent>
              </v:textbox>
            </v:shape>
            <v:shape id="_x0000_s1053" type="#_x0000_t202" style="width:2151;height:1296;mso-wrap-style:square;position:absolute;top:1296" filled="t" fillcolor="silver">
              <v:stroke linestyle="single"/>
              <o:lock v:ext="edit" aspectratio="f"/>
              <v:textbox>
                <w:txbxContent>
                  <w:p>
                    <w:pPr>
                      <w:spacing w:line="500" w:lineRule="auto"/>
                      <w:rPr>
                        <w:rFonts w:hint="eastAsia"/>
                        <w:b/>
                        <w:szCs w:val="21"/>
                      </w:rPr>
                    </w:pPr>
                    <w:r>
                      <w:rPr>
                        <w:rFonts w:hint="eastAsia"/>
                        <w:b/>
                        <w:szCs w:val="21"/>
                      </w:rPr>
                      <w:t>职业特性：</w:t>
                    </w:r>
                  </w:p>
                  <w:p>
                    <w:pPr>
                      <w:spacing w:line="500" w:lineRule="auto"/>
                      <w:rPr>
                        <w:rFonts w:hint="eastAsia"/>
                        <w:b/>
                        <w:bCs/>
                        <w:szCs w:val="21"/>
                      </w:rPr>
                    </w:pPr>
                    <w:r>
                      <w:rPr>
                        <w:rFonts w:hint="eastAsia"/>
                        <w:b/>
                        <w:bCs/>
                        <w:szCs w:val="21"/>
                      </w:rPr>
                      <w:t>◆</w:t>
                    </w:r>
                    <w:r>
                      <w:rPr>
                        <w:rFonts w:hint="eastAsia"/>
                        <w:b/>
                        <w:bCs/>
                        <w:szCs w:val="21"/>
                      </w:rPr>
                      <w:t xml:space="preserve">创意行业    </w:t>
                    </w:r>
                    <w:r>
                      <w:rPr>
                        <w:rFonts w:hint="eastAsia"/>
                        <w:b/>
                        <w:bCs/>
                        <w:szCs w:val="21"/>
                      </w:rPr>
                      <w:t>◆</w:t>
                    </w:r>
                    <w:r>
                      <w:rPr>
                        <w:rFonts w:hint="eastAsia"/>
                        <w:b/>
                        <w:bCs/>
                        <w:szCs w:val="21"/>
                      </w:rPr>
                      <w:t>信息征询</w:t>
                    </w:r>
                  </w:p>
                  <w:p>
                    <w:pPr>
                      <w:spacing w:line="500" w:lineRule="auto"/>
                      <w:rPr>
                        <w:rFonts w:hint="eastAsia"/>
                        <w:b/>
                        <w:bCs/>
                        <w:szCs w:val="21"/>
                      </w:rPr>
                    </w:pPr>
                    <w:r>
                      <w:rPr>
                        <w:rFonts w:hint="eastAsia"/>
                        <w:b/>
                        <w:bCs/>
                        <w:szCs w:val="21"/>
                      </w:rPr>
                      <w:t>◆</w:t>
                    </w:r>
                    <w:r>
                      <w:rPr>
                        <w:rFonts w:hint="eastAsia"/>
                        <w:b/>
                        <w:bCs/>
                        <w:szCs w:val="21"/>
                      </w:rPr>
                      <w:t xml:space="preserve">商业艺术    </w:t>
                    </w:r>
                    <w:r>
                      <w:rPr>
                        <w:rFonts w:hint="eastAsia"/>
                        <w:b/>
                        <w:bCs/>
                        <w:szCs w:val="21"/>
                      </w:rPr>
                      <w:t>◆</w:t>
                    </w:r>
                    <w:r>
                      <w:rPr>
                        <w:rFonts w:hint="eastAsia"/>
                        <w:b/>
                        <w:bCs/>
                        <w:szCs w:val="21"/>
                      </w:rPr>
                      <w:t>网络</w:t>
                    </w:r>
                    <w:r>
                      <w:rPr>
                        <w:b/>
                        <w:bCs/>
                        <w:szCs w:val="21"/>
                      </w:rPr>
                      <w:t>/IT</w:t>
                    </w:r>
                  </w:p>
                  <w:p>
                    <w:pPr>
                      <w:spacing w:line="500" w:lineRule="auto"/>
                      <w:rPr>
                        <w:b/>
                        <w:bCs/>
                        <w:szCs w:val="21"/>
                      </w:rPr>
                    </w:pPr>
                    <w:r>
                      <w:rPr>
                        <w:rFonts w:hint="eastAsia"/>
                        <w:b/>
                        <w:bCs/>
                        <w:szCs w:val="21"/>
                      </w:rPr>
                      <w:t>◆</w:t>
                    </w:r>
                    <w:r>
                      <w:rPr>
                        <w:rFonts w:hint="eastAsia"/>
                        <w:b/>
                        <w:bCs/>
                        <w:szCs w:val="21"/>
                      </w:rPr>
                      <w:t xml:space="preserve">媒体        </w:t>
                    </w:r>
                    <w:r>
                      <w:rPr>
                        <w:rFonts w:hint="eastAsia"/>
                        <w:b/>
                        <w:bCs/>
                        <w:szCs w:val="21"/>
                      </w:rPr>
                      <w:t>◆</w:t>
                    </w:r>
                    <w:r>
                      <w:rPr>
                        <w:rFonts w:hint="eastAsia"/>
                        <w:b/>
                        <w:bCs/>
                        <w:szCs w:val="21"/>
                      </w:rPr>
                      <w:t>贸易</w:t>
                    </w:r>
                  </w:p>
                  <w:p>
                    <w:pPr>
                      <w:spacing w:line="500" w:lineRule="auto"/>
                      <w:rPr>
                        <w:rFonts w:hint="eastAsia"/>
                        <w:b/>
                        <w:bCs/>
                        <w:szCs w:val="21"/>
                      </w:rPr>
                    </w:pPr>
                    <w:r>
                      <w:rPr>
                        <w:rFonts w:hint="eastAsia"/>
                        <w:b/>
                        <w:bCs/>
                        <w:szCs w:val="21"/>
                      </w:rPr>
                      <w:t>◆</w:t>
                    </w:r>
                    <w:r>
                      <w:rPr>
                        <w:rFonts w:hint="eastAsia"/>
                        <w:b/>
                        <w:bCs/>
                        <w:szCs w:val="21"/>
                      </w:rPr>
                      <w:t xml:space="preserve">机关公务员  </w:t>
                    </w:r>
                    <w:r>
                      <w:rPr>
                        <w:rFonts w:hint="eastAsia"/>
                        <w:b/>
                        <w:bCs/>
                        <w:szCs w:val="21"/>
                      </w:rPr>
                      <w:t>◆</w:t>
                    </w:r>
                    <w:r>
                      <w:rPr>
                        <w:rFonts w:hint="eastAsia"/>
                        <w:b/>
                        <w:bCs/>
                        <w:szCs w:val="21"/>
                      </w:rPr>
                      <w:t>金融证券</w:t>
                    </w:r>
                  </w:p>
                  <w:p>
                    <w:pPr>
                      <w:spacing w:line="500" w:lineRule="auto"/>
                      <w:rPr>
                        <w:rFonts w:hint="eastAsia"/>
                        <w:b/>
                        <w:bCs/>
                        <w:szCs w:val="21"/>
                      </w:rPr>
                    </w:pPr>
                    <w:r>
                      <w:rPr>
                        <w:rFonts w:hint="eastAsia"/>
                        <w:b/>
                        <w:bCs/>
                        <w:szCs w:val="21"/>
                      </w:rPr>
                      <w:t>◆</w:t>
                    </w:r>
                    <w:r>
                      <w:rPr>
                        <w:rFonts w:hint="eastAsia"/>
                        <w:b/>
                        <w:bCs/>
                        <w:szCs w:val="21"/>
                      </w:rPr>
                      <w:t xml:space="preserve">服务行业    </w:t>
                    </w:r>
                    <w:r>
                      <w:rPr>
                        <w:rFonts w:hint="eastAsia"/>
                        <w:b/>
                        <w:bCs/>
                        <w:szCs w:val="21"/>
                      </w:rPr>
                      <w:t>◆</w:t>
                    </w:r>
                    <w:r>
                      <w:rPr>
                        <w:rFonts w:hint="eastAsia"/>
                        <w:b/>
                        <w:bCs/>
                        <w:szCs w:val="21"/>
                      </w:rPr>
                      <w:t>自由职业者</w:t>
                    </w:r>
                  </w:p>
                </w:txbxContent>
              </v:textbox>
            </v:shape>
            <v:shape id="_x0000_s1054" type="#_x0000_t202" style="width:2122;height:1215;left:2;mso-wrap-style:square;position:absolute" filled="t" fillcolor="#fc0">
              <v:stroke linestyle="single"/>
              <o:lock v:ext="edit" aspectratio="f"/>
              <v:textbox>
                <w:txbxContent>
                  <w:p>
                    <w:pPr>
                      <w:spacing w:line="500" w:lineRule="auto"/>
                      <w:rPr>
                        <w:rFonts w:hint="eastAsia"/>
                        <w:b/>
                        <w:szCs w:val="21"/>
                      </w:rPr>
                    </w:pPr>
                    <w:r>
                      <w:rPr>
                        <w:rFonts w:hint="eastAsia"/>
                        <w:b/>
                        <w:szCs w:val="21"/>
                      </w:rPr>
                      <w:t>人群特性：</w:t>
                    </w:r>
                  </w:p>
                  <w:p>
                    <w:pPr>
                      <w:spacing w:line="500" w:lineRule="auto"/>
                      <w:rPr>
                        <w:rFonts w:hint="eastAsia"/>
                        <w:szCs w:val="21"/>
                      </w:rPr>
                    </w:pPr>
                    <w:r>
                      <w:rPr>
                        <w:rFonts w:hint="eastAsia"/>
                        <w:b/>
                        <w:bCs/>
                        <w:szCs w:val="21"/>
                      </w:rPr>
                      <w:t>◆</w:t>
                    </w:r>
                    <w:r>
                      <w:rPr>
                        <w:rFonts w:hint="eastAsia"/>
                        <w:b/>
                        <w:bCs/>
                        <w:szCs w:val="21"/>
                      </w:rPr>
                      <w:t>拥有较高学历，</w:t>
                    </w:r>
                  </w:p>
                  <w:p>
                    <w:pPr>
                      <w:spacing w:line="500" w:lineRule="auto"/>
                      <w:rPr>
                        <w:rFonts w:hint="eastAsia"/>
                        <w:szCs w:val="21"/>
                      </w:rPr>
                    </w:pPr>
                    <w:r>
                      <w:rPr>
                        <w:rFonts w:hint="eastAsia"/>
                        <w:b/>
                        <w:bCs/>
                        <w:szCs w:val="21"/>
                      </w:rPr>
                      <w:t>◆</w:t>
                    </w:r>
                    <w:r>
                      <w:rPr>
                        <w:rFonts w:hint="eastAsia"/>
                        <w:b/>
                        <w:bCs/>
                        <w:szCs w:val="21"/>
                      </w:rPr>
                      <w:t>年龄集中在23－38，</w:t>
                    </w:r>
                    <w:r>
                      <w:rPr>
                        <w:rFonts w:hint="eastAsia"/>
                        <w:b/>
                        <w:bCs/>
                        <w:szCs w:val="21"/>
                      </w:rPr>
                      <w:t>“</w:t>
                    </w:r>
                    <w:r>
                      <w:rPr>
                        <w:rFonts w:hint="eastAsia"/>
                        <w:b/>
                        <w:bCs/>
                        <w:szCs w:val="21"/>
                      </w:rPr>
                      <w:t>70</w:t>
                    </w:r>
                    <w:r>
                      <w:rPr>
                        <w:rFonts w:hint="eastAsia"/>
                        <w:b/>
                        <w:bCs/>
                        <w:szCs w:val="21"/>
                      </w:rPr>
                      <w:t>”“</w:t>
                    </w:r>
                    <w:r>
                      <w:rPr>
                        <w:rFonts w:hint="eastAsia"/>
                        <w:b/>
                        <w:bCs/>
                        <w:szCs w:val="21"/>
                      </w:rPr>
                      <w:t>80</w:t>
                    </w:r>
                    <w:r>
                      <w:rPr>
                        <w:rFonts w:hint="eastAsia"/>
                        <w:b/>
                        <w:bCs/>
                        <w:szCs w:val="21"/>
                      </w:rPr>
                      <w:t>”</w:t>
                    </w:r>
                    <w:r>
                      <w:rPr>
                        <w:rFonts w:hint="eastAsia"/>
                        <w:b/>
                        <w:bCs/>
                        <w:szCs w:val="21"/>
                      </w:rPr>
                      <w:t>后</w:t>
                    </w:r>
                  </w:p>
                  <w:p>
                    <w:pPr>
                      <w:spacing w:line="500" w:lineRule="auto"/>
                      <w:rPr>
                        <w:rFonts w:hint="eastAsia"/>
                        <w:b/>
                        <w:bCs/>
                        <w:szCs w:val="21"/>
                      </w:rPr>
                    </w:pPr>
                    <w:r>
                      <w:rPr>
                        <w:rFonts w:hint="eastAsia"/>
                        <w:b/>
                        <w:bCs/>
                        <w:szCs w:val="21"/>
                      </w:rPr>
                      <w:t>◆</w:t>
                    </w:r>
                    <w:r>
                      <w:rPr>
                        <w:rFonts w:hint="eastAsia"/>
                        <w:b/>
                        <w:bCs/>
                        <w:szCs w:val="21"/>
                      </w:rPr>
                      <w:t>收入水平较高，城市中层人士</w:t>
                    </w:r>
                  </w:p>
                  <w:p>
                    <w:pPr>
                      <w:spacing w:line="500" w:lineRule="auto"/>
                      <w:rPr>
                        <w:rFonts w:hint="eastAsia"/>
                        <w:b/>
                        <w:bCs/>
                        <w:szCs w:val="21"/>
                      </w:rPr>
                    </w:pPr>
                    <w:r>
                      <w:rPr>
                        <w:rFonts w:hint="eastAsia"/>
                        <w:b/>
                        <w:bCs/>
                        <w:szCs w:val="21"/>
                      </w:rPr>
                      <w:t>◆</w:t>
                    </w:r>
                    <w:r>
                      <w:rPr>
                        <w:rFonts w:hint="eastAsia"/>
                        <w:b/>
                        <w:bCs/>
                        <w:szCs w:val="21"/>
                      </w:rPr>
                      <w:t>二人或三口之家居多</w:t>
                    </w:r>
                  </w:p>
                  <w:p>
                    <w:pPr>
                      <w:spacing w:line="500" w:lineRule="auto"/>
                      <w:rPr>
                        <w:rFonts w:hint="eastAsia"/>
                        <w:b/>
                        <w:bCs/>
                        <w:szCs w:val="21"/>
                      </w:rPr>
                    </w:pPr>
                    <w:r>
                      <w:rPr>
                        <w:rFonts w:hint="eastAsia"/>
                        <w:b/>
                        <w:bCs/>
                        <w:szCs w:val="21"/>
                      </w:rPr>
                      <w:t>◆</w:t>
                    </w:r>
                    <w:r>
                      <w:rPr>
                        <w:rFonts w:hint="eastAsia"/>
                        <w:b/>
                        <w:bCs/>
                        <w:szCs w:val="21"/>
                      </w:rPr>
                      <w:t>追求品质生活，崇尚健康</w:t>
                    </w:r>
                  </w:p>
                </w:txbxContent>
              </v:textbox>
            </v:shape>
            <w10:anchorlock/>
          </v:group>
        </w:pict>
      </w: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ind w:firstLine="941" w:firstLineChars="392"/>
        <w:rPr>
          <w:rFonts w:ascii="宋体" w:hAnsi="宋体" w:hint="eastAsia"/>
          <w:b/>
          <w:bCs/>
          <w:color w:val="FF0000"/>
          <w:sz w:val="24"/>
        </w:rPr>
      </w:pPr>
    </w:p>
    <w:p>
      <w:pPr>
        <w:widowControl/>
        <w:tabs>
          <w:tab w:val="left" w:pos="1260"/>
        </w:tabs>
        <w:spacing w:line="360" w:lineRule="auto"/>
        <w:rPr>
          <w:rFonts w:ascii="宋体" w:hAnsi="宋体" w:hint="eastAsia"/>
          <w:b/>
          <w:bCs/>
          <w:color w:val="FF0000"/>
          <w:sz w:val="24"/>
        </w:rPr>
      </w:pPr>
    </w:p>
    <w:p>
      <w:pPr>
        <w:widowControl/>
        <w:tabs>
          <w:tab w:val="left" w:pos="1260"/>
        </w:tabs>
        <w:spacing w:line="500" w:lineRule="auto"/>
        <w:ind w:firstLine="706" w:firstLineChars="294"/>
        <w:rPr>
          <w:rFonts w:ascii="宋体" w:hAnsi="宋体" w:hint="eastAsia"/>
          <w:b/>
          <w:bCs/>
          <w:color w:val="000000"/>
          <w:sz w:val="24"/>
        </w:rPr>
      </w:pPr>
      <w:r>
        <w:rPr>
          <w:rFonts w:ascii="宋体" w:hAnsi="宋体" w:hint="eastAsia"/>
          <w:b/>
          <w:bCs/>
          <w:color w:val="000000"/>
          <w:sz w:val="24"/>
        </w:rPr>
        <w:t>目的客群来源</w:t>
      </w:r>
    </w:p>
    <w:p>
      <w:pPr>
        <w:spacing w:line="500" w:lineRule="auto"/>
        <w:ind w:firstLine="990" w:firstLineChars="550"/>
        <w:rPr>
          <w:rFonts w:ascii="宋体" w:hAnsi="宋体" w:hint="eastAsia"/>
          <w:color w:val="000000"/>
          <w:sz w:val="24"/>
        </w:rPr>
      </w:pPr>
      <w:r>
        <w:rPr>
          <w:rFonts w:ascii="宋体" w:hAnsi="宋体" w:hint="eastAsia"/>
          <w:color w:val="000000"/>
          <w:sz w:val="18"/>
          <w:szCs w:val="18"/>
        </w:rPr>
        <w:t>■</w:t>
      </w:r>
      <w:r>
        <w:rPr>
          <w:rFonts w:ascii="宋体" w:hAnsi="宋体" w:hint="eastAsia"/>
          <w:color w:val="000000"/>
          <w:sz w:val="24"/>
        </w:rPr>
        <w:t xml:space="preserve"> 周边富士康、中芯国际等大型科技公司员工，其他科技园公司员工、周边高校老师将构成本项目相称庞大的主力客群；</w:t>
      </w:r>
    </w:p>
    <w:p>
      <w:pPr>
        <w:spacing w:line="500" w:lineRule="auto"/>
        <w:ind w:firstLine="990" w:firstLineChars="550"/>
        <w:rPr>
          <w:rFonts w:ascii="宋体" w:hAnsi="宋体" w:hint="eastAsia"/>
          <w:color w:val="000000"/>
          <w:sz w:val="24"/>
        </w:rPr>
        <w:sectPr>
          <w:type w:val="nextPage"/>
          <w:pgSz w:w="16838" w:h="11906" w:orient="landscape"/>
          <w:pgMar w:top="1797" w:right="1440" w:bottom="1701" w:left="1440" w:header="851" w:footer="992" w:gutter="0"/>
          <w:pgNumType w:fmt="decimal" w:start="34"/>
          <w:cols w:space="708"/>
          <w:titlePg w:val="0"/>
          <w:docGrid w:type="lines" w:linePitch="312"/>
        </w:sectPr>
      </w:pPr>
      <w:r>
        <w:rPr>
          <w:rFonts w:ascii="宋体" w:hAnsi="宋体" w:hint="eastAsia"/>
          <w:color w:val="000000"/>
          <w:sz w:val="18"/>
          <w:szCs w:val="18"/>
        </w:rPr>
        <w:t>■</w:t>
      </w:r>
      <w:r>
        <w:rPr>
          <w:rFonts w:ascii="宋体" w:hAnsi="宋体" w:hint="eastAsia"/>
          <w:color w:val="000000"/>
          <w:sz w:val="24"/>
        </w:rPr>
        <w:t xml:space="preserve"> 项目周边私营业主、从事金融、IT业、旅游业、外贸业等收入较高的人群将是本项目的延伸客群；</w:t>
      </w:r>
    </w:p>
    <w:p>
      <w:pPr>
        <w:spacing w:line="500" w:lineRule="auto"/>
        <w:ind w:firstLine="990" w:firstLineChars="550"/>
        <w:rPr>
          <w:rFonts w:ascii="宋体" w:hAnsi="宋体" w:hint="eastAsia"/>
          <w:color w:val="000000"/>
          <w:sz w:val="24"/>
        </w:rPr>
      </w:pPr>
      <w:r>
        <w:rPr>
          <w:rFonts w:ascii="宋体" w:hAnsi="宋体" w:hint="eastAsia"/>
          <w:color w:val="000000"/>
          <w:sz w:val="18"/>
          <w:szCs w:val="18"/>
        </w:rPr>
        <w:t>■</w:t>
      </w:r>
      <w:r>
        <w:rPr>
          <w:rFonts w:ascii="宋体" w:hAnsi="宋体" w:hint="eastAsia"/>
          <w:color w:val="000000"/>
          <w:sz w:val="24"/>
        </w:rPr>
        <w:t xml:space="preserve"> 光谷片区相邻的青山和洪山等区域部分人群很有也许成为本项目的潜在客群；</w:t>
      </w:r>
    </w:p>
    <w:p>
      <w:pPr>
        <w:spacing w:line="500" w:lineRule="auto"/>
        <w:ind w:left="479" w:firstLine="480" w:leftChars="228" w:firstLineChars="200"/>
        <w:rPr>
          <w:rFonts w:ascii="宋体" w:hAnsi="宋体" w:hint="eastAsia"/>
          <w:b/>
          <w:color w:val="000000"/>
          <w:sz w:val="24"/>
        </w:rPr>
      </w:pPr>
      <w:r>
        <w:rPr>
          <w:rFonts w:ascii="宋体" w:hAnsi="宋体" w:hint="eastAsia"/>
          <w:b/>
          <w:color w:val="000000"/>
          <w:sz w:val="24"/>
        </w:rPr>
        <w:t>本项目的发明性客群将重要是通过产品创新和集团的品牌宣传被吸引而来的全市性人群。这部分人群是我们要通过营销推广着力拓展的重点目的。</w:t>
      </w:r>
    </w:p>
    <w:p>
      <w:pPr>
        <w:spacing w:line="500" w:lineRule="auto"/>
        <w:ind w:firstLine="941" w:firstLineChars="392"/>
        <w:rPr>
          <w:rFonts w:ascii="宋体" w:hAnsi="宋体" w:hint="eastAsia"/>
          <w:b/>
          <w:bCs/>
          <w:color w:val="000000"/>
          <w:sz w:val="24"/>
        </w:rPr>
      </w:pPr>
      <w:r>
        <w:rPr>
          <w:rFonts w:ascii="宋体" w:hAnsi="宋体" w:hint="eastAsia"/>
          <w:b/>
          <w:bCs/>
          <w:color w:val="000000"/>
          <w:sz w:val="24"/>
        </w:rPr>
        <w:t>目的客群年龄</w:t>
      </w:r>
    </w:p>
    <w:p>
      <w:pPr>
        <w:widowControl/>
        <w:tabs>
          <w:tab w:val="left" w:pos="1260"/>
        </w:tabs>
        <w:spacing w:line="500" w:lineRule="auto"/>
        <w:ind w:left="525" w:firstLine="480" w:leftChars="250" w:firstLineChars="200"/>
        <w:rPr>
          <w:rFonts w:ascii="宋体" w:hAnsi="宋体" w:hint="eastAsia"/>
          <w:color w:val="000000"/>
          <w:sz w:val="24"/>
        </w:rPr>
      </w:pPr>
      <w:r>
        <w:rPr>
          <w:rFonts w:ascii="宋体" w:hAnsi="宋体" w:hint="eastAsia"/>
          <w:color w:val="000000"/>
          <w:sz w:val="24"/>
        </w:rPr>
        <w:t>23</w:t>
      </w:r>
      <w:r>
        <w:rPr>
          <w:rFonts w:ascii="宋体" w:hAnsi="宋体" w:hint="eastAsia"/>
          <w:color w:val="000000"/>
          <w:sz w:val="24"/>
        </w:rPr>
        <w:t>——</w:t>
      </w:r>
      <w:r>
        <w:rPr>
          <w:rFonts w:ascii="宋体" w:hAnsi="宋体" w:hint="eastAsia"/>
          <w:color w:val="000000"/>
          <w:sz w:val="24"/>
        </w:rPr>
        <w:t>38岁为主流，</w:t>
      </w:r>
      <w:r>
        <w:rPr>
          <w:rFonts w:ascii="宋体" w:hAnsi="宋体"/>
          <w:color w:val="000000"/>
          <w:sz w:val="24"/>
        </w:rPr>
        <w:t>35</w:t>
      </w:r>
      <w:r>
        <w:rPr>
          <w:rFonts w:ascii="宋体" w:hAnsi="宋体" w:hint="eastAsia"/>
          <w:color w:val="000000"/>
          <w:sz w:val="24"/>
        </w:rPr>
        <w:t>岁左右为主，少部分45-50岁人群</w:t>
      </w:r>
    </w:p>
    <w:p>
      <w:pPr>
        <w:widowControl/>
        <w:tabs>
          <w:tab w:val="left" w:pos="1260"/>
        </w:tabs>
        <w:spacing w:line="500" w:lineRule="auto"/>
        <w:ind w:left="945"/>
        <w:rPr>
          <w:rFonts w:ascii="宋体" w:hAnsi="宋体" w:hint="eastAsia"/>
          <w:b/>
          <w:bCs/>
          <w:color w:val="000000"/>
          <w:sz w:val="24"/>
        </w:rPr>
      </w:pPr>
      <w:r>
        <w:rPr>
          <w:rFonts w:ascii="宋体" w:hAnsi="宋体" w:hint="eastAsia"/>
          <w:b/>
          <w:bCs/>
          <w:color w:val="000000"/>
          <w:sz w:val="24"/>
        </w:rPr>
        <w:t>目的客群职业</w:t>
      </w:r>
    </w:p>
    <w:p>
      <w:pPr>
        <w:widowControl/>
        <w:tabs>
          <w:tab w:val="left" w:pos="1260"/>
        </w:tabs>
        <w:spacing w:line="500" w:lineRule="auto"/>
        <w:ind w:left="525" w:firstLine="480" w:leftChars="250" w:firstLineChars="200"/>
        <w:rPr>
          <w:rFonts w:ascii="宋体" w:hAnsi="宋体" w:hint="eastAsia"/>
          <w:color w:val="000000"/>
          <w:sz w:val="24"/>
        </w:rPr>
      </w:pPr>
      <w:r>
        <w:rPr>
          <w:rFonts w:ascii="宋体" w:hAnsi="宋体" w:hint="eastAsia"/>
          <w:color w:val="000000"/>
          <w:sz w:val="24"/>
        </w:rPr>
        <w:t>客户的职业科技园公司员工、高校老师以及周边私营业主、从事金融、IT业、旅游业、外贸业等较高收入人群为主，部分是其他区域的刚性需求的人群。</w:t>
      </w:r>
    </w:p>
    <w:p>
      <w:pPr>
        <w:widowControl/>
        <w:tabs>
          <w:tab w:val="left" w:pos="1260"/>
        </w:tabs>
        <w:spacing w:line="500" w:lineRule="auto"/>
        <w:ind w:left="945"/>
        <w:rPr>
          <w:rFonts w:ascii="宋体" w:hAnsi="宋体" w:hint="eastAsia"/>
          <w:b/>
          <w:bCs/>
          <w:color w:val="000000"/>
          <w:sz w:val="24"/>
        </w:rPr>
      </w:pPr>
      <w:r>
        <w:rPr>
          <w:rFonts w:ascii="宋体" w:hAnsi="宋体" w:hint="eastAsia"/>
          <w:b/>
          <w:bCs/>
          <w:color w:val="000000"/>
          <w:sz w:val="24"/>
        </w:rPr>
        <w:t>目的客群需求特点</w:t>
      </w:r>
    </w:p>
    <w:p>
      <w:pPr>
        <w:widowControl/>
        <w:tabs>
          <w:tab w:val="left" w:pos="1260"/>
        </w:tabs>
        <w:spacing w:line="500" w:lineRule="auto"/>
        <w:ind w:left="420" w:firstLine="480" w:leftChars="200" w:firstLineChars="200"/>
        <w:rPr>
          <w:rFonts w:ascii="宋体" w:hAnsi="宋体" w:hint="eastAsia"/>
          <w:color w:val="000000"/>
          <w:sz w:val="24"/>
        </w:rPr>
      </w:pPr>
      <w:r>
        <w:rPr>
          <w:rFonts w:ascii="宋体" w:hAnsi="宋体" w:hint="eastAsia"/>
          <w:color w:val="000000"/>
          <w:sz w:val="24"/>
        </w:rPr>
        <w:t>——</w:t>
      </w:r>
      <w:r>
        <w:rPr>
          <w:rFonts w:ascii="宋体" w:hAnsi="宋体" w:hint="eastAsia"/>
          <w:color w:val="000000"/>
          <w:sz w:val="24"/>
        </w:rPr>
        <w:t>喜欢社区的居住感觉，但总价承受力不是很高</w:t>
      </w:r>
    </w:p>
    <w:p>
      <w:pPr>
        <w:widowControl/>
        <w:tabs>
          <w:tab w:val="left" w:pos="1260"/>
        </w:tabs>
        <w:spacing w:line="500" w:lineRule="auto"/>
        <w:ind w:left="420" w:firstLine="480" w:leftChars="200" w:firstLineChars="200"/>
        <w:rPr>
          <w:rFonts w:ascii="宋体" w:hAnsi="宋体" w:hint="eastAsia"/>
          <w:color w:val="000000"/>
          <w:sz w:val="24"/>
        </w:rPr>
      </w:pPr>
      <w:r>
        <w:rPr>
          <w:rFonts w:ascii="宋体" w:hAnsi="宋体" w:hint="eastAsia"/>
          <w:color w:val="000000"/>
          <w:sz w:val="24"/>
        </w:rPr>
        <w:t>——</w:t>
      </w:r>
      <w:r>
        <w:rPr>
          <w:rFonts w:ascii="宋体" w:hAnsi="宋体"/>
          <w:color w:val="000000"/>
          <w:sz w:val="24"/>
        </w:rPr>
        <w:t>多具有良好的教育</w:t>
      </w:r>
      <w:r>
        <w:rPr>
          <w:rFonts w:ascii="宋体" w:hAnsi="宋体" w:hint="eastAsia"/>
          <w:color w:val="000000"/>
          <w:sz w:val="24"/>
        </w:rPr>
        <w:t>背景</w:t>
      </w:r>
      <w:r>
        <w:rPr>
          <w:rFonts w:ascii="宋体" w:hAnsi="宋体"/>
          <w:color w:val="000000"/>
          <w:sz w:val="24"/>
        </w:rPr>
        <w:t>，比较</w:t>
      </w:r>
      <w:r>
        <w:rPr>
          <w:rFonts w:ascii="宋体" w:hAnsi="宋体" w:hint="eastAsia"/>
          <w:color w:val="000000"/>
          <w:sz w:val="24"/>
        </w:rPr>
        <w:t>追求</w:t>
      </w:r>
      <w:r>
        <w:rPr>
          <w:rFonts w:ascii="宋体" w:hAnsi="宋体"/>
          <w:color w:val="000000"/>
          <w:sz w:val="24"/>
        </w:rPr>
        <w:t>生活</w:t>
      </w:r>
      <w:r>
        <w:rPr>
          <w:rFonts w:ascii="宋体" w:hAnsi="宋体" w:hint="eastAsia"/>
          <w:color w:val="000000"/>
          <w:sz w:val="24"/>
        </w:rPr>
        <w:t>品质</w:t>
      </w:r>
      <w:r>
        <w:rPr>
          <w:rFonts w:ascii="宋体" w:hAnsi="宋体"/>
          <w:color w:val="000000"/>
          <w:sz w:val="24"/>
        </w:rPr>
        <w:t>，对居住</w:t>
      </w:r>
      <w:r>
        <w:rPr>
          <w:rFonts w:ascii="宋体" w:hAnsi="宋体" w:hint="eastAsia"/>
          <w:color w:val="000000"/>
          <w:sz w:val="24"/>
        </w:rPr>
        <w:t>环境</w:t>
      </w:r>
      <w:r>
        <w:rPr>
          <w:rFonts w:ascii="宋体" w:hAnsi="宋体"/>
          <w:color w:val="000000"/>
          <w:sz w:val="24"/>
        </w:rPr>
        <w:t>的</w:t>
      </w:r>
      <w:r>
        <w:rPr>
          <w:rFonts w:ascii="宋体" w:hAnsi="宋体" w:hint="eastAsia"/>
          <w:color w:val="000000"/>
          <w:sz w:val="24"/>
        </w:rPr>
        <w:t>舒适性</w:t>
      </w:r>
      <w:r>
        <w:rPr>
          <w:rFonts w:ascii="宋体" w:hAnsi="宋体"/>
          <w:color w:val="000000"/>
          <w:sz w:val="24"/>
        </w:rPr>
        <w:t>有</w:t>
      </w:r>
      <w:r>
        <w:rPr>
          <w:rFonts w:ascii="宋体" w:hAnsi="宋体" w:hint="eastAsia"/>
          <w:color w:val="000000"/>
          <w:sz w:val="24"/>
        </w:rPr>
        <w:t>较</w:t>
      </w:r>
      <w:r>
        <w:rPr>
          <w:rFonts w:ascii="宋体" w:hAnsi="宋体"/>
          <w:color w:val="000000"/>
          <w:sz w:val="24"/>
        </w:rPr>
        <w:t>高规定</w:t>
      </w:r>
    </w:p>
    <w:p>
      <w:pPr>
        <w:widowControl/>
        <w:tabs>
          <w:tab w:val="left" w:pos="1260"/>
        </w:tabs>
        <w:spacing w:line="500" w:lineRule="auto"/>
        <w:ind w:left="420" w:firstLine="480" w:leftChars="200" w:firstLineChars="200"/>
        <w:rPr>
          <w:rFonts w:ascii="宋体" w:hAnsi="宋体" w:hint="eastAsia"/>
          <w:color w:val="000000"/>
          <w:sz w:val="24"/>
        </w:rPr>
      </w:pPr>
      <w:r>
        <w:rPr>
          <w:rFonts w:ascii="宋体" w:hAnsi="宋体" w:hint="eastAsia"/>
          <w:color w:val="000000"/>
          <w:sz w:val="24"/>
        </w:rPr>
        <w:t>——</w:t>
      </w:r>
      <w:r>
        <w:rPr>
          <w:rFonts w:ascii="宋体" w:hAnsi="宋体"/>
          <w:color w:val="000000"/>
          <w:sz w:val="24"/>
        </w:rPr>
        <w:t>重视</w:t>
      </w:r>
      <w:r>
        <w:rPr>
          <w:rFonts w:ascii="宋体" w:hAnsi="宋体" w:hint="eastAsia"/>
          <w:color w:val="000000"/>
          <w:sz w:val="24"/>
        </w:rPr>
        <w:t>社区</w:t>
      </w:r>
      <w:r>
        <w:rPr>
          <w:rFonts w:ascii="宋体" w:hAnsi="宋体"/>
          <w:color w:val="000000"/>
          <w:sz w:val="24"/>
        </w:rPr>
        <w:t>的外围环境与整体风格。</w:t>
      </w:r>
      <w:r>
        <w:rPr>
          <w:rFonts w:ascii="宋体" w:hAnsi="宋体" w:hint="eastAsia"/>
          <w:color w:val="000000"/>
          <w:sz w:val="24"/>
        </w:rPr>
        <w:t>各种优美的景观</w:t>
      </w:r>
      <w:r>
        <w:rPr>
          <w:rFonts w:ascii="宋体" w:hAnsi="宋体"/>
          <w:color w:val="000000"/>
          <w:sz w:val="24"/>
        </w:rPr>
        <w:t>等等都是</w:t>
      </w:r>
      <w:r>
        <w:rPr>
          <w:rFonts w:ascii="宋体" w:hAnsi="宋体" w:hint="eastAsia"/>
          <w:color w:val="000000"/>
          <w:sz w:val="24"/>
        </w:rPr>
        <w:t>会产生购买欲的出发点</w:t>
      </w:r>
      <w:r>
        <w:rPr>
          <w:rFonts w:ascii="宋体" w:hAnsi="宋体"/>
          <w:color w:val="000000"/>
          <w:sz w:val="24"/>
        </w:rPr>
        <w:t>，</w:t>
      </w:r>
      <w:r>
        <w:rPr>
          <w:rFonts w:ascii="宋体" w:hAnsi="宋体" w:hint="eastAsia"/>
          <w:color w:val="000000"/>
          <w:sz w:val="24"/>
        </w:rPr>
        <w:t>喜欢与风景为邻，和</w:t>
      </w:r>
      <w:r>
        <w:rPr>
          <w:rFonts w:ascii="宋体" w:hAnsi="宋体"/>
          <w:color w:val="000000"/>
          <w:sz w:val="24"/>
        </w:rPr>
        <w:t>大自然</w:t>
      </w:r>
      <w:r>
        <w:rPr>
          <w:rFonts w:ascii="宋体" w:hAnsi="宋体" w:hint="eastAsia"/>
          <w:color w:val="000000"/>
          <w:sz w:val="24"/>
        </w:rPr>
        <w:t>共处</w:t>
      </w:r>
    </w:p>
    <w:p>
      <w:pPr>
        <w:widowControl/>
        <w:tabs>
          <w:tab w:val="left" w:pos="1260"/>
        </w:tabs>
        <w:spacing w:line="500" w:lineRule="auto"/>
        <w:ind w:left="420" w:firstLine="480" w:leftChars="200" w:firstLineChars="200"/>
        <w:rPr>
          <w:rFonts w:ascii="宋体" w:hAnsi="宋体" w:hint="eastAsia"/>
          <w:color w:val="000000"/>
          <w:sz w:val="24"/>
        </w:rPr>
        <w:sectPr>
          <w:type w:val="nextPage"/>
          <w:pgSz w:w="16838" w:h="11906" w:orient="landscape"/>
          <w:pgMar w:top="1797" w:right="1440" w:bottom="1701" w:left="1440" w:header="851" w:footer="992" w:gutter="0"/>
          <w:pgNumType w:fmt="decimal" w:start="35"/>
          <w:cols w:space="708"/>
          <w:titlePg w:val="0"/>
          <w:docGrid w:type="lines" w:linePitch="312"/>
        </w:sectPr>
      </w:pPr>
      <w:r>
        <w:rPr>
          <w:rFonts w:ascii="宋体" w:hAnsi="宋体" w:hint="eastAsia"/>
          <w:color w:val="000000"/>
          <w:sz w:val="24"/>
        </w:rPr>
        <w:t>——</w:t>
      </w:r>
      <w:r>
        <w:rPr>
          <w:rFonts w:ascii="宋体" w:hAnsi="宋体"/>
          <w:color w:val="000000"/>
          <w:sz w:val="24"/>
        </w:rPr>
        <w:t>对</w:t>
      </w:r>
      <w:r>
        <w:rPr>
          <w:rFonts w:ascii="宋体" w:hAnsi="宋体" w:hint="eastAsia"/>
          <w:color w:val="000000"/>
          <w:sz w:val="24"/>
        </w:rPr>
        <w:t>社</w:t>
      </w:r>
      <w:r>
        <w:rPr>
          <w:rFonts w:ascii="宋体" w:hAnsi="宋体"/>
          <w:color w:val="000000"/>
          <w:sz w:val="24"/>
        </w:rPr>
        <w:t>区</w:t>
      </w:r>
      <w:r>
        <w:rPr>
          <w:rFonts w:ascii="宋体" w:hAnsi="宋体" w:hint="eastAsia"/>
          <w:color w:val="000000"/>
          <w:sz w:val="24"/>
        </w:rPr>
        <w:t>整体环境比较注重，喜欢室内空间的舒适、创新</w:t>
      </w:r>
    </w:p>
    <w:p>
      <w:pPr>
        <w:widowControl/>
        <w:tabs>
          <w:tab w:val="left" w:pos="1260"/>
        </w:tabs>
        <w:spacing w:line="500" w:lineRule="auto"/>
        <w:ind w:left="420" w:firstLine="480" w:leftChars="200" w:firstLineChars="200"/>
        <w:rPr>
          <w:rFonts w:ascii="宋体" w:hAnsi="宋体" w:hint="eastAsia"/>
          <w:color w:val="000000"/>
          <w:sz w:val="24"/>
        </w:rPr>
      </w:pPr>
      <w:r>
        <w:rPr>
          <w:rFonts w:ascii="宋体" w:hAnsi="宋体" w:hint="eastAsia"/>
          <w:color w:val="000000"/>
          <w:sz w:val="24"/>
        </w:rPr>
        <w:t>——</w:t>
      </w:r>
      <w:r>
        <w:rPr>
          <w:rFonts w:ascii="宋体" w:hAnsi="宋体"/>
          <w:color w:val="000000"/>
          <w:sz w:val="24"/>
        </w:rPr>
        <w:t>配套设施</w:t>
      </w:r>
      <w:r>
        <w:rPr>
          <w:rFonts w:ascii="宋体" w:hAnsi="宋体" w:hint="eastAsia"/>
          <w:color w:val="000000"/>
          <w:sz w:val="24"/>
        </w:rPr>
        <w:t>与物业服务</w:t>
      </w:r>
      <w:r>
        <w:rPr>
          <w:rFonts w:ascii="宋体" w:hAnsi="宋体"/>
          <w:color w:val="000000"/>
          <w:sz w:val="24"/>
        </w:rPr>
        <w:t>方面的</w:t>
      </w:r>
      <w:r>
        <w:rPr>
          <w:rFonts w:ascii="宋体" w:hAnsi="宋体" w:hint="eastAsia"/>
          <w:color w:val="000000"/>
          <w:sz w:val="24"/>
        </w:rPr>
        <w:t>质量</w:t>
      </w:r>
      <w:r>
        <w:rPr>
          <w:rFonts w:ascii="宋体" w:hAnsi="宋体"/>
          <w:color w:val="000000"/>
          <w:sz w:val="24"/>
        </w:rPr>
        <w:t>规定</w:t>
      </w:r>
      <w:r>
        <w:rPr>
          <w:rFonts w:ascii="宋体" w:hAnsi="宋体" w:hint="eastAsia"/>
          <w:color w:val="000000"/>
          <w:sz w:val="24"/>
        </w:rPr>
        <w:t>高，</w:t>
      </w:r>
      <w:r>
        <w:rPr>
          <w:rFonts w:ascii="宋体" w:hAnsi="宋体"/>
          <w:color w:val="000000"/>
          <w:sz w:val="24"/>
        </w:rPr>
        <w:t>客户住进</w:t>
      </w:r>
      <w:r>
        <w:rPr>
          <w:rFonts w:ascii="宋体" w:hAnsi="宋体" w:hint="eastAsia"/>
          <w:color w:val="000000"/>
          <w:sz w:val="24"/>
        </w:rPr>
        <w:t>社区</w:t>
      </w:r>
      <w:r>
        <w:rPr>
          <w:rFonts w:ascii="宋体" w:hAnsi="宋体"/>
          <w:color w:val="000000"/>
          <w:sz w:val="24"/>
        </w:rPr>
        <w:t>的时候希望既能在</w:t>
      </w:r>
      <w:r>
        <w:rPr>
          <w:rFonts w:ascii="宋体" w:hAnsi="宋体" w:hint="eastAsia"/>
          <w:color w:val="000000"/>
          <w:sz w:val="24"/>
        </w:rPr>
        <w:t>社区</w:t>
      </w:r>
      <w:r>
        <w:rPr>
          <w:rFonts w:ascii="宋体" w:hAnsi="宋体"/>
          <w:color w:val="000000"/>
          <w:sz w:val="24"/>
        </w:rPr>
        <w:t>生活中享受大自然的宁静与</w:t>
      </w:r>
      <w:r>
        <w:rPr>
          <w:rFonts w:ascii="宋体" w:hAnsi="宋体" w:hint="eastAsia"/>
          <w:color w:val="000000"/>
          <w:sz w:val="24"/>
        </w:rPr>
        <w:t>舒</w:t>
      </w:r>
      <w:r>
        <w:rPr>
          <w:rFonts w:ascii="宋体" w:hAnsi="宋体"/>
          <w:color w:val="000000"/>
          <w:sz w:val="24"/>
        </w:rPr>
        <w:t>适，同时又要能拥有生活上的一切便利。</w:t>
      </w:r>
      <w:r>
        <w:rPr>
          <w:rFonts w:ascii="宋体" w:hAnsi="宋体" w:hint="eastAsia"/>
          <w:color w:val="000000"/>
          <w:sz w:val="24"/>
        </w:rPr>
        <w:t>建议本项目引入品牌物业管理</w:t>
      </w:r>
    </w:p>
    <w:p>
      <w:pPr>
        <w:spacing w:line="500" w:lineRule="auto"/>
        <w:rPr>
          <w:rFonts w:ascii="宋体" w:hAnsi="宋体" w:hint="eastAsia"/>
          <w:b/>
          <w:bCs/>
          <w:color w:val="000000"/>
          <w:sz w:val="24"/>
        </w:rPr>
      </w:pPr>
      <w:r>
        <w:rPr>
          <w:rFonts w:ascii="宋体" w:hAnsi="宋体" w:hint="eastAsia"/>
          <w:b/>
          <w:bCs/>
          <w:color w:val="000000"/>
          <w:sz w:val="24"/>
        </w:rPr>
        <w:t>（二）、重要目的客群拟定：</w:t>
      </w:r>
    </w:p>
    <w:p>
      <w:pPr>
        <w:spacing w:line="500" w:lineRule="auto"/>
        <w:rPr>
          <w:rFonts w:ascii="宋体" w:hAnsi="宋体" w:hint="eastAsia"/>
          <w:b/>
          <w:bCs/>
          <w:color w:val="000000"/>
          <w:sz w:val="24"/>
        </w:rPr>
      </w:pPr>
      <w:r>
        <w:rPr>
          <w:rFonts w:ascii="宋体" w:hAnsi="宋体" w:hint="eastAsia"/>
          <w:b/>
          <w:bCs/>
          <w:color w:val="000000"/>
          <w:sz w:val="24"/>
        </w:rPr>
        <w:pict>
          <v:shape id="_x0000_s1055" type="#_x0000_t202" style="width:198pt;height:39pt;margin-top:0;margin-left:234pt;mso-wrap-style:square;position:absolute;z-index:251663360">
            <v:stroke linestyle="single"/>
            <v:shadow on="t" opacity="0.5" offset="6pt,-6pt"/>
            <o:lock v:ext="edit" aspectratio="f"/>
            <v:textbox>
              <w:txbxContent>
                <w:p>
                  <w:pPr>
                    <w:spacing w:line="500" w:lineRule="auto"/>
                    <w:ind w:firstLine="888" w:firstLineChars="296"/>
                    <w:outlineLvl w:val="0"/>
                    <w:rPr>
                      <w:rFonts w:ascii="黑体" w:eastAsia="黑体" w:hAnsi="宋体" w:hint="eastAsia"/>
                      <w:b/>
                      <w:color w:val="FF0000"/>
                      <w:sz w:val="30"/>
                      <w:szCs w:val="30"/>
                    </w:rPr>
                  </w:pPr>
                  <w:r>
                    <w:rPr>
                      <w:rFonts w:ascii="黑体" w:eastAsia="黑体" w:hAnsi="宋体" w:hint="eastAsia"/>
                      <w:b/>
                      <w:color w:val="FF0000"/>
                      <w:sz w:val="30"/>
                      <w:szCs w:val="30"/>
                    </w:rPr>
                    <w:t>城市中层新贵</w:t>
                  </w:r>
                </w:p>
                <w:p>
                  <w:pPr>
                    <w:jc w:val="center"/>
                    <w:rPr>
                      <w:b/>
                      <w:color w:val="FF0000"/>
                      <w:sz w:val="32"/>
                      <w:szCs w:val="44"/>
                    </w:rPr>
                  </w:pPr>
                </w:p>
              </w:txbxContent>
            </v:textbox>
          </v:shape>
        </w:pict>
      </w:r>
      <w:r>
        <w:rPr>
          <w:rFonts w:ascii="宋体" w:hAnsi="宋体" w:hint="eastAsia"/>
          <w:b/>
          <w:bCs/>
          <w:color w:val="000000"/>
          <w:sz w:val="24"/>
        </w:rPr>
        <w:t xml:space="preserve">     </w:t>
      </w:r>
    </w:p>
    <w:p>
      <w:pPr>
        <w:spacing w:line="360" w:lineRule="auto"/>
        <w:rPr>
          <w:rFonts w:ascii="宋体" w:hAnsi="宋体" w:hint="eastAsia"/>
          <w:b/>
          <w:bCs/>
          <w:color w:val="000000"/>
          <w:sz w:val="24"/>
        </w:rPr>
      </w:pPr>
    </w:p>
    <w:p>
      <w:pPr>
        <w:spacing w:line="500" w:lineRule="auto"/>
        <w:ind w:firstLine="235" w:firstLineChars="98"/>
        <w:rPr>
          <w:rFonts w:ascii="宋体" w:hAnsi="宋体" w:hint="eastAsia"/>
          <w:b/>
          <w:bCs/>
          <w:color w:val="000000"/>
          <w:sz w:val="24"/>
        </w:rPr>
      </w:pPr>
      <w:r>
        <w:rPr>
          <w:rFonts w:ascii="宋体" w:hAnsi="宋体" w:hint="eastAsia"/>
          <w:b/>
          <w:bCs/>
          <w:color w:val="000000"/>
          <w:sz w:val="24"/>
        </w:rPr>
        <w:t>1、目的客群特性描摹：</w:t>
      </w:r>
    </w:p>
    <w:p>
      <w:pPr>
        <w:numPr>
          <w:ilvl w:val="0"/>
          <w:numId w:val="29"/>
        </w:numPr>
        <w:spacing w:line="500" w:lineRule="auto"/>
        <w:rPr>
          <w:rFonts w:ascii="宋体" w:hAnsi="宋体" w:hint="eastAsia"/>
          <w:color w:val="000000"/>
          <w:sz w:val="24"/>
        </w:rPr>
      </w:pPr>
      <w:r>
        <w:rPr>
          <w:rFonts w:ascii="宋体" w:hAnsi="宋体" w:hint="eastAsia"/>
          <w:b/>
          <w:bCs/>
          <w:color w:val="000000"/>
          <w:sz w:val="24"/>
        </w:rPr>
        <w:t>客群年龄：</w:t>
      </w:r>
      <w:r>
        <w:rPr>
          <w:rFonts w:ascii="宋体" w:hAnsi="宋体" w:hint="eastAsia"/>
          <w:color w:val="000000"/>
          <w:sz w:val="24"/>
        </w:rPr>
        <w:t>具有一定资金积累和事业发展的人群，年龄在23-38岁之间。</w:t>
      </w:r>
    </w:p>
    <w:p>
      <w:pPr>
        <w:numPr>
          <w:ilvl w:val="0"/>
          <w:numId w:val="29"/>
        </w:numPr>
        <w:spacing w:line="500" w:lineRule="auto"/>
        <w:rPr>
          <w:rFonts w:ascii="宋体" w:hAnsi="宋体" w:hint="eastAsia"/>
          <w:color w:val="000000"/>
          <w:sz w:val="24"/>
        </w:rPr>
      </w:pPr>
      <w:r>
        <w:rPr>
          <w:rFonts w:ascii="宋体" w:hAnsi="宋体" w:hint="eastAsia"/>
          <w:b/>
          <w:bCs/>
          <w:color w:val="000000"/>
          <w:sz w:val="24"/>
        </w:rPr>
        <w:t>收入水平：</w:t>
      </w:r>
      <w:r>
        <w:rPr>
          <w:rFonts w:ascii="宋体" w:hAnsi="宋体" w:hint="eastAsia"/>
          <w:color w:val="000000"/>
          <w:sz w:val="24"/>
        </w:rPr>
        <w:t>收入水平较高，家庭年收入在6万元以上且较稳定，有一定财富积累，子女购房有父母支持。</w:t>
      </w:r>
    </w:p>
    <w:p>
      <w:pPr>
        <w:numPr>
          <w:ilvl w:val="0"/>
          <w:numId w:val="29"/>
        </w:numPr>
        <w:spacing w:line="500" w:lineRule="auto"/>
        <w:rPr>
          <w:rFonts w:ascii="宋体" w:hAnsi="宋体" w:hint="eastAsia"/>
          <w:color w:val="000000"/>
          <w:sz w:val="24"/>
        </w:rPr>
      </w:pPr>
      <w:r>
        <w:rPr>
          <w:rFonts w:ascii="宋体" w:hAnsi="宋体" w:hint="eastAsia"/>
          <w:b/>
          <w:bCs/>
          <w:color w:val="000000"/>
          <w:sz w:val="24"/>
        </w:rPr>
        <w:t>出行方式：</w:t>
      </w:r>
      <w:r>
        <w:rPr>
          <w:rFonts w:ascii="宋体" w:hAnsi="宋体" w:hint="eastAsia"/>
          <w:color w:val="000000"/>
          <w:sz w:val="24"/>
        </w:rPr>
        <w:t>以出租车或私家车为主。因武汉公共交通发达，公交也是本案客群出行的重要交通工具。</w:t>
      </w:r>
    </w:p>
    <w:p>
      <w:pPr>
        <w:numPr>
          <w:ilvl w:val="0"/>
          <w:numId w:val="29"/>
        </w:numPr>
        <w:spacing w:line="500" w:lineRule="auto"/>
        <w:rPr>
          <w:rFonts w:ascii="宋体" w:hAnsi="宋体" w:hint="eastAsia"/>
          <w:color w:val="000000"/>
          <w:sz w:val="24"/>
        </w:rPr>
      </w:pPr>
      <w:r>
        <w:rPr>
          <w:rFonts w:ascii="宋体" w:hAnsi="宋体" w:hint="eastAsia"/>
          <w:b/>
          <w:bCs/>
          <w:color w:val="000000"/>
          <w:sz w:val="24"/>
        </w:rPr>
        <w:t>置业目的：</w:t>
      </w:r>
      <w:r>
        <w:rPr>
          <w:rFonts w:ascii="宋体" w:hAnsi="宋体" w:hint="eastAsia"/>
          <w:color w:val="000000"/>
          <w:sz w:val="24"/>
        </w:rPr>
        <w:t>二次置业或成家置业，以改善居住环境或独立生活为目的。</w:t>
      </w:r>
    </w:p>
    <w:p>
      <w:pPr>
        <w:numPr>
          <w:ilvl w:val="0"/>
          <w:numId w:val="29"/>
        </w:numPr>
        <w:spacing w:line="500" w:lineRule="auto"/>
        <w:rPr>
          <w:rFonts w:ascii="宋体" w:hAnsi="宋体" w:hint="eastAsia"/>
          <w:color w:val="000000"/>
          <w:sz w:val="24"/>
        </w:rPr>
      </w:pPr>
      <w:r>
        <w:rPr>
          <w:rFonts w:ascii="宋体" w:hAnsi="宋体" w:hint="eastAsia"/>
          <w:b/>
          <w:bCs/>
          <w:color w:val="000000"/>
          <w:sz w:val="24"/>
        </w:rPr>
        <w:t>居住区域：</w:t>
      </w:r>
      <w:r>
        <w:rPr>
          <w:rFonts w:ascii="宋体" w:hAnsi="宋体" w:hint="eastAsia"/>
          <w:color w:val="000000"/>
          <w:sz w:val="24"/>
        </w:rPr>
        <w:t>居住在本区域或周边，与光谷片区有一定地缘性，对本案地块将来的发展有信心。</w:t>
      </w:r>
    </w:p>
    <w:p>
      <w:pPr>
        <w:numPr>
          <w:ilvl w:val="0"/>
          <w:numId w:val="29"/>
        </w:numPr>
        <w:spacing w:line="500" w:lineRule="auto"/>
        <w:rPr>
          <w:rFonts w:ascii="宋体" w:hAnsi="宋体" w:hint="eastAsia"/>
          <w:color w:val="000000"/>
          <w:sz w:val="24"/>
        </w:rPr>
      </w:pPr>
      <w:r>
        <w:rPr>
          <w:rFonts w:ascii="宋体" w:hAnsi="宋体" w:hint="eastAsia"/>
          <w:b/>
          <w:bCs/>
          <w:color w:val="000000"/>
          <w:sz w:val="24"/>
        </w:rPr>
        <w:t>工作区域：</w:t>
      </w:r>
      <w:r>
        <w:rPr>
          <w:rFonts w:ascii="宋体" w:hAnsi="宋体" w:hint="eastAsia"/>
          <w:color w:val="000000"/>
          <w:sz w:val="24"/>
        </w:rPr>
        <w:t>光谷区域为主。</w:t>
      </w:r>
    </w:p>
    <w:p>
      <w:pPr>
        <w:numPr>
          <w:ilvl w:val="0"/>
          <w:numId w:val="29"/>
        </w:numPr>
        <w:spacing w:line="500" w:lineRule="auto"/>
        <w:rPr>
          <w:rFonts w:ascii="宋体" w:hAnsi="宋体" w:hint="eastAsia"/>
          <w:color w:val="000000"/>
          <w:sz w:val="24"/>
        </w:rPr>
        <w:sectPr>
          <w:type w:val="nextPage"/>
          <w:pgSz w:w="16838" w:h="11906" w:orient="landscape"/>
          <w:pgMar w:top="1797" w:right="1440" w:bottom="1701" w:left="1440" w:header="851" w:footer="992" w:gutter="0"/>
          <w:pgNumType w:fmt="decimal" w:start="36"/>
          <w:cols w:space="708"/>
          <w:titlePg w:val="0"/>
          <w:docGrid w:type="lines" w:linePitch="312"/>
        </w:sectPr>
      </w:pPr>
      <w:r>
        <w:rPr>
          <w:rFonts w:ascii="宋体" w:hAnsi="宋体" w:hint="eastAsia"/>
          <w:b/>
          <w:bCs/>
          <w:color w:val="000000"/>
          <w:sz w:val="24"/>
        </w:rPr>
        <w:t>家庭构成：</w:t>
      </w:r>
      <w:r>
        <w:rPr>
          <w:rFonts w:ascii="宋体" w:hAnsi="宋体" w:hint="eastAsia"/>
          <w:color w:val="000000"/>
          <w:sz w:val="24"/>
        </w:rPr>
        <w:t>以三口之家为主，或目前与老人同住的青年一代，周边住地拆迁户。</w:t>
      </w:r>
    </w:p>
    <w:p>
      <w:pPr>
        <w:numPr>
          <w:ilvl w:val="0"/>
          <w:numId w:val="3"/>
        </w:numPr>
        <w:spacing w:line="500" w:lineRule="auto"/>
        <w:rPr>
          <w:rFonts w:ascii="宋体" w:hAnsi="宋体" w:hint="eastAsia"/>
          <w:color w:val="000000"/>
          <w:sz w:val="24"/>
        </w:rPr>
      </w:pPr>
      <w:r>
        <w:rPr>
          <w:rFonts w:ascii="宋体" w:hAnsi="宋体" w:hint="eastAsia"/>
          <w:b/>
          <w:bCs/>
          <w:color w:val="000000"/>
          <w:sz w:val="24"/>
        </w:rPr>
        <w:t>教育限度：</w:t>
      </w:r>
      <w:r>
        <w:rPr>
          <w:rFonts w:ascii="宋体" w:hAnsi="宋体" w:hint="eastAsia"/>
          <w:color w:val="000000"/>
          <w:sz w:val="24"/>
        </w:rPr>
        <w:t>以接受过高等教育的高知人群为主。</w:t>
      </w:r>
    </w:p>
    <w:p>
      <w:pPr>
        <w:numPr>
          <w:ilvl w:val="0"/>
          <w:numId w:val="3"/>
        </w:numPr>
        <w:spacing w:line="500" w:lineRule="auto"/>
        <w:rPr>
          <w:rFonts w:ascii="宋体" w:hAnsi="宋体" w:hint="eastAsia"/>
          <w:color w:val="000000"/>
          <w:sz w:val="24"/>
        </w:rPr>
      </w:pPr>
      <w:r>
        <w:rPr>
          <w:rFonts w:ascii="宋体" w:hAnsi="宋体" w:hint="eastAsia"/>
          <w:b/>
          <w:bCs/>
          <w:color w:val="000000"/>
          <w:sz w:val="24"/>
        </w:rPr>
        <w:t>职业特性：</w:t>
      </w:r>
      <w:r>
        <w:rPr>
          <w:rFonts w:ascii="宋体" w:hAnsi="宋体" w:hint="eastAsia"/>
          <w:color w:val="000000"/>
          <w:sz w:val="24"/>
        </w:rPr>
        <w:t>重要为工作稳定的工薪阶层。</w:t>
      </w:r>
    </w:p>
    <w:p>
      <w:pPr>
        <w:numPr>
          <w:ilvl w:val="0"/>
          <w:numId w:val="3"/>
        </w:numPr>
        <w:spacing w:line="500" w:lineRule="auto"/>
        <w:rPr>
          <w:rFonts w:ascii="宋体" w:hAnsi="宋体" w:hint="eastAsia"/>
          <w:color w:val="000000"/>
          <w:sz w:val="24"/>
        </w:rPr>
      </w:pPr>
      <w:r>
        <w:rPr>
          <w:rFonts w:ascii="宋体" w:hAnsi="宋体" w:hint="eastAsia"/>
          <w:b/>
          <w:bCs/>
          <w:color w:val="000000"/>
          <w:sz w:val="24"/>
        </w:rPr>
        <w:t>消费观念：</w:t>
      </w:r>
      <w:r>
        <w:rPr>
          <w:rFonts w:ascii="宋体" w:hAnsi="宋体" w:hint="eastAsia"/>
          <w:color w:val="000000"/>
          <w:sz w:val="24"/>
        </w:rPr>
        <w:t>适度超前的消费观，以舒适及享受为主，看重品质，对于品牌具有较高的追逐度。在满足物质基础的同时还需要                               一定的精神文化消费支撑。</w:t>
      </w:r>
    </w:p>
    <w:p>
      <w:pPr>
        <w:spacing w:line="500" w:lineRule="auto"/>
        <w:ind w:firstLine="235" w:firstLineChars="98"/>
        <w:rPr>
          <w:rFonts w:ascii="宋体" w:hAnsi="宋体" w:hint="eastAsia"/>
          <w:b/>
          <w:color w:val="000000"/>
          <w:sz w:val="24"/>
        </w:rPr>
      </w:pPr>
      <w:r>
        <w:rPr>
          <w:rFonts w:ascii="宋体" w:hAnsi="宋体" w:hint="eastAsia"/>
          <w:b/>
          <w:color w:val="000000"/>
          <w:sz w:val="24"/>
        </w:rPr>
        <w:t>2、购房心理分析特性：</w:t>
      </w:r>
    </w:p>
    <w:p>
      <w:pPr>
        <w:numPr>
          <w:ilvl w:val="0"/>
          <w:numId w:val="4"/>
        </w:numPr>
        <w:spacing w:line="500" w:lineRule="auto"/>
        <w:rPr>
          <w:rFonts w:ascii="宋体" w:hAnsi="宋体" w:hint="eastAsia"/>
          <w:b/>
          <w:color w:val="000000"/>
          <w:sz w:val="24"/>
        </w:rPr>
      </w:pPr>
      <w:r>
        <w:rPr>
          <w:rFonts w:ascii="宋体" w:hAnsi="宋体" w:hint="eastAsia"/>
          <w:b/>
          <w:color w:val="000000"/>
          <w:sz w:val="24"/>
        </w:rPr>
        <w:t>从众心态及冲动心态</w:t>
      </w:r>
    </w:p>
    <w:p>
      <w:pPr>
        <w:spacing w:line="500" w:lineRule="auto"/>
        <w:ind w:left="1040"/>
        <w:rPr>
          <w:rFonts w:ascii="宋体" w:hAnsi="宋体" w:hint="eastAsia"/>
          <w:color w:val="000000"/>
          <w:sz w:val="24"/>
        </w:rPr>
      </w:pPr>
      <w:r>
        <w:rPr>
          <w:rFonts w:ascii="宋体" w:hAnsi="宋体" w:hint="eastAsia"/>
          <w:color w:val="000000"/>
          <w:sz w:val="24"/>
        </w:rPr>
        <w:t>购房者对于房屋的选择有自己的偏好以及判断的过程，但</w:t>
      </w:r>
      <w:r>
        <w:rPr>
          <w:rFonts w:ascii="宋体" w:hAnsi="宋体" w:hint="eastAsia"/>
          <w:color w:val="000000"/>
          <w:sz w:val="24"/>
        </w:rPr>
        <w:t>“</w:t>
      </w:r>
      <w:r>
        <w:rPr>
          <w:rFonts w:ascii="宋体" w:hAnsi="宋体" w:hint="eastAsia"/>
          <w:color w:val="000000"/>
          <w:sz w:val="24"/>
        </w:rPr>
        <w:t>羊群效应</w:t>
      </w:r>
      <w:r>
        <w:rPr>
          <w:rFonts w:ascii="宋体" w:hAnsi="宋体" w:hint="eastAsia"/>
          <w:color w:val="000000"/>
          <w:sz w:val="24"/>
        </w:rPr>
        <w:t>”</w:t>
      </w:r>
      <w:r>
        <w:rPr>
          <w:rFonts w:ascii="宋体" w:hAnsi="宋体" w:hint="eastAsia"/>
          <w:color w:val="000000"/>
          <w:sz w:val="24"/>
        </w:rPr>
        <w:t>决定不是所有时候都可以理性地做决定。基于自主需求的稳定增长以及宏观调空政策影响被消化，客户群体对房地产市场的判断受外界影响较大，开发公司的炒作加上价格以及促销手段的刺激下，购房过程中极容易形成购房冲动。</w:t>
      </w:r>
    </w:p>
    <w:p>
      <w:pPr>
        <w:numPr>
          <w:ilvl w:val="0"/>
          <w:numId w:val="4"/>
        </w:numPr>
        <w:spacing w:line="500" w:lineRule="auto"/>
        <w:rPr>
          <w:rFonts w:ascii="宋体" w:hAnsi="宋体" w:hint="eastAsia"/>
          <w:b/>
          <w:color w:val="000000"/>
          <w:sz w:val="24"/>
        </w:rPr>
      </w:pPr>
      <w:r>
        <w:rPr>
          <w:rFonts w:ascii="宋体" w:hAnsi="宋体" w:hint="eastAsia"/>
          <w:b/>
          <w:color w:val="000000"/>
          <w:sz w:val="24"/>
        </w:rPr>
        <w:t>理性情绪增强：</w:t>
      </w:r>
    </w:p>
    <w:p>
      <w:pPr>
        <w:spacing w:line="500" w:lineRule="auto"/>
        <w:ind w:left="1040"/>
        <w:rPr>
          <w:rFonts w:ascii="宋体" w:hAnsi="宋体" w:hint="eastAsia"/>
          <w:color w:val="000000"/>
          <w:sz w:val="24"/>
        </w:rPr>
      </w:pPr>
      <w:r>
        <w:rPr>
          <w:rFonts w:ascii="宋体" w:hAnsi="宋体" w:hint="eastAsia"/>
          <w:color w:val="000000"/>
          <w:sz w:val="24"/>
        </w:rPr>
        <w:t>当前，宏观政策的调控下，不断高企的房价对客户群心理影响较大，观望情绪逐渐上升，越来越多的购房者在市场环境下关注升值潜力、产品自身以及房价等因素，理性心理趋势增强。</w:t>
      </w:r>
    </w:p>
    <w:p>
      <w:pPr>
        <w:numPr>
          <w:ilvl w:val="0"/>
          <w:numId w:val="4"/>
        </w:numPr>
        <w:spacing w:line="500" w:lineRule="auto"/>
        <w:rPr>
          <w:rFonts w:ascii="宋体" w:hAnsi="宋体" w:hint="eastAsia"/>
          <w:b/>
          <w:color w:val="000000"/>
          <w:sz w:val="24"/>
        </w:rPr>
        <w:sectPr>
          <w:type w:val="nextPage"/>
          <w:pgSz w:w="16838" w:h="11906" w:orient="landscape"/>
          <w:pgMar w:top="1797" w:right="1440" w:bottom="1701" w:left="1440" w:header="851" w:footer="992" w:gutter="0"/>
          <w:pgNumType w:fmt="decimal" w:start="37"/>
          <w:cols w:space="708"/>
          <w:titlePg w:val="0"/>
          <w:docGrid w:type="lines" w:linePitch="312"/>
        </w:sectPr>
      </w:pPr>
      <w:r>
        <w:rPr>
          <w:rFonts w:ascii="宋体" w:hAnsi="宋体" w:hint="eastAsia"/>
          <w:b/>
          <w:color w:val="000000"/>
          <w:sz w:val="24"/>
        </w:rPr>
        <w:t>选房心理偏好：</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837"/>
        <w:gridCol w:w="2880"/>
        <w:gridCol w:w="671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837" w:type="dxa"/>
            <w:shd w:val="clear" w:color="auto" w:fill="FF9900"/>
          </w:tcPr>
          <w:p>
            <w:pPr>
              <w:spacing w:line="360" w:lineRule="auto"/>
              <w:jc w:val="center"/>
              <w:rPr>
                <w:rFonts w:ascii="宋体" w:hAnsi="宋体" w:hint="eastAsia"/>
                <w:color w:val="000000"/>
                <w:sz w:val="24"/>
              </w:rPr>
            </w:pPr>
            <w:r>
              <w:rPr>
                <w:rFonts w:ascii="宋体" w:hAnsi="宋体" w:hint="eastAsia"/>
                <w:color w:val="000000"/>
                <w:sz w:val="24"/>
              </w:rPr>
              <w:t>项目</w:t>
            </w:r>
          </w:p>
        </w:tc>
        <w:tc>
          <w:tcPr>
            <w:tcW w:w="2880" w:type="dxa"/>
            <w:shd w:val="clear" w:color="auto" w:fill="FF9900"/>
          </w:tcPr>
          <w:p>
            <w:pPr>
              <w:spacing w:line="360" w:lineRule="auto"/>
              <w:jc w:val="center"/>
              <w:rPr>
                <w:rFonts w:ascii="宋体" w:hAnsi="宋体" w:hint="eastAsia"/>
                <w:color w:val="000000"/>
                <w:sz w:val="24"/>
              </w:rPr>
            </w:pPr>
            <w:r>
              <w:rPr>
                <w:rFonts w:ascii="宋体" w:hAnsi="宋体" w:hint="eastAsia"/>
                <w:color w:val="000000"/>
                <w:sz w:val="24"/>
              </w:rPr>
              <w:t>影响限度</w:t>
            </w:r>
          </w:p>
        </w:tc>
        <w:tc>
          <w:tcPr>
            <w:tcW w:w="6714" w:type="dxa"/>
            <w:shd w:val="clear" w:color="auto" w:fill="FF9900"/>
          </w:tcPr>
          <w:p>
            <w:pPr>
              <w:spacing w:line="360" w:lineRule="auto"/>
              <w:jc w:val="center"/>
              <w:rPr>
                <w:rFonts w:ascii="宋体" w:hAnsi="宋体" w:hint="eastAsia"/>
                <w:color w:val="000000"/>
                <w:sz w:val="24"/>
              </w:rPr>
            </w:pPr>
            <w:r>
              <w:rPr>
                <w:rFonts w:ascii="宋体" w:hAnsi="宋体" w:hint="eastAsia"/>
                <w:color w:val="000000"/>
                <w:sz w:val="24"/>
              </w:rPr>
              <w:t>规定</w:t>
            </w:r>
          </w:p>
        </w:tc>
      </w:tr>
      <w:tr>
        <w:tblPrEx>
          <w:jc w:val="center"/>
          <w:tblLayout w:type="fixed"/>
          <w:tblCellMar>
            <w:top w:w="0" w:type="dxa"/>
            <w:left w:w="108" w:type="dxa"/>
            <w:bottom w:w="0" w:type="dxa"/>
            <w:right w:w="108" w:type="dxa"/>
          </w:tblCellMar>
          <w:tblLook w:val="0000"/>
        </w:tblPrEx>
        <w:trPr>
          <w:jc w:val="center"/>
        </w:trPr>
        <w:tc>
          <w:tcPr>
            <w:tcW w:w="2837" w:type="dxa"/>
          </w:tcPr>
          <w:p>
            <w:pPr>
              <w:spacing w:line="360" w:lineRule="auto"/>
              <w:jc w:val="center"/>
              <w:rPr>
                <w:rFonts w:ascii="宋体" w:hAnsi="宋体" w:hint="eastAsia"/>
                <w:color w:val="000000"/>
                <w:sz w:val="24"/>
              </w:rPr>
            </w:pPr>
            <w:r>
              <w:rPr>
                <w:rFonts w:ascii="宋体" w:hAnsi="宋体" w:hint="eastAsia"/>
                <w:color w:val="000000"/>
                <w:sz w:val="24"/>
              </w:rPr>
              <w:t>交通</w:t>
            </w:r>
          </w:p>
        </w:tc>
        <w:tc>
          <w:tcPr>
            <w:tcW w:w="2880" w:type="dxa"/>
          </w:tcPr>
          <w:p>
            <w:pPr>
              <w:spacing w:line="360" w:lineRule="auto"/>
              <w:jc w:val="center"/>
              <w:rPr>
                <w:rFonts w:ascii="宋体" w:hAnsi="宋体" w:hint="eastAsia"/>
                <w:color w:val="000000"/>
                <w:sz w:val="24"/>
              </w:rPr>
            </w:pPr>
            <w:r>
              <w:rPr>
                <w:rFonts w:ascii="宋体" w:hAnsi="宋体" w:hint="eastAsia"/>
                <w:color w:val="000000"/>
                <w:sz w:val="24"/>
              </w:rPr>
              <w:t>较强</w:t>
            </w:r>
          </w:p>
        </w:tc>
        <w:tc>
          <w:tcPr>
            <w:tcW w:w="6714" w:type="dxa"/>
          </w:tcPr>
          <w:p>
            <w:pPr>
              <w:spacing w:line="360" w:lineRule="auto"/>
              <w:jc w:val="center"/>
              <w:rPr>
                <w:rFonts w:ascii="宋体" w:hAnsi="宋体" w:hint="eastAsia"/>
                <w:color w:val="000000"/>
                <w:sz w:val="24"/>
              </w:rPr>
            </w:pPr>
            <w:r>
              <w:rPr>
                <w:rFonts w:ascii="宋体" w:hAnsi="宋体" w:hint="eastAsia"/>
                <w:color w:val="000000"/>
                <w:sz w:val="24"/>
              </w:rPr>
              <w:t>交通畅通，生活便利</w:t>
            </w:r>
          </w:p>
        </w:tc>
      </w:tr>
      <w:tr>
        <w:tblPrEx>
          <w:jc w:val="center"/>
          <w:tblLayout w:type="fixed"/>
          <w:tblCellMar>
            <w:top w:w="0" w:type="dxa"/>
            <w:left w:w="108" w:type="dxa"/>
            <w:bottom w:w="0" w:type="dxa"/>
            <w:right w:w="108" w:type="dxa"/>
          </w:tblCellMar>
          <w:tblLook w:val="0000"/>
        </w:tblPrEx>
        <w:trPr>
          <w:jc w:val="center"/>
        </w:trPr>
        <w:tc>
          <w:tcPr>
            <w:tcW w:w="2837" w:type="dxa"/>
          </w:tcPr>
          <w:p>
            <w:pPr>
              <w:spacing w:line="360" w:lineRule="auto"/>
              <w:jc w:val="center"/>
              <w:rPr>
                <w:rFonts w:ascii="宋体" w:hAnsi="宋体" w:hint="eastAsia"/>
                <w:color w:val="000000"/>
                <w:sz w:val="24"/>
              </w:rPr>
            </w:pPr>
            <w:r>
              <w:rPr>
                <w:rFonts w:ascii="宋体" w:hAnsi="宋体" w:hint="eastAsia"/>
                <w:color w:val="000000"/>
                <w:sz w:val="24"/>
              </w:rPr>
              <w:t>位置</w:t>
            </w:r>
          </w:p>
        </w:tc>
        <w:tc>
          <w:tcPr>
            <w:tcW w:w="2880" w:type="dxa"/>
          </w:tcPr>
          <w:p>
            <w:pPr>
              <w:spacing w:line="360" w:lineRule="auto"/>
              <w:jc w:val="center"/>
              <w:rPr>
                <w:rFonts w:ascii="宋体" w:hAnsi="宋体" w:hint="eastAsia"/>
                <w:color w:val="000000"/>
                <w:sz w:val="24"/>
              </w:rPr>
            </w:pPr>
            <w:r>
              <w:rPr>
                <w:rFonts w:ascii="宋体" w:hAnsi="宋体" w:hint="eastAsia"/>
                <w:color w:val="000000"/>
                <w:sz w:val="24"/>
              </w:rPr>
              <w:t>较强</w:t>
            </w:r>
          </w:p>
        </w:tc>
        <w:tc>
          <w:tcPr>
            <w:tcW w:w="6714" w:type="dxa"/>
          </w:tcPr>
          <w:p>
            <w:pPr>
              <w:spacing w:line="360" w:lineRule="auto"/>
              <w:jc w:val="center"/>
              <w:rPr>
                <w:rFonts w:ascii="宋体" w:hAnsi="宋体" w:hint="eastAsia"/>
                <w:color w:val="000000"/>
                <w:sz w:val="24"/>
              </w:rPr>
            </w:pPr>
            <w:r>
              <w:rPr>
                <w:rFonts w:ascii="宋体" w:hAnsi="宋体" w:hint="eastAsia"/>
                <w:color w:val="000000"/>
                <w:sz w:val="24"/>
              </w:rPr>
              <w:t>离主城区较近，周边相关配套成熟</w:t>
            </w:r>
          </w:p>
        </w:tc>
      </w:tr>
      <w:tr>
        <w:tblPrEx>
          <w:jc w:val="center"/>
          <w:tblLayout w:type="fixed"/>
          <w:tblCellMar>
            <w:top w:w="0" w:type="dxa"/>
            <w:left w:w="108" w:type="dxa"/>
            <w:bottom w:w="0" w:type="dxa"/>
            <w:right w:w="108" w:type="dxa"/>
          </w:tblCellMar>
          <w:tblLook w:val="0000"/>
        </w:tblPrEx>
        <w:trPr>
          <w:jc w:val="center"/>
        </w:trPr>
        <w:tc>
          <w:tcPr>
            <w:tcW w:w="2837" w:type="dxa"/>
          </w:tcPr>
          <w:p>
            <w:pPr>
              <w:spacing w:line="360" w:lineRule="auto"/>
              <w:jc w:val="center"/>
              <w:rPr>
                <w:rFonts w:ascii="宋体" w:hAnsi="宋体" w:hint="eastAsia"/>
                <w:color w:val="000000"/>
                <w:sz w:val="24"/>
              </w:rPr>
            </w:pPr>
            <w:r>
              <w:rPr>
                <w:rFonts w:ascii="宋体" w:hAnsi="宋体" w:hint="eastAsia"/>
                <w:color w:val="000000"/>
                <w:sz w:val="24"/>
              </w:rPr>
              <w:t>户型</w:t>
            </w:r>
          </w:p>
        </w:tc>
        <w:tc>
          <w:tcPr>
            <w:tcW w:w="2880" w:type="dxa"/>
          </w:tcPr>
          <w:p>
            <w:pPr>
              <w:spacing w:line="360" w:lineRule="auto"/>
              <w:jc w:val="center"/>
              <w:rPr>
                <w:rFonts w:ascii="宋体" w:hAnsi="宋体" w:hint="eastAsia"/>
                <w:color w:val="000000"/>
                <w:sz w:val="24"/>
              </w:rPr>
            </w:pPr>
            <w:r>
              <w:rPr>
                <w:rFonts w:ascii="宋体" w:hAnsi="宋体" w:hint="eastAsia"/>
                <w:color w:val="000000"/>
                <w:sz w:val="24"/>
              </w:rPr>
              <w:t>较强</w:t>
            </w:r>
          </w:p>
        </w:tc>
        <w:tc>
          <w:tcPr>
            <w:tcW w:w="6714" w:type="dxa"/>
          </w:tcPr>
          <w:p>
            <w:pPr>
              <w:spacing w:line="360" w:lineRule="auto"/>
              <w:jc w:val="center"/>
              <w:rPr>
                <w:rFonts w:ascii="宋体" w:hAnsi="宋体" w:hint="eastAsia"/>
                <w:color w:val="000000"/>
                <w:sz w:val="24"/>
              </w:rPr>
            </w:pPr>
            <w:r>
              <w:rPr>
                <w:rFonts w:ascii="宋体" w:hAnsi="宋体" w:hint="eastAsia"/>
                <w:color w:val="000000"/>
                <w:sz w:val="24"/>
              </w:rPr>
              <w:t>中、小户型比较受欢迎</w:t>
            </w:r>
          </w:p>
        </w:tc>
      </w:tr>
      <w:tr>
        <w:tblPrEx>
          <w:jc w:val="center"/>
          <w:tblLayout w:type="fixed"/>
          <w:tblCellMar>
            <w:top w:w="0" w:type="dxa"/>
            <w:left w:w="108" w:type="dxa"/>
            <w:bottom w:w="0" w:type="dxa"/>
            <w:right w:w="108" w:type="dxa"/>
          </w:tblCellMar>
          <w:tblLook w:val="0000"/>
        </w:tblPrEx>
        <w:trPr>
          <w:jc w:val="center"/>
        </w:trPr>
        <w:tc>
          <w:tcPr>
            <w:tcW w:w="2837" w:type="dxa"/>
          </w:tcPr>
          <w:p>
            <w:pPr>
              <w:spacing w:line="360" w:lineRule="auto"/>
              <w:jc w:val="center"/>
              <w:rPr>
                <w:rFonts w:ascii="宋体" w:hAnsi="宋体" w:hint="eastAsia"/>
                <w:color w:val="000000"/>
                <w:sz w:val="24"/>
              </w:rPr>
            </w:pPr>
            <w:r>
              <w:rPr>
                <w:rFonts w:ascii="宋体" w:hAnsi="宋体" w:hint="eastAsia"/>
                <w:color w:val="000000"/>
                <w:sz w:val="24"/>
              </w:rPr>
              <w:t>价格</w:t>
            </w:r>
          </w:p>
        </w:tc>
        <w:tc>
          <w:tcPr>
            <w:tcW w:w="2880" w:type="dxa"/>
          </w:tcPr>
          <w:p>
            <w:pPr>
              <w:spacing w:line="360" w:lineRule="auto"/>
              <w:jc w:val="center"/>
              <w:rPr>
                <w:rFonts w:ascii="宋体" w:hAnsi="宋体" w:hint="eastAsia"/>
                <w:color w:val="000000"/>
                <w:sz w:val="24"/>
              </w:rPr>
            </w:pPr>
            <w:r>
              <w:rPr>
                <w:rFonts w:ascii="宋体" w:hAnsi="宋体" w:hint="eastAsia"/>
                <w:color w:val="000000"/>
                <w:sz w:val="24"/>
              </w:rPr>
              <w:t>较强</w:t>
            </w:r>
          </w:p>
        </w:tc>
        <w:tc>
          <w:tcPr>
            <w:tcW w:w="6714" w:type="dxa"/>
          </w:tcPr>
          <w:p>
            <w:pPr>
              <w:spacing w:line="360" w:lineRule="auto"/>
              <w:jc w:val="center"/>
              <w:rPr>
                <w:rFonts w:ascii="宋体" w:hAnsi="宋体" w:hint="eastAsia"/>
                <w:color w:val="000000"/>
                <w:sz w:val="24"/>
              </w:rPr>
            </w:pPr>
            <w:r>
              <w:rPr>
                <w:rFonts w:ascii="宋体" w:hAnsi="宋体" w:hint="eastAsia"/>
                <w:color w:val="000000"/>
                <w:sz w:val="24"/>
              </w:rPr>
              <w:t>对总价比较敏感，单价可接受较高价位</w:t>
            </w:r>
          </w:p>
        </w:tc>
      </w:tr>
      <w:tr>
        <w:tblPrEx>
          <w:jc w:val="center"/>
          <w:tblLayout w:type="fixed"/>
          <w:tblCellMar>
            <w:top w:w="0" w:type="dxa"/>
            <w:left w:w="108" w:type="dxa"/>
            <w:bottom w:w="0" w:type="dxa"/>
            <w:right w:w="108" w:type="dxa"/>
          </w:tblCellMar>
          <w:tblLook w:val="0000"/>
        </w:tblPrEx>
        <w:trPr>
          <w:jc w:val="center"/>
        </w:trPr>
        <w:tc>
          <w:tcPr>
            <w:tcW w:w="2837" w:type="dxa"/>
          </w:tcPr>
          <w:p>
            <w:pPr>
              <w:spacing w:line="360" w:lineRule="auto"/>
              <w:jc w:val="center"/>
              <w:rPr>
                <w:rFonts w:ascii="宋体" w:hAnsi="宋体" w:hint="eastAsia"/>
                <w:color w:val="000000"/>
                <w:sz w:val="24"/>
              </w:rPr>
            </w:pPr>
            <w:r>
              <w:rPr>
                <w:rFonts w:ascii="宋体" w:hAnsi="宋体" w:hint="eastAsia"/>
                <w:color w:val="000000"/>
                <w:sz w:val="24"/>
              </w:rPr>
              <w:t>环境</w:t>
            </w:r>
          </w:p>
        </w:tc>
        <w:tc>
          <w:tcPr>
            <w:tcW w:w="2880" w:type="dxa"/>
          </w:tcPr>
          <w:p>
            <w:pPr>
              <w:spacing w:line="360" w:lineRule="auto"/>
              <w:jc w:val="center"/>
              <w:rPr>
                <w:rFonts w:ascii="宋体" w:hAnsi="宋体" w:hint="eastAsia"/>
                <w:color w:val="000000"/>
                <w:sz w:val="24"/>
              </w:rPr>
            </w:pPr>
            <w:r>
              <w:rPr>
                <w:rFonts w:ascii="宋体" w:hAnsi="宋体" w:hint="eastAsia"/>
                <w:color w:val="000000"/>
                <w:sz w:val="24"/>
              </w:rPr>
              <w:t>较强</w:t>
            </w:r>
          </w:p>
        </w:tc>
        <w:tc>
          <w:tcPr>
            <w:tcW w:w="6714" w:type="dxa"/>
          </w:tcPr>
          <w:p>
            <w:pPr>
              <w:spacing w:line="360" w:lineRule="auto"/>
              <w:jc w:val="center"/>
              <w:rPr>
                <w:rFonts w:ascii="宋体" w:hAnsi="宋体" w:hint="eastAsia"/>
                <w:color w:val="000000"/>
                <w:sz w:val="24"/>
              </w:rPr>
            </w:pPr>
            <w:r>
              <w:rPr>
                <w:rFonts w:ascii="宋体" w:hAnsi="宋体" w:hint="eastAsia"/>
                <w:color w:val="000000"/>
                <w:sz w:val="24"/>
              </w:rPr>
              <w:t>希望能有较好的景观资源与娱乐空间</w:t>
            </w:r>
          </w:p>
        </w:tc>
      </w:tr>
      <w:tr>
        <w:tblPrEx>
          <w:jc w:val="center"/>
          <w:tblLayout w:type="fixed"/>
          <w:tblCellMar>
            <w:top w:w="0" w:type="dxa"/>
            <w:left w:w="108" w:type="dxa"/>
            <w:bottom w:w="0" w:type="dxa"/>
            <w:right w:w="108" w:type="dxa"/>
          </w:tblCellMar>
          <w:tblLook w:val="0000"/>
        </w:tblPrEx>
        <w:trPr>
          <w:jc w:val="center"/>
        </w:trPr>
        <w:tc>
          <w:tcPr>
            <w:tcW w:w="2837" w:type="dxa"/>
          </w:tcPr>
          <w:p>
            <w:pPr>
              <w:spacing w:line="360" w:lineRule="auto"/>
              <w:jc w:val="center"/>
              <w:rPr>
                <w:rFonts w:ascii="宋体" w:hAnsi="宋体" w:hint="eastAsia"/>
                <w:color w:val="000000"/>
                <w:sz w:val="24"/>
              </w:rPr>
            </w:pPr>
            <w:r>
              <w:rPr>
                <w:rFonts w:ascii="宋体" w:hAnsi="宋体" w:hint="eastAsia"/>
                <w:color w:val="000000"/>
                <w:sz w:val="24"/>
              </w:rPr>
              <w:t>现场包装</w:t>
            </w:r>
          </w:p>
        </w:tc>
        <w:tc>
          <w:tcPr>
            <w:tcW w:w="2880" w:type="dxa"/>
          </w:tcPr>
          <w:p>
            <w:pPr>
              <w:spacing w:line="360" w:lineRule="auto"/>
              <w:jc w:val="center"/>
              <w:rPr>
                <w:rFonts w:ascii="宋体" w:hAnsi="宋体" w:hint="eastAsia"/>
                <w:color w:val="000000"/>
                <w:sz w:val="24"/>
              </w:rPr>
            </w:pPr>
            <w:r>
              <w:rPr>
                <w:rFonts w:ascii="宋体" w:hAnsi="宋体" w:hint="eastAsia"/>
                <w:color w:val="000000"/>
                <w:sz w:val="24"/>
              </w:rPr>
              <w:t>较强</w:t>
            </w:r>
          </w:p>
        </w:tc>
        <w:tc>
          <w:tcPr>
            <w:tcW w:w="6714" w:type="dxa"/>
          </w:tcPr>
          <w:p>
            <w:pPr>
              <w:spacing w:line="360" w:lineRule="auto"/>
              <w:jc w:val="center"/>
              <w:rPr>
                <w:rFonts w:ascii="宋体" w:hAnsi="宋体" w:hint="eastAsia"/>
                <w:color w:val="000000"/>
                <w:sz w:val="24"/>
              </w:rPr>
            </w:pPr>
            <w:r>
              <w:rPr>
                <w:rFonts w:ascii="宋体" w:hAnsi="宋体" w:hint="eastAsia"/>
                <w:color w:val="000000"/>
                <w:sz w:val="24"/>
              </w:rPr>
              <w:t>现场包装的好坏与否影响其对楼盘的印象</w:t>
            </w:r>
          </w:p>
        </w:tc>
      </w:tr>
      <w:tr>
        <w:tblPrEx>
          <w:jc w:val="center"/>
          <w:tblLayout w:type="fixed"/>
          <w:tblCellMar>
            <w:top w:w="0" w:type="dxa"/>
            <w:left w:w="108" w:type="dxa"/>
            <w:bottom w:w="0" w:type="dxa"/>
            <w:right w:w="108" w:type="dxa"/>
          </w:tblCellMar>
          <w:tblLook w:val="0000"/>
        </w:tblPrEx>
        <w:trPr>
          <w:jc w:val="center"/>
        </w:trPr>
        <w:tc>
          <w:tcPr>
            <w:tcW w:w="2837" w:type="dxa"/>
          </w:tcPr>
          <w:p>
            <w:pPr>
              <w:spacing w:line="360" w:lineRule="auto"/>
              <w:jc w:val="center"/>
              <w:rPr>
                <w:rFonts w:ascii="宋体" w:hAnsi="宋体" w:hint="eastAsia"/>
                <w:color w:val="000000"/>
                <w:sz w:val="24"/>
              </w:rPr>
            </w:pPr>
            <w:r>
              <w:rPr>
                <w:rFonts w:ascii="宋体" w:hAnsi="宋体" w:hint="eastAsia"/>
                <w:color w:val="000000"/>
                <w:sz w:val="24"/>
              </w:rPr>
              <w:t>物业管理</w:t>
            </w:r>
          </w:p>
        </w:tc>
        <w:tc>
          <w:tcPr>
            <w:tcW w:w="2880" w:type="dxa"/>
          </w:tcPr>
          <w:p>
            <w:pPr>
              <w:spacing w:line="360" w:lineRule="auto"/>
              <w:jc w:val="center"/>
              <w:rPr>
                <w:rFonts w:ascii="宋体" w:hAnsi="宋体" w:hint="eastAsia"/>
                <w:color w:val="000000"/>
                <w:sz w:val="24"/>
              </w:rPr>
            </w:pPr>
            <w:r>
              <w:rPr>
                <w:rFonts w:ascii="宋体" w:hAnsi="宋体" w:hint="eastAsia"/>
                <w:color w:val="000000"/>
                <w:sz w:val="24"/>
              </w:rPr>
              <w:t>较强</w:t>
            </w:r>
          </w:p>
        </w:tc>
        <w:tc>
          <w:tcPr>
            <w:tcW w:w="6714" w:type="dxa"/>
          </w:tcPr>
          <w:p>
            <w:pPr>
              <w:spacing w:line="360" w:lineRule="auto"/>
              <w:jc w:val="center"/>
              <w:rPr>
                <w:rFonts w:ascii="宋体" w:hAnsi="宋体" w:hint="eastAsia"/>
                <w:color w:val="000000"/>
                <w:sz w:val="24"/>
              </w:rPr>
            </w:pPr>
            <w:r>
              <w:rPr>
                <w:rFonts w:ascii="宋体" w:hAnsi="宋体" w:hint="eastAsia"/>
                <w:color w:val="000000"/>
                <w:sz w:val="24"/>
              </w:rPr>
              <w:t>希望得到专业的物业管理服务，安全型规定较高</w:t>
            </w:r>
          </w:p>
        </w:tc>
      </w:tr>
      <w:tr>
        <w:tblPrEx>
          <w:jc w:val="center"/>
          <w:tblLayout w:type="fixed"/>
          <w:tblCellMar>
            <w:top w:w="0" w:type="dxa"/>
            <w:left w:w="108" w:type="dxa"/>
            <w:bottom w:w="0" w:type="dxa"/>
            <w:right w:w="108" w:type="dxa"/>
          </w:tblCellMar>
          <w:tblLook w:val="0000"/>
        </w:tblPrEx>
        <w:trPr>
          <w:jc w:val="center"/>
        </w:trPr>
        <w:tc>
          <w:tcPr>
            <w:tcW w:w="2837" w:type="dxa"/>
          </w:tcPr>
          <w:p>
            <w:pPr>
              <w:spacing w:line="360" w:lineRule="auto"/>
              <w:ind w:firstLine="840" w:firstLineChars="350"/>
              <w:rPr>
                <w:rFonts w:ascii="宋体" w:hAnsi="宋体" w:hint="eastAsia"/>
                <w:color w:val="000000"/>
                <w:sz w:val="24"/>
              </w:rPr>
            </w:pPr>
            <w:r>
              <w:rPr>
                <w:rFonts w:ascii="宋体" w:hAnsi="宋体" w:hint="eastAsia"/>
                <w:color w:val="000000"/>
                <w:sz w:val="24"/>
              </w:rPr>
              <w:t>工程进度</w:t>
            </w:r>
          </w:p>
        </w:tc>
        <w:tc>
          <w:tcPr>
            <w:tcW w:w="2880" w:type="dxa"/>
          </w:tcPr>
          <w:p>
            <w:pPr>
              <w:spacing w:line="360" w:lineRule="auto"/>
              <w:jc w:val="center"/>
              <w:rPr>
                <w:rFonts w:ascii="宋体" w:hAnsi="宋体" w:hint="eastAsia"/>
                <w:color w:val="000000"/>
                <w:sz w:val="24"/>
              </w:rPr>
            </w:pPr>
            <w:r>
              <w:rPr>
                <w:rFonts w:ascii="宋体" w:hAnsi="宋体" w:hint="eastAsia"/>
                <w:color w:val="000000"/>
                <w:sz w:val="24"/>
              </w:rPr>
              <w:t xml:space="preserve">一般 </w:t>
            </w:r>
          </w:p>
        </w:tc>
        <w:tc>
          <w:tcPr>
            <w:tcW w:w="6714" w:type="dxa"/>
          </w:tcPr>
          <w:p>
            <w:pPr>
              <w:spacing w:line="360" w:lineRule="auto"/>
              <w:jc w:val="center"/>
              <w:rPr>
                <w:rFonts w:ascii="宋体" w:hAnsi="宋体" w:hint="eastAsia"/>
                <w:color w:val="000000"/>
                <w:sz w:val="24"/>
              </w:rPr>
            </w:pPr>
            <w:r>
              <w:rPr>
                <w:rFonts w:ascii="宋体" w:hAnsi="宋体" w:hint="eastAsia"/>
                <w:color w:val="000000"/>
                <w:sz w:val="24"/>
              </w:rPr>
              <w:t>希望是现房，或者是准现房</w:t>
            </w:r>
          </w:p>
        </w:tc>
      </w:tr>
      <w:tr>
        <w:tblPrEx>
          <w:jc w:val="center"/>
          <w:tblLayout w:type="fixed"/>
          <w:tblCellMar>
            <w:top w:w="0" w:type="dxa"/>
            <w:left w:w="108" w:type="dxa"/>
            <w:bottom w:w="0" w:type="dxa"/>
            <w:right w:w="108" w:type="dxa"/>
          </w:tblCellMar>
          <w:tblLook w:val="0000"/>
        </w:tblPrEx>
        <w:trPr>
          <w:jc w:val="center"/>
        </w:trPr>
        <w:tc>
          <w:tcPr>
            <w:tcW w:w="2837" w:type="dxa"/>
          </w:tcPr>
          <w:p>
            <w:pPr>
              <w:spacing w:line="360" w:lineRule="auto"/>
              <w:jc w:val="center"/>
              <w:rPr>
                <w:rFonts w:ascii="宋体" w:hAnsi="宋体" w:hint="eastAsia"/>
                <w:color w:val="000000"/>
                <w:sz w:val="24"/>
              </w:rPr>
            </w:pPr>
            <w:r>
              <w:rPr>
                <w:rFonts w:ascii="宋体" w:hAnsi="宋体" w:hint="eastAsia"/>
                <w:color w:val="000000"/>
                <w:sz w:val="24"/>
              </w:rPr>
              <w:t>发展商形象</w:t>
            </w:r>
          </w:p>
        </w:tc>
        <w:tc>
          <w:tcPr>
            <w:tcW w:w="2880" w:type="dxa"/>
          </w:tcPr>
          <w:p>
            <w:pPr>
              <w:spacing w:line="360" w:lineRule="auto"/>
              <w:jc w:val="center"/>
              <w:rPr>
                <w:rFonts w:ascii="宋体" w:hAnsi="宋体" w:hint="eastAsia"/>
                <w:color w:val="000000"/>
                <w:sz w:val="24"/>
              </w:rPr>
            </w:pPr>
            <w:r>
              <w:rPr>
                <w:rFonts w:ascii="宋体" w:hAnsi="宋体" w:hint="eastAsia"/>
                <w:color w:val="000000"/>
                <w:sz w:val="24"/>
              </w:rPr>
              <w:t>一般</w:t>
            </w:r>
          </w:p>
        </w:tc>
        <w:tc>
          <w:tcPr>
            <w:tcW w:w="6714" w:type="dxa"/>
          </w:tcPr>
          <w:p>
            <w:pPr>
              <w:spacing w:line="360" w:lineRule="auto"/>
              <w:jc w:val="center"/>
              <w:rPr>
                <w:rFonts w:ascii="宋体" w:hAnsi="宋体" w:hint="eastAsia"/>
                <w:color w:val="000000"/>
                <w:sz w:val="24"/>
              </w:rPr>
            </w:pPr>
            <w:r>
              <w:rPr>
                <w:rFonts w:ascii="宋体" w:hAnsi="宋体" w:hint="eastAsia"/>
                <w:color w:val="000000"/>
                <w:sz w:val="24"/>
              </w:rPr>
              <w:t>品牌开发商号召力强些</w:t>
            </w:r>
          </w:p>
        </w:tc>
      </w:tr>
      <w:tr>
        <w:tblPrEx>
          <w:jc w:val="center"/>
          <w:tblLayout w:type="fixed"/>
          <w:tblCellMar>
            <w:top w:w="0" w:type="dxa"/>
            <w:left w:w="108" w:type="dxa"/>
            <w:bottom w:w="0" w:type="dxa"/>
            <w:right w:w="108" w:type="dxa"/>
          </w:tblCellMar>
          <w:tblLook w:val="0000"/>
        </w:tblPrEx>
        <w:trPr>
          <w:jc w:val="center"/>
        </w:trPr>
        <w:tc>
          <w:tcPr>
            <w:tcW w:w="2837" w:type="dxa"/>
          </w:tcPr>
          <w:p>
            <w:pPr>
              <w:spacing w:line="360" w:lineRule="auto"/>
              <w:jc w:val="center"/>
              <w:rPr>
                <w:rFonts w:ascii="宋体" w:hAnsi="宋体" w:hint="eastAsia"/>
                <w:color w:val="000000"/>
                <w:sz w:val="24"/>
              </w:rPr>
            </w:pPr>
            <w:r>
              <w:rPr>
                <w:rFonts w:ascii="宋体" w:hAnsi="宋体" w:hint="eastAsia"/>
                <w:color w:val="000000"/>
                <w:sz w:val="24"/>
              </w:rPr>
              <w:t>广告模式</w:t>
            </w:r>
          </w:p>
        </w:tc>
        <w:tc>
          <w:tcPr>
            <w:tcW w:w="2880" w:type="dxa"/>
          </w:tcPr>
          <w:p>
            <w:pPr>
              <w:spacing w:line="360" w:lineRule="auto"/>
              <w:jc w:val="center"/>
              <w:rPr>
                <w:rFonts w:ascii="宋体" w:hAnsi="宋体" w:hint="eastAsia"/>
                <w:color w:val="000000"/>
                <w:sz w:val="24"/>
              </w:rPr>
            </w:pPr>
            <w:r>
              <w:rPr>
                <w:rFonts w:ascii="宋体" w:hAnsi="宋体" w:hint="eastAsia"/>
                <w:color w:val="000000"/>
                <w:sz w:val="24"/>
              </w:rPr>
              <w:t>一般</w:t>
            </w:r>
          </w:p>
        </w:tc>
        <w:tc>
          <w:tcPr>
            <w:tcW w:w="6714" w:type="dxa"/>
          </w:tcPr>
          <w:p>
            <w:pPr>
              <w:spacing w:line="360" w:lineRule="auto"/>
              <w:jc w:val="center"/>
              <w:rPr>
                <w:rFonts w:ascii="宋体" w:hAnsi="宋体" w:hint="eastAsia"/>
                <w:color w:val="000000"/>
                <w:sz w:val="24"/>
              </w:rPr>
            </w:pPr>
            <w:r>
              <w:rPr>
                <w:rFonts w:ascii="宋体" w:hAnsi="宋体" w:hint="eastAsia"/>
                <w:color w:val="000000"/>
                <w:sz w:val="24"/>
              </w:rPr>
              <w:t>一般都是看广告后才买房</w:t>
            </w:r>
          </w:p>
        </w:tc>
      </w:tr>
      <w:tr>
        <w:tblPrEx>
          <w:jc w:val="center"/>
          <w:tblLayout w:type="fixed"/>
          <w:tblCellMar>
            <w:top w:w="0" w:type="dxa"/>
            <w:left w:w="108" w:type="dxa"/>
            <w:bottom w:w="0" w:type="dxa"/>
            <w:right w:w="108" w:type="dxa"/>
          </w:tblCellMar>
          <w:tblLook w:val="0000"/>
        </w:tblPrEx>
        <w:trPr>
          <w:jc w:val="center"/>
        </w:trPr>
        <w:tc>
          <w:tcPr>
            <w:tcW w:w="2837" w:type="dxa"/>
          </w:tcPr>
          <w:p>
            <w:pPr>
              <w:spacing w:line="360" w:lineRule="auto"/>
              <w:jc w:val="center"/>
              <w:rPr>
                <w:rFonts w:ascii="宋体" w:hAnsi="宋体" w:hint="eastAsia"/>
                <w:color w:val="000000"/>
                <w:sz w:val="24"/>
              </w:rPr>
            </w:pPr>
            <w:r>
              <w:rPr>
                <w:rFonts w:ascii="宋体" w:hAnsi="宋体" w:hint="eastAsia"/>
                <w:color w:val="000000"/>
                <w:sz w:val="24"/>
              </w:rPr>
              <w:t>付款方式</w:t>
            </w:r>
          </w:p>
        </w:tc>
        <w:tc>
          <w:tcPr>
            <w:tcW w:w="2880" w:type="dxa"/>
          </w:tcPr>
          <w:p>
            <w:pPr>
              <w:spacing w:line="360" w:lineRule="auto"/>
              <w:jc w:val="center"/>
              <w:rPr>
                <w:rFonts w:ascii="宋体" w:hAnsi="宋体" w:hint="eastAsia"/>
                <w:color w:val="000000"/>
                <w:sz w:val="24"/>
              </w:rPr>
            </w:pPr>
            <w:r>
              <w:rPr>
                <w:rFonts w:ascii="宋体" w:hAnsi="宋体" w:hint="eastAsia"/>
                <w:color w:val="000000"/>
                <w:sz w:val="24"/>
              </w:rPr>
              <w:t>一般</w:t>
            </w:r>
          </w:p>
        </w:tc>
        <w:tc>
          <w:tcPr>
            <w:tcW w:w="6714" w:type="dxa"/>
          </w:tcPr>
          <w:p>
            <w:pPr>
              <w:spacing w:line="360" w:lineRule="auto"/>
              <w:jc w:val="center"/>
              <w:rPr>
                <w:rFonts w:ascii="宋体" w:hAnsi="宋体" w:hint="eastAsia"/>
                <w:color w:val="000000"/>
                <w:sz w:val="24"/>
              </w:rPr>
            </w:pPr>
            <w:r>
              <w:rPr>
                <w:rFonts w:ascii="宋体" w:hAnsi="宋体" w:hint="eastAsia"/>
                <w:color w:val="000000"/>
                <w:sz w:val="24"/>
              </w:rPr>
              <w:t>大多数规定是按揭的方式</w:t>
            </w:r>
          </w:p>
        </w:tc>
      </w:tr>
      <w:tr>
        <w:tblPrEx>
          <w:jc w:val="center"/>
          <w:tblLayout w:type="fixed"/>
          <w:tblCellMar>
            <w:top w:w="0" w:type="dxa"/>
            <w:left w:w="108" w:type="dxa"/>
            <w:bottom w:w="0" w:type="dxa"/>
            <w:right w:w="108" w:type="dxa"/>
          </w:tblCellMar>
          <w:tblLook w:val="0000"/>
        </w:tblPrEx>
        <w:trPr>
          <w:jc w:val="center"/>
        </w:trPr>
        <w:tc>
          <w:tcPr>
            <w:tcW w:w="2837" w:type="dxa"/>
          </w:tcPr>
          <w:p>
            <w:pPr>
              <w:spacing w:line="360" w:lineRule="auto"/>
              <w:jc w:val="center"/>
              <w:rPr>
                <w:rFonts w:ascii="宋体" w:hAnsi="宋体" w:hint="eastAsia"/>
                <w:color w:val="000000"/>
                <w:sz w:val="24"/>
              </w:rPr>
            </w:pPr>
            <w:r>
              <w:rPr>
                <w:rFonts w:ascii="宋体" w:hAnsi="宋体" w:hint="eastAsia"/>
                <w:color w:val="000000"/>
                <w:sz w:val="24"/>
              </w:rPr>
              <w:t>样板间</w:t>
            </w:r>
          </w:p>
        </w:tc>
        <w:tc>
          <w:tcPr>
            <w:tcW w:w="2880" w:type="dxa"/>
          </w:tcPr>
          <w:p>
            <w:pPr>
              <w:spacing w:line="360" w:lineRule="auto"/>
              <w:jc w:val="center"/>
              <w:rPr>
                <w:rFonts w:ascii="宋体" w:hAnsi="宋体" w:hint="eastAsia"/>
                <w:color w:val="000000"/>
                <w:sz w:val="24"/>
              </w:rPr>
            </w:pPr>
            <w:r>
              <w:rPr>
                <w:rFonts w:ascii="宋体" w:hAnsi="宋体" w:hint="eastAsia"/>
                <w:color w:val="000000"/>
                <w:sz w:val="24"/>
              </w:rPr>
              <w:t>一般</w:t>
            </w:r>
          </w:p>
        </w:tc>
        <w:tc>
          <w:tcPr>
            <w:tcW w:w="6714" w:type="dxa"/>
          </w:tcPr>
          <w:p>
            <w:pPr>
              <w:spacing w:line="360" w:lineRule="auto"/>
              <w:jc w:val="center"/>
              <w:rPr>
                <w:rFonts w:ascii="宋体" w:hAnsi="宋体" w:hint="eastAsia"/>
                <w:color w:val="000000"/>
                <w:sz w:val="24"/>
              </w:rPr>
            </w:pPr>
            <w:r>
              <w:rPr>
                <w:rFonts w:ascii="宋体" w:hAnsi="宋体" w:hint="eastAsia"/>
                <w:color w:val="000000"/>
                <w:sz w:val="24"/>
              </w:rPr>
              <w:t>样板房能给购房者以更好的想想空间</w:t>
            </w:r>
          </w:p>
        </w:tc>
      </w:tr>
      <w:tr>
        <w:tblPrEx>
          <w:jc w:val="center"/>
          <w:tblLayout w:type="fixed"/>
          <w:tblCellMar>
            <w:top w:w="0" w:type="dxa"/>
            <w:left w:w="108" w:type="dxa"/>
            <w:bottom w:w="0" w:type="dxa"/>
            <w:right w:w="108" w:type="dxa"/>
          </w:tblCellMar>
          <w:tblLook w:val="0000"/>
        </w:tblPrEx>
        <w:trPr>
          <w:jc w:val="center"/>
        </w:trPr>
        <w:tc>
          <w:tcPr>
            <w:tcW w:w="2837" w:type="dxa"/>
          </w:tcPr>
          <w:p>
            <w:pPr>
              <w:spacing w:line="360" w:lineRule="auto"/>
              <w:jc w:val="center"/>
              <w:rPr>
                <w:rFonts w:ascii="宋体" w:hAnsi="宋体" w:hint="eastAsia"/>
                <w:color w:val="000000"/>
                <w:sz w:val="24"/>
              </w:rPr>
            </w:pPr>
            <w:r>
              <w:rPr>
                <w:rFonts w:ascii="宋体" w:hAnsi="宋体" w:hint="eastAsia"/>
                <w:color w:val="000000"/>
                <w:sz w:val="24"/>
              </w:rPr>
              <w:t>法律条文</w:t>
            </w:r>
          </w:p>
        </w:tc>
        <w:tc>
          <w:tcPr>
            <w:tcW w:w="2880" w:type="dxa"/>
          </w:tcPr>
          <w:p>
            <w:pPr>
              <w:spacing w:line="360" w:lineRule="auto"/>
              <w:jc w:val="center"/>
              <w:rPr>
                <w:rFonts w:ascii="宋体" w:hAnsi="宋体" w:hint="eastAsia"/>
                <w:color w:val="000000"/>
                <w:sz w:val="24"/>
              </w:rPr>
            </w:pPr>
            <w:r>
              <w:rPr>
                <w:rFonts w:ascii="宋体" w:hAnsi="宋体" w:hint="eastAsia"/>
                <w:color w:val="000000"/>
                <w:sz w:val="24"/>
              </w:rPr>
              <w:t>一般</w:t>
            </w:r>
          </w:p>
        </w:tc>
        <w:tc>
          <w:tcPr>
            <w:tcW w:w="6714" w:type="dxa"/>
          </w:tcPr>
          <w:p>
            <w:pPr>
              <w:spacing w:line="360" w:lineRule="auto"/>
              <w:jc w:val="center"/>
              <w:rPr>
                <w:rFonts w:ascii="宋体" w:hAnsi="宋体" w:hint="eastAsia"/>
                <w:color w:val="000000"/>
                <w:sz w:val="24"/>
              </w:rPr>
            </w:pPr>
            <w:r>
              <w:rPr>
                <w:rFonts w:ascii="宋体" w:hAnsi="宋体" w:hint="eastAsia"/>
                <w:color w:val="000000"/>
                <w:sz w:val="24"/>
              </w:rPr>
              <w:t>希望购房在法律没有任何问题：销售许可证、预售证等等</w:t>
            </w:r>
          </w:p>
        </w:tc>
      </w:tr>
    </w:tbl>
    <w:p>
      <w:pPr>
        <w:numPr>
          <w:ilvl w:val="0"/>
          <w:numId w:val="4"/>
        </w:numPr>
        <w:spacing w:line="500" w:lineRule="auto"/>
        <w:rPr>
          <w:rFonts w:ascii="宋体" w:hAnsi="宋体" w:hint="eastAsia"/>
          <w:b/>
          <w:color w:val="000000"/>
          <w:sz w:val="24"/>
        </w:rPr>
      </w:pPr>
      <w:r>
        <w:rPr>
          <w:rFonts w:ascii="宋体" w:hAnsi="宋体" w:hint="eastAsia"/>
          <w:b/>
          <w:color w:val="000000"/>
          <w:sz w:val="24"/>
        </w:rPr>
        <w:t>具体户型面积偏好：</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17"/>
        <w:gridCol w:w="2700"/>
        <w:gridCol w:w="761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117" w:type="dxa"/>
          </w:tcPr>
          <w:p>
            <w:pPr>
              <w:spacing w:line="360" w:lineRule="auto"/>
              <w:jc w:val="center"/>
              <w:rPr>
                <w:rFonts w:ascii="宋体" w:hAnsi="宋体" w:hint="eastAsia"/>
                <w:color w:val="000000"/>
                <w:sz w:val="24"/>
              </w:rPr>
            </w:pPr>
            <w:r>
              <w:rPr>
                <w:rFonts w:ascii="宋体" w:hAnsi="宋体" w:hint="eastAsia"/>
                <w:color w:val="000000"/>
                <w:sz w:val="24"/>
              </w:rPr>
              <w:t>一房</w:t>
            </w:r>
          </w:p>
        </w:tc>
        <w:tc>
          <w:tcPr>
            <w:tcW w:w="2700" w:type="dxa"/>
          </w:tcPr>
          <w:p>
            <w:pPr>
              <w:spacing w:line="360" w:lineRule="auto"/>
              <w:jc w:val="center"/>
              <w:rPr>
                <w:rFonts w:ascii="宋体" w:hAnsi="宋体" w:hint="eastAsia"/>
                <w:color w:val="000000"/>
                <w:sz w:val="24"/>
              </w:rPr>
            </w:pPr>
            <w:r>
              <w:rPr>
                <w:rFonts w:ascii="宋体" w:hAnsi="宋体" w:hint="eastAsia"/>
                <w:color w:val="000000"/>
                <w:sz w:val="24"/>
              </w:rPr>
              <w:t>50㎡-90㎡</w:t>
            </w:r>
          </w:p>
        </w:tc>
        <w:tc>
          <w:tcPr>
            <w:tcW w:w="7614" w:type="dxa"/>
          </w:tcPr>
          <w:p>
            <w:pPr>
              <w:spacing w:line="360" w:lineRule="auto"/>
              <w:jc w:val="center"/>
              <w:rPr>
                <w:rFonts w:ascii="宋体" w:hAnsi="宋体" w:hint="eastAsia"/>
                <w:color w:val="000000"/>
                <w:sz w:val="24"/>
              </w:rPr>
            </w:pPr>
            <w:r>
              <w:rPr>
                <w:rFonts w:ascii="宋体" w:hAnsi="宋体" w:hint="eastAsia"/>
                <w:color w:val="000000"/>
                <w:sz w:val="24"/>
              </w:rPr>
              <w:t>投资客、科技园内年轻白领</w:t>
            </w:r>
          </w:p>
        </w:tc>
      </w:tr>
      <w:tr>
        <w:tblPrEx>
          <w:jc w:val="center"/>
          <w:tblLayout w:type="fixed"/>
          <w:tblCellMar>
            <w:top w:w="0" w:type="dxa"/>
            <w:left w:w="108" w:type="dxa"/>
            <w:bottom w:w="0" w:type="dxa"/>
            <w:right w:w="108" w:type="dxa"/>
          </w:tblCellMar>
          <w:tblLook w:val="0000"/>
        </w:tblPrEx>
        <w:trPr>
          <w:jc w:val="center"/>
        </w:trPr>
        <w:tc>
          <w:tcPr>
            <w:tcW w:w="2117" w:type="dxa"/>
          </w:tcPr>
          <w:p>
            <w:pPr>
              <w:spacing w:line="360" w:lineRule="auto"/>
              <w:jc w:val="center"/>
              <w:rPr>
                <w:rFonts w:ascii="宋体" w:hAnsi="宋体" w:hint="eastAsia"/>
                <w:color w:val="000000"/>
                <w:sz w:val="24"/>
              </w:rPr>
            </w:pPr>
            <w:r>
              <w:rPr>
                <w:rFonts w:ascii="宋体" w:hAnsi="宋体" w:hint="eastAsia"/>
                <w:color w:val="000000"/>
                <w:sz w:val="24"/>
              </w:rPr>
              <w:t>二房</w:t>
            </w:r>
          </w:p>
        </w:tc>
        <w:tc>
          <w:tcPr>
            <w:tcW w:w="2700" w:type="dxa"/>
          </w:tcPr>
          <w:p>
            <w:pPr>
              <w:spacing w:line="360" w:lineRule="auto"/>
              <w:jc w:val="center"/>
              <w:rPr>
                <w:rFonts w:ascii="宋体" w:hAnsi="宋体" w:hint="eastAsia"/>
                <w:color w:val="000000"/>
                <w:sz w:val="24"/>
              </w:rPr>
            </w:pPr>
            <w:r>
              <w:rPr>
                <w:rFonts w:ascii="宋体" w:hAnsi="宋体" w:hint="eastAsia"/>
                <w:color w:val="000000"/>
                <w:sz w:val="24"/>
              </w:rPr>
              <w:t>90㎡-120㎡</w:t>
            </w:r>
          </w:p>
        </w:tc>
        <w:tc>
          <w:tcPr>
            <w:tcW w:w="7614" w:type="dxa"/>
          </w:tcPr>
          <w:p>
            <w:pPr>
              <w:spacing w:line="360" w:lineRule="auto"/>
              <w:jc w:val="center"/>
              <w:rPr>
                <w:rFonts w:ascii="宋体" w:hAnsi="宋体" w:hint="eastAsia"/>
                <w:color w:val="000000"/>
                <w:sz w:val="24"/>
              </w:rPr>
            </w:pPr>
            <w:r>
              <w:rPr>
                <w:rFonts w:ascii="宋体" w:hAnsi="宋体" w:hint="eastAsia"/>
                <w:color w:val="000000"/>
                <w:sz w:val="24"/>
              </w:rPr>
              <w:t>周边居民、投资客、企事业单位年轻职工、科技园内中高层管理人员</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 w:history="1">
        <w:r>
          <w:rPr>
            <w:rFonts w:ascii="SimSun" w:eastAsia="SimSun" w:hAnsi="SimSun" w:cs="SimSun"/>
            <w:b/>
            <w:bCs/>
            <w:color w:val="0000EE"/>
            <w:kern w:val="0"/>
            <w:sz w:val="30"/>
            <w:szCs w:val="30"/>
            <w:u w:val="single" w:color="0000EE"/>
          </w:rPr>
          <w:t>https://d.book118.com/008106014053006030</w:t>
        </w:r>
      </w:hyperlink>
    </w:p>
    <w:p/>
    <w:sectPr>
      <w:type w:val="nextPage"/>
      <w:pgSz w:w="16838" w:h="11906" w:orient="landscape"/>
      <w:pgMar w:top="1797" w:right="1440" w:bottom="1701" w:left="1440" w:header="851" w:footer="992" w:gutter="0"/>
      <w:pgNumType w:fmt="decimal" w:start="38"/>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Batang">
    <w:altName w:val="GulimChe"/>
    <w:panose1 w:val="02030600000101010101"/>
    <w:charset w:val="81"/>
    <w:family w:val="auto"/>
    <w:pitch w:val="default"/>
    <w:sig w:usb0="00000001" w:usb1="09060000" w:usb2="00000010" w:usb3="00000000" w:csb0="00080000"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楷体_GB2312">
    <w:panose1 w:val="02010609030101010101"/>
    <w:charset w:val="86"/>
    <w:family w:val="modern"/>
    <w:pitch w:val="default"/>
    <w:sig w:usb0="00000001" w:usb1="080E0000" w:usb2="00000000" w:usb3="00000000" w:csb0="00040000" w:csb1="00000000"/>
  </w:font>
  <w:font w:name="华文细黑">
    <w:altName w:val="黑体"/>
    <w:panose1 w:val="02010600040101010101"/>
    <w:charset w:val="86"/>
    <w:family w:val="auto"/>
    <w:pitch w:val="default"/>
    <w:sig w:usb0="00000287" w:usb1="080F0000" w:usb2="00000010" w:usb3="00000000" w:csb0="0004009F" w:csb1="00000000"/>
  </w:font>
  <w:font w:name="ˎ̥">
    <w:altName w:val="Times New Roman"/>
    <w:panose1 w:val="00000000000000000000"/>
    <w:charset w:val="00"/>
    <w:family w:val="roman"/>
    <w:pitch w:val="default"/>
    <w:sig w:usb0="00000000" w:usb1="00000000" w:usb2="00000000" w:usb3="00000000" w:csb0="00040001" w:csb1="00000000"/>
  </w:font>
  <w:font w:name="Dotum">
    <w:panose1 w:val="020B0600000101010101"/>
    <w:charset w:val="81"/>
    <w:family w:val="auto"/>
    <w:pitch w:val="default"/>
    <w:sig w:usb0="B00002AF" w:usb1="69D77CFB" w:usb2="00000030" w:usb3="00000000" w:csb0="4008009F" w:csb1="DFD70000"/>
  </w:font>
  <w:font w:name="GulimChe">
    <w:panose1 w:val="020B0609000101010101"/>
    <w:charset w:val="81"/>
    <w:family w:val="auto"/>
    <w:pitch w:val="default"/>
    <w:sig w:usb0="B00002AF" w:usb1="69D77CFB" w:usb2="00000030" w:usb3="00000000" w:csb0="4008009F" w:csb1="DFD7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bullet"/>
      <w:lvlText w:val=""/>
      <w:lvlJc w:val="left"/>
      <w:pPr>
        <w:tabs>
          <w:tab w:val="num" w:pos="892"/>
        </w:tabs>
        <w:ind w:left="892" w:hanging="420"/>
      </w:pPr>
      <w:rPr>
        <w:rFonts w:ascii="Wingdings" w:hAnsi="Wingdings" w:hint="default"/>
      </w:rPr>
    </w:lvl>
    <w:lvl w:ilvl="1">
      <w:start w:val="1"/>
      <w:numFmt w:val="bullet"/>
      <w:lvlText w:val=""/>
      <w:lvlJc w:val="left"/>
      <w:pPr>
        <w:tabs>
          <w:tab w:val="num" w:pos="1312"/>
        </w:tabs>
        <w:ind w:left="1312" w:hanging="420"/>
      </w:pPr>
      <w:rPr>
        <w:rFonts w:ascii="Wingdings" w:hAnsi="Wingdings" w:hint="default"/>
      </w:rPr>
    </w:lvl>
    <w:lvl w:ilvl="2">
      <w:start w:val="1"/>
      <w:numFmt w:val="bullet"/>
      <w:lvlText w:val=""/>
      <w:lvlJc w:val="left"/>
      <w:pPr>
        <w:tabs>
          <w:tab w:val="num" w:pos="1732"/>
        </w:tabs>
        <w:ind w:left="1732" w:hanging="420"/>
      </w:pPr>
      <w:rPr>
        <w:rFonts w:ascii="Wingdings" w:hAnsi="Wingdings" w:hint="default"/>
      </w:rPr>
    </w:lvl>
    <w:lvl w:ilvl="3">
      <w:start w:val="1"/>
      <w:numFmt w:val="bullet"/>
      <w:lvlText w:val=""/>
      <w:lvlJc w:val="left"/>
      <w:pPr>
        <w:tabs>
          <w:tab w:val="num" w:pos="2152"/>
        </w:tabs>
        <w:ind w:left="2152" w:hanging="420"/>
      </w:pPr>
      <w:rPr>
        <w:rFonts w:ascii="Wingdings" w:hAnsi="Wingdings" w:hint="default"/>
      </w:rPr>
    </w:lvl>
    <w:lvl w:ilvl="4">
      <w:start w:val="1"/>
      <w:numFmt w:val="bullet"/>
      <w:lvlText w:val=""/>
      <w:lvlJc w:val="left"/>
      <w:pPr>
        <w:tabs>
          <w:tab w:val="num" w:pos="2572"/>
        </w:tabs>
        <w:ind w:left="2572" w:hanging="420"/>
      </w:pPr>
      <w:rPr>
        <w:rFonts w:ascii="Wingdings" w:hAnsi="Wingdings" w:hint="default"/>
      </w:rPr>
    </w:lvl>
    <w:lvl w:ilvl="5">
      <w:start w:val="1"/>
      <w:numFmt w:val="bullet"/>
      <w:lvlText w:val=""/>
      <w:lvlJc w:val="left"/>
      <w:pPr>
        <w:tabs>
          <w:tab w:val="num" w:pos="2992"/>
        </w:tabs>
        <w:ind w:left="2992" w:hanging="420"/>
      </w:pPr>
      <w:rPr>
        <w:rFonts w:ascii="Wingdings" w:hAnsi="Wingdings" w:hint="default"/>
      </w:rPr>
    </w:lvl>
    <w:lvl w:ilvl="6">
      <w:start w:val="1"/>
      <w:numFmt w:val="bullet"/>
      <w:lvlText w:val=""/>
      <w:lvlJc w:val="left"/>
      <w:pPr>
        <w:tabs>
          <w:tab w:val="num" w:pos="3412"/>
        </w:tabs>
        <w:ind w:left="3412" w:hanging="420"/>
      </w:pPr>
      <w:rPr>
        <w:rFonts w:ascii="Wingdings" w:hAnsi="Wingdings" w:hint="default"/>
      </w:rPr>
    </w:lvl>
    <w:lvl w:ilvl="7">
      <w:start w:val="1"/>
      <w:numFmt w:val="bullet"/>
      <w:lvlText w:val=""/>
      <w:lvlJc w:val="left"/>
      <w:pPr>
        <w:tabs>
          <w:tab w:val="num" w:pos="3832"/>
        </w:tabs>
        <w:ind w:left="3832" w:hanging="420"/>
      </w:pPr>
      <w:rPr>
        <w:rFonts w:ascii="Wingdings" w:hAnsi="Wingdings" w:hint="default"/>
      </w:rPr>
    </w:lvl>
    <w:lvl w:ilvl="8">
      <w:start w:val="1"/>
      <w:numFmt w:val="bullet"/>
      <w:lvlText w:val=""/>
      <w:lvlJc w:val="left"/>
      <w:pPr>
        <w:tabs>
          <w:tab w:val="num" w:pos="4252"/>
        </w:tabs>
        <w:ind w:left="4252" w:hanging="420"/>
      </w:pPr>
      <w:rPr>
        <w:rFonts w:ascii="Wingdings" w:hAnsi="Wingdings" w:hint="default"/>
      </w:rPr>
    </w:lvl>
  </w:abstractNum>
  <w:abstractNum w:abstractNumId="1">
    <w:nsid w:val="00000004"/>
    <w:multiLevelType w:val="multilevel"/>
    <w:tmpl w:val="0000000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nsid w:val="0000000A"/>
    <w:multiLevelType w:val="multilevel"/>
    <w:tmpl w:val="0000000A"/>
    <w:lvl w:ilvl="0">
      <w:start w:val="1"/>
      <w:numFmt w:val="bullet"/>
      <w:lvlText w:val=""/>
      <w:lvlJc w:val="left"/>
      <w:pPr>
        <w:tabs>
          <w:tab w:val="num" w:pos="420"/>
        </w:tabs>
        <w:ind w:left="420" w:hanging="420"/>
      </w:pPr>
      <w:rPr>
        <w:rFonts w:ascii="Wingdings" w:hAnsi="Wingdings" w:hint="default"/>
        <w:color w:val="auto"/>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3">
    <w:nsid w:val="0000000D"/>
    <w:multiLevelType w:val="multilevel"/>
    <w:tmpl w:val="0000000D"/>
    <w:lvl w:ilvl="0">
      <w:start w:val="1"/>
      <w:numFmt w:val="bullet"/>
      <w:lvlText w:val=""/>
      <w:lvlJc w:val="left"/>
      <w:pPr>
        <w:tabs>
          <w:tab w:val="num" w:pos="420"/>
        </w:tabs>
        <w:ind w:left="420" w:hanging="420"/>
      </w:pPr>
      <w:rPr>
        <w:rFonts w:ascii="Wingdings" w:hAnsi="Wingding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E"/>
    <w:multiLevelType w:val="multilevel"/>
    <w:tmpl w:val="0000000E"/>
    <w:lvl w:ilvl="0">
      <w:start w:val="1"/>
      <w:numFmt w:val="bullet"/>
      <w:lvlText w:val=""/>
      <w:lvlJc w:val="left"/>
      <w:pPr>
        <w:tabs>
          <w:tab w:val="num" w:pos="864"/>
        </w:tabs>
        <w:ind w:left="864" w:hanging="420"/>
      </w:pPr>
      <w:rPr>
        <w:rFonts w:ascii="Wingdings" w:hAnsi="Wingdings" w:hint="default"/>
      </w:rPr>
    </w:lvl>
    <w:lvl w:ilvl="1">
      <w:start w:val="1"/>
      <w:numFmt w:val="bullet"/>
      <w:lvlText w:val=""/>
      <w:lvlJc w:val="left"/>
      <w:pPr>
        <w:tabs>
          <w:tab w:val="num" w:pos="1284"/>
        </w:tabs>
        <w:ind w:left="1284" w:hanging="420"/>
      </w:pPr>
      <w:rPr>
        <w:rFonts w:ascii="Wingdings" w:hAnsi="Wingdings" w:hint="default"/>
      </w:rPr>
    </w:lvl>
    <w:lvl w:ilvl="2">
      <w:start w:val="1"/>
      <w:numFmt w:val="bullet"/>
      <w:lvlText w:val=""/>
      <w:lvlJc w:val="left"/>
      <w:pPr>
        <w:tabs>
          <w:tab w:val="num" w:pos="1704"/>
        </w:tabs>
        <w:ind w:left="1704" w:hanging="420"/>
      </w:pPr>
      <w:rPr>
        <w:rFonts w:ascii="Wingdings" w:hAnsi="Wingdings" w:hint="default"/>
      </w:rPr>
    </w:lvl>
    <w:lvl w:ilvl="3">
      <w:start w:val="1"/>
      <w:numFmt w:val="bullet"/>
      <w:lvlText w:val=""/>
      <w:lvlJc w:val="left"/>
      <w:pPr>
        <w:tabs>
          <w:tab w:val="num" w:pos="2124"/>
        </w:tabs>
        <w:ind w:left="2124" w:hanging="420"/>
      </w:pPr>
      <w:rPr>
        <w:rFonts w:ascii="Wingdings" w:hAnsi="Wingdings" w:hint="default"/>
      </w:rPr>
    </w:lvl>
    <w:lvl w:ilvl="4">
      <w:start w:val="1"/>
      <w:numFmt w:val="bullet"/>
      <w:lvlText w:val=""/>
      <w:lvlJc w:val="left"/>
      <w:pPr>
        <w:tabs>
          <w:tab w:val="num" w:pos="2544"/>
        </w:tabs>
        <w:ind w:left="2544" w:hanging="420"/>
      </w:pPr>
      <w:rPr>
        <w:rFonts w:ascii="Wingdings" w:hAnsi="Wingdings" w:hint="default"/>
      </w:rPr>
    </w:lvl>
    <w:lvl w:ilvl="5">
      <w:start w:val="1"/>
      <w:numFmt w:val="bullet"/>
      <w:lvlText w:val=""/>
      <w:lvlJc w:val="left"/>
      <w:pPr>
        <w:tabs>
          <w:tab w:val="num" w:pos="2964"/>
        </w:tabs>
        <w:ind w:left="2964" w:hanging="420"/>
      </w:pPr>
      <w:rPr>
        <w:rFonts w:ascii="Wingdings" w:hAnsi="Wingdings" w:hint="default"/>
      </w:rPr>
    </w:lvl>
    <w:lvl w:ilvl="6">
      <w:start w:val="1"/>
      <w:numFmt w:val="bullet"/>
      <w:lvlText w:val=""/>
      <w:lvlJc w:val="left"/>
      <w:pPr>
        <w:tabs>
          <w:tab w:val="num" w:pos="3384"/>
        </w:tabs>
        <w:ind w:left="3384" w:hanging="420"/>
      </w:pPr>
      <w:rPr>
        <w:rFonts w:ascii="Wingdings" w:hAnsi="Wingdings" w:hint="default"/>
      </w:rPr>
    </w:lvl>
    <w:lvl w:ilvl="7">
      <w:start w:val="1"/>
      <w:numFmt w:val="bullet"/>
      <w:lvlText w:val=""/>
      <w:lvlJc w:val="left"/>
      <w:pPr>
        <w:tabs>
          <w:tab w:val="num" w:pos="3804"/>
        </w:tabs>
        <w:ind w:left="3804" w:hanging="420"/>
      </w:pPr>
      <w:rPr>
        <w:rFonts w:ascii="Wingdings" w:hAnsi="Wingdings" w:hint="default"/>
      </w:rPr>
    </w:lvl>
    <w:lvl w:ilvl="8">
      <w:start w:val="1"/>
      <w:numFmt w:val="bullet"/>
      <w:lvlText w:val=""/>
      <w:lvlJc w:val="left"/>
      <w:pPr>
        <w:tabs>
          <w:tab w:val="num" w:pos="4224"/>
        </w:tabs>
        <w:ind w:left="4224" w:hanging="420"/>
      </w:pPr>
      <w:rPr>
        <w:rFonts w:ascii="Wingdings" w:hAnsi="Wingdings" w:hint="default"/>
      </w:rPr>
    </w:lvl>
  </w:abstractNum>
  <w:abstractNum w:abstractNumId="5">
    <w:nsid w:val="0000000F"/>
    <w:multiLevelType w:val="multilevel"/>
    <w:tmpl w:val="0000000F"/>
    <w:lvl w:ilvl="0">
      <w:start w:val="1"/>
      <w:numFmt w:val="bullet"/>
      <w:lvlText w:val=""/>
      <w:lvlJc w:val="left"/>
      <w:pPr>
        <w:tabs>
          <w:tab w:val="num" w:pos="420"/>
        </w:tabs>
        <w:ind w:left="420" w:hanging="420"/>
      </w:pPr>
      <w:rPr>
        <w:rFonts w:ascii="Wingdings" w:hAnsi="Wingding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10"/>
    <w:multiLevelType w:val="multilevel"/>
    <w:tmpl w:val="00000010"/>
    <w:lvl w:ilvl="0">
      <w:start w:val="1"/>
      <w:numFmt w:val="bullet"/>
      <w:lvlText w:val=""/>
      <w:lvlJc w:val="left"/>
      <w:pPr>
        <w:tabs>
          <w:tab w:val="num" w:pos="1050"/>
        </w:tabs>
        <w:ind w:left="1050" w:hanging="420"/>
      </w:pPr>
      <w:rPr>
        <w:rFonts w:ascii="Wingdings" w:hAnsi="Wingdings" w:hint="default"/>
      </w:rPr>
    </w:lvl>
    <w:lvl w:ilvl="1">
      <w:start w:val="1"/>
      <w:numFmt w:val="bullet"/>
      <w:lvlText w:val=""/>
      <w:lvlJc w:val="left"/>
      <w:pPr>
        <w:tabs>
          <w:tab w:val="num" w:pos="1470"/>
        </w:tabs>
        <w:ind w:left="1470" w:hanging="420"/>
      </w:pPr>
      <w:rPr>
        <w:rFonts w:ascii="Wingdings" w:hAnsi="Wingdings" w:hint="default"/>
      </w:rPr>
    </w:lvl>
    <w:lvl w:ilvl="2">
      <w:start w:val="1"/>
      <w:numFmt w:val="bullet"/>
      <w:lvlText w:val=""/>
      <w:lvlJc w:val="left"/>
      <w:pPr>
        <w:tabs>
          <w:tab w:val="num" w:pos="1890"/>
        </w:tabs>
        <w:ind w:left="1890" w:hanging="420"/>
      </w:pPr>
      <w:rPr>
        <w:rFonts w:ascii="Wingdings" w:hAnsi="Wingdings" w:hint="default"/>
      </w:rPr>
    </w:lvl>
    <w:lvl w:ilvl="3">
      <w:start w:val="1"/>
      <w:numFmt w:val="bullet"/>
      <w:lvlText w:val=""/>
      <w:lvlJc w:val="left"/>
      <w:pPr>
        <w:tabs>
          <w:tab w:val="num" w:pos="2310"/>
        </w:tabs>
        <w:ind w:left="2310" w:hanging="420"/>
      </w:pPr>
      <w:rPr>
        <w:rFonts w:ascii="Wingdings" w:hAnsi="Wingdings" w:hint="default"/>
      </w:rPr>
    </w:lvl>
    <w:lvl w:ilvl="4">
      <w:start w:val="1"/>
      <w:numFmt w:val="bullet"/>
      <w:lvlText w:val=""/>
      <w:lvlJc w:val="left"/>
      <w:pPr>
        <w:tabs>
          <w:tab w:val="num" w:pos="2730"/>
        </w:tabs>
        <w:ind w:left="2730" w:hanging="420"/>
      </w:pPr>
      <w:rPr>
        <w:rFonts w:ascii="Wingdings" w:hAnsi="Wingdings" w:hint="default"/>
      </w:rPr>
    </w:lvl>
    <w:lvl w:ilvl="5">
      <w:start w:val="1"/>
      <w:numFmt w:val="bullet"/>
      <w:lvlText w:val=""/>
      <w:lvlJc w:val="left"/>
      <w:pPr>
        <w:tabs>
          <w:tab w:val="num" w:pos="3150"/>
        </w:tabs>
        <w:ind w:left="3150" w:hanging="420"/>
      </w:pPr>
      <w:rPr>
        <w:rFonts w:ascii="Wingdings" w:hAnsi="Wingdings" w:hint="default"/>
      </w:rPr>
    </w:lvl>
    <w:lvl w:ilvl="6">
      <w:start w:val="1"/>
      <w:numFmt w:val="bullet"/>
      <w:lvlText w:val=""/>
      <w:lvlJc w:val="left"/>
      <w:pPr>
        <w:tabs>
          <w:tab w:val="num" w:pos="3570"/>
        </w:tabs>
        <w:ind w:left="3570" w:hanging="420"/>
      </w:pPr>
      <w:rPr>
        <w:rFonts w:ascii="Wingdings" w:hAnsi="Wingdings" w:hint="default"/>
      </w:rPr>
    </w:lvl>
    <w:lvl w:ilvl="7">
      <w:start w:val="1"/>
      <w:numFmt w:val="bullet"/>
      <w:lvlText w:val=""/>
      <w:lvlJc w:val="left"/>
      <w:pPr>
        <w:tabs>
          <w:tab w:val="num" w:pos="3990"/>
        </w:tabs>
        <w:ind w:left="3990" w:hanging="420"/>
      </w:pPr>
      <w:rPr>
        <w:rFonts w:ascii="Wingdings" w:hAnsi="Wingdings" w:hint="default"/>
      </w:rPr>
    </w:lvl>
    <w:lvl w:ilvl="8">
      <w:start w:val="1"/>
      <w:numFmt w:val="bullet"/>
      <w:lvlText w:val=""/>
      <w:lvlJc w:val="left"/>
      <w:pPr>
        <w:tabs>
          <w:tab w:val="num" w:pos="4410"/>
        </w:tabs>
        <w:ind w:left="4410" w:hanging="420"/>
      </w:pPr>
      <w:rPr>
        <w:rFonts w:ascii="Wingdings" w:hAnsi="Wingdings" w:hint="default"/>
      </w:rPr>
    </w:lvl>
  </w:abstractNum>
  <w:abstractNum w:abstractNumId="7">
    <w:nsid w:val="00000011"/>
    <w:multiLevelType w:val="multilevel"/>
    <w:tmpl w:val="00000011"/>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bullet"/>
      <w:lvlText w:val=""/>
      <w:lvlJc w:val="left"/>
      <w:pPr>
        <w:tabs>
          <w:tab w:val="num" w:pos="1620"/>
        </w:tabs>
        <w:ind w:left="1620" w:hanging="420"/>
      </w:pPr>
      <w:rPr>
        <w:rFonts w:ascii="Wingdings" w:hAnsi="Wingdings" w:hint="default"/>
      </w:rPr>
    </w:lvl>
    <w:lvl w:ilvl="3">
      <w:start w:val="1"/>
      <w:numFmt w:val="bullet"/>
      <w:lvlText w:val=""/>
      <w:lvlJc w:val="left"/>
      <w:pPr>
        <w:tabs>
          <w:tab w:val="num" w:pos="2040"/>
        </w:tabs>
        <w:ind w:left="2040" w:hanging="420"/>
      </w:pPr>
      <w:rPr>
        <w:rFonts w:ascii="Wingdings" w:hAnsi="Wingdings" w:hint="default"/>
      </w:rPr>
    </w:lvl>
    <w:lvl w:ilvl="4">
      <w:start w:val="1"/>
      <w:numFmt w:val="bullet"/>
      <w:lvlText w:val=""/>
      <w:lvlJc w:val="left"/>
      <w:pPr>
        <w:tabs>
          <w:tab w:val="num" w:pos="2460"/>
        </w:tabs>
        <w:ind w:left="2460" w:hanging="420"/>
      </w:pPr>
      <w:rPr>
        <w:rFonts w:ascii="Wingdings" w:hAnsi="Wingdings" w:hint="default"/>
      </w:rPr>
    </w:lvl>
    <w:lvl w:ilvl="5">
      <w:start w:val="1"/>
      <w:numFmt w:val="bullet"/>
      <w:lvlText w:val=""/>
      <w:lvlJc w:val="left"/>
      <w:pPr>
        <w:tabs>
          <w:tab w:val="num" w:pos="2880"/>
        </w:tabs>
        <w:ind w:left="2880" w:hanging="420"/>
      </w:pPr>
      <w:rPr>
        <w:rFonts w:ascii="Wingdings" w:hAnsi="Wingdings" w:hint="default"/>
      </w:rPr>
    </w:lvl>
    <w:lvl w:ilvl="6">
      <w:start w:val="1"/>
      <w:numFmt w:val="bullet"/>
      <w:lvlText w:val=""/>
      <w:lvlJc w:val="left"/>
      <w:pPr>
        <w:tabs>
          <w:tab w:val="num" w:pos="3300"/>
        </w:tabs>
        <w:ind w:left="3300" w:hanging="420"/>
      </w:pPr>
      <w:rPr>
        <w:rFonts w:ascii="Wingdings" w:hAnsi="Wingdings" w:hint="default"/>
      </w:rPr>
    </w:lvl>
    <w:lvl w:ilvl="7">
      <w:start w:val="1"/>
      <w:numFmt w:val="bullet"/>
      <w:lvlText w:val=""/>
      <w:lvlJc w:val="left"/>
      <w:pPr>
        <w:tabs>
          <w:tab w:val="num" w:pos="3720"/>
        </w:tabs>
        <w:ind w:left="3720" w:hanging="420"/>
      </w:pPr>
      <w:rPr>
        <w:rFonts w:ascii="Wingdings" w:hAnsi="Wingdings" w:hint="default"/>
      </w:rPr>
    </w:lvl>
    <w:lvl w:ilvl="8">
      <w:start w:val="1"/>
      <w:numFmt w:val="bullet"/>
      <w:lvlText w:val=""/>
      <w:lvlJc w:val="left"/>
      <w:pPr>
        <w:tabs>
          <w:tab w:val="num" w:pos="4140"/>
        </w:tabs>
        <w:ind w:left="4140" w:hanging="420"/>
      </w:pPr>
      <w:rPr>
        <w:rFonts w:ascii="Wingdings" w:hAnsi="Wingdings" w:hint="default"/>
      </w:rPr>
    </w:lvl>
  </w:abstractNum>
  <w:abstractNum w:abstractNumId="8">
    <w:nsid w:val="00000012"/>
    <w:multiLevelType w:val="multilevel"/>
    <w:tmpl w:val="00000012"/>
    <w:lvl w:ilvl="0">
      <w:start w:val="4"/>
      <w:numFmt w:val="japaneseCounting"/>
      <w:lvlText w:val="第%1章"/>
      <w:lvlJc w:val="left"/>
      <w:pPr>
        <w:tabs>
          <w:tab w:val="num" w:pos="6155"/>
        </w:tabs>
        <w:ind w:left="6155" w:hanging="960"/>
      </w:pPr>
      <w:rPr>
        <w:rFonts w:hint="default"/>
      </w:rPr>
    </w:lvl>
    <w:lvl w:ilvl="1">
      <w:start w:val="1"/>
      <w:numFmt w:val="lowerLetter"/>
      <w:lvlText w:val="%2)"/>
      <w:lvlJc w:val="left"/>
      <w:pPr>
        <w:tabs>
          <w:tab w:val="num" w:pos="6035"/>
        </w:tabs>
        <w:ind w:left="6035" w:hanging="420"/>
      </w:pPr>
    </w:lvl>
    <w:lvl w:ilvl="2">
      <w:start w:val="1"/>
      <w:numFmt w:val="lowerRoman"/>
      <w:lvlText w:val="%3."/>
      <w:lvlJc w:val="right"/>
      <w:pPr>
        <w:tabs>
          <w:tab w:val="num" w:pos="6455"/>
        </w:tabs>
        <w:ind w:left="6455" w:hanging="420"/>
      </w:pPr>
    </w:lvl>
    <w:lvl w:ilvl="3">
      <w:start w:val="1"/>
      <w:numFmt w:val="decimal"/>
      <w:lvlText w:val="%4."/>
      <w:lvlJc w:val="left"/>
      <w:pPr>
        <w:tabs>
          <w:tab w:val="num" w:pos="6875"/>
        </w:tabs>
        <w:ind w:left="6875" w:hanging="420"/>
      </w:pPr>
    </w:lvl>
    <w:lvl w:ilvl="4">
      <w:start w:val="1"/>
      <w:numFmt w:val="lowerLetter"/>
      <w:lvlText w:val="%5)"/>
      <w:lvlJc w:val="left"/>
      <w:pPr>
        <w:tabs>
          <w:tab w:val="num" w:pos="7295"/>
        </w:tabs>
        <w:ind w:left="7295" w:hanging="420"/>
      </w:pPr>
    </w:lvl>
    <w:lvl w:ilvl="5">
      <w:start w:val="1"/>
      <w:numFmt w:val="lowerRoman"/>
      <w:lvlText w:val="%6."/>
      <w:lvlJc w:val="right"/>
      <w:pPr>
        <w:tabs>
          <w:tab w:val="num" w:pos="7715"/>
        </w:tabs>
        <w:ind w:left="7715" w:hanging="420"/>
      </w:pPr>
    </w:lvl>
    <w:lvl w:ilvl="6">
      <w:start w:val="1"/>
      <w:numFmt w:val="decimal"/>
      <w:lvlText w:val="%7."/>
      <w:lvlJc w:val="left"/>
      <w:pPr>
        <w:tabs>
          <w:tab w:val="num" w:pos="8135"/>
        </w:tabs>
        <w:ind w:left="8135" w:hanging="420"/>
      </w:pPr>
    </w:lvl>
    <w:lvl w:ilvl="7">
      <w:start w:val="1"/>
      <w:numFmt w:val="lowerLetter"/>
      <w:lvlText w:val="%8)"/>
      <w:lvlJc w:val="left"/>
      <w:pPr>
        <w:tabs>
          <w:tab w:val="num" w:pos="8555"/>
        </w:tabs>
        <w:ind w:left="8555" w:hanging="420"/>
      </w:pPr>
    </w:lvl>
    <w:lvl w:ilvl="8">
      <w:start w:val="1"/>
      <w:numFmt w:val="lowerRoman"/>
      <w:lvlText w:val="%9."/>
      <w:lvlJc w:val="right"/>
      <w:pPr>
        <w:tabs>
          <w:tab w:val="num" w:pos="8975"/>
        </w:tabs>
        <w:ind w:left="8975" w:hanging="420"/>
      </w:pPr>
    </w:lvl>
  </w:abstractNum>
  <w:abstractNum w:abstractNumId="9">
    <w:nsid w:val="00000013"/>
    <w:multiLevelType w:val="multilevel"/>
    <w:tmpl w:val="00000013"/>
    <w:lvl w:ilvl="0">
      <w:start w:val="1"/>
      <w:numFmt w:val="bullet"/>
      <w:lvlText w:val=""/>
      <w:lvlJc w:val="left"/>
      <w:pPr>
        <w:tabs>
          <w:tab w:val="num" w:pos="1680"/>
        </w:tabs>
        <w:ind w:left="1680" w:hanging="420"/>
      </w:pPr>
      <w:rPr>
        <w:rFonts w:ascii="Wingdings" w:hAnsi="Wingdings" w:hint="default"/>
        <w:sz w:val="28"/>
        <w:szCs w:val="28"/>
      </w:rPr>
    </w:lvl>
    <w:lvl w:ilvl="1">
      <w:start w:val="1"/>
      <w:numFmt w:val="lowerLetter"/>
      <w:lvlText w:val="%2)"/>
      <w:lvlJc w:val="left"/>
      <w:pPr>
        <w:tabs>
          <w:tab w:val="num" w:pos="2100"/>
        </w:tabs>
        <w:ind w:left="2100" w:hanging="420"/>
      </w:pPr>
      <w:rPr>
        <w:rFonts w:hint="default"/>
      </w:rPr>
    </w:lvl>
    <w:lvl w:ilvl="2">
      <w:start w:val="1"/>
      <w:numFmt w:val="bullet"/>
      <w:lvlText w:val=""/>
      <w:lvlJc w:val="left"/>
      <w:pPr>
        <w:tabs>
          <w:tab w:val="num" w:pos="2520"/>
        </w:tabs>
        <w:ind w:left="2520" w:hanging="420"/>
      </w:pPr>
      <w:rPr>
        <w:rFonts w:ascii="Wingdings" w:hAnsi="Wingdings" w:hint="default"/>
      </w:rPr>
    </w:lvl>
    <w:lvl w:ilvl="3">
      <w:start w:val="1"/>
      <w:numFmt w:val="bullet"/>
      <w:lvlText w:val=""/>
      <w:lvlJc w:val="left"/>
      <w:pPr>
        <w:tabs>
          <w:tab w:val="num" w:pos="2940"/>
        </w:tabs>
        <w:ind w:left="2940" w:hanging="420"/>
      </w:pPr>
      <w:rPr>
        <w:rFonts w:ascii="Wingdings" w:hAnsi="Wingdings" w:hint="default"/>
      </w:rPr>
    </w:lvl>
    <w:lvl w:ilvl="4">
      <w:start w:val="1"/>
      <w:numFmt w:val="bullet"/>
      <w:lvlText w:val=""/>
      <w:lvlJc w:val="left"/>
      <w:pPr>
        <w:tabs>
          <w:tab w:val="num" w:pos="3360"/>
        </w:tabs>
        <w:ind w:left="3360" w:hanging="420"/>
      </w:pPr>
      <w:rPr>
        <w:rFonts w:ascii="Wingdings" w:hAnsi="Wingdings" w:hint="default"/>
      </w:rPr>
    </w:lvl>
    <w:lvl w:ilvl="5">
      <w:start w:val="1"/>
      <w:numFmt w:val="bullet"/>
      <w:lvlText w:val=""/>
      <w:lvlJc w:val="left"/>
      <w:pPr>
        <w:tabs>
          <w:tab w:val="num" w:pos="3780"/>
        </w:tabs>
        <w:ind w:left="3780" w:hanging="420"/>
      </w:pPr>
      <w:rPr>
        <w:rFonts w:ascii="Wingdings" w:hAnsi="Wingdings" w:hint="default"/>
      </w:rPr>
    </w:lvl>
    <w:lvl w:ilvl="6">
      <w:start w:val="1"/>
      <w:numFmt w:val="bullet"/>
      <w:lvlText w:val=""/>
      <w:lvlJc w:val="left"/>
      <w:pPr>
        <w:tabs>
          <w:tab w:val="num" w:pos="4200"/>
        </w:tabs>
        <w:ind w:left="4200" w:hanging="420"/>
      </w:pPr>
      <w:rPr>
        <w:rFonts w:ascii="Wingdings" w:hAnsi="Wingdings" w:hint="default"/>
      </w:rPr>
    </w:lvl>
    <w:lvl w:ilvl="7">
      <w:start w:val="1"/>
      <w:numFmt w:val="bullet"/>
      <w:lvlText w:val=""/>
      <w:lvlJc w:val="left"/>
      <w:pPr>
        <w:tabs>
          <w:tab w:val="num" w:pos="4620"/>
        </w:tabs>
        <w:ind w:left="4620" w:hanging="420"/>
      </w:pPr>
      <w:rPr>
        <w:rFonts w:ascii="Wingdings" w:hAnsi="Wingdings" w:hint="default"/>
      </w:rPr>
    </w:lvl>
    <w:lvl w:ilvl="8">
      <w:start w:val="1"/>
      <w:numFmt w:val="bullet"/>
      <w:lvlText w:val=""/>
      <w:lvlJc w:val="left"/>
      <w:pPr>
        <w:tabs>
          <w:tab w:val="num" w:pos="5040"/>
        </w:tabs>
        <w:ind w:left="5040" w:hanging="420"/>
      </w:pPr>
      <w:rPr>
        <w:rFonts w:ascii="Wingdings" w:hAnsi="Wingdings" w:hint="default"/>
      </w:rPr>
    </w:lvl>
  </w:abstractNum>
  <w:abstractNum w:abstractNumId="10">
    <w:nsid w:val="00000014"/>
    <w:multiLevelType w:val="multilevel"/>
    <w:tmpl w:val="00000014"/>
    <w:lvl w:ilvl="0">
      <w:start w:val="1"/>
      <w:numFmt w:val="decimal"/>
      <w:lvlText w:val="%1."/>
      <w:lvlJc w:val="left"/>
      <w:pPr>
        <w:tabs>
          <w:tab w:val="num" w:pos="420"/>
        </w:tabs>
        <w:ind w:left="420" w:hanging="420"/>
      </w:pPr>
      <w:rPr>
        <w:b/>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00000015"/>
    <w:multiLevelType w:val="multilevel"/>
    <w:tmpl w:val="00000015"/>
    <w:lvl w:ilvl="0">
      <w:start w:val="1"/>
      <w:numFmt w:val="bullet"/>
      <w:lvlText w:val=""/>
      <w:lvlJc w:val="left"/>
      <w:pPr>
        <w:tabs>
          <w:tab w:val="num" w:pos="420"/>
        </w:tabs>
        <w:ind w:left="420" w:hanging="420"/>
      </w:pPr>
      <w:rPr>
        <w:rFonts w:ascii="Wingdings" w:hAnsi="Wingding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00000016"/>
    <w:multiLevelType w:val="multilevel"/>
    <w:tmpl w:val="00000016"/>
    <w:lvl w:ilvl="0">
      <w:start w:val="1"/>
      <w:numFmt w:val="bullet"/>
      <w:lvlText w:val=""/>
      <w:lvlJc w:val="left"/>
      <w:pPr>
        <w:tabs>
          <w:tab w:val="num" w:pos="1040"/>
        </w:tabs>
        <w:ind w:left="1040" w:hanging="420"/>
      </w:pPr>
      <w:rPr>
        <w:rFonts w:ascii="Wingdings" w:hAnsi="Wingdings" w:hint="default"/>
      </w:rPr>
    </w:lvl>
    <w:lvl w:ilvl="1">
      <w:start w:val="1"/>
      <w:numFmt w:val="bullet"/>
      <w:lvlText w:val=""/>
      <w:lvlJc w:val="left"/>
      <w:pPr>
        <w:tabs>
          <w:tab w:val="num" w:pos="1460"/>
        </w:tabs>
        <w:ind w:left="1460" w:hanging="420"/>
      </w:pPr>
      <w:rPr>
        <w:rFonts w:ascii="Wingdings" w:hAnsi="Wingdings" w:hint="default"/>
      </w:rPr>
    </w:lvl>
    <w:lvl w:ilvl="2">
      <w:start w:val="1"/>
      <w:numFmt w:val="bullet"/>
      <w:lvlText w:val=""/>
      <w:lvlJc w:val="left"/>
      <w:pPr>
        <w:tabs>
          <w:tab w:val="num" w:pos="1880"/>
        </w:tabs>
        <w:ind w:left="1880" w:hanging="420"/>
      </w:pPr>
      <w:rPr>
        <w:rFonts w:ascii="Wingdings" w:hAnsi="Wingdings" w:hint="default"/>
      </w:rPr>
    </w:lvl>
    <w:lvl w:ilvl="3">
      <w:start w:val="1"/>
      <w:numFmt w:val="bullet"/>
      <w:lvlText w:val=""/>
      <w:lvlJc w:val="left"/>
      <w:pPr>
        <w:tabs>
          <w:tab w:val="num" w:pos="2300"/>
        </w:tabs>
        <w:ind w:left="2300" w:hanging="420"/>
      </w:pPr>
      <w:rPr>
        <w:rFonts w:ascii="Wingdings" w:hAnsi="Wingdings" w:hint="default"/>
      </w:rPr>
    </w:lvl>
    <w:lvl w:ilvl="4">
      <w:start w:val="1"/>
      <w:numFmt w:val="bullet"/>
      <w:lvlText w:val=""/>
      <w:lvlJc w:val="left"/>
      <w:pPr>
        <w:tabs>
          <w:tab w:val="num" w:pos="2720"/>
        </w:tabs>
        <w:ind w:left="2720" w:hanging="420"/>
      </w:pPr>
      <w:rPr>
        <w:rFonts w:ascii="Wingdings" w:hAnsi="Wingdings" w:hint="default"/>
      </w:rPr>
    </w:lvl>
    <w:lvl w:ilvl="5">
      <w:start w:val="1"/>
      <w:numFmt w:val="bullet"/>
      <w:lvlText w:val=""/>
      <w:lvlJc w:val="left"/>
      <w:pPr>
        <w:tabs>
          <w:tab w:val="num" w:pos="3140"/>
        </w:tabs>
        <w:ind w:left="3140" w:hanging="420"/>
      </w:pPr>
      <w:rPr>
        <w:rFonts w:ascii="Wingdings" w:hAnsi="Wingdings" w:hint="default"/>
      </w:rPr>
    </w:lvl>
    <w:lvl w:ilvl="6">
      <w:start w:val="1"/>
      <w:numFmt w:val="bullet"/>
      <w:lvlText w:val=""/>
      <w:lvlJc w:val="left"/>
      <w:pPr>
        <w:tabs>
          <w:tab w:val="num" w:pos="3560"/>
        </w:tabs>
        <w:ind w:left="3560" w:hanging="420"/>
      </w:pPr>
      <w:rPr>
        <w:rFonts w:ascii="Wingdings" w:hAnsi="Wingdings" w:hint="default"/>
      </w:rPr>
    </w:lvl>
    <w:lvl w:ilvl="7">
      <w:start w:val="1"/>
      <w:numFmt w:val="bullet"/>
      <w:lvlText w:val=""/>
      <w:lvlJc w:val="left"/>
      <w:pPr>
        <w:tabs>
          <w:tab w:val="num" w:pos="3980"/>
        </w:tabs>
        <w:ind w:left="3980" w:hanging="420"/>
      </w:pPr>
      <w:rPr>
        <w:rFonts w:ascii="Wingdings" w:hAnsi="Wingdings" w:hint="default"/>
      </w:rPr>
    </w:lvl>
    <w:lvl w:ilvl="8">
      <w:start w:val="1"/>
      <w:numFmt w:val="bullet"/>
      <w:lvlText w:val=""/>
      <w:lvlJc w:val="left"/>
      <w:pPr>
        <w:tabs>
          <w:tab w:val="num" w:pos="4400"/>
        </w:tabs>
        <w:ind w:left="4400" w:hanging="420"/>
      </w:pPr>
      <w:rPr>
        <w:rFonts w:ascii="Wingdings" w:hAnsi="Wingdings" w:hint="default"/>
      </w:rPr>
    </w:lvl>
  </w:abstractNum>
  <w:abstractNum w:abstractNumId="13">
    <w:nsid w:val="00000017"/>
    <w:multiLevelType w:val="multilevel"/>
    <w:tmpl w:val="00000017"/>
    <w:lvl w:ilvl="0">
      <w:start w:val="1"/>
      <w:numFmt w:val="bullet"/>
      <w:lvlText w:val=""/>
      <w:lvlJc w:val="left"/>
      <w:pPr>
        <w:tabs>
          <w:tab w:val="num" w:pos="1320"/>
        </w:tabs>
        <w:ind w:left="1320" w:hanging="420"/>
      </w:pPr>
      <w:rPr>
        <w:rFonts w:ascii="Wingdings" w:hAnsi="Wingdings" w:hint="default"/>
      </w:rPr>
    </w:lvl>
    <w:lvl w:ilvl="1">
      <w:start w:val="1"/>
      <w:numFmt w:val="bullet"/>
      <w:lvlText w:val=""/>
      <w:lvlJc w:val="left"/>
      <w:pPr>
        <w:tabs>
          <w:tab w:val="num" w:pos="1740"/>
        </w:tabs>
        <w:ind w:left="1740" w:hanging="420"/>
      </w:pPr>
      <w:rPr>
        <w:rFonts w:ascii="Wingdings" w:hAnsi="Wingdings" w:hint="default"/>
      </w:rPr>
    </w:lvl>
    <w:lvl w:ilvl="2">
      <w:start w:val="1"/>
      <w:numFmt w:val="bullet"/>
      <w:lvlText w:val=""/>
      <w:lvlJc w:val="left"/>
      <w:pPr>
        <w:tabs>
          <w:tab w:val="num" w:pos="2160"/>
        </w:tabs>
        <w:ind w:left="2160" w:hanging="420"/>
      </w:pPr>
      <w:rPr>
        <w:rFonts w:ascii="Wingdings" w:hAnsi="Wingdings" w:hint="default"/>
      </w:rPr>
    </w:lvl>
    <w:lvl w:ilvl="3">
      <w:start w:val="1"/>
      <w:numFmt w:val="bullet"/>
      <w:lvlText w:val=""/>
      <w:lvlJc w:val="left"/>
      <w:pPr>
        <w:tabs>
          <w:tab w:val="num" w:pos="2580"/>
        </w:tabs>
        <w:ind w:left="2580" w:hanging="420"/>
      </w:pPr>
      <w:rPr>
        <w:rFonts w:ascii="Wingdings" w:hAnsi="Wingdings" w:hint="default"/>
      </w:rPr>
    </w:lvl>
    <w:lvl w:ilvl="4">
      <w:start w:val="1"/>
      <w:numFmt w:val="bullet"/>
      <w:lvlText w:val=""/>
      <w:lvlJc w:val="left"/>
      <w:pPr>
        <w:tabs>
          <w:tab w:val="num" w:pos="3000"/>
        </w:tabs>
        <w:ind w:left="3000" w:hanging="420"/>
      </w:pPr>
      <w:rPr>
        <w:rFonts w:ascii="Wingdings" w:hAnsi="Wingdings" w:hint="default"/>
      </w:rPr>
    </w:lvl>
    <w:lvl w:ilvl="5">
      <w:start w:val="1"/>
      <w:numFmt w:val="bullet"/>
      <w:lvlText w:val=""/>
      <w:lvlJc w:val="left"/>
      <w:pPr>
        <w:tabs>
          <w:tab w:val="num" w:pos="3420"/>
        </w:tabs>
        <w:ind w:left="3420" w:hanging="420"/>
      </w:pPr>
      <w:rPr>
        <w:rFonts w:ascii="Wingdings" w:hAnsi="Wingdings" w:hint="default"/>
      </w:rPr>
    </w:lvl>
    <w:lvl w:ilvl="6">
      <w:start w:val="1"/>
      <w:numFmt w:val="bullet"/>
      <w:lvlText w:val=""/>
      <w:lvlJc w:val="left"/>
      <w:pPr>
        <w:tabs>
          <w:tab w:val="num" w:pos="3840"/>
        </w:tabs>
        <w:ind w:left="3840" w:hanging="420"/>
      </w:pPr>
      <w:rPr>
        <w:rFonts w:ascii="Wingdings" w:hAnsi="Wingdings" w:hint="default"/>
      </w:rPr>
    </w:lvl>
    <w:lvl w:ilvl="7">
      <w:start w:val="1"/>
      <w:numFmt w:val="bullet"/>
      <w:lvlText w:val=""/>
      <w:lvlJc w:val="left"/>
      <w:pPr>
        <w:tabs>
          <w:tab w:val="num" w:pos="4260"/>
        </w:tabs>
        <w:ind w:left="4260" w:hanging="420"/>
      </w:pPr>
      <w:rPr>
        <w:rFonts w:ascii="Wingdings" w:hAnsi="Wingdings" w:hint="default"/>
      </w:rPr>
    </w:lvl>
    <w:lvl w:ilvl="8">
      <w:start w:val="1"/>
      <w:numFmt w:val="bullet"/>
      <w:lvlText w:val=""/>
      <w:lvlJc w:val="left"/>
      <w:pPr>
        <w:tabs>
          <w:tab w:val="num" w:pos="4680"/>
        </w:tabs>
        <w:ind w:left="4680" w:hanging="420"/>
      </w:pPr>
      <w:rPr>
        <w:rFonts w:ascii="Wingdings" w:hAnsi="Wingdings" w:hint="default"/>
      </w:rPr>
    </w:lvl>
  </w:abstractNum>
  <w:abstractNum w:abstractNumId="14">
    <w:nsid w:val="00000018"/>
    <w:multiLevelType w:val="multilevel"/>
    <w:tmpl w:val="00000018"/>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5">
    <w:nsid w:val="00000019"/>
    <w:multiLevelType w:val="multilevel"/>
    <w:tmpl w:val="00000019"/>
    <w:lvl w:ilvl="0">
      <w:start w:val="1"/>
      <w:numFmt w:val="bullet"/>
      <w:lvlText w:val=""/>
      <w:lvlJc w:val="left"/>
      <w:pPr>
        <w:tabs>
          <w:tab w:val="num" w:pos="439"/>
        </w:tabs>
        <w:ind w:left="439" w:hanging="420"/>
      </w:pPr>
      <w:rPr>
        <w:rFonts w:ascii="Wingdings" w:hAnsi="Wingdings" w:hint="default"/>
      </w:rPr>
    </w:lvl>
    <w:lvl w:ilvl="1">
      <w:start w:val="1"/>
      <w:numFmt w:val="bullet"/>
      <w:lvlText w:val=""/>
      <w:lvlJc w:val="left"/>
      <w:pPr>
        <w:tabs>
          <w:tab w:val="num" w:pos="859"/>
        </w:tabs>
        <w:ind w:left="859" w:hanging="420"/>
      </w:pPr>
      <w:rPr>
        <w:rFonts w:ascii="Wingdings" w:hAnsi="Wingdings" w:hint="default"/>
      </w:rPr>
    </w:lvl>
    <w:lvl w:ilvl="2">
      <w:start w:val="1"/>
      <w:numFmt w:val="bullet"/>
      <w:lvlText w:val=""/>
      <w:lvlJc w:val="left"/>
      <w:pPr>
        <w:tabs>
          <w:tab w:val="num" w:pos="1279"/>
        </w:tabs>
        <w:ind w:left="1279" w:hanging="420"/>
      </w:pPr>
      <w:rPr>
        <w:rFonts w:ascii="Wingdings" w:hAnsi="Wingdings" w:hint="default"/>
      </w:rPr>
    </w:lvl>
    <w:lvl w:ilvl="3">
      <w:start w:val="1"/>
      <w:numFmt w:val="bullet"/>
      <w:lvlText w:val=""/>
      <w:lvlJc w:val="left"/>
      <w:pPr>
        <w:tabs>
          <w:tab w:val="num" w:pos="1699"/>
        </w:tabs>
        <w:ind w:left="1699" w:hanging="420"/>
      </w:pPr>
      <w:rPr>
        <w:rFonts w:ascii="Wingdings" w:hAnsi="Wingdings" w:hint="default"/>
      </w:rPr>
    </w:lvl>
    <w:lvl w:ilvl="4">
      <w:start w:val="1"/>
      <w:numFmt w:val="bullet"/>
      <w:lvlText w:val=""/>
      <w:lvlJc w:val="left"/>
      <w:pPr>
        <w:tabs>
          <w:tab w:val="num" w:pos="2119"/>
        </w:tabs>
        <w:ind w:left="2119" w:hanging="420"/>
      </w:pPr>
      <w:rPr>
        <w:rFonts w:ascii="Wingdings" w:hAnsi="Wingdings" w:hint="default"/>
      </w:rPr>
    </w:lvl>
    <w:lvl w:ilvl="5">
      <w:start w:val="1"/>
      <w:numFmt w:val="bullet"/>
      <w:lvlText w:val=""/>
      <w:lvlJc w:val="left"/>
      <w:pPr>
        <w:tabs>
          <w:tab w:val="num" w:pos="2539"/>
        </w:tabs>
        <w:ind w:left="2539" w:hanging="420"/>
      </w:pPr>
      <w:rPr>
        <w:rFonts w:ascii="Wingdings" w:hAnsi="Wingdings" w:hint="default"/>
      </w:rPr>
    </w:lvl>
    <w:lvl w:ilvl="6">
      <w:start w:val="1"/>
      <w:numFmt w:val="bullet"/>
      <w:lvlText w:val=""/>
      <w:lvlJc w:val="left"/>
      <w:pPr>
        <w:tabs>
          <w:tab w:val="num" w:pos="2959"/>
        </w:tabs>
        <w:ind w:left="2959" w:hanging="420"/>
      </w:pPr>
      <w:rPr>
        <w:rFonts w:ascii="Wingdings" w:hAnsi="Wingdings" w:hint="default"/>
      </w:rPr>
    </w:lvl>
    <w:lvl w:ilvl="7">
      <w:start w:val="1"/>
      <w:numFmt w:val="bullet"/>
      <w:lvlText w:val=""/>
      <w:lvlJc w:val="left"/>
      <w:pPr>
        <w:tabs>
          <w:tab w:val="num" w:pos="3379"/>
        </w:tabs>
        <w:ind w:left="3379" w:hanging="420"/>
      </w:pPr>
      <w:rPr>
        <w:rFonts w:ascii="Wingdings" w:hAnsi="Wingdings" w:hint="default"/>
      </w:rPr>
    </w:lvl>
    <w:lvl w:ilvl="8">
      <w:start w:val="1"/>
      <w:numFmt w:val="bullet"/>
      <w:lvlText w:val=""/>
      <w:lvlJc w:val="left"/>
      <w:pPr>
        <w:tabs>
          <w:tab w:val="num" w:pos="3799"/>
        </w:tabs>
        <w:ind w:left="3799" w:hanging="420"/>
      </w:pPr>
      <w:rPr>
        <w:rFonts w:ascii="Wingdings" w:hAnsi="Wingdings" w:hint="default"/>
      </w:rPr>
    </w:lvl>
  </w:abstractNum>
  <w:abstractNum w:abstractNumId="16">
    <w:nsid w:val="0000001A"/>
    <w:multiLevelType w:val="multilevel"/>
    <w:tmpl w:val="0000001A"/>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7">
    <w:nsid w:val="0000001B"/>
    <w:multiLevelType w:val="multilevel"/>
    <w:tmpl w:val="0000001B"/>
    <w:lvl w:ilvl="0">
      <w:start w:val="1"/>
      <w:numFmt w:val="chineseCountingThousand"/>
      <w:suff w:val="nothing"/>
      <w:lvlText w:val="第%1章"/>
      <w:lvlJc w:val="left"/>
      <w:pPr>
        <w:ind w:left="7200" w:firstLine="0"/>
      </w:pPr>
    </w:lvl>
    <w:lvl w:ilvl="1">
      <w:start w:val="1"/>
      <w:numFmt w:val="none"/>
      <w:suff w:val="nothing"/>
      <w:lvlJc w:val="left"/>
      <w:pPr>
        <w:ind w:left="4860" w:firstLine="0"/>
      </w:pPr>
    </w:lvl>
    <w:lvl w:ilvl="2">
      <w:start w:val="1"/>
      <w:numFmt w:val="none"/>
      <w:suff w:val="nothing"/>
      <w:lvlJc w:val="left"/>
      <w:pPr>
        <w:ind w:left="4860" w:firstLine="0"/>
      </w:pPr>
    </w:lvl>
    <w:lvl w:ilvl="3">
      <w:start w:val="1"/>
      <w:numFmt w:val="none"/>
      <w:suff w:val="nothing"/>
      <w:lvlJc w:val="left"/>
      <w:pPr>
        <w:ind w:left="4860" w:firstLine="0"/>
      </w:pPr>
    </w:lvl>
    <w:lvl w:ilvl="4">
      <w:start w:val="1"/>
      <w:numFmt w:val="none"/>
      <w:suff w:val="nothing"/>
      <w:lvlJc w:val="left"/>
      <w:pPr>
        <w:ind w:left="4860" w:firstLine="0"/>
      </w:pPr>
    </w:lvl>
    <w:lvl w:ilvl="5">
      <w:start w:val="1"/>
      <w:numFmt w:val="none"/>
      <w:suff w:val="nothing"/>
      <w:lvlJc w:val="left"/>
      <w:pPr>
        <w:ind w:left="4860" w:firstLine="0"/>
      </w:pPr>
    </w:lvl>
    <w:lvl w:ilvl="6">
      <w:start w:val="1"/>
      <w:numFmt w:val="none"/>
      <w:suff w:val="nothing"/>
      <w:lvlJc w:val="left"/>
      <w:pPr>
        <w:ind w:left="4860" w:firstLine="0"/>
      </w:pPr>
    </w:lvl>
    <w:lvl w:ilvl="7">
      <w:start w:val="1"/>
      <w:numFmt w:val="none"/>
      <w:suff w:val="nothing"/>
      <w:lvlJc w:val="left"/>
      <w:pPr>
        <w:ind w:left="4860" w:firstLine="0"/>
      </w:pPr>
    </w:lvl>
    <w:lvl w:ilvl="8">
      <w:start w:val="1"/>
      <w:numFmt w:val="none"/>
      <w:suff w:val="nothing"/>
      <w:lvlJc w:val="left"/>
      <w:pPr>
        <w:ind w:left="4860" w:firstLine="0"/>
      </w:pPr>
    </w:lvl>
  </w:abstractNum>
  <w:abstractNum w:abstractNumId="18">
    <w:nsid w:val="0000001C"/>
    <w:multiLevelType w:val="multilevel"/>
    <w:tmpl w:val="0000001C"/>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bullet"/>
      <w:lvlText w:val=""/>
      <w:lvlJc w:val="left"/>
      <w:pPr>
        <w:tabs>
          <w:tab w:val="num" w:pos="1620"/>
        </w:tabs>
        <w:ind w:left="1620" w:hanging="420"/>
      </w:pPr>
      <w:rPr>
        <w:rFonts w:ascii="Wingdings" w:hAnsi="Wingdings" w:hint="default"/>
      </w:rPr>
    </w:lvl>
    <w:lvl w:ilvl="3">
      <w:start w:val="1"/>
      <w:numFmt w:val="bullet"/>
      <w:lvlText w:val=""/>
      <w:lvlJc w:val="left"/>
      <w:pPr>
        <w:tabs>
          <w:tab w:val="num" w:pos="2040"/>
        </w:tabs>
        <w:ind w:left="2040" w:hanging="420"/>
      </w:pPr>
      <w:rPr>
        <w:rFonts w:ascii="Wingdings" w:hAnsi="Wingdings" w:hint="default"/>
      </w:rPr>
    </w:lvl>
    <w:lvl w:ilvl="4">
      <w:start w:val="1"/>
      <w:numFmt w:val="bullet"/>
      <w:lvlText w:val=""/>
      <w:lvlJc w:val="left"/>
      <w:pPr>
        <w:tabs>
          <w:tab w:val="num" w:pos="2460"/>
        </w:tabs>
        <w:ind w:left="2460" w:hanging="420"/>
      </w:pPr>
      <w:rPr>
        <w:rFonts w:ascii="Wingdings" w:hAnsi="Wingdings" w:hint="default"/>
      </w:rPr>
    </w:lvl>
    <w:lvl w:ilvl="5">
      <w:start w:val="1"/>
      <w:numFmt w:val="bullet"/>
      <w:lvlText w:val=""/>
      <w:lvlJc w:val="left"/>
      <w:pPr>
        <w:tabs>
          <w:tab w:val="num" w:pos="2880"/>
        </w:tabs>
        <w:ind w:left="2880" w:hanging="420"/>
      </w:pPr>
      <w:rPr>
        <w:rFonts w:ascii="Wingdings" w:hAnsi="Wingdings" w:hint="default"/>
      </w:rPr>
    </w:lvl>
    <w:lvl w:ilvl="6">
      <w:start w:val="1"/>
      <w:numFmt w:val="bullet"/>
      <w:lvlText w:val=""/>
      <w:lvlJc w:val="left"/>
      <w:pPr>
        <w:tabs>
          <w:tab w:val="num" w:pos="3300"/>
        </w:tabs>
        <w:ind w:left="3300" w:hanging="420"/>
      </w:pPr>
      <w:rPr>
        <w:rFonts w:ascii="Wingdings" w:hAnsi="Wingdings" w:hint="default"/>
      </w:rPr>
    </w:lvl>
    <w:lvl w:ilvl="7">
      <w:start w:val="1"/>
      <w:numFmt w:val="bullet"/>
      <w:lvlText w:val=""/>
      <w:lvlJc w:val="left"/>
      <w:pPr>
        <w:tabs>
          <w:tab w:val="num" w:pos="3720"/>
        </w:tabs>
        <w:ind w:left="3720" w:hanging="420"/>
      </w:pPr>
      <w:rPr>
        <w:rFonts w:ascii="Wingdings" w:hAnsi="Wingdings" w:hint="default"/>
      </w:rPr>
    </w:lvl>
    <w:lvl w:ilvl="8">
      <w:start w:val="1"/>
      <w:numFmt w:val="bullet"/>
      <w:lvlText w:val=""/>
      <w:lvlJc w:val="left"/>
      <w:pPr>
        <w:tabs>
          <w:tab w:val="num" w:pos="4140"/>
        </w:tabs>
        <w:ind w:left="4140" w:hanging="420"/>
      </w:pPr>
      <w:rPr>
        <w:rFonts w:ascii="Wingdings" w:hAnsi="Wingdings" w:hint="default"/>
      </w:rPr>
    </w:lvl>
  </w:abstractNum>
  <w:abstractNum w:abstractNumId="19">
    <w:nsid w:val="0000001D"/>
    <w:multiLevelType w:val="multilevel"/>
    <w:tmpl w:val="0000001D"/>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780"/>
        </w:tabs>
        <w:ind w:left="780" w:hanging="420"/>
      </w:pPr>
      <w:rPr>
        <w:rFonts w:ascii="Wingdings" w:hAnsi="Wingdings" w:hint="default"/>
      </w:rPr>
    </w:lvl>
    <w:lvl w:ilvl="2">
      <w:start w:val="1"/>
      <w:numFmt w:val="bullet"/>
      <w:lvlText w:val=""/>
      <w:lvlJc w:val="left"/>
      <w:pPr>
        <w:tabs>
          <w:tab w:val="num" w:pos="1620"/>
        </w:tabs>
        <w:ind w:left="1620" w:hanging="420"/>
      </w:pPr>
      <w:rPr>
        <w:rFonts w:ascii="Wingdings" w:hAnsi="Wingdings" w:hint="default"/>
      </w:rPr>
    </w:lvl>
    <w:lvl w:ilvl="3">
      <w:start w:val="1"/>
      <w:numFmt w:val="bullet"/>
      <w:lvlText w:val=""/>
      <w:lvlJc w:val="left"/>
      <w:pPr>
        <w:tabs>
          <w:tab w:val="num" w:pos="2040"/>
        </w:tabs>
        <w:ind w:left="2040" w:hanging="420"/>
      </w:pPr>
      <w:rPr>
        <w:rFonts w:ascii="Wingdings" w:hAnsi="Wingdings" w:hint="default"/>
      </w:rPr>
    </w:lvl>
    <w:lvl w:ilvl="4">
      <w:start w:val="1"/>
      <w:numFmt w:val="bullet"/>
      <w:lvlText w:val=""/>
      <w:lvlJc w:val="left"/>
      <w:pPr>
        <w:tabs>
          <w:tab w:val="num" w:pos="2460"/>
        </w:tabs>
        <w:ind w:left="2460" w:hanging="420"/>
      </w:pPr>
      <w:rPr>
        <w:rFonts w:ascii="Wingdings" w:hAnsi="Wingdings" w:hint="default"/>
      </w:rPr>
    </w:lvl>
    <w:lvl w:ilvl="5">
      <w:start w:val="1"/>
      <w:numFmt w:val="bullet"/>
      <w:lvlText w:val=""/>
      <w:lvlJc w:val="left"/>
      <w:pPr>
        <w:tabs>
          <w:tab w:val="num" w:pos="2880"/>
        </w:tabs>
        <w:ind w:left="2880" w:hanging="420"/>
      </w:pPr>
      <w:rPr>
        <w:rFonts w:ascii="Wingdings" w:hAnsi="Wingdings" w:hint="default"/>
      </w:rPr>
    </w:lvl>
    <w:lvl w:ilvl="6">
      <w:start w:val="1"/>
      <w:numFmt w:val="bullet"/>
      <w:lvlText w:val=""/>
      <w:lvlJc w:val="left"/>
      <w:pPr>
        <w:tabs>
          <w:tab w:val="num" w:pos="3300"/>
        </w:tabs>
        <w:ind w:left="3300" w:hanging="420"/>
      </w:pPr>
      <w:rPr>
        <w:rFonts w:ascii="Wingdings" w:hAnsi="Wingdings" w:hint="default"/>
      </w:rPr>
    </w:lvl>
    <w:lvl w:ilvl="7">
      <w:start w:val="1"/>
      <w:numFmt w:val="bullet"/>
      <w:lvlText w:val=""/>
      <w:lvlJc w:val="left"/>
      <w:pPr>
        <w:tabs>
          <w:tab w:val="num" w:pos="3720"/>
        </w:tabs>
        <w:ind w:left="3720" w:hanging="420"/>
      </w:pPr>
      <w:rPr>
        <w:rFonts w:ascii="Wingdings" w:hAnsi="Wingdings" w:hint="default"/>
      </w:rPr>
    </w:lvl>
    <w:lvl w:ilvl="8">
      <w:start w:val="1"/>
      <w:numFmt w:val="bullet"/>
      <w:lvlText w:val=""/>
      <w:lvlJc w:val="left"/>
      <w:pPr>
        <w:tabs>
          <w:tab w:val="num" w:pos="4140"/>
        </w:tabs>
        <w:ind w:left="4140" w:hanging="420"/>
      </w:pPr>
      <w:rPr>
        <w:rFonts w:ascii="Wingdings" w:hAnsi="Wingdings" w:hint="default"/>
      </w:rPr>
    </w:lvl>
  </w:abstractNum>
  <w:abstractNum w:abstractNumId="20">
    <w:nsid w:val="0000001E"/>
    <w:multiLevelType w:val="multilevel"/>
    <w:tmpl w:val="0000001E"/>
    <w:lvl w:ilvl="0">
      <w:start w:val="1"/>
      <w:numFmt w:val="bullet"/>
      <w:lvlText w:val=""/>
      <w:lvlJc w:val="left"/>
      <w:pPr>
        <w:tabs>
          <w:tab w:val="num" w:pos="892"/>
        </w:tabs>
        <w:ind w:left="892" w:hanging="420"/>
      </w:pPr>
      <w:rPr>
        <w:rFonts w:ascii="Wingdings" w:hAnsi="Wingdings" w:hint="default"/>
      </w:rPr>
    </w:lvl>
    <w:lvl w:ilvl="1">
      <w:start w:val="1"/>
      <w:numFmt w:val="bullet"/>
      <w:lvlText w:val=""/>
      <w:lvlJc w:val="left"/>
      <w:pPr>
        <w:tabs>
          <w:tab w:val="num" w:pos="1312"/>
        </w:tabs>
        <w:ind w:left="1312" w:hanging="420"/>
      </w:pPr>
      <w:rPr>
        <w:rFonts w:ascii="Wingdings" w:hAnsi="Wingdings" w:hint="default"/>
      </w:rPr>
    </w:lvl>
    <w:lvl w:ilvl="2">
      <w:start w:val="1"/>
      <w:numFmt w:val="bullet"/>
      <w:lvlText w:val=""/>
      <w:lvlJc w:val="left"/>
      <w:pPr>
        <w:tabs>
          <w:tab w:val="num" w:pos="1732"/>
        </w:tabs>
        <w:ind w:left="1732" w:hanging="420"/>
      </w:pPr>
      <w:rPr>
        <w:rFonts w:ascii="Wingdings" w:hAnsi="Wingdings" w:hint="default"/>
      </w:rPr>
    </w:lvl>
    <w:lvl w:ilvl="3">
      <w:start w:val="1"/>
      <w:numFmt w:val="bullet"/>
      <w:lvlText w:val=""/>
      <w:lvlJc w:val="left"/>
      <w:pPr>
        <w:tabs>
          <w:tab w:val="num" w:pos="2152"/>
        </w:tabs>
        <w:ind w:left="2152" w:hanging="420"/>
      </w:pPr>
      <w:rPr>
        <w:rFonts w:ascii="Wingdings" w:hAnsi="Wingdings" w:hint="default"/>
      </w:rPr>
    </w:lvl>
    <w:lvl w:ilvl="4">
      <w:start w:val="1"/>
      <w:numFmt w:val="bullet"/>
      <w:lvlText w:val=""/>
      <w:lvlJc w:val="left"/>
      <w:pPr>
        <w:tabs>
          <w:tab w:val="num" w:pos="2572"/>
        </w:tabs>
        <w:ind w:left="2572" w:hanging="420"/>
      </w:pPr>
      <w:rPr>
        <w:rFonts w:ascii="Wingdings" w:hAnsi="Wingdings" w:hint="default"/>
      </w:rPr>
    </w:lvl>
    <w:lvl w:ilvl="5">
      <w:start w:val="1"/>
      <w:numFmt w:val="bullet"/>
      <w:lvlText w:val=""/>
      <w:lvlJc w:val="left"/>
      <w:pPr>
        <w:tabs>
          <w:tab w:val="num" w:pos="2992"/>
        </w:tabs>
        <w:ind w:left="2992" w:hanging="420"/>
      </w:pPr>
      <w:rPr>
        <w:rFonts w:ascii="Wingdings" w:hAnsi="Wingdings" w:hint="default"/>
      </w:rPr>
    </w:lvl>
    <w:lvl w:ilvl="6">
      <w:start w:val="1"/>
      <w:numFmt w:val="bullet"/>
      <w:lvlText w:val=""/>
      <w:lvlJc w:val="left"/>
      <w:pPr>
        <w:tabs>
          <w:tab w:val="num" w:pos="3412"/>
        </w:tabs>
        <w:ind w:left="3412" w:hanging="420"/>
      </w:pPr>
      <w:rPr>
        <w:rFonts w:ascii="Wingdings" w:hAnsi="Wingdings" w:hint="default"/>
      </w:rPr>
    </w:lvl>
    <w:lvl w:ilvl="7">
      <w:start w:val="1"/>
      <w:numFmt w:val="bullet"/>
      <w:lvlText w:val=""/>
      <w:lvlJc w:val="left"/>
      <w:pPr>
        <w:tabs>
          <w:tab w:val="num" w:pos="3832"/>
        </w:tabs>
        <w:ind w:left="3832" w:hanging="420"/>
      </w:pPr>
      <w:rPr>
        <w:rFonts w:ascii="Wingdings" w:hAnsi="Wingdings" w:hint="default"/>
      </w:rPr>
    </w:lvl>
    <w:lvl w:ilvl="8">
      <w:start w:val="1"/>
      <w:numFmt w:val="bullet"/>
      <w:lvlText w:val=""/>
      <w:lvlJc w:val="left"/>
      <w:pPr>
        <w:tabs>
          <w:tab w:val="num" w:pos="4252"/>
        </w:tabs>
        <w:ind w:left="4252" w:hanging="420"/>
      </w:pPr>
      <w:rPr>
        <w:rFonts w:ascii="Wingdings" w:hAnsi="Wingdings" w:hint="default"/>
      </w:rPr>
    </w:lvl>
  </w:abstractNum>
  <w:abstractNum w:abstractNumId="21">
    <w:nsid w:val="0000001F"/>
    <w:multiLevelType w:val="multilevel"/>
    <w:tmpl w:val="0000001F"/>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2">
    <w:nsid w:val="00000020"/>
    <w:multiLevelType w:val="multilevel"/>
    <w:tmpl w:val="0000002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00000021"/>
    <w:multiLevelType w:val="multilevel"/>
    <w:tmpl w:val="00000021"/>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4">
    <w:nsid w:val="00000022"/>
    <w:multiLevelType w:val="multilevel"/>
    <w:tmpl w:val="00000022"/>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5">
    <w:nsid w:val="00000023"/>
    <w:multiLevelType w:val="multilevel"/>
    <w:tmpl w:val="00000023"/>
    <w:lvl w:ilvl="0">
      <w:start w:val="1"/>
      <w:numFmt w:val="bullet"/>
      <w:lvlText w:val=""/>
      <w:lvlJc w:val="left"/>
      <w:pPr>
        <w:tabs>
          <w:tab w:val="num" w:pos="1320"/>
        </w:tabs>
        <w:ind w:left="1320" w:hanging="420"/>
      </w:pPr>
      <w:rPr>
        <w:rFonts w:ascii="Wingdings" w:hAnsi="Wingdings" w:hint="default"/>
      </w:rPr>
    </w:lvl>
    <w:lvl w:ilvl="1">
      <w:start w:val="1"/>
      <w:numFmt w:val="bullet"/>
      <w:lvlText w:val=""/>
      <w:lvlJc w:val="left"/>
      <w:pPr>
        <w:tabs>
          <w:tab w:val="num" w:pos="1380"/>
        </w:tabs>
        <w:ind w:left="1380" w:hanging="420"/>
      </w:pPr>
      <w:rPr>
        <w:rFonts w:ascii="Wingdings" w:hAnsi="Wingdings" w:hint="default"/>
      </w:rPr>
    </w:lvl>
    <w:lvl w:ilvl="2">
      <w:start w:val="1"/>
      <w:numFmt w:val="bullet"/>
      <w:lvlText w:val=""/>
      <w:lvlJc w:val="left"/>
      <w:pPr>
        <w:tabs>
          <w:tab w:val="num" w:pos="1800"/>
        </w:tabs>
        <w:ind w:left="1800" w:hanging="420"/>
      </w:pPr>
      <w:rPr>
        <w:rFonts w:ascii="Wingdings" w:hAnsi="Wingdings" w:hint="default"/>
      </w:rPr>
    </w:lvl>
    <w:lvl w:ilvl="3">
      <w:start w:val="1"/>
      <w:numFmt w:val="bullet"/>
      <w:lvlText w:val=""/>
      <w:lvlJc w:val="left"/>
      <w:pPr>
        <w:tabs>
          <w:tab w:val="num" w:pos="2220"/>
        </w:tabs>
        <w:ind w:left="2220" w:hanging="420"/>
      </w:pPr>
      <w:rPr>
        <w:rFonts w:ascii="Wingdings" w:hAnsi="Wingdings" w:hint="default"/>
      </w:rPr>
    </w:lvl>
    <w:lvl w:ilvl="4">
      <w:start w:val="1"/>
      <w:numFmt w:val="bullet"/>
      <w:lvlText w:val=""/>
      <w:lvlJc w:val="left"/>
      <w:pPr>
        <w:tabs>
          <w:tab w:val="num" w:pos="2640"/>
        </w:tabs>
        <w:ind w:left="2640" w:hanging="420"/>
      </w:pPr>
      <w:rPr>
        <w:rFonts w:ascii="Wingdings" w:hAnsi="Wingdings" w:hint="default"/>
      </w:rPr>
    </w:lvl>
    <w:lvl w:ilvl="5">
      <w:start w:val="1"/>
      <w:numFmt w:val="bullet"/>
      <w:lvlText w:val=""/>
      <w:lvlJc w:val="left"/>
      <w:pPr>
        <w:tabs>
          <w:tab w:val="num" w:pos="3060"/>
        </w:tabs>
        <w:ind w:left="3060" w:hanging="420"/>
      </w:pPr>
      <w:rPr>
        <w:rFonts w:ascii="Wingdings" w:hAnsi="Wingdings" w:hint="default"/>
      </w:rPr>
    </w:lvl>
    <w:lvl w:ilvl="6">
      <w:start w:val="1"/>
      <w:numFmt w:val="bullet"/>
      <w:lvlText w:val=""/>
      <w:lvlJc w:val="left"/>
      <w:pPr>
        <w:tabs>
          <w:tab w:val="num" w:pos="3480"/>
        </w:tabs>
        <w:ind w:left="3480" w:hanging="420"/>
      </w:pPr>
      <w:rPr>
        <w:rFonts w:ascii="Wingdings" w:hAnsi="Wingdings" w:hint="default"/>
      </w:rPr>
    </w:lvl>
    <w:lvl w:ilvl="7">
      <w:start w:val="1"/>
      <w:numFmt w:val="bullet"/>
      <w:lvlText w:val=""/>
      <w:lvlJc w:val="left"/>
      <w:pPr>
        <w:tabs>
          <w:tab w:val="num" w:pos="3900"/>
        </w:tabs>
        <w:ind w:left="3900" w:hanging="420"/>
      </w:pPr>
      <w:rPr>
        <w:rFonts w:ascii="Wingdings" w:hAnsi="Wingdings" w:hint="default"/>
      </w:rPr>
    </w:lvl>
    <w:lvl w:ilvl="8">
      <w:start w:val="1"/>
      <w:numFmt w:val="bullet"/>
      <w:lvlText w:val=""/>
      <w:lvlJc w:val="left"/>
      <w:pPr>
        <w:tabs>
          <w:tab w:val="num" w:pos="4320"/>
        </w:tabs>
        <w:ind w:left="4320" w:hanging="420"/>
      </w:pPr>
      <w:rPr>
        <w:rFonts w:ascii="Wingdings" w:hAnsi="Wingdings" w:hint="default"/>
      </w:rPr>
    </w:lvl>
  </w:abstractNum>
  <w:abstractNum w:abstractNumId="26">
    <w:nsid w:val="00000024"/>
    <w:multiLevelType w:val="multilevel"/>
    <w:tmpl w:val="00000024"/>
    <w:lvl w:ilvl="0">
      <w:start w:val="1"/>
      <w:numFmt w:val="bullet"/>
      <w:lvlText w:val=""/>
      <w:lvlJc w:val="left"/>
      <w:pPr>
        <w:tabs>
          <w:tab w:val="num" w:pos="900"/>
        </w:tabs>
        <w:ind w:left="900" w:hanging="420"/>
      </w:pPr>
      <w:rPr>
        <w:rFonts w:ascii="Wingdings" w:hAnsi="Wingdings"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27">
    <w:nsid w:val="00000025"/>
    <w:multiLevelType w:val="multilevel"/>
    <w:tmpl w:val="00000025"/>
    <w:lvl w:ilvl="0">
      <w:start w:val="1"/>
      <w:numFmt w:val="bullet"/>
      <w:lvlText w:val=""/>
      <w:lvlJc w:val="left"/>
      <w:pPr>
        <w:tabs>
          <w:tab w:val="num" w:pos="780"/>
        </w:tabs>
        <w:ind w:left="780" w:hanging="420"/>
      </w:pPr>
      <w:rPr>
        <w:rFonts w:ascii="Wingdings" w:hAnsi="Wingdings" w:hint="default"/>
      </w:rPr>
    </w:lvl>
    <w:lvl w:ilvl="1">
      <w:start w:val="1"/>
      <w:numFmt w:val="bullet"/>
      <w:lvlText w:val=""/>
      <w:lvlJc w:val="left"/>
      <w:pPr>
        <w:tabs>
          <w:tab w:val="num" w:pos="1200"/>
        </w:tabs>
        <w:ind w:left="1200" w:hanging="420"/>
      </w:pPr>
      <w:rPr>
        <w:rFonts w:ascii="Wingdings" w:hAnsi="Wingdings" w:hint="default"/>
      </w:rPr>
    </w:lvl>
    <w:lvl w:ilvl="2">
      <w:start w:val="1"/>
      <w:numFmt w:val="bullet"/>
      <w:lvlText w:val=""/>
      <w:lvlJc w:val="left"/>
      <w:pPr>
        <w:tabs>
          <w:tab w:val="num" w:pos="1620"/>
        </w:tabs>
        <w:ind w:left="1620" w:hanging="420"/>
      </w:pPr>
      <w:rPr>
        <w:rFonts w:ascii="Wingdings" w:hAnsi="Wingdings" w:hint="default"/>
      </w:rPr>
    </w:lvl>
    <w:lvl w:ilvl="3">
      <w:start w:val="1"/>
      <w:numFmt w:val="bullet"/>
      <w:lvlText w:val=""/>
      <w:lvlJc w:val="left"/>
      <w:pPr>
        <w:tabs>
          <w:tab w:val="num" w:pos="2040"/>
        </w:tabs>
        <w:ind w:left="2040" w:hanging="420"/>
      </w:pPr>
      <w:rPr>
        <w:rFonts w:ascii="Wingdings" w:hAnsi="Wingdings" w:hint="default"/>
      </w:rPr>
    </w:lvl>
    <w:lvl w:ilvl="4">
      <w:start w:val="1"/>
      <w:numFmt w:val="bullet"/>
      <w:lvlText w:val=""/>
      <w:lvlJc w:val="left"/>
      <w:pPr>
        <w:tabs>
          <w:tab w:val="num" w:pos="2460"/>
        </w:tabs>
        <w:ind w:left="2460" w:hanging="420"/>
      </w:pPr>
      <w:rPr>
        <w:rFonts w:ascii="Wingdings" w:hAnsi="Wingdings" w:hint="default"/>
      </w:rPr>
    </w:lvl>
    <w:lvl w:ilvl="5">
      <w:start w:val="1"/>
      <w:numFmt w:val="bullet"/>
      <w:lvlText w:val=""/>
      <w:lvlJc w:val="left"/>
      <w:pPr>
        <w:tabs>
          <w:tab w:val="num" w:pos="2880"/>
        </w:tabs>
        <w:ind w:left="2880" w:hanging="420"/>
      </w:pPr>
      <w:rPr>
        <w:rFonts w:ascii="Wingdings" w:hAnsi="Wingdings" w:hint="default"/>
      </w:rPr>
    </w:lvl>
    <w:lvl w:ilvl="6">
      <w:start w:val="1"/>
      <w:numFmt w:val="bullet"/>
      <w:lvlText w:val=""/>
      <w:lvlJc w:val="left"/>
      <w:pPr>
        <w:tabs>
          <w:tab w:val="num" w:pos="3300"/>
        </w:tabs>
        <w:ind w:left="3300" w:hanging="420"/>
      </w:pPr>
      <w:rPr>
        <w:rFonts w:ascii="Wingdings" w:hAnsi="Wingdings" w:hint="default"/>
      </w:rPr>
    </w:lvl>
    <w:lvl w:ilvl="7">
      <w:start w:val="1"/>
      <w:numFmt w:val="bullet"/>
      <w:lvlText w:val=""/>
      <w:lvlJc w:val="left"/>
      <w:pPr>
        <w:tabs>
          <w:tab w:val="num" w:pos="3720"/>
        </w:tabs>
        <w:ind w:left="3720" w:hanging="420"/>
      </w:pPr>
      <w:rPr>
        <w:rFonts w:ascii="Wingdings" w:hAnsi="Wingdings" w:hint="default"/>
      </w:rPr>
    </w:lvl>
    <w:lvl w:ilvl="8">
      <w:start w:val="1"/>
      <w:numFmt w:val="bullet"/>
      <w:lvlText w:val=""/>
      <w:lvlJc w:val="left"/>
      <w:pPr>
        <w:tabs>
          <w:tab w:val="num" w:pos="4140"/>
        </w:tabs>
        <w:ind w:left="4140" w:hanging="420"/>
      </w:pPr>
      <w:rPr>
        <w:rFonts w:ascii="Wingdings" w:hAnsi="Wingdings" w:hint="default"/>
      </w:rPr>
    </w:lvl>
  </w:abstractNum>
  <w:abstractNum w:abstractNumId="28">
    <w:nsid w:val="6E62C3C5"/>
    <w:multiLevelType w:val="multilevel"/>
    <w:tmpl w:val="00000010"/>
    <w:lvl w:ilvl="0">
      <w:start w:val="1"/>
      <w:numFmt w:val="bullet"/>
      <w:lvlText w:val=""/>
      <w:lvlJc w:val="left"/>
      <w:pPr>
        <w:tabs>
          <w:tab w:val="num" w:pos="1050"/>
        </w:tabs>
        <w:ind w:left="1050" w:hanging="420"/>
      </w:pPr>
      <w:rPr>
        <w:rFonts w:ascii="Wingdings" w:hAnsi="Wingdings" w:hint="default"/>
      </w:rPr>
    </w:lvl>
    <w:lvl w:ilvl="1">
      <w:start w:val="1"/>
      <w:numFmt w:val="bullet"/>
      <w:lvlText w:val=""/>
      <w:lvlJc w:val="left"/>
      <w:pPr>
        <w:tabs>
          <w:tab w:val="num" w:pos="1470"/>
        </w:tabs>
        <w:ind w:left="1470" w:hanging="420"/>
      </w:pPr>
      <w:rPr>
        <w:rFonts w:ascii="Wingdings" w:hAnsi="Wingdings" w:hint="default"/>
      </w:rPr>
    </w:lvl>
    <w:lvl w:ilvl="2">
      <w:start w:val="1"/>
      <w:numFmt w:val="bullet"/>
      <w:lvlText w:val=""/>
      <w:lvlJc w:val="left"/>
      <w:pPr>
        <w:tabs>
          <w:tab w:val="num" w:pos="1890"/>
        </w:tabs>
        <w:ind w:left="1890" w:hanging="420"/>
      </w:pPr>
      <w:rPr>
        <w:rFonts w:ascii="Wingdings" w:hAnsi="Wingdings" w:hint="default"/>
      </w:rPr>
    </w:lvl>
    <w:lvl w:ilvl="3">
      <w:start w:val="1"/>
      <w:numFmt w:val="bullet"/>
      <w:lvlText w:val=""/>
      <w:lvlJc w:val="left"/>
      <w:pPr>
        <w:tabs>
          <w:tab w:val="num" w:pos="2310"/>
        </w:tabs>
        <w:ind w:left="2310" w:hanging="420"/>
      </w:pPr>
      <w:rPr>
        <w:rFonts w:ascii="Wingdings" w:hAnsi="Wingdings" w:hint="default"/>
      </w:rPr>
    </w:lvl>
    <w:lvl w:ilvl="4">
      <w:start w:val="1"/>
      <w:numFmt w:val="bullet"/>
      <w:lvlText w:val=""/>
      <w:lvlJc w:val="left"/>
      <w:pPr>
        <w:tabs>
          <w:tab w:val="num" w:pos="2730"/>
        </w:tabs>
        <w:ind w:left="2730" w:hanging="420"/>
      </w:pPr>
      <w:rPr>
        <w:rFonts w:ascii="Wingdings" w:hAnsi="Wingdings" w:hint="default"/>
      </w:rPr>
    </w:lvl>
    <w:lvl w:ilvl="5">
      <w:start w:val="1"/>
      <w:numFmt w:val="bullet"/>
      <w:lvlText w:val=""/>
      <w:lvlJc w:val="left"/>
      <w:pPr>
        <w:tabs>
          <w:tab w:val="num" w:pos="3150"/>
        </w:tabs>
        <w:ind w:left="3150" w:hanging="420"/>
      </w:pPr>
      <w:rPr>
        <w:rFonts w:ascii="Wingdings" w:hAnsi="Wingdings" w:hint="default"/>
      </w:rPr>
    </w:lvl>
    <w:lvl w:ilvl="6">
      <w:start w:val="1"/>
      <w:numFmt w:val="bullet"/>
      <w:lvlText w:val=""/>
      <w:lvlJc w:val="left"/>
      <w:pPr>
        <w:tabs>
          <w:tab w:val="num" w:pos="3570"/>
        </w:tabs>
        <w:ind w:left="3570" w:hanging="420"/>
      </w:pPr>
      <w:rPr>
        <w:rFonts w:ascii="Wingdings" w:hAnsi="Wingdings" w:hint="default"/>
      </w:rPr>
    </w:lvl>
    <w:lvl w:ilvl="7">
      <w:start w:val="1"/>
      <w:numFmt w:val="bullet"/>
      <w:lvlText w:val=""/>
      <w:lvlJc w:val="left"/>
      <w:pPr>
        <w:tabs>
          <w:tab w:val="num" w:pos="3990"/>
        </w:tabs>
        <w:ind w:left="3990" w:hanging="420"/>
      </w:pPr>
      <w:rPr>
        <w:rFonts w:ascii="Wingdings" w:hAnsi="Wingdings" w:hint="default"/>
      </w:rPr>
    </w:lvl>
    <w:lvl w:ilvl="8">
      <w:start w:val="1"/>
      <w:numFmt w:val="bullet"/>
      <w:lvlText w:val=""/>
      <w:lvlJc w:val="left"/>
      <w:pPr>
        <w:tabs>
          <w:tab w:val="num" w:pos="4410"/>
        </w:tabs>
        <w:ind w:left="4410" w:hanging="420"/>
      </w:pPr>
      <w:rPr>
        <w:rFonts w:ascii="Wingdings" w:hAnsi="Wingdings" w:hint="default"/>
      </w:rPr>
    </w:lvl>
  </w:abstractNum>
  <w:num w:numId="1">
    <w:abstractNumId w:val="17"/>
  </w:num>
  <w:num w:numId="2">
    <w:abstractNumId w:val="10"/>
  </w:num>
  <w:num w:numId="3">
    <w:abstractNumId w:val="6"/>
  </w:num>
  <w:num w:numId="4">
    <w:abstractNumId w:val="12"/>
  </w:num>
  <w:num w:numId="5">
    <w:abstractNumId w:val="13"/>
  </w:num>
  <w:num w:numId="6">
    <w:abstractNumId w:val="0"/>
  </w:num>
  <w:num w:numId="7">
    <w:abstractNumId w:val="20"/>
  </w:num>
  <w:num w:numId="8">
    <w:abstractNumId w:val="8"/>
  </w:num>
  <w:num w:numId="9">
    <w:abstractNumId w:val="26"/>
  </w:num>
  <w:num w:numId="10">
    <w:abstractNumId w:val="25"/>
  </w:num>
  <w:num w:numId="11">
    <w:abstractNumId w:val="4"/>
  </w:num>
  <w:num w:numId="12">
    <w:abstractNumId w:val="9"/>
  </w:num>
  <w:num w:numId="13">
    <w:abstractNumId w:val="22"/>
  </w:num>
  <w:num w:numId="14">
    <w:abstractNumId w:val="15"/>
  </w:num>
  <w:num w:numId="15">
    <w:abstractNumId w:val="24"/>
  </w:num>
  <w:num w:numId="16">
    <w:abstractNumId w:val="23"/>
  </w:num>
  <w:num w:numId="17">
    <w:abstractNumId w:val="11"/>
  </w:num>
  <w:num w:numId="18">
    <w:abstractNumId w:val="14"/>
  </w:num>
  <w:num w:numId="19">
    <w:abstractNumId w:val="19"/>
  </w:num>
  <w:num w:numId="20">
    <w:abstractNumId w:val="2"/>
  </w:num>
  <w:num w:numId="21">
    <w:abstractNumId w:val="21"/>
  </w:num>
  <w:num w:numId="22">
    <w:abstractNumId w:val="5"/>
  </w:num>
  <w:num w:numId="23">
    <w:abstractNumId w:val="1"/>
  </w:num>
  <w:num w:numId="24">
    <w:abstractNumId w:val="18"/>
  </w:num>
  <w:num w:numId="25">
    <w:abstractNumId w:val="7"/>
  </w:num>
  <w:num w:numId="26">
    <w:abstractNumId w:val="27"/>
  </w:num>
  <w:num w:numId="27">
    <w:abstractNumId w:val="3"/>
  </w:num>
  <w:num w:numId="28">
    <w:abstractNumId w:val="16"/>
  </w:num>
  <w:num w:numId="2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semiHidden="0" w:uiPriority="39" w:unhideWhenUsed="0"/>
    <w:lsdException w:name="toc 2" w:semiHidden="0" w:uiPriority="39" w:unhideWhenUsed="0"/>
    <w:lsdException w:name="toc 3" w:semiHidden="0" w:uiPriority="39" w:unhideWhenUsed="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uiPriority w:val="9"/>
    <w:qFormat/>
    <w:pPr>
      <w:numPr>
        <w:ilvl w:val="0"/>
        <w:numId w:val="1"/>
      </w:numPr>
      <w:autoSpaceDE w:val="0"/>
      <w:autoSpaceDN w:val="0"/>
      <w:adjustRightInd w:val="0"/>
      <w:jc w:val="left"/>
      <w:outlineLvl w:val="0"/>
    </w:pPr>
    <w:rPr>
      <w:rFonts w:ascii="Arial" w:eastAsia="华文细黑"/>
      <w:b/>
      <w:bCs/>
      <w:color w:val="FFCC00"/>
      <w:kern w:val="0"/>
      <w:sz w:val="44"/>
      <w:szCs w:val="44"/>
      <w:lang w:val="zh-CN"/>
    </w:rPr>
  </w:style>
  <w:style w:type="paragraph" w:styleId="Heading2">
    <w:name w:val="heading 2"/>
    <w:basedOn w:val="Normal"/>
    <w:next w:val="Normal"/>
    <w:uiPriority w:val="9"/>
    <w:qFormat/>
    <w:pPr>
      <w:keepNext/>
      <w:keepLines/>
      <w:numPr>
        <w:ilvl w:val="1"/>
        <w:numId w:val="1"/>
      </w:numPr>
      <w:spacing w:before="260" w:beforeLines="0" w:after="260" w:afterLines="0" w:line="415" w:lineRule="auto"/>
      <w:outlineLvl w:val="1"/>
    </w:pPr>
    <w:rPr>
      <w:rFonts w:ascii="Arial" w:eastAsia="黑体" w:hAnsi="Arial"/>
      <w:b/>
      <w:bCs/>
      <w:sz w:val="32"/>
      <w:szCs w:val="32"/>
    </w:rPr>
  </w:style>
  <w:style w:type="paragraph" w:styleId="Heading3">
    <w:name w:val="heading 3"/>
    <w:basedOn w:val="Normal"/>
    <w:next w:val="Normal"/>
    <w:uiPriority w:val="9"/>
    <w:qFormat/>
    <w:pPr>
      <w:keepNext/>
      <w:keepLines/>
      <w:numPr>
        <w:ilvl w:val="2"/>
        <w:numId w:val="1"/>
      </w:numPr>
      <w:spacing w:before="260" w:beforeLines="0" w:after="260" w:afterLines="0" w:line="415" w:lineRule="auto"/>
      <w:outlineLvl w:val="2"/>
    </w:pPr>
    <w:rPr>
      <w:rFonts w:ascii="华文细黑" w:eastAsia="华文细黑" w:hAnsi="华文细黑" w:hint="eastAsia"/>
      <w:b/>
      <w:bCs/>
      <w:sz w:val="32"/>
      <w:szCs w:val="32"/>
    </w:rPr>
  </w:style>
  <w:style w:type="paragraph" w:styleId="Heading4">
    <w:name w:val="heading 4"/>
    <w:basedOn w:val="Normal"/>
    <w:next w:val="Normal"/>
    <w:link w:val="4CharChar"/>
    <w:uiPriority w:val="9"/>
    <w:qFormat/>
    <w:pPr>
      <w:keepNext/>
      <w:keepLines/>
      <w:numPr>
        <w:ilvl w:val="3"/>
        <w:numId w:val="1"/>
      </w:numPr>
      <w:spacing w:before="280" w:beforeLines="0" w:after="290" w:afterLines="0" w:line="374" w:lineRule="auto"/>
      <w:outlineLvl w:val="3"/>
    </w:pPr>
    <w:rPr>
      <w:rFonts w:ascii="Arial" w:eastAsia="黑体" w:hAnsi="Arial"/>
      <w:b/>
      <w:bCs/>
      <w:kern w:val="2"/>
      <w:sz w:val="28"/>
      <w:szCs w:val="28"/>
      <w:lang w:val="en-US" w:eastAsia="zh-CN" w:bidi="ar-SA"/>
    </w:rPr>
  </w:style>
  <w:style w:type="paragraph" w:styleId="Heading5">
    <w:name w:val="heading 5"/>
    <w:basedOn w:val="Normal"/>
    <w:next w:val="Normal"/>
    <w:uiPriority w:val="9"/>
    <w:qFormat/>
    <w:pPr>
      <w:keepNext/>
      <w:keepLines/>
      <w:numPr>
        <w:ilvl w:val="4"/>
        <w:numId w:val="1"/>
      </w:numPr>
      <w:spacing w:before="280" w:beforeLines="0" w:after="290" w:afterLines="0" w:line="374" w:lineRule="auto"/>
      <w:outlineLvl w:val="4"/>
    </w:pPr>
    <w:rPr>
      <w:rFonts w:ascii="华文细黑" w:eastAsia="华文细黑" w:hAnsi="华文细黑" w:hint="eastAsia"/>
      <w:b/>
      <w:bCs/>
      <w:sz w:val="28"/>
      <w:szCs w:val="28"/>
    </w:rPr>
  </w:style>
  <w:style w:type="paragraph" w:styleId="Heading6">
    <w:name w:val="heading 6"/>
    <w:basedOn w:val="Normal"/>
    <w:next w:val="Normal"/>
    <w:uiPriority w:val="9"/>
    <w:qFormat/>
    <w:pPr>
      <w:keepNext/>
      <w:keepLines/>
      <w:numPr>
        <w:ilvl w:val="5"/>
        <w:numId w:val="1"/>
      </w:numPr>
      <w:spacing w:before="240" w:beforeLines="0" w:after="64" w:afterLines="0" w:line="319" w:lineRule="auto"/>
      <w:outlineLvl w:val="5"/>
    </w:pPr>
    <w:rPr>
      <w:rFonts w:ascii="Arial" w:eastAsia="黑体" w:hAnsi="Arial"/>
      <w:b/>
      <w:bCs/>
      <w:sz w:val="24"/>
    </w:rPr>
  </w:style>
  <w:style w:type="paragraph" w:styleId="Heading7">
    <w:name w:val="heading 7"/>
    <w:basedOn w:val="Normal"/>
    <w:next w:val="Normal"/>
    <w:uiPriority w:val="9"/>
    <w:qFormat/>
    <w:pPr>
      <w:keepNext/>
      <w:keepLines/>
      <w:numPr>
        <w:ilvl w:val="6"/>
        <w:numId w:val="1"/>
      </w:numPr>
      <w:spacing w:before="240" w:beforeLines="0" w:after="64" w:afterLines="0" w:line="319" w:lineRule="auto"/>
      <w:outlineLvl w:val="6"/>
    </w:pPr>
    <w:rPr>
      <w:rFonts w:ascii="华文细黑" w:eastAsia="华文细黑" w:hAnsi="华文细黑" w:hint="eastAsia"/>
      <w:b/>
      <w:bCs/>
      <w:sz w:val="24"/>
    </w:rPr>
  </w:style>
  <w:style w:type="paragraph" w:styleId="Heading8">
    <w:name w:val="heading 8"/>
    <w:basedOn w:val="Normal"/>
    <w:next w:val="Normal"/>
    <w:uiPriority w:val="9"/>
    <w:qFormat/>
    <w:pPr>
      <w:keepNext/>
      <w:keepLines/>
      <w:numPr>
        <w:ilvl w:val="7"/>
        <w:numId w:val="1"/>
      </w:numPr>
      <w:spacing w:before="240" w:beforeLines="0" w:after="64" w:afterLines="0" w:line="319" w:lineRule="auto"/>
      <w:outlineLvl w:val="7"/>
    </w:pPr>
    <w:rPr>
      <w:rFonts w:ascii="Arial" w:eastAsia="黑体" w:hAnsi="Arial"/>
      <w:sz w:val="24"/>
    </w:rPr>
  </w:style>
  <w:style w:type="paragraph" w:styleId="Heading9">
    <w:name w:val="heading 9"/>
    <w:basedOn w:val="Normal"/>
    <w:next w:val="Normal"/>
    <w:uiPriority w:val="9"/>
    <w:qFormat/>
    <w:pPr>
      <w:keepNext/>
      <w:keepLines/>
      <w:numPr>
        <w:ilvl w:val="8"/>
        <w:numId w:val="1"/>
      </w:numPr>
      <w:spacing w:before="240" w:beforeLines="0" w:after="64" w:afterLines="0" w:line="319" w:lineRule="auto"/>
      <w:outlineLvl w:val="8"/>
    </w:pPr>
    <w:rPr>
      <w:rFonts w:ascii="Arial" w:eastAsia="黑体" w:hAnsi="Arial"/>
      <w:szCs w:val="21"/>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Strong">
    <w:name w:val="Strong"/>
    <w:basedOn w:val="DefaultParagraphFont"/>
    <w:uiPriority w:val="22"/>
    <w:qFormat/>
    <w:rPr>
      <w:b/>
      <w:bCs/>
    </w:rPr>
  </w:style>
  <w:style w:type="character" w:styleId="PageNumber">
    <w:name w:val="page number"/>
    <w:basedOn w:val="DefaultParagraphFont"/>
  </w:style>
  <w:style w:type="character" w:styleId="Hyperlink">
    <w:name w:val="Hyperlink"/>
    <w:basedOn w:val="DefaultParagraphFont"/>
    <w:rPr>
      <w:color w:val="0000FF"/>
      <w:u w:val="none"/>
    </w:rPr>
  </w:style>
  <w:style w:type="character" w:customStyle="1" w:styleId="4CharChar">
    <w:name w:val="标题 4 Char Char"/>
    <w:basedOn w:val="DefaultParagraphFont"/>
    <w:link w:val="Heading4"/>
    <w:rPr>
      <w:rFonts w:ascii="Arial" w:eastAsia="黑体" w:hAnsi="Arial"/>
      <w:b/>
      <w:bCs/>
      <w:kern w:val="2"/>
      <w:sz w:val="28"/>
      <w:szCs w:val="28"/>
      <w:lang w:val="en-US" w:eastAsia="zh-CN" w:bidi="ar-SA"/>
    </w:rPr>
  </w:style>
  <w:style w:type="character" w:customStyle="1" w:styleId="lan1">
    <w:name w:val="lan1"/>
    <w:basedOn w:val="DefaultParagraphFont"/>
    <w:rPr>
      <w:color w:val="16387C"/>
      <w:sz w:val="20"/>
      <w:szCs w:val="20"/>
    </w:rPr>
  </w:style>
  <w:style w:type="character" w:customStyle="1" w:styleId="a11">
    <w:name w:val="a11"/>
    <w:basedOn w:val="DefaultParagraphFont"/>
    <w:rPr>
      <w:rFonts w:ascii="ˎ̥" w:hAnsi="ˎ̥" w:hint="default"/>
      <w:color w:val="612800"/>
      <w:sz w:val="20"/>
      <w:szCs w:val="20"/>
    </w:rPr>
  </w:style>
  <w:style w:type="paragraph" w:styleId="BodyTextIndent">
    <w:name w:val="Body Text Indent"/>
    <w:basedOn w:val="Normal"/>
    <w:pPr>
      <w:spacing w:after="120" w:afterLines="0"/>
      <w:ind w:left="420" w:leftChars="200"/>
    </w:pPr>
  </w:style>
  <w:style w:type="paragraph" w:styleId="BodyText2">
    <w:name w:val="Body Text 2"/>
    <w:basedOn w:val="Normal"/>
    <w:rPr>
      <w:rFonts w:ascii="宋体" w:hAnsi="宋体"/>
      <w:color w:val="000000"/>
      <w:kern w:val="0"/>
      <w:sz w:val="28"/>
      <w:szCs w:val="22"/>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DocumentMap">
    <w:name w:val="Document Map"/>
    <w:basedOn w:val="Normal"/>
    <w:pPr>
      <w:shd w:val="clear" w:color="auto" w:fill="000080"/>
    </w:pPr>
  </w:style>
  <w:style w:type="paragraph" w:styleId="Date">
    <w:name w:val="Date"/>
    <w:basedOn w:val="Normal"/>
    <w:next w:val="Normal"/>
    <w:rPr>
      <w:rFonts w:eastAsia="黑体"/>
      <w:spacing w:val="30"/>
      <w:sz w:val="24"/>
      <w:szCs w:val="20"/>
    </w:rPr>
  </w:style>
  <w:style w:type="paragraph" w:styleId="BlockText">
    <w:name w:val="Block Text"/>
    <w:basedOn w:val="Normal"/>
    <w:pPr>
      <w:ind w:left="4320" w:right="-2" w:leftChars="1800"/>
    </w:pPr>
    <w:rPr>
      <w:rFonts w:ascii="宋体" w:eastAsia="华文细黑" w:hAnsi="宋体"/>
      <w:b/>
      <w:bCs/>
      <w:sz w:val="24"/>
      <w:szCs w:val="20"/>
    </w:rPr>
  </w:style>
  <w:style w:type="paragraph" w:styleId="TOC1">
    <w:name w:val="toc 1"/>
    <w:basedOn w:val="Normal"/>
    <w:next w:val="Normal"/>
    <w:uiPriority w:val="39"/>
    <w:pPr>
      <w:tabs>
        <w:tab w:val="right" w:leader="dot" w:pos="13992"/>
      </w:tabs>
      <w:spacing w:line="360" w:lineRule="auto"/>
    </w:pPr>
    <w:rPr>
      <w:rFonts w:ascii="黑体" w:eastAsia="黑体" w:hAnsi="华文细黑"/>
      <w:sz w:val="28"/>
      <w:szCs w:val="20"/>
    </w:rPr>
  </w:style>
  <w:style w:type="paragraph" w:styleId="TOC2">
    <w:name w:val="toc 2"/>
    <w:basedOn w:val="Normal"/>
    <w:next w:val="Normal"/>
    <w:uiPriority w:val="39"/>
    <w:pPr>
      <w:ind w:left="420" w:leftChars="200"/>
    </w:pPr>
    <w:rPr>
      <w:rFonts w:ascii="华文细黑" w:eastAsia="华文细黑" w:hAnsi="华文细黑"/>
      <w:sz w:val="24"/>
      <w:szCs w:val="20"/>
    </w:rPr>
  </w:style>
  <w:style w:type="paragraph" w:styleId="TOC3">
    <w:name w:val="toc 3"/>
    <w:basedOn w:val="Normal"/>
    <w:next w:val="Normal"/>
    <w:uiPriority w:val="39"/>
    <w:pPr>
      <w:ind w:left="840" w:leftChars="400"/>
    </w:pPr>
    <w:rPr>
      <w:rFonts w:ascii="华文细黑" w:eastAsia="华文细黑" w:hAnsi="华文细黑"/>
      <w:sz w:val="24"/>
      <w:szCs w:val="20"/>
    </w:rPr>
  </w:style>
  <w:style w:type="paragraph" w:styleId="NormalWeb">
    <w:name w:val="Normal (Web)"/>
    <w:basedOn w:val="Normal"/>
    <w:pPr>
      <w:widowControl/>
      <w:spacing w:before="100" w:beforeLines="0" w:beforeAutospacing="1" w:after="100" w:afterLines="0" w:afterAutospacing="1"/>
      <w:jc w:val="left"/>
    </w:pPr>
    <w:rPr>
      <w:rFonts w:ascii="宋体" w:hAnsi="宋体" w:cs="宋体"/>
      <w:color w:val="000000"/>
      <w:kern w:val="0"/>
      <w:sz w:val="24"/>
    </w:rPr>
  </w:style>
  <w:style w:type="paragraph" w:styleId="Footer">
    <w:name w:val="footer"/>
    <w:basedOn w:val="Normal"/>
    <w:pPr>
      <w:tabs>
        <w:tab w:val="center" w:pos="4153"/>
        <w:tab w:val="right" w:pos="8306"/>
      </w:tabs>
      <w:snapToGrid w:val="0"/>
      <w:jc w:val="left"/>
    </w:pPr>
    <w:rPr>
      <w:sz w:val="18"/>
      <w:szCs w:val="18"/>
    </w:rPr>
  </w:style>
  <w:style w:type="paragraph" w:styleId="BodyText">
    <w:name w:val="Body Text"/>
    <w:basedOn w:val="Normal"/>
    <w:rPr>
      <w:color w:val="FF0000"/>
      <w:sz w:val="24"/>
    </w:rPr>
  </w:style>
  <w:style w:type="paragraph" w:customStyle="1" w:styleId="a">
    <w:name w:val="标准"/>
    <w:basedOn w:val="Normal"/>
    <w:pPr>
      <w:adjustRightInd w:val="0"/>
      <w:spacing w:line="360" w:lineRule="auto"/>
      <w:jc w:val="center"/>
      <w:textAlignment w:val="baseline"/>
    </w:pPr>
    <w:rPr>
      <w:rFonts w:ascii="黑体" w:eastAsia="黑体"/>
      <w:spacing w:val="20"/>
      <w:kern w:val="0"/>
      <w:sz w:val="32"/>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image" Target="media/image2.emf" /><Relationship Id="rId6" Type="http://schemas.openxmlformats.org/officeDocument/2006/relationships/image" Target="media/image3.emf" /><Relationship Id="rId7" Type="http://schemas.openxmlformats.org/officeDocument/2006/relationships/hyperlink" Target="http://house.fdc.com.cn/newbuildtxt/2440.htm" TargetMode="External" /><Relationship Id="rId8" Type="http://schemas.openxmlformats.org/officeDocument/2006/relationships/image" Target="media/image4.emf" /><Relationship Id="rId9" Type="http://schemas.openxmlformats.org/officeDocument/2006/relationships/hyperlink" Target="https://d.book118.com/008106014053006030" TargetMode="Externa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43</Pages>
  <Words>4760</Words>
  <Characters>27136</Characters>
  <Application>Microsoft Office Word</Application>
  <DocSecurity>0</DocSecurity>
  <Lines>226</Lines>
  <Paragraphs>63</Paragraphs>
  <ScaleCrop>false</ScaleCrop>
  <Manager>金武攸</Manager>
  <Company/>
  <LinksUpToDate>false</LinksUpToDate>
  <CharactersWithSpaces>31833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2023武汉光谷新项目全程策划案</dc:title>
  <dc:subject>2023武汉光谷新项目全程策划案</dc:subject>
  <dc:creator>金武攸</dc:creator>
  <cp:keywords>2023</cp:keywords>
  <cp:lastModifiedBy>金武攸</cp:lastModifiedBy>
  <cp:revision>7</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2052-8.1.0.3526</vt:lpwstr>
  </property>
</Properties>
</file>