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夏枯草口服液相关行业公司成立报告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_Toc16346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_Toc27293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_Toc9921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8" w:history="1">
        <w:r>
          <w:rPr>
            <w:rFonts w:ascii="仿宋" w:eastAsia="仿宋" w:hAnsi="仿宋" w:cs="仿宋" w:hint="eastAsia"/>
            <w:lang w:eastAsia="zh-CN"/>
          </w:rPr>
          <w:t>三、夏枯草口服液项目概况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_Toc9165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eastAsia="zh-CN"/>
          </w:rPr>
          <w:t>(二)、夏枯草口服液项目提出的理由</w:t>
        </w:r>
        <w:r>
          <w:tab/>
        </w:r>
        <w:r>
          <w:fldChar w:fldCharType="begin"/>
        </w:r>
        <w:r>
          <w:instrText xml:space="preserve"> PAGEREF _Toc21138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(三)、夏枯草口服液项目选址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eastAsia="zh-CN"/>
          </w:rPr>
          <w:t>(六)、夏枯草口服液项目投资</w:t>
        </w:r>
        <w:r>
          <w:tab/>
        </w:r>
        <w:r>
          <w:fldChar w:fldCharType="begin"/>
        </w:r>
        <w:r>
          <w:instrText xml:space="preserve"> PAGEREF _Toc5892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(七)、夏枯草口服液项目进度规划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(九)、夏枯草口服液项目综合评价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_Toc30889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(一)、夏枯草口服液项目选址原则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_Toc10072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_Toc20856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(五)、夏枯草口服液项目选址综合评价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_Toc11114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_Toc6680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_Toc22268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_Toc10021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(七)、夏枯草口服液项目建设必要性分析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_Toc27919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_Toc32415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_Toc5737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_Toc14548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_Toc30712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_Toc5559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_Toc31493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_Toc9419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_Toc4356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_Toc7776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九、夏枯草口服液项目风险分析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7" w:history="1">
        <w:r>
          <w:rPr>
            <w:rFonts w:ascii="仿宋" w:eastAsia="仿宋" w:hAnsi="仿宋" w:cs="仿宋" w:hint="eastAsia"/>
            <w:lang w:eastAsia="zh-CN"/>
          </w:rPr>
          <w:t>(一)、夏枯草口服液项目风险分析</w:t>
        </w:r>
        <w:r>
          <w:tab/>
        </w:r>
        <w:r>
          <w:fldChar w:fldCharType="begin"/>
        </w:r>
        <w:r>
          <w:instrText xml:space="preserve"> PAGEREF _Toc7177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eastAsia="zh-CN"/>
          </w:rPr>
          <w:t>(二)、夏枯草口服液项目风险对策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7" w:history="1">
        <w:r>
          <w:rPr>
            <w:rFonts w:ascii="仿宋" w:eastAsia="仿宋" w:hAnsi="仿宋" w:cs="仿宋" w:hint="eastAsia"/>
            <w:lang w:eastAsia="zh-CN"/>
          </w:rPr>
          <w:t>十、夏枯草口服液项目经济效益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_Toc16495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(三)、夏枯草口服液项目盈利能力分析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_Toc29173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_Toc25438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_Toc15896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_Toc10584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_Toc27043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_Toc8891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_Toc18140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(二)、合作夏枯草口服液项目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4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5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https://d.book118.com/015023213141011101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夏枯草口服液相关行业公司成立报告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夏枯草口服液相关行业公司成立报告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夏枯草口服液相关行业公司成立报告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夏枯草口服液相关行业公司成立报告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夏枯草口服液相关行业公司成立报告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5023213141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2024-01-24T23:41:00Z</dcterms:created>
  <dcterms:modified xsi:type="dcterms:W3CDTF">2024-01-24T23:41:36Z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D781079919124C28B7D67C70C6A73578_11</vt:lpwstr>
  </property>
  <property fmtid="{D5CDD505-2E9C-101B-9397-08002B2CF9AE}" pid="3" name="KSOProductBuildVer">
    <vt:lpwstr>2052-12.1.0.16120</vt:lpwstr>
  </property>
</Properties>
</file>