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9" w:line="226" w:lineRule="auto"/>
        <w:ind w:left="3731"/>
        <w:outlineLvl w:val="0"/>
        <w:rPr>
          <w:rFonts w:ascii="SimHei" w:eastAsia="SimHei" w:hAnsi="SimHei" w:cs="SimHei"/>
          <w:sz w:val="31"/>
          <w:szCs w:val="31"/>
        </w:rPr>
      </w:pPr>
      <w:r>
        <w:rPr>
          <w:rFonts w:ascii="SimHei" w:eastAsia="SimHei" w:hAnsi="SimHei" w:cs="SimHei"/>
          <w:spacing w:val="8"/>
          <w:sz w:val="31"/>
          <w:szCs w:val="31"/>
        </w:rPr>
        <w:t>燃油加油机检定规程</w:t>
      </w:r>
    </w:p>
    <w:p>
      <w:pPr>
        <w:spacing w:line="269" w:lineRule="auto"/>
        <w:rPr>
          <w:rFonts w:ascii="Arial"/>
          <w:sz w:val="21"/>
        </w:rPr>
      </w:pPr>
    </w:p>
    <w:p>
      <w:pPr>
        <w:spacing w:before="78" w:line="223" w:lineRule="auto"/>
        <w:ind w:left="22"/>
        <w:outlineLvl w:val="1"/>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6"/>
          <w:sz w:val="24"/>
          <w:szCs w:val="24"/>
        </w:rPr>
        <w:t xml:space="preserve">  </w:t>
      </w:r>
      <w:r>
        <w:rPr>
          <w:rFonts w:ascii="SimHei" w:eastAsia="SimHei" w:hAnsi="SimHei" w:cs="SimHei"/>
          <w:spacing w:val="-12"/>
          <w:sz w:val="24"/>
          <w:szCs w:val="24"/>
        </w:rPr>
        <w:t>范围</w:t>
      </w:r>
    </w:p>
    <w:p>
      <w:pPr>
        <w:pStyle w:val="BodyText"/>
        <w:spacing w:before="188" w:line="219" w:lineRule="auto"/>
        <w:ind w:left="490"/>
      </w:pPr>
      <w:r>
        <w:t>本规程适用于燃油加油机（以下简称加油机）的首次检定</w:t>
      </w:r>
      <w:r>
        <w:rPr>
          <w:spacing w:val="-1"/>
        </w:rPr>
        <w:t>、后续检定和使用中检查。</w:t>
      </w:r>
    </w:p>
    <w:p>
      <w:pPr>
        <w:spacing w:before="191" w:line="222" w:lineRule="auto"/>
        <w:ind w:left="7"/>
        <w:outlineLvl w:val="1"/>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15"/>
          <w:sz w:val="24"/>
          <w:szCs w:val="24"/>
        </w:rPr>
        <w:t xml:space="preserve">  </w:t>
      </w:r>
      <w:r>
        <w:rPr>
          <w:rFonts w:ascii="SimHei" w:eastAsia="SimHei" w:hAnsi="SimHei" w:cs="SimHei"/>
          <w:spacing w:val="-8"/>
          <w:sz w:val="24"/>
          <w:szCs w:val="24"/>
        </w:rPr>
        <w:t>引用文件</w:t>
      </w:r>
    </w:p>
    <w:p>
      <w:pPr>
        <w:pStyle w:val="BodyText"/>
        <w:spacing w:before="192" w:line="219" w:lineRule="auto"/>
        <w:ind w:left="490"/>
      </w:pPr>
      <w:r>
        <w:rPr>
          <w:spacing w:val="-2"/>
        </w:rPr>
        <w:t>本规程引用下列文件：</w:t>
      </w:r>
    </w:p>
    <w:p>
      <w:pPr>
        <w:pStyle w:val="BodyText"/>
        <w:spacing w:before="156"/>
        <w:ind w:left="486"/>
      </w:pPr>
      <w:r>
        <w:rPr>
          <w:spacing w:val="-1"/>
          <w:shd w:val="clear" w:color="auto" w:fill="FFFF00"/>
        </w:rPr>
        <w:t>GB/T</w:t>
      </w:r>
      <w:r>
        <w:rPr>
          <w:position w:val="-6"/>
        </w:rPr>
        <w:drawing>
          <wp:inline distT="0" distB="0" distL="0" distR="0">
            <wp:extent cx="76030" cy="1974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6030" cy="197485"/>
                    </a:xfrm>
                    <a:prstGeom prst="rect">
                      <a:avLst/>
                    </a:prstGeom>
                  </pic:spPr>
                </pic:pic>
              </a:graphicData>
            </a:graphic>
          </wp:inline>
        </w:drawing>
      </w:r>
      <w:r>
        <w:rPr>
          <w:spacing w:val="-1"/>
          <w:shd w:val="clear" w:color="auto" w:fill="FFFF00"/>
        </w:rPr>
        <w:t>9081</w:t>
      </w:r>
      <w:r>
        <w:rPr>
          <w:position w:val="-6"/>
        </w:rPr>
        <w:drawing>
          <wp:inline distT="0" distB="0" distL="0" distR="0">
            <wp:extent cx="76030" cy="19748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76030" cy="197485"/>
                    </a:xfrm>
                    <a:prstGeom prst="rect">
                      <a:avLst/>
                    </a:prstGeom>
                  </pic:spPr>
                </pic:pic>
              </a:graphicData>
            </a:graphic>
          </wp:inline>
        </w:drawing>
      </w:r>
      <w:r>
        <w:rPr>
          <w:position w:val="-6"/>
        </w:rPr>
        <w:drawing>
          <wp:inline distT="0" distB="0" distL="0" distR="0">
            <wp:extent cx="76030" cy="19748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76030" cy="197485"/>
                    </a:xfrm>
                    <a:prstGeom prst="rect">
                      <a:avLst/>
                    </a:prstGeom>
                  </pic:spPr>
                </pic:pic>
              </a:graphicData>
            </a:graphic>
          </wp:inline>
        </w:drawing>
      </w:r>
      <w:r>
        <w:rPr>
          <w:spacing w:val="-1"/>
          <w:shd w:val="clear" w:color="auto" w:fill="FFFF00"/>
        </w:rPr>
        <w:t>机动车燃油加油机</w:t>
      </w:r>
    </w:p>
    <w:p>
      <w:pPr>
        <w:pStyle w:val="BodyText"/>
        <w:spacing w:before="157" w:line="266" w:lineRule="auto"/>
        <w:ind w:left="9" w:right="2" w:firstLine="479"/>
      </w:pPr>
      <w:r>
        <w:rPr>
          <w:spacing w:val="-1"/>
        </w:rPr>
        <w:t>OIML</w:t>
      </w:r>
      <w:r>
        <w:rPr>
          <w:spacing w:val="-41"/>
        </w:rPr>
        <w:t xml:space="preserve"> </w:t>
      </w:r>
      <w:r>
        <w:rPr>
          <w:spacing w:val="-1"/>
        </w:rPr>
        <w:t>R</w:t>
      </w:r>
      <w:r>
        <w:rPr>
          <w:spacing w:val="-33"/>
        </w:rPr>
        <w:t xml:space="preserve"> </w:t>
      </w:r>
      <w:r>
        <w:rPr>
          <w:spacing w:val="-1"/>
        </w:rPr>
        <w:t>117-1 非水液体动态测量系统 第一部分: 计量与技术要求（</w:t>
      </w:r>
      <w:r>
        <w:rPr>
          <w:rFonts w:ascii="Times New Roman" w:eastAsia="Times New Roman" w:hAnsi="Times New Roman" w:cs="Times New Roman"/>
          <w:spacing w:val="-1"/>
        </w:rPr>
        <w:t>Dynamic measuring systems</w:t>
      </w:r>
      <w:r>
        <w:rPr>
          <w:rFonts w:ascii="Times New Roman" w:eastAsia="Times New Roman" w:hAnsi="Times New Roman" w:cs="Times New Roman"/>
        </w:rPr>
        <w:t xml:space="preserve"> </w:t>
      </w:r>
      <w:r>
        <w:rPr>
          <w:rFonts w:ascii="Times New Roman" w:eastAsia="Times New Roman" w:hAnsi="Times New Roman" w:cs="Times New Roman"/>
        </w:rPr>
        <w:t>for liquids other than water    Part</w:t>
      </w:r>
      <w:r>
        <w:rPr>
          <w:rFonts w:ascii="Times New Roman" w:eastAsia="Times New Roman" w:hAnsi="Times New Roman" w:cs="Times New Roman"/>
          <w:spacing w:val="28"/>
          <w:w w:val="101"/>
        </w:rPr>
        <w:t xml:space="preserve"> </w:t>
      </w:r>
      <w:r>
        <w:rPr>
          <w:rFonts w:ascii="Times New Roman" w:eastAsia="Times New Roman" w:hAnsi="Times New Roman" w:cs="Times New Roman"/>
        </w:rPr>
        <w:t xml:space="preserve">1: </w:t>
      </w:r>
      <w:r>
        <w:rPr>
          <w:rFonts w:ascii="Times New Roman" w:eastAsia="Times New Roman" w:hAnsi="Times New Roman" w:cs="Times New Roman"/>
          <w:spacing w:val="-1"/>
        </w:rPr>
        <w:t>Metrological and technical requirements</w:t>
      </w:r>
      <w:r>
        <w:rPr>
          <w:spacing w:val="-1"/>
        </w:rPr>
        <w:t>）</w:t>
      </w:r>
    </w:p>
    <w:p>
      <w:pPr>
        <w:pStyle w:val="BodyText"/>
        <w:spacing w:before="180" w:line="247" w:lineRule="auto"/>
        <w:ind w:left="10" w:firstLine="483"/>
      </w:pPr>
      <w:r>
        <w:t>凡是注日期的引用文件，仅注日期的版本适用于本规</w:t>
      </w:r>
      <w:r>
        <w:rPr>
          <w:spacing w:val="-1"/>
        </w:rPr>
        <w:t>程；凡是不注日期的引用文件，其最新版</w:t>
      </w:r>
      <w:r>
        <w:t xml:space="preserve"> </w:t>
      </w:r>
      <w:r>
        <w:rPr>
          <w:spacing w:val="-1"/>
        </w:rPr>
        <w:t>本（包括所有的修改单）适用于本规程。</w:t>
      </w:r>
    </w:p>
    <w:p>
      <w:pPr>
        <w:spacing w:before="193" w:line="222" w:lineRule="auto"/>
        <w:ind w:left="9"/>
        <w:outlineLvl w:val="1"/>
        <w:rPr>
          <w:rFonts w:ascii="SimHei" w:eastAsia="SimHei" w:hAnsi="SimHei" w:cs="SimHei"/>
          <w:sz w:val="24"/>
          <w:szCs w:val="24"/>
        </w:rPr>
      </w:pPr>
      <w:r>
        <w:rPr>
          <w:rFonts w:ascii="SimHei" w:eastAsia="SimHei" w:hAnsi="SimHei" w:cs="SimHei"/>
          <w:spacing w:val="-1"/>
          <w:sz w:val="24"/>
          <w:szCs w:val="24"/>
        </w:rPr>
        <w:t>3</w:t>
      </w:r>
      <w:r>
        <w:rPr>
          <w:rFonts w:ascii="SimHei" w:eastAsia="SimHei" w:hAnsi="SimHei" w:cs="SimHei"/>
          <w:spacing w:val="-1"/>
          <w:sz w:val="24"/>
          <w:szCs w:val="24"/>
        </w:rPr>
        <w:t xml:space="preserve">  </w:t>
      </w:r>
      <w:r>
        <w:rPr>
          <w:rFonts w:ascii="SimHei" w:eastAsia="SimHei" w:hAnsi="SimHei" w:cs="SimHei"/>
          <w:spacing w:val="-1"/>
          <w:sz w:val="24"/>
          <w:szCs w:val="24"/>
        </w:rPr>
        <w:t>术语和计量单位</w:t>
      </w:r>
    </w:p>
    <w:p>
      <w:pPr>
        <w:pStyle w:val="BodyText"/>
        <w:spacing w:before="189" w:line="220" w:lineRule="auto"/>
        <w:ind w:left="14"/>
        <w:outlineLvl w:val="2"/>
      </w:pPr>
      <w:r>
        <w:rPr>
          <w:spacing w:val="-6"/>
        </w:rPr>
        <w:t>3.1</w:t>
      </w:r>
      <w:r>
        <w:rPr>
          <w:spacing w:val="14"/>
        </w:rPr>
        <w:t xml:space="preserve"> </w:t>
      </w:r>
      <w:r>
        <w:rPr>
          <w:spacing w:val="-6"/>
        </w:rPr>
        <w:t>术语</w:t>
      </w:r>
    </w:p>
    <w:p>
      <w:pPr>
        <w:pStyle w:val="BodyText"/>
        <w:spacing w:before="157"/>
        <w:ind w:left="533"/>
      </w:pPr>
      <w:r>
        <w:rPr>
          <w:spacing w:val="2"/>
        </w:rPr>
        <w:t>本规程除引用</w:t>
      </w:r>
      <w:r>
        <w:rPr>
          <w:shd w:val="clear" w:color="auto" w:fill="FFFF00"/>
        </w:rPr>
        <w:t>GB</w:t>
      </w:r>
      <w:r>
        <w:rPr>
          <w:spacing w:val="2"/>
          <w:shd w:val="clear" w:color="auto" w:fill="FFFF00"/>
        </w:rPr>
        <w:t>/T</w:t>
      </w:r>
      <w:r>
        <w:rPr>
          <w:position w:val="-7"/>
        </w:rPr>
        <w:drawing>
          <wp:inline distT="0" distB="0" distL="0" distR="0">
            <wp:extent cx="75819" cy="19812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5"/>
                    <a:stretch>
                      <a:fillRect/>
                    </a:stretch>
                  </pic:blipFill>
                  <pic:spPr>
                    <a:xfrm>
                      <a:off x="0" y="0"/>
                      <a:ext cx="75819" cy="198120"/>
                    </a:xfrm>
                    <a:prstGeom prst="rect">
                      <a:avLst/>
                    </a:prstGeom>
                  </pic:spPr>
                </pic:pic>
              </a:graphicData>
            </a:graphic>
          </wp:inline>
        </w:drawing>
      </w:r>
      <w:r>
        <w:rPr>
          <w:spacing w:val="2"/>
          <w:shd w:val="clear" w:color="auto" w:fill="FFFF00"/>
        </w:rPr>
        <w:t>9081</w:t>
      </w:r>
      <w:r>
        <w:rPr>
          <w:position w:val="-7"/>
        </w:rPr>
        <w:drawing>
          <wp:inline distT="0" distB="0" distL="0" distR="0">
            <wp:extent cx="75819" cy="19812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75819" cy="198120"/>
                    </a:xfrm>
                    <a:prstGeom prst="rect">
                      <a:avLst/>
                    </a:prstGeom>
                  </pic:spPr>
                </pic:pic>
              </a:graphicData>
            </a:graphic>
          </wp:inline>
        </w:drawing>
      </w:r>
      <w:r>
        <w:rPr>
          <w:spacing w:val="2"/>
          <w:shd w:val="clear" w:color="auto" w:fill="FFFF00"/>
        </w:rPr>
        <w:t>中的术语外</w:t>
      </w:r>
      <w:r>
        <w:rPr>
          <w:spacing w:val="2"/>
        </w:rPr>
        <w:t>，还采用下列</w:t>
      </w:r>
      <w:r>
        <w:rPr>
          <w:spacing w:val="1"/>
        </w:rPr>
        <w:t>术语。</w:t>
      </w:r>
    </w:p>
    <w:p>
      <w:pPr>
        <w:pStyle w:val="BodyText"/>
        <w:spacing w:before="202" w:line="215" w:lineRule="auto"/>
        <w:ind w:left="14"/>
      </w:pPr>
      <w:r>
        <w:rPr>
          <w:spacing w:val="-2"/>
        </w:rPr>
        <w:t>3.1.1</w:t>
      </w:r>
      <w:r>
        <w:rPr>
          <w:spacing w:val="-46"/>
        </w:rPr>
        <w:t xml:space="preserve"> </w:t>
      </w:r>
      <w:r>
        <w:rPr>
          <w:spacing w:val="-2"/>
        </w:rPr>
        <w:t>加油机 fuel</w:t>
      </w:r>
      <w:r>
        <w:rPr>
          <w:spacing w:val="14"/>
        </w:rPr>
        <w:t xml:space="preserve"> </w:t>
      </w:r>
      <w:r>
        <w:rPr>
          <w:spacing w:val="-2"/>
        </w:rPr>
        <w:t>dispenser</w:t>
      </w:r>
    </w:p>
    <w:p>
      <w:pPr>
        <w:pStyle w:val="BodyText"/>
        <w:spacing w:before="199" w:line="247" w:lineRule="auto"/>
        <w:ind w:left="9" w:firstLine="481"/>
      </w:pPr>
      <w:r>
        <w:t>用来给车辆加注燃料的一种液体体积测量系统，可具有附加</w:t>
      </w:r>
      <w:r>
        <w:rPr>
          <w:spacing w:val="-1"/>
        </w:rPr>
        <w:t>装置和辅助装置。也适用于给小型</w:t>
      </w:r>
      <w:r>
        <w:t xml:space="preserve"> </w:t>
      </w:r>
      <w:r>
        <w:rPr>
          <w:spacing w:val="-1"/>
        </w:rPr>
        <w:t>船、小型飞机等加注燃料时的液体体积测量。</w:t>
      </w:r>
    </w:p>
    <w:p>
      <w:pPr>
        <w:pStyle w:val="BodyText"/>
        <w:spacing w:before="193" w:line="214" w:lineRule="auto"/>
        <w:ind w:left="14"/>
      </w:pPr>
      <w:r>
        <w:rPr>
          <w:spacing w:val="-2"/>
        </w:rPr>
        <w:t>3.1.2 自锁功能 self-lock</w:t>
      </w:r>
      <w:r>
        <w:rPr>
          <w:spacing w:val="-3"/>
        </w:rPr>
        <w:t>ing function</w:t>
      </w:r>
    </w:p>
    <w:p>
      <w:pPr>
        <w:pStyle w:val="BodyText"/>
        <w:spacing w:before="199" w:line="477" w:lineRule="exact"/>
        <w:ind w:left="489"/>
      </w:pPr>
      <w:r>
        <w:rPr>
          <w:position w:val="18"/>
        </w:rPr>
        <w:t>加油机加油量异常或校验功能异常时，加油机自</w:t>
      </w:r>
      <w:r>
        <w:rPr>
          <w:spacing w:val="-1"/>
          <w:position w:val="18"/>
        </w:rPr>
        <w:t>动锁定不能加油的功能。</w:t>
      </w:r>
    </w:p>
    <w:p>
      <w:pPr>
        <w:pStyle w:val="BodyText"/>
        <w:spacing w:before="1" w:line="220" w:lineRule="auto"/>
        <w:ind w:left="14"/>
      </w:pPr>
      <w:r>
        <w:rPr>
          <w:spacing w:val="-1"/>
        </w:rPr>
        <w:t>3.1.3</w:t>
      </w:r>
      <w:r>
        <w:rPr>
          <w:spacing w:val="-35"/>
        </w:rPr>
        <w:t xml:space="preserve"> </w:t>
      </w:r>
      <w:r>
        <w:rPr>
          <w:spacing w:val="-1"/>
        </w:rPr>
        <w:t>流量测量变换器  flow measurement transducer</w:t>
      </w:r>
    </w:p>
    <w:p>
      <w:pPr>
        <w:pStyle w:val="BodyText"/>
        <w:spacing w:before="194" w:line="219" w:lineRule="auto"/>
        <w:ind w:left="487"/>
      </w:pPr>
      <w:r>
        <w:rPr>
          <w:spacing w:val="-1"/>
        </w:rPr>
        <w:t>将油品的流动量转换为机械转动信号送给编码器的部件。</w:t>
      </w:r>
    </w:p>
    <w:p>
      <w:pPr>
        <w:pStyle w:val="BodyText"/>
        <w:spacing w:before="193" w:line="214" w:lineRule="auto"/>
        <w:ind w:left="14"/>
      </w:pPr>
      <w:r>
        <w:rPr>
          <w:spacing w:val="-2"/>
        </w:rPr>
        <w:t>3.1.4</w:t>
      </w:r>
      <w:r>
        <w:rPr>
          <w:spacing w:val="-48"/>
        </w:rPr>
        <w:t xml:space="preserve"> </w:t>
      </w:r>
      <w:r>
        <w:rPr>
          <w:spacing w:val="-2"/>
        </w:rPr>
        <w:t>编码器 coding</w:t>
      </w:r>
      <w:r>
        <w:rPr>
          <w:spacing w:val="14"/>
        </w:rPr>
        <w:t xml:space="preserve"> </w:t>
      </w:r>
      <w:r>
        <w:rPr>
          <w:spacing w:val="-2"/>
        </w:rPr>
        <w:t>device</w:t>
      </w:r>
    </w:p>
    <w:p>
      <w:pPr>
        <w:pStyle w:val="BodyText"/>
        <w:spacing w:before="199" w:line="219" w:lineRule="auto"/>
        <w:ind w:left="487"/>
      </w:pPr>
      <w:r>
        <w:t>将流量测量变换器的机械转动信号转换为数字信号送</w:t>
      </w:r>
      <w:r>
        <w:rPr>
          <w:spacing w:val="-1"/>
        </w:rPr>
        <w:t>给计控主板的部件。</w:t>
      </w:r>
    </w:p>
    <w:p>
      <w:pPr>
        <w:pStyle w:val="BodyText"/>
        <w:spacing w:before="193" w:line="214" w:lineRule="auto"/>
        <w:ind w:left="14"/>
      </w:pPr>
      <w:r>
        <w:t>3.1.5 计控主板 measurement c</w:t>
      </w:r>
      <w:r>
        <w:rPr>
          <w:spacing w:val="-1"/>
        </w:rPr>
        <w:t>ontrolling board</w:t>
      </w:r>
    </w:p>
    <w:p>
      <w:pPr>
        <w:pStyle w:val="BodyText"/>
        <w:spacing w:before="200" w:line="257" w:lineRule="auto"/>
        <w:ind w:left="8" w:firstLine="480"/>
        <w:jc w:val="both"/>
      </w:pPr>
      <w:r>
        <w:t>接收编码器传递的数字信号，并按法制计量控制要求生成加油数据</w:t>
      </w:r>
      <w:r>
        <w:rPr>
          <w:spacing w:val="-1"/>
        </w:rPr>
        <w:t>，经监控微处理器传递给指</w:t>
      </w:r>
      <w:r>
        <w:t xml:space="preserve"> </w:t>
      </w:r>
      <w:r>
        <w:t>示装置显示，具有数据通讯、处理、存储、控制等其他相关功能的部件</w:t>
      </w:r>
      <w:r>
        <w:rPr>
          <w:spacing w:val="-1"/>
        </w:rPr>
        <w:t>。主要由计量微处理器、监</w:t>
      </w:r>
      <w:r>
        <w:t xml:space="preserve"> </w:t>
      </w:r>
      <w:r>
        <w:rPr>
          <w:spacing w:val="-1"/>
        </w:rPr>
        <w:t>控微处理器、存储器等组成。</w:t>
      </w:r>
    </w:p>
    <w:p>
      <w:pPr>
        <w:pStyle w:val="BodyText"/>
        <w:spacing w:before="69" w:line="248" w:lineRule="auto"/>
        <w:ind w:left="489" w:right="4077" w:hanging="475"/>
      </w:pPr>
      <w:r>
        <w:rPr>
          <w:spacing w:val="-1"/>
        </w:rPr>
        <w:t>3.1.6 最小付费变量 minimum specified price</w:t>
      </w:r>
      <w:r>
        <w:rPr>
          <w:spacing w:val="29"/>
        </w:rPr>
        <w:t xml:space="preserve"> </w:t>
      </w:r>
      <w:r>
        <w:rPr>
          <w:spacing w:val="-1"/>
        </w:rPr>
        <w:t>deviation</w:t>
      </w:r>
      <w:r>
        <w:t xml:space="preserve"> </w:t>
      </w:r>
      <w:r>
        <w:rPr>
          <w:spacing w:val="-1"/>
        </w:rPr>
        <w:t>加油机的最小付费变量为单价与最小体积变量的乘积。</w:t>
      </w:r>
    </w:p>
    <w:p>
      <w:pPr>
        <w:pStyle w:val="BodyText"/>
        <w:spacing w:before="73" w:line="220" w:lineRule="auto"/>
        <w:ind w:left="14"/>
      </w:pPr>
      <w:r>
        <w:rPr>
          <w:spacing w:val="-2"/>
        </w:rPr>
        <w:t>3.1.7</w:t>
      </w:r>
      <w:r>
        <w:rPr>
          <w:spacing w:val="-31"/>
        </w:rPr>
        <w:t xml:space="preserve"> </w:t>
      </w:r>
      <w:r>
        <w:rPr>
          <w:spacing w:val="-2"/>
        </w:rPr>
        <w:t>软件标识</w:t>
      </w:r>
      <w:r>
        <w:rPr>
          <w:spacing w:val="-41"/>
        </w:rPr>
        <w:t xml:space="preserve"> </w:t>
      </w:r>
      <w:r>
        <w:rPr>
          <w:spacing w:val="-2"/>
        </w:rPr>
        <w:t>software identification</w:t>
      </w:r>
    </w:p>
    <w:p>
      <w:pPr>
        <w:pStyle w:val="BodyText"/>
        <w:spacing w:before="72" w:line="219" w:lineRule="auto"/>
        <w:ind w:left="491"/>
        <w:sectPr>
          <w:headerReference w:type="default" r:id="rId6"/>
          <w:footerReference w:type="default" r:id="rId7"/>
          <w:pgSz w:w="11906" w:h="16839"/>
          <w:pgMar w:top="1157" w:right="793" w:bottom="1156" w:left="794" w:header="912" w:footer="994" w:gutter="0"/>
          <w:cols w:space="708"/>
        </w:sectPr>
      </w:pPr>
      <w:r>
        <w:t>可代表所考虑软件或软件模块的可读字符串。加油机</w:t>
      </w:r>
      <w:r>
        <w:rPr>
          <w:spacing w:val="-1"/>
        </w:rPr>
        <w:t>使用过程中可对其进行检查。</w:t>
      </w:r>
    </w:p>
    <w:p>
      <w:pPr>
        <w:pStyle w:val="BodyText"/>
        <w:spacing w:before="73" w:line="221" w:lineRule="auto"/>
        <w:ind w:left="14"/>
      </w:pPr>
      <w:r>
        <w:rPr>
          <w:spacing w:val="-1"/>
        </w:rPr>
        <w:t>3.1.8</w:t>
      </w:r>
      <w:r>
        <w:rPr>
          <w:spacing w:val="-50"/>
        </w:rPr>
        <w:t xml:space="preserve"> </w:t>
      </w:r>
      <w:r>
        <w:rPr>
          <w:spacing w:val="-1"/>
        </w:rPr>
        <w:t>校验功能</w:t>
      </w:r>
      <w:r>
        <w:rPr>
          <w:spacing w:val="-52"/>
        </w:rPr>
        <w:t xml:space="preserve"> </w:t>
      </w:r>
      <w:r>
        <w:rPr>
          <w:spacing w:val="-1"/>
        </w:rPr>
        <w:t>validation fu</w:t>
      </w:r>
      <w:r>
        <w:rPr>
          <w:spacing w:val="-2"/>
        </w:rPr>
        <w:t>nction</w:t>
      </w:r>
    </w:p>
    <w:p>
      <w:pPr>
        <w:pStyle w:val="BodyText"/>
        <w:spacing w:before="71" w:line="247" w:lineRule="auto"/>
        <w:ind w:left="8" w:firstLine="510"/>
      </w:pPr>
      <w:r>
        <w:rPr>
          <w:spacing w:val="-1"/>
        </w:rPr>
        <w:t>由校验装置对加油机中其他作为软件载体的组件进行校验，并记录变更和异常，必要时控制监</w:t>
      </w:r>
      <w:r>
        <w:t xml:space="preserve"> </w:t>
      </w:r>
      <w:r>
        <w:rPr>
          <w:spacing w:val="-1"/>
        </w:rPr>
        <w:t>控微处理器执行锁机的功能。</w:t>
      </w:r>
    </w:p>
    <w:p>
      <w:pPr>
        <w:spacing w:line="247" w:lineRule="auto"/>
        <w:sectPr>
          <w:headerReference w:type="default" r:id="rId8"/>
          <w:footerReference w:type="default" r:id="rId9"/>
          <w:type w:val="nextPage"/>
          <w:pgSz w:w="11906" w:h="16839"/>
          <w:pgMar w:top="1157" w:right="793" w:bottom="1156" w:left="794" w:header="912" w:footer="994" w:gutter="0"/>
          <w:pgNumType w:start="2"/>
          <w:cols w:space="708"/>
          <w:titlePg w:val="0"/>
        </w:sectPr>
      </w:pPr>
    </w:p>
    <w:p>
      <w:pPr>
        <w:pStyle w:val="BodyText"/>
        <w:spacing w:before="36" w:line="220" w:lineRule="auto"/>
        <w:ind w:left="14"/>
      </w:pPr>
      <w:r>
        <w:rPr>
          <w:spacing w:val="-2"/>
        </w:rPr>
        <w:t>3.1.9 自动检定装置 automatic verification device</w:t>
      </w:r>
    </w:p>
    <w:p>
      <w:pPr>
        <w:pStyle w:val="BodyText"/>
        <w:spacing w:before="191" w:line="219" w:lineRule="auto"/>
        <w:ind w:left="518"/>
      </w:pPr>
      <w:r>
        <w:rPr>
          <w:spacing w:val="-1"/>
        </w:rPr>
        <w:t>由传感器、数字转换程序和计算机程序等实现加油机自动检定过程的</w:t>
      </w:r>
      <w:r>
        <w:rPr>
          <w:spacing w:val="-2"/>
        </w:rPr>
        <w:t>综合系统。</w:t>
      </w:r>
    </w:p>
    <w:p>
      <w:pPr>
        <w:pStyle w:val="BodyText"/>
        <w:spacing w:before="192" w:line="221" w:lineRule="auto"/>
        <w:ind w:left="14"/>
        <w:outlineLvl w:val="2"/>
      </w:pPr>
      <w:r>
        <w:rPr>
          <w:spacing w:val="-2"/>
        </w:rPr>
        <w:t>3.2 计量单位</w:t>
      </w:r>
    </w:p>
    <w:p>
      <w:pPr>
        <w:pStyle w:val="BodyText"/>
        <w:spacing w:before="190" w:line="246" w:lineRule="auto"/>
        <w:ind w:left="11" w:right="137" w:firstLine="838"/>
      </w:pPr>
      <w:r>
        <w:rPr>
          <w:spacing w:val="-1"/>
        </w:rPr>
        <w:t>加油机的计量单位均采用法定计量单位，应符合表 1</w:t>
      </w:r>
      <w:r>
        <w:rPr>
          <w:spacing w:val="-31"/>
        </w:rPr>
        <w:t xml:space="preserve"> </w:t>
      </w:r>
      <w:r>
        <w:rPr>
          <w:spacing w:val="-1"/>
        </w:rPr>
        <w:t>的规定。用于贸易结算的计量单位为</w:t>
      </w:r>
      <w:r>
        <w:t xml:space="preserve"> </w:t>
      </w:r>
      <w:r>
        <w:rPr>
          <w:spacing w:val="-1"/>
        </w:rPr>
        <w:t>升（L）,交易金额单位为人民币（元）。</w:t>
      </w:r>
    </w:p>
    <w:p>
      <w:pPr>
        <w:spacing w:before="71" w:line="231" w:lineRule="auto"/>
        <w:ind w:left="4487"/>
        <w:rPr>
          <w:rFonts w:ascii="SimHei" w:eastAsia="SimHei" w:hAnsi="SimHei" w:cs="SimHei"/>
          <w:sz w:val="20"/>
          <w:szCs w:val="20"/>
        </w:rPr>
      </w:pPr>
      <w:r>
        <w:rPr>
          <w:rFonts w:ascii="SimHei" w:eastAsia="SimHei" w:hAnsi="SimHei" w:cs="SimHei"/>
          <w:spacing w:val="1"/>
          <w:sz w:val="20"/>
          <w:szCs w:val="20"/>
        </w:rPr>
        <w:t>表</w:t>
      </w:r>
      <w:r>
        <w:rPr>
          <w:rFonts w:ascii="SimHei" w:eastAsia="SimHei" w:hAnsi="SimHei" w:cs="SimHei"/>
          <w:spacing w:val="29"/>
          <w:sz w:val="20"/>
          <w:szCs w:val="20"/>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7"/>
          <w:sz w:val="20"/>
          <w:szCs w:val="20"/>
        </w:rPr>
        <w:t xml:space="preserve">  </w:t>
      </w:r>
      <w:r>
        <w:rPr>
          <w:rFonts w:ascii="SimHei" w:eastAsia="SimHei" w:hAnsi="SimHei" w:cs="SimHei"/>
          <w:spacing w:val="1"/>
          <w:sz w:val="20"/>
          <w:szCs w:val="20"/>
        </w:rPr>
        <w:t>计量单位</w:t>
      </w:r>
    </w:p>
    <w:p>
      <w:pPr>
        <w:spacing w:line="128" w:lineRule="exact"/>
      </w:pPr>
    </w:p>
    <w:tbl>
      <w:tblPr>
        <w:tblStyle w:val="TableNormal0"/>
        <w:tblW w:w="8802" w:type="dxa"/>
        <w:tblInd w:w="7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02"/>
        <w:gridCol w:w="2198"/>
        <w:gridCol w:w="2199"/>
        <w:gridCol w:w="2203"/>
      </w:tblGrid>
      <w:tr>
        <w:tblPrEx>
          <w:tblW w:w="8802" w:type="dxa"/>
          <w:tblInd w:w="7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3"/>
        </w:trPr>
        <w:tc>
          <w:tcPr>
            <w:tcW w:w="2202" w:type="dxa"/>
            <w:vAlign w:val="top"/>
          </w:tcPr>
          <w:p>
            <w:pPr>
              <w:pStyle w:val="TableText"/>
              <w:spacing w:before="125" w:line="230" w:lineRule="auto"/>
              <w:ind w:left="896"/>
            </w:pPr>
            <w:r>
              <w:rPr>
                <w:spacing w:val="5"/>
              </w:rPr>
              <w:t>序号</w:t>
            </w:r>
          </w:p>
        </w:tc>
        <w:tc>
          <w:tcPr>
            <w:tcW w:w="2198" w:type="dxa"/>
            <w:vAlign w:val="top"/>
          </w:tcPr>
          <w:p>
            <w:pPr>
              <w:pStyle w:val="TableText"/>
              <w:spacing w:before="124" w:line="231" w:lineRule="auto"/>
              <w:ind w:left="896"/>
            </w:pPr>
            <w:r>
              <w:rPr>
                <w:spacing w:val="3"/>
              </w:rPr>
              <w:t>名称</w:t>
            </w:r>
          </w:p>
        </w:tc>
        <w:tc>
          <w:tcPr>
            <w:tcW w:w="2199" w:type="dxa"/>
            <w:vAlign w:val="top"/>
          </w:tcPr>
          <w:p>
            <w:pPr>
              <w:pStyle w:val="TableText"/>
              <w:spacing w:before="125" w:line="229" w:lineRule="auto"/>
              <w:ind w:left="685"/>
            </w:pPr>
            <w:r>
              <w:rPr>
                <w:spacing w:val="7"/>
              </w:rPr>
              <w:t>计量单位</w:t>
            </w:r>
          </w:p>
        </w:tc>
        <w:tc>
          <w:tcPr>
            <w:tcW w:w="2203" w:type="dxa"/>
            <w:vAlign w:val="top"/>
          </w:tcPr>
          <w:p>
            <w:pPr>
              <w:pStyle w:val="TableText"/>
              <w:spacing w:before="125" w:line="228" w:lineRule="auto"/>
              <w:ind w:left="688"/>
            </w:pPr>
            <w:r>
              <w:rPr>
                <w:spacing w:val="6"/>
              </w:rPr>
              <w:t>单位符号</w:t>
            </w:r>
          </w:p>
        </w:tc>
      </w:tr>
      <w:tr>
        <w:tblPrEx>
          <w:tblW w:w="8802" w:type="dxa"/>
          <w:tblInd w:w="757" w:type="dxa"/>
          <w:tblLayout w:type="fixed"/>
        </w:tblPrEx>
        <w:trPr>
          <w:trHeight w:val="458"/>
        </w:trPr>
        <w:tc>
          <w:tcPr>
            <w:tcW w:w="2202" w:type="dxa"/>
            <w:vAlign w:val="top"/>
          </w:tcPr>
          <w:p>
            <w:pPr>
              <w:spacing w:before="158" w:line="195" w:lineRule="auto"/>
              <w:ind w:left="10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98" w:type="dxa"/>
            <w:vAlign w:val="top"/>
          </w:tcPr>
          <w:p>
            <w:pPr>
              <w:pStyle w:val="TableText"/>
              <w:spacing w:before="123" w:line="229" w:lineRule="auto"/>
              <w:ind w:left="692"/>
            </w:pPr>
            <w:r>
              <w:rPr>
                <w:spacing w:val="5"/>
              </w:rPr>
              <w:t>累积流量</w:t>
            </w:r>
          </w:p>
        </w:tc>
        <w:tc>
          <w:tcPr>
            <w:tcW w:w="2199" w:type="dxa"/>
            <w:vAlign w:val="top"/>
          </w:tcPr>
          <w:p>
            <w:pPr>
              <w:pStyle w:val="TableText"/>
              <w:spacing w:before="122" w:line="230" w:lineRule="auto"/>
              <w:ind w:left="1003"/>
            </w:pPr>
            <w:r>
              <w:t>升</w:t>
            </w:r>
          </w:p>
        </w:tc>
        <w:tc>
          <w:tcPr>
            <w:tcW w:w="2203" w:type="dxa"/>
            <w:vAlign w:val="top"/>
          </w:tcPr>
          <w:p>
            <w:pPr>
              <w:spacing w:before="161" w:line="192" w:lineRule="auto"/>
              <w:ind w:left="10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L</w:t>
            </w:r>
          </w:p>
        </w:tc>
      </w:tr>
      <w:tr>
        <w:tblPrEx>
          <w:tblW w:w="8802" w:type="dxa"/>
          <w:tblInd w:w="757" w:type="dxa"/>
          <w:tblLayout w:type="fixed"/>
        </w:tblPrEx>
        <w:trPr>
          <w:trHeight w:val="458"/>
        </w:trPr>
        <w:tc>
          <w:tcPr>
            <w:tcW w:w="2202" w:type="dxa"/>
            <w:vAlign w:val="top"/>
          </w:tcPr>
          <w:p>
            <w:pPr>
              <w:spacing w:before="161" w:line="195" w:lineRule="auto"/>
              <w:ind w:left="105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98" w:type="dxa"/>
            <w:vAlign w:val="top"/>
          </w:tcPr>
          <w:p>
            <w:pPr>
              <w:pStyle w:val="TableText"/>
              <w:spacing w:before="122" w:line="230" w:lineRule="auto"/>
              <w:ind w:left="692"/>
            </w:pPr>
            <w:r>
              <w:rPr>
                <w:spacing w:val="5"/>
              </w:rPr>
              <w:t>瞬时流量</w:t>
            </w:r>
          </w:p>
        </w:tc>
        <w:tc>
          <w:tcPr>
            <w:tcW w:w="2199" w:type="dxa"/>
            <w:vAlign w:val="top"/>
          </w:tcPr>
          <w:p>
            <w:pPr>
              <w:pStyle w:val="TableText"/>
              <w:spacing w:before="123" w:line="228" w:lineRule="auto"/>
              <w:ind w:left="686"/>
            </w:pPr>
            <w:r>
              <w:rPr>
                <w:spacing w:val="6"/>
              </w:rPr>
              <w:t>升每分钟</w:t>
            </w:r>
          </w:p>
        </w:tc>
        <w:tc>
          <w:tcPr>
            <w:tcW w:w="2203" w:type="dxa"/>
            <w:vAlign w:val="top"/>
          </w:tcPr>
          <w:p>
            <w:pPr>
              <w:spacing w:before="94" w:line="274" w:lineRule="exact"/>
              <w:ind w:left="846"/>
              <w:rPr>
                <w:rFonts w:ascii="Times New Roman" w:eastAsia="Times New Roman" w:hAnsi="Times New Roman" w:cs="Times New Roman"/>
                <w:sz w:val="20"/>
                <w:szCs w:val="20"/>
              </w:rPr>
            </w:pPr>
            <w:r>
              <w:rPr>
                <w:rFonts w:ascii="Times New Roman" w:eastAsia="Times New Roman" w:hAnsi="Times New Roman" w:cs="Times New Roman"/>
                <w:spacing w:val="9"/>
                <w:position w:val="1"/>
                <w:sz w:val="20"/>
                <w:szCs w:val="20"/>
              </w:rPr>
              <w:t>L/</w:t>
            </w:r>
            <w:r>
              <w:rPr>
                <w:rFonts w:ascii="Times New Roman" w:eastAsia="Times New Roman" w:hAnsi="Times New Roman" w:cs="Times New Roman"/>
                <w:position w:val="1"/>
                <w:sz w:val="20"/>
                <w:szCs w:val="20"/>
              </w:rPr>
              <w:t>min</w:t>
            </w:r>
          </w:p>
        </w:tc>
      </w:tr>
      <w:tr>
        <w:tblPrEx>
          <w:tblW w:w="8802" w:type="dxa"/>
          <w:tblInd w:w="757" w:type="dxa"/>
          <w:tblLayout w:type="fixed"/>
        </w:tblPrEx>
        <w:trPr>
          <w:trHeight w:val="458"/>
        </w:trPr>
        <w:tc>
          <w:tcPr>
            <w:tcW w:w="2202" w:type="dxa"/>
            <w:vAlign w:val="top"/>
          </w:tcPr>
          <w:p>
            <w:pPr>
              <w:spacing w:before="161" w:line="195" w:lineRule="auto"/>
              <w:ind w:left="10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98" w:type="dxa"/>
            <w:vAlign w:val="top"/>
          </w:tcPr>
          <w:p>
            <w:pPr>
              <w:pStyle w:val="TableText"/>
              <w:spacing w:before="123" w:line="228" w:lineRule="auto"/>
              <w:ind w:left="894"/>
            </w:pPr>
            <w:r>
              <w:rPr>
                <w:spacing w:val="4"/>
              </w:rPr>
              <w:t>压力</w:t>
            </w:r>
          </w:p>
        </w:tc>
        <w:tc>
          <w:tcPr>
            <w:tcW w:w="2199" w:type="dxa"/>
            <w:vAlign w:val="top"/>
          </w:tcPr>
          <w:p>
            <w:pPr>
              <w:pStyle w:val="TableText"/>
              <w:spacing w:before="92" w:line="274" w:lineRule="exact"/>
              <w:ind w:left="419"/>
            </w:pPr>
            <w:r>
              <w:rPr>
                <w:spacing w:val="2"/>
                <w:position w:val="2"/>
              </w:rPr>
              <w:t>帕</w:t>
            </w:r>
            <w:r>
              <w:rPr>
                <w:rFonts w:ascii="Times New Roman" w:eastAsia="Times New Roman" w:hAnsi="Times New Roman" w:cs="Times New Roman"/>
                <w:spacing w:val="2"/>
                <w:position w:val="2"/>
              </w:rPr>
              <w:t>[</w:t>
            </w:r>
            <w:r>
              <w:rPr>
                <w:spacing w:val="2"/>
                <w:position w:val="2"/>
              </w:rPr>
              <w:t>斯卡</w:t>
            </w:r>
            <w:r>
              <w:rPr>
                <w:rFonts w:ascii="Times New Roman" w:eastAsia="Times New Roman" w:hAnsi="Times New Roman" w:cs="Times New Roman"/>
                <w:spacing w:val="2"/>
                <w:position w:val="2"/>
              </w:rPr>
              <w:t>]</w:t>
            </w:r>
            <w:r>
              <w:rPr>
                <w:rFonts w:ascii="Times New Roman" w:eastAsia="Times New Roman" w:hAnsi="Times New Roman" w:cs="Times New Roman"/>
                <w:spacing w:val="-24"/>
                <w:position w:val="2"/>
              </w:rPr>
              <w:t xml:space="preserve"> </w:t>
            </w:r>
            <w:r>
              <w:rPr>
                <w:spacing w:val="2"/>
                <w:position w:val="2"/>
              </w:rPr>
              <w:t>、千帕</w:t>
            </w:r>
          </w:p>
        </w:tc>
        <w:tc>
          <w:tcPr>
            <w:tcW w:w="2203" w:type="dxa"/>
            <w:vAlign w:val="top"/>
          </w:tcPr>
          <w:p>
            <w:pPr>
              <w:pStyle w:val="TableText"/>
              <w:spacing w:before="92" w:line="274" w:lineRule="exact"/>
              <w:ind w:left="735"/>
              <w:rPr>
                <w:rFonts w:ascii="Times New Roman" w:eastAsia="Times New Roman" w:hAnsi="Times New Roman" w:cs="Times New Roman"/>
              </w:rPr>
            </w:pPr>
            <w:r>
              <w:rPr>
                <w:rFonts w:ascii="Times New Roman" w:eastAsia="Times New Roman" w:hAnsi="Times New Roman" w:cs="Times New Roman"/>
                <w:position w:val="1"/>
              </w:rPr>
              <w:t>Pa</w:t>
            </w:r>
            <w:r>
              <w:rPr>
                <w:rFonts w:ascii="Times New Roman" w:eastAsia="Times New Roman" w:hAnsi="Times New Roman" w:cs="Times New Roman"/>
                <w:spacing w:val="-27"/>
                <w:position w:val="1"/>
              </w:rPr>
              <w:t xml:space="preserve"> </w:t>
            </w:r>
            <w:r>
              <w:rPr>
                <w:spacing w:val="6"/>
                <w:position w:val="1"/>
              </w:rPr>
              <w:t>、</w:t>
            </w:r>
            <w:r>
              <w:rPr>
                <w:rFonts w:ascii="Times New Roman" w:eastAsia="Times New Roman" w:hAnsi="Times New Roman" w:cs="Times New Roman"/>
                <w:position w:val="1"/>
              </w:rPr>
              <w:t>kPa</w:t>
            </w:r>
          </w:p>
        </w:tc>
      </w:tr>
      <w:tr>
        <w:tblPrEx>
          <w:tblW w:w="8802" w:type="dxa"/>
          <w:tblInd w:w="757" w:type="dxa"/>
          <w:tblLayout w:type="fixed"/>
        </w:tblPrEx>
        <w:trPr>
          <w:trHeight w:val="458"/>
        </w:trPr>
        <w:tc>
          <w:tcPr>
            <w:tcW w:w="2202" w:type="dxa"/>
            <w:vAlign w:val="top"/>
          </w:tcPr>
          <w:p>
            <w:pPr>
              <w:spacing w:before="161" w:line="195" w:lineRule="auto"/>
              <w:ind w:left="105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98" w:type="dxa"/>
            <w:vAlign w:val="top"/>
          </w:tcPr>
          <w:p>
            <w:pPr>
              <w:pStyle w:val="TableText"/>
              <w:spacing w:before="125" w:line="229" w:lineRule="auto"/>
              <w:ind w:left="895"/>
            </w:pPr>
            <w:r>
              <w:rPr>
                <w:spacing w:val="3"/>
              </w:rPr>
              <w:t>温度</w:t>
            </w:r>
          </w:p>
        </w:tc>
        <w:tc>
          <w:tcPr>
            <w:tcW w:w="2199" w:type="dxa"/>
            <w:vAlign w:val="top"/>
          </w:tcPr>
          <w:p>
            <w:pPr>
              <w:pStyle w:val="TableText"/>
              <w:spacing w:before="125" w:line="229" w:lineRule="auto"/>
              <w:ind w:left="790"/>
            </w:pPr>
            <w:r>
              <w:rPr>
                <w:spacing w:val="6"/>
              </w:rPr>
              <w:t>摄氏度</w:t>
            </w:r>
          </w:p>
        </w:tc>
        <w:tc>
          <w:tcPr>
            <w:tcW w:w="2203" w:type="dxa"/>
            <w:vAlign w:val="top"/>
          </w:tcPr>
          <w:p>
            <w:pPr>
              <w:pStyle w:val="TableText"/>
              <w:spacing w:before="125" w:line="267" w:lineRule="exact"/>
              <w:ind w:left="1016"/>
            </w:pPr>
            <w:r>
              <w:rPr>
                <w:position w:val="1"/>
              </w:rPr>
              <w:t>℃</w:t>
            </w:r>
          </w:p>
        </w:tc>
      </w:tr>
      <w:tr>
        <w:tblPrEx>
          <w:tblW w:w="8802" w:type="dxa"/>
          <w:tblInd w:w="757" w:type="dxa"/>
          <w:tblLayout w:type="fixed"/>
        </w:tblPrEx>
        <w:trPr>
          <w:trHeight w:val="463"/>
        </w:trPr>
        <w:tc>
          <w:tcPr>
            <w:tcW w:w="2202" w:type="dxa"/>
            <w:vAlign w:val="top"/>
          </w:tcPr>
          <w:p>
            <w:pPr>
              <w:spacing w:before="167" w:line="192" w:lineRule="auto"/>
              <w:ind w:left="105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198" w:type="dxa"/>
            <w:vAlign w:val="top"/>
          </w:tcPr>
          <w:p>
            <w:pPr>
              <w:pStyle w:val="TableText"/>
              <w:spacing w:before="125" w:line="231" w:lineRule="auto"/>
              <w:ind w:left="903"/>
            </w:pPr>
            <w:r>
              <w:rPr>
                <w:spacing w:val="-1"/>
              </w:rPr>
              <w:t>时间</w:t>
            </w:r>
          </w:p>
        </w:tc>
        <w:tc>
          <w:tcPr>
            <w:tcW w:w="2199" w:type="dxa"/>
            <w:vAlign w:val="top"/>
          </w:tcPr>
          <w:p>
            <w:pPr>
              <w:pStyle w:val="TableText"/>
              <w:spacing w:before="126" w:line="229" w:lineRule="auto"/>
              <w:ind w:left="687"/>
            </w:pPr>
            <w:r>
              <w:rPr>
                <w:spacing w:val="7"/>
              </w:rPr>
              <w:t>分钟、秒</w:t>
            </w:r>
          </w:p>
        </w:tc>
        <w:tc>
          <w:tcPr>
            <w:tcW w:w="2203" w:type="dxa"/>
            <w:vAlign w:val="top"/>
          </w:tcPr>
          <w:p>
            <w:pPr>
              <w:pStyle w:val="TableText"/>
              <w:spacing w:before="95" w:line="274" w:lineRule="exact"/>
              <w:ind w:left="790"/>
              <w:rPr>
                <w:rFonts w:ascii="Times New Roman" w:eastAsia="Times New Roman" w:hAnsi="Times New Roman" w:cs="Times New Roman"/>
              </w:rPr>
            </w:pPr>
            <w:r>
              <w:rPr>
                <w:rFonts w:ascii="Times New Roman" w:eastAsia="Times New Roman" w:hAnsi="Times New Roman" w:cs="Times New Roman"/>
                <w:position w:val="1"/>
              </w:rPr>
              <w:t>min</w:t>
            </w:r>
            <w:r>
              <w:rPr>
                <w:rFonts w:ascii="Times New Roman" w:eastAsia="Times New Roman" w:hAnsi="Times New Roman" w:cs="Times New Roman"/>
                <w:spacing w:val="-26"/>
                <w:position w:val="1"/>
              </w:rPr>
              <w:t xml:space="preserve"> </w:t>
            </w:r>
            <w:r>
              <w:rPr>
                <w:spacing w:val="5"/>
                <w:position w:val="1"/>
              </w:rPr>
              <w:t>、</w:t>
            </w:r>
            <w:r>
              <w:rPr>
                <w:rFonts w:ascii="Times New Roman" w:eastAsia="Times New Roman" w:hAnsi="Times New Roman" w:cs="Times New Roman"/>
                <w:spacing w:val="5"/>
                <w:position w:val="1"/>
              </w:rPr>
              <w:t>s</w:t>
            </w:r>
          </w:p>
        </w:tc>
      </w:tr>
    </w:tbl>
    <w:p>
      <w:pPr>
        <w:spacing w:before="156" w:line="221" w:lineRule="auto"/>
        <w:ind w:left="3"/>
        <w:outlineLvl w:val="1"/>
        <w:rPr>
          <w:rFonts w:ascii="SimHei" w:eastAsia="SimHei" w:hAnsi="SimHei" w:cs="SimHei"/>
          <w:sz w:val="24"/>
          <w:szCs w:val="24"/>
        </w:rPr>
      </w:pPr>
      <w:r>
        <w:rPr>
          <w:rFonts w:ascii="SimHei" w:eastAsia="SimHei" w:hAnsi="SimHei" w:cs="SimHei"/>
          <w:spacing w:val="-4"/>
          <w:sz w:val="24"/>
          <w:szCs w:val="24"/>
        </w:rPr>
        <w:t>4</w:t>
      </w:r>
      <w:r>
        <w:rPr>
          <w:rFonts w:ascii="SimHei" w:eastAsia="SimHei" w:hAnsi="SimHei" w:cs="SimHei"/>
          <w:spacing w:val="4"/>
          <w:sz w:val="24"/>
          <w:szCs w:val="24"/>
        </w:rPr>
        <w:t xml:space="preserve">  </w:t>
      </w:r>
      <w:r>
        <w:rPr>
          <w:rFonts w:ascii="SimHei" w:eastAsia="SimHei" w:hAnsi="SimHei" w:cs="SimHei"/>
          <w:spacing w:val="-4"/>
          <w:sz w:val="24"/>
          <w:szCs w:val="24"/>
        </w:rPr>
        <w:t>概述</w:t>
      </w:r>
    </w:p>
    <w:p>
      <w:pPr>
        <w:pStyle w:val="BodyText"/>
        <w:spacing w:before="299" w:line="221" w:lineRule="auto"/>
        <w:ind w:left="8"/>
        <w:outlineLvl w:val="2"/>
      </w:pPr>
      <w:r>
        <w:rPr>
          <w:spacing w:val="-5"/>
        </w:rPr>
        <w:t>4.1</w:t>
      </w:r>
      <w:r>
        <w:rPr>
          <w:spacing w:val="15"/>
        </w:rPr>
        <w:t xml:space="preserve"> </w:t>
      </w:r>
      <w:r>
        <w:rPr>
          <w:spacing w:val="-5"/>
        </w:rPr>
        <w:t>构造</w:t>
      </w:r>
    </w:p>
    <w:p>
      <w:pPr>
        <w:pStyle w:val="BodyText"/>
        <w:spacing w:before="301" w:line="465" w:lineRule="exact"/>
        <w:jc w:val="right"/>
      </w:pPr>
      <w:r>
        <w:rPr>
          <w:spacing w:val="-4"/>
          <w:position w:val="17"/>
        </w:rPr>
        <w:t>加油机一般是由油泵、油气分离器、流量测量变换器、控制阀、编码器、计控主板、</w:t>
      </w:r>
      <w:r>
        <w:rPr>
          <w:spacing w:val="-5"/>
          <w:position w:val="17"/>
        </w:rPr>
        <w:t>指示装置、</w:t>
      </w:r>
    </w:p>
    <w:p>
      <w:pPr>
        <w:pStyle w:val="BodyText"/>
        <w:spacing w:line="220" w:lineRule="auto"/>
        <w:ind w:left="13"/>
      </w:pPr>
      <w:r>
        <w:rPr>
          <w:spacing w:val="-1"/>
        </w:rPr>
        <w:t>油枪等主要部件组成的液体体积动态测量系统。</w:t>
      </w:r>
    </w:p>
    <w:p>
      <w:pPr>
        <w:pStyle w:val="BodyText"/>
        <w:spacing w:before="302" w:line="221" w:lineRule="auto"/>
        <w:ind w:left="8"/>
        <w:outlineLvl w:val="2"/>
      </w:pPr>
      <w:r>
        <w:rPr>
          <w:spacing w:val="-3"/>
        </w:rPr>
        <w:t>4.2</w:t>
      </w:r>
      <w:r>
        <w:rPr>
          <w:spacing w:val="12"/>
        </w:rPr>
        <w:t xml:space="preserve"> </w:t>
      </w:r>
      <w:r>
        <w:rPr>
          <w:spacing w:val="-3"/>
        </w:rPr>
        <w:t>工作原理</w:t>
      </w:r>
    </w:p>
    <w:p>
      <w:pPr>
        <w:pStyle w:val="BodyText"/>
        <w:spacing w:before="299" w:line="360" w:lineRule="auto"/>
        <w:ind w:left="13" w:right="80" w:firstLine="515"/>
        <w:jc w:val="both"/>
      </w:pPr>
      <w:r>
        <w:rPr>
          <w:spacing w:val="-1"/>
        </w:rPr>
        <w:t>自带泵型加油机由电动机驱动油泵，油泵将储油罐中的燃油经油管</w:t>
      </w:r>
      <w:r>
        <w:rPr>
          <w:spacing w:val="-2"/>
        </w:rPr>
        <w:t>及过滤器泵入油气分离器进</w:t>
      </w:r>
      <w:r>
        <w:t xml:space="preserve"> </w:t>
      </w:r>
      <w:r>
        <w:t>行油气分离；潜油泵型加油机由计控主板发出控制信号送到</w:t>
      </w:r>
      <w:r>
        <w:rPr>
          <w:spacing w:val="-1"/>
        </w:rPr>
        <w:t>潜油泵控制盒，启动潜油泵。在泵压作</w:t>
      </w:r>
    </w:p>
    <w:p>
      <w:pPr>
        <w:pStyle w:val="BodyText"/>
        <w:spacing w:line="220" w:lineRule="auto"/>
        <w:ind w:left="11"/>
      </w:pPr>
      <w:r>
        <w:rPr>
          <w:spacing w:val="-1"/>
        </w:rPr>
        <w:t>用下燃油经控制阀、流量测量变换器、输油管、油枪输至受油容器。</w:t>
      </w:r>
    </w:p>
    <w:p>
      <w:pPr>
        <w:pStyle w:val="BodyText"/>
        <w:spacing w:before="299" w:line="359" w:lineRule="auto"/>
        <w:ind w:left="8" w:right="80" w:firstLine="480"/>
        <w:jc w:val="both"/>
      </w:pPr>
      <w:r>
        <w:t>加油过程中，燃油通过流量测量变换器带动编码器传动轴转动，</w:t>
      </w:r>
      <w:r>
        <w:rPr>
          <w:spacing w:val="-1"/>
        </w:rPr>
        <w:t>其转数与累计流量呈正比。编</w:t>
      </w:r>
      <w:r>
        <w:t xml:space="preserve"> </w:t>
      </w:r>
      <w:r>
        <w:t>码器将流量测量变换器的机械转动信号转换为数字信号送给计控主板，</w:t>
      </w:r>
      <w:r>
        <w:rPr>
          <w:spacing w:val="-1"/>
        </w:rPr>
        <w:t>并通过监控微处理器将加油</w:t>
      </w:r>
    </w:p>
    <w:p>
      <w:pPr>
        <w:pStyle w:val="BodyText"/>
        <w:spacing w:before="1" w:line="219" w:lineRule="auto"/>
        <w:ind w:left="9"/>
      </w:pPr>
      <w:r>
        <w:rPr>
          <w:spacing w:val="-2"/>
        </w:rPr>
        <w:t>体积和付费金额传输至指示装置显示。典型的加油机工作原理示意图见图</w:t>
      </w:r>
      <w:r>
        <w:rPr>
          <w:spacing w:val="-17"/>
        </w:rPr>
        <w:t xml:space="preserve"> </w:t>
      </w:r>
      <w:r>
        <w:rPr>
          <w:spacing w:val="-2"/>
        </w:rPr>
        <w:t>1、图</w:t>
      </w:r>
      <w:r>
        <w:rPr>
          <w:spacing w:val="-48"/>
        </w:rPr>
        <w:t xml:space="preserve"> </w:t>
      </w:r>
      <w:r>
        <w:rPr>
          <w:spacing w:val="-2"/>
        </w:rPr>
        <w:t>2、图</w:t>
      </w:r>
      <w:r>
        <w:rPr>
          <w:spacing w:val="-46"/>
        </w:rPr>
        <w:t xml:space="preserve"> </w:t>
      </w:r>
      <w:r>
        <w:rPr>
          <w:spacing w:val="-2"/>
        </w:rPr>
        <w:t>3。</w:t>
      </w:r>
    </w:p>
    <w:p>
      <w:pPr>
        <w:spacing w:line="219" w:lineRule="auto"/>
        <w:sectPr>
          <w:headerReference w:type="default" r:id="rId10"/>
          <w:footerReference w:type="default" r:id="rId11"/>
          <w:pgSz w:w="11906" w:h="16839"/>
          <w:pgMar w:top="1157" w:right="713" w:bottom="1156" w:left="794" w:header="912" w:footer="994" w:gutter="0"/>
          <w:pgNumType w:start="3"/>
          <w:cols w:space="708"/>
        </w:sectPr>
      </w:pPr>
    </w:p>
    <w:p>
      <w:pPr>
        <w:spacing w:line="445" w:lineRule="auto"/>
        <w:rPr>
          <w:rFonts w:ascii="Arial"/>
          <w:sz w:val="21"/>
        </w:rPr>
      </w:pPr>
      <w:r>
        <w:pict>
          <v:shape id="_x0000_s1025" style="width:515.95pt;height:0.75pt;margin-top:57.15pt;margin-left:39.7pt;mso-position-horizontal-relative:page;mso-position-vertical-relative:page;position:absolute;z-index:251658240" coordorigin="0,0" coordsize="10319,15" o:allowincell="f" path="m,l10318,l10318,14l,14l,xe" filled="t" fillcolor="black" stroked="f"/>
        </w:pict>
      </w:r>
    </w:p>
    <w:p>
      <w:pPr>
        <w:spacing w:before="65" w:line="191" w:lineRule="auto"/>
        <w:ind w:left="4592"/>
        <w:rPr>
          <w:rFonts w:ascii="SimHei" w:eastAsia="SimHei" w:hAnsi="SimHei" w:cs="SimHei"/>
          <w:sz w:val="20"/>
          <w:szCs w:val="20"/>
        </w:rPr>
      </w:pPr>
      <w:r>
        <w:rPr>
          <w:rFonts w:ascii="SimHei" w:eastAsia="SimHei" w:hAnsi="SimHei" w:cs="SimHei"/>
          <w:sz w:val="20"/>
          <w:szCs w:val="20"/>
        </w:rPr>
        <w:t>JJG</w:t>
      </w:r>
      <w:r>
        <w:rPr>
          <w:rFonts w:ascii="SimHei" w:eastAsia="SimHei" w:hAnsi="SimHei" w:cs="SimHei"/>
          <w:spacing w:val="5"/>
          <w:sz w:val="20"/>
          <w:szCs w:val="20"/>
        </w:rPr>
        <w:t>443-202X</w:t>
      </w:r>
    </w:p>
    <w:p>
      <w:pPr>
        <w:pStyle w:val="BodyText"/>
        <w:spacing w:before="38" w:line="4670" w:lineRule="exact"/>
        <w:ind w:firstLine="2625"/>
      </w:pPr>
      <w:r>
        <w:rPr>
          <w:position w:val="-93"/>
        </w:rPr>
        <w:pict>
          <v:group id="_x0000_i1026" style="width:311.55pt;height:233.5pt;mso-position-horizontal-relative:char;mso-position-vertical-relative:line" coordorigin="0,0" coordsize="6230,4670" filled="f" stroked="f">
            <v:rect id="_x0000_s1027" style="width:6230;height:4670;position:absolute" filled="t" fillcolor="aqua"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230;height:1134;left:3652;position:absolute;top:3424" filled="f" stroked="f">
              <v:imagedata r:id="rId12" o:title=""/>
            </v:shape>
            <v:rect id="_x0000_s1029" style="width:1215;height:1115;left:3661;position:absolute;top:3433" filled="t" fillcolor="white" stroked="f"/>
            <v:shape id="_x0000_s1030" type="#_x0000_t75" style="width:1044;height:487;left:3796;position:absolute;top:3890" filled="f" stroked="f">
              <v:imagedata r:id="rId13" o:title=""/>
            </v:shape>
            <v:shapetype id="_x0000_t202" coordsize="21600,21600" o:spt="202" path="m,l,21600r21600,l21600,xe">
              <v:stroke joinstyle="miter"/>
              <v:path gradientshapeok="t" o:connecttype="rect"/>
            </v:shapetype>
            <v:shape id="_x0000_s1031" type="#_x0000_t202" style="width:3795;height:4062;left:690;position:absolute;top:128" filled="f" stroked="f">
              <o:lock v:ext="edit" aspectratio="f"/>
              <v:textbox inset="0,0,0,0">
                <w:txbxContent>
                  <w:p>
                    <w:pPr>
                      <w:spacing w:line="20" w:lineRule="exact"/>
                    </w:pPr>
                  </w:p>
                  <w:tbl>
                    <w:tblPr>
                      <w:tblStyle w:val="TableNormal1"/>
                      <w:tblW w:w="1105" w:type="dxa"/>
                      <w:tblInd w:w="154" w:type="dxa"/>
                      <w:tblBorders>
                        <w:top w:val="single" w:sz="10" w:space="0" w:color="000000"/>
                        <w:left w:val="single" w:sz="10" w:space="0" w:color="000000"/>
                        <w:bottom w:val="single" w:sz="10" w:space="0" w:color="000000"/>
                        <w:right w:val="single" w:sz="10" w:space="0" w:color="000000"/>
                      </w:tblBorders>
                      <w:shd w:val="clear" w:color="auto" w:fill="FFFFFF"/>
                      <w:tblLayout w:type="fixed"/>
                    </w:tblPr>
                    <w:tblGrid>
                      <w:gridCol w:w="1105"/>
                    </w:tblGrid>
                    <w:tr>
                      <w:tblPrEx>
                        <w:tblW w:w="1105" w:type="dxa"/>
                        <w:tblInd w:w="154" w:type="dxa"/>
                        <w:tblBorders>
                          <w:top w:val="single" w:sz="10" w:space="0" w:color="000000"/>
                          <w:left w:val="single" w:sz="10" w:space="0" w:color="000000"/>
                          <w:bottom w:val="single" w:sz="10" w:space="0" w:color="000000"/>
                          <w:right w:val="single" w:sz="10" w:space="0" w:color="000000"/>
                        </w:tblBorders>
                        <w:shd w:val="clear" w:color="auto" w:fill="FFFFFF"/>
                        <w:tblLayout w:type="fixed"/>
                      </w:tblPrEx>
                      <w:trPr>
                        <w:trHeight w:val="500"/>
                      </w:trPr>
                      <w:tc>
                        <w:tcPr>
                          <w:tcW w:w="1105" w:type="dxa"/>
                          <w:shd w:val="clear" w:color="auto" w:fill="FFFFFF"/>
                          <w:vAlign w:val="top"/>
                        </w:tcPr>
                        <w:p>
                          <w:pPr>
                            <w:spacing w:before="75" w:line="219" w:lineRule="auto"/>
                            <w:ind w:left="110"/>
                            <w:rPr>
                              <w:rFonts w:ascii="SimSun" w:eastAsia="SimSun" w:hAnsi="SimSun" w:cs="SimSun"/>
                              <w:sz w:val="18"/>
                              <w:szCs w:val="18"/>
                            </w:rPr>
                          </w:pPr>
                          <w:r>
                            <w:rPr>
                              <w:rFonts w:ascii="SimSun" w:eastAsia="SimSun" w:hAnsi="SimSun" w:cs="SimSun"/>
                              <w:spacing w:val="-2"/>
                              <w:sz w:val="18"/>
                              <w:szCs w:val="18"/>
                            </w:rPr>
                            <w:t>计控主板</w:t>
                          </w:r>
                        </w:p>
                      </w:tc>
                    </w:tr>
                  </w:tbl>
                  <w:p>
                    <w:pPr>
                      <w:spacing w:line="215" w:lineRule="exact"/>
                    </w:pPr>
                  </w:p>
                  <w:tbl>
                    <w:tblPr>
                      <w:tblStyle w:val="TableNormal1"/>
                      <w:tblW w:w="1074" w:type="dxa"/>
                      <w:tblInd w:w="199" w:type="dxa"/>
                      <w:tblBorders>
                        <w:top w:val="single" w:sz="10" w:space="0" w:color="000000"/>
                        <w:left w:val="single" w:sz="10" w:space="0" w:color="000000"/>
                        <w:bottom w:val="single" w:sz="10" w:space="0" w:color="000000"/>
                        <w:right w:val="single" w:sz="10" w:space="0" w:color="000000"/>
                      </w:tblBorders>
                      <w:shd w:val="clear" w:color="auto" w:fill="FFFFFF"/>
                      <w:tblLayout w:type="fixed"/>
                    </w:tblPr>
                    <w:tblGrid>
                      <w:gridCol w:w="1074"/>
                    </w:tblGrid>
                    <w:tr>
                      <w:tblPrEx>
                        <w:tblW w:w="1074" w:type="dxa"/>
                        <w:tblInd w:w="199" w:type="dxa"/>
                        <w:tblBorders>
                          <w:top w:val="single" w:sz="10" w:space="0" w:color="000000"/>
                          <w:left w:val="single" w:sz="10" w:space="0" w:color="000000"/>
                          <w:bottom w:val="single" w:sz="10" w:space="0" w:color="000000"/>
                          <w:right w:val="single" w:sz="10" w:space="0" w:color="000000"/>
                        </w:tblBorders>
                        <w:shd w:val="clear" w:color="auto" w:fill="FFFFFF"/>
                        <w:tblLayout w:type="fixed"/>
                      </w:tblPrEx>
                      <w:trPr>
                        <w:trHeight w:val="338"/>
                      </w:trPr>
                      <w:tc>
                        <w:tcPr>
                          <w:tcW w:w="1074" w:type="dxa"/>
                          <w:shd w:val="clear" w:color="auto" w:fill="FFFFFF"/>
                          <w:vAlign w:val="top"/>
                        </w:tcPr>
                        <w:p>
                          <w:pPr>
                            <w:spacing w:before="74" w:line="220" w:lineRule="auto"/>
                            <w:ind w:left="112"/>
                            <w:rPr>
                              <w:rFonts w:ascii="SimSun" w:eastAsia="SimSun" w:hAnsi="SimSun" w:cs="SimSun"/>
                              <w:sz w:val="18"/>
                              <w:szCs w:val="18"/>
                            </w:rPr>
                          </w:pPr>
                          <w:r>
                            <w:rPr>
                              <w:rFonts w:ascii="SimSun" w:eastAsia="SimSun" w:hAnsi="SimSun" w:cs="SimSun"/>
                              <w:spacing w:val="-5"/>
                              <w:sz w:val="18"/>
                              <w:szCs w:val="18"/>
                            </w:rPr>
                            <w:t>编</w:t>
                          </w:r>
                          <w:r>
                            <w:rPr>
                              <w:rFonts w:ascii="SimSun" w:eastAsia="SimSun" w:hAnsi="SimSun" w:cs="SimSun"/>
                              <w:spacing w:val="7"/>
                              <w:sz w:val="18"/>
                              <w:szCs w:val="18"/>
                            </w:rPr>
                            <w:t xml:space="preserve"> </w:t>
                          </w:r>
                          <w:r>
                            <w:rPr>
                              <w:rFonts w:ascii="SimSun" w:eastAsia="SimSun" w:hAnsi="SimSun" w:cs="SimSun"/>
                              <w:spacing w:val="-5"/>
                              <w:sz w:val="18"/>
                              <w:szCs w:val="18"/>
                            </w:rPr>
                            <w:t>码</w:t>
                          </w:r>
                          <w:r>
                            <w:rPr>
                              <w:rFonts w:ascii="SimSun" w:eastAsia="SimSun" w:hAnsi="SimSun" w:cs="SimSun"/>
                              <w:spacing w:val="5"/>
                              <w:sz w:val="18"/>
                              <w:szCs w:val="18"/>
                            </w:rPr>
                            <w:t xml:space="preserve"> </w:t>
                          </w:r>
                          <w:r>
                            <w:rPr>
                              <w:rFonts w:ascii="SimSun" w:eastAsia="SimSun" w:hAnsi="SimSun" w:cs="SimSun"/>
                              <w:spacing w:val="-5"/>
                              <w:sz w:val="18"/>
                              <w:szCs w:val="18"/>
                            </w:rPr>
                            <w:t>器</w:t>
                          </w:r>
                        </w:p>
                      </w:tc>
                    </w:tr>
                  </w:tbl>
                  <w:p>
                    <w:pPr>
                      <w:spacing w:before="114"/>
                    </w:pPr>
                  </w:p>
                  <w:tbl>
                    <w:tblPr>
                      <w:tblStyle w:val="TableNormal1"/>
                      <w:tblW w:w="1584" w:type="dxa"/>
                      <w:tblInd w:w="32" w:type="dxa"/>
                      <w:tblBorders>
                        <w:top w:val="single" w:sz="10" w:space="0" w:color="000000"/>
                        <w:left w:val="single" w:sz="10" w:space="0" w:color="000000"/>
                        <w:bottom w:val="single" w:sz="10" w:space="0" w:color="000000"/>
                        <w:right w:val="single" w:sz="8" w:space="0" w:color="000000"/>
                      </w:tblBorders>
                      <w:shd w:val="clear" w:color="auto" w:fill="FFFFFF"/>
                      <w:tblLayout w:type="fixed"/>
                    </w:tblPr>
                    <w:tblGrid>
                      <w:gridCol w:w="1584"/>
                    </w:tblGrid>
                    <w:tr>
                      <w:tblPrEx>
                        <w:tblW w:w="1584" w:type="dxa"/>
                        <w:tblInd w:w="32" w:type="dxa"/>
                        <w:tblBorders>
                          <w:top w:val="single" w:sz="10" w:space="0" w:color="000000"/>
                          <w:left w:val="single" w:sz="10" w:space="0" w:color="000000"/>
                          <w:bottom w:val="single" w:sz="10" w:space="0" w:color="000000"/>
                          <w:right w:val="single" w:sz="8" w:space="0" w:color="000000"/>
                        </w:tblBorders>
                        <w:shd w:val="clear" w:color="auto" w:fill="FFFFFF"/>
                        <w:tblLayout w:type="fixed"/>
                      </w:tblPrEx>
                      <w:trPr>
                        <w:trHeight w:val="337"/>
                      </w:trPr>
                      <w:tc>
                        <w:tcPr>
                          <w:tcW w:w="1584" w:type="dxa"/>
                          <w:shd w:val="clear" w:color="auto" w:fill="FFFFFF"/>
                          <w:vAlign w:val="top"/>
                        </w:tcPr>
                        <w:p>
                          <w:pPr>
                            <w:spacing w:before="74" w:line="221" w:lineRule="auto"/>
                            <w:ind w:left="113"/>
                            <w:rPr>
                              <w:rFonts w:ascii="SimSun" w:eastAsia="SimSun" w:hAnsi="SimSun" w:cs="SimSun"/>
                              <w:sz w:val="18"/>
                              <w:szCs w:val="18"/>
                            </w:rPr>
                          </w:pPr>
                          <w:r>
                            <w:rPr>
                              <w:rFonts w:ascii="SimSun" w:eastAsia="SimSun" w:hAnsi="SimSun" w:cs="SimSun"/>
                              <w:spacing w:val="-2"/>
                              <w:sz w:val="18"/>
                              <w:szCs w:val="18"/>
                            </w:rPr>
                            <w:t>流量测量变换器</w:t>
                          </w:r>
                        </w:p>
                      </w:tc>
                    </w:tr>
                  </w:tbl>
                  <w:p>
                    <w:pPr>
                      <w:spacing w:line="233" w:lineRule="exact"/>
                    </w:pPr>
                  </w:p>
                  <w:tbl>
                    <w:tblPr>
                      <w:tblStyle w:val="TableNormal1"/>
                      <w:tblW w:w="1072" w:type="dxa"/>
                      <w:tblInd w:w="199" w:type="dxa"/>
                      <w:tblBorders>
                        <w:top w:val="single" w:sz="10" w:space="0" w:color="000000"/>
                        <w:left w:val="single" w:sz="10" w:space="0" w:color="000000"/>
                        <w:bottom w:val="single" w:sz="10" w:space="0" w:color="000000"/>
                        <w:right w:val="single" w:sz="10" w:space="0" w:color="000000"/>
                      </w:tblBorders>
                      <w:shd w:val="clear" w:color="auto" w:fill="FFFFFF"/>
                      <w:tblLayout w:type="fixed"/>
                    </w:tblPr>
                    <w:tblGrid>
                      <w:gridCol w:w="1072"/>
                    </w:tblGrid>
                    <w:tr>
                      <w:tblPrEx>
                        <w:tblW w:w="1072" w:type="dxa"/>
                        <w:tblInd w:w="199" w:type="dxa"/>
                        <w:tblBorders>
                          <w:top w:val="single" w:sz="10" w:space="0" w:color="000000"/>
                          <w:left w:val="single" w:sz="10" w:space="0" w:color="000000"/>
                          <w:bottom w:val="single" w:sz="10" w:space="0" w:color="000000"/>
                          <w:right w:val="single" w:sz="10" w:space="0" w:color="000000"/>
                        </w:tblBorders>
                        <w:shd w:val="clear" w:color="auto" w:fill="FFFFFF"/>
                        <w:tblLayout w:type="fixed"/>
                      </w:tblPrEx>
                      <w:trPr>
                        <w:trHeight w:val="335"/>
                      </w:trPr>
                      <w:tc>
                        <w:tcPr>
                          <w:tcW w:w="1072" w:type="dxa"/>
                          <w:shd w:val="clear" w:color="auto" w:fill="FFFFFF"/>
                          <w:vAlign w:val="top"/>
                        </w:tcPr>
                        <w:p>
                          <w:pPr>
                            <w:spacing w:before="74" w:line="221" w:lineRule="auto"/>
                            <w:ind w:left="113"/>
                            <w:rPr>
                              <w:rFonts w:ascii="SimSun" w:eastAsia="SimSun" w:hAnsi="SimSun" w:cs="SimSun"/>
                              <w:sz w:val="18"/>
                              <w:szCs w:val="18"/>
                            </w:rPr>
                          </w:pPr>
                          <w:r>
                            <w:rPr>
                              <w:rFonts w:ascii="SimSun" w:eastAsia="SimSun" w:hAnsi="SimSun" w:cs="SimSun"/>
                              <w:spacing w:val="29"/>
                              <w:sz w:val="18"/>
                              <w:szCs w:val="18"/>
                            </w:rPr>
                            <w:t>油气分离</w:t>
                          </w:r>
                        </w:p>
                      </w:tc>
                    </w:tr>
                  </w:tbl>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59" w:line="220" w:lineRule="auto"/>
                      <w:ind w:left="3096"/>
                      <w:rPr>
                        <w:rFonts w:ascii="SimSun" w:eastAsia="SimSun" w:hAnsi="SimSun" w:cs="SimSun"/>
                        <w:sz w:val="18"/>
                        <w:szCs w:val="18"/>
                      </w:rPr>
                    </w:pPr>
                    <w:r>
                      <w:rPr>
                        <w:rFonts w:ascii="SimSun" w:eastAsia="SimSun" w:hAnsi="SimSun" w:cs="SimSun"/>
                        <w:spacing w:val="-3"/>
                        <w:sz w:val="18"/>
                        <w:szCs w:val="18"/>
                      </w:rPr>
                      <w:t>储油罐</w:t>
                    </w:r>
                  </w:p>
                  <w:p>
                    <w:pPr>
                      <w:spacing w:before="251" w:line="220" w:lineRule="auto"/>
                      <w:ind w:right="20"/>
                      <w:jc w:val="right"/>
                      <w:rPr>
                        <w:rFonts w:ascii="SimSun" w:eastAsia="SimSun" w:hAnsi="SimSun" w:cs="SimSun"/>
                        <w:sz w:val="18"/>
                        <w:szCs w:val="18"/>
                      </w:rPr>
                    </w:pPr>
                    <w:r>
                      <w:rPr>
                        <w:rFonts w:ascii="SimSun" w:eastAsia="SimSun" w:hAnsi="SimSun" w:cs="SimSun"/>
                        <w:spacing w:val="-3"/>
                        <w:sz w:val="18"/>
                        <w:szCs w:val="18"/>
                      </w:rPr>
                      <w:t>潜油泵</w:t>
                    </w:r>
                  </w:p>
                </w:txbxContent>
              </v:textbox>
            </v:shape>
            <v:shape id="_x0000_s1032" type="#_x0000_t75" style="width:3207;height:2785;left:1935;position:absolute;top:565" filled="f" stroked="f">
              <v:imagedata r:id="rId14" o:title=""/>
            </v:shape>
            <v:shape id="_x0000_s1033" type="#_x0000_t75" style="width:1313;height:387;left:2309;position:absolute;top:1663" filled="f" stroked="f">
              <v:imagedata r:id="rId15" o:title=""/>
            </v:shape>
            <v:shape id="_x0000_s1034" type="#_x0000_t75" style="width:1235;height:372;left:3099;position:absolute;top:125" filled="f" stroked="f">
              <v:imagedata r:id="rId16" o:title=""/>
            </v:shape>
            <v:shape id="_x0000_s1035" type="#_x0000_t202" style="width:1283;height:427;left:3079;position:absolute;top:98" filled="f" stroked="f">
              <o:lock v:ext="edit" aspectratio="f"/>
              <v:textbox inset="0,0,0,0">
                <w:txbxContent>
                  <w:p>
                    <w:pPr>
                      <w:spacing w:line="20" w:lineRule="exact"/>
                    </w:pPr>
                  </w:p>
                  <w:tbl>
                    <w:tblPr>
                      <w:tblStyle w:val="TableNormal1"/>
                      <w:tblW w:w="1218" w:type="dxa"/>
                      <w:tblInd w:w="32" w:type="dxa"/>
                      <w:tblBorders>
                        <w:top w:val="single" w:sz="10" w:space="0" w:color="000000"/>
                        <w:left w:val="single" w:sz="10" w:space="0" w:color="000000"/>
                        <w:bottom w:val="single" w:sz="10" w:space="0" w:color="000000"/>
                        <w:right w:val="single" w:sz="10" w:space="0" w:color="000000"/>
                      </w:tblBorders>
                      <w:tblLayout w:type="fixed"/>
                    </w:tblPr>
                    <w:tblGrid>
                      <w:gridCol w:w="1218"/>
                    </w:tblGrid>
                    <w:tr>
                      <w:tblPrEx>
                        <w:tblW w:w="1218" w:type="dxa"/>
                        <w:tblInd w:w="32" w:type="dxa"/>
                        <w:tblBorders>
                          <w:top w:val="single" w:sz="10" w:space="0" w:color="000000"/>
                          <w:left w:val="single" w:sz="10" w:space="0" w:color="000000"/>
                          <w:bottom w:val="single" w:sz="10" w:space="0" w:color="000000"/>
                          <w:right w:val="single" w:sz="10" w:space="0" w:color="000000"/>
                        </w:tblBorders>
                        <w:tblLayout w:type="fixed"/>
                      </w:tblPrEx>
                      <w:trPr>
                        <w:trHeight w:val="336"/>
                      </w:trPr>
                      <w:tc>
                        <w:tcPr>
                          <w:tcW w:w="1218" w:type="dxa"/>
                          <w:vAlign w:val="top"/>
                        </w:tcPr>
                        <w:p>
                          <w:pPr>
                            <w:spacing w:before="73" w:line="221" w:lineRule="auto"/>
                            <w:ind w:left="261"/>
                            <w:rPr>
                              <w:rFonts w:ascii="SimSun" w:eastAsia="SimSun" w:hAnsi="SimSun" w:cs="SimSun"/>
                              <w:sz w:val="18"/>
                              <w:szCs w:val="18"/>
                            </w:rPr>
                          </w:pPr>
                          <w:r>
                            <w:rPr>
                              <w:rFonts w:ascii="SimSun" w:eastAsia="SimSun" w:hAnsi="SimSun" w:cs="SimSun"/>
                              <w:spacing w:val="-3"/>
                              <w:sz w:val="18"/>
                              <w:szCs w:val="18"/>
                            </w:rPr>
                            <w:t>指示装置</w:t>
                          </w:r>
                        </w:p>
                      </w:tc>
                    </w:tr>
                  </w:tbl>
                  <w:p>
                    <w:pPr>
                      <w:rPr>
                        <w:rFonts w:ascii="Arial"/>
                        <w:sz w:val="21"/>
                      </w:rPr>
                    </w:pPr>
                  </w:p>
                </w:txbxContent>
              </v:textbox>
            </v:shape>
            <v:shape id="_x0000_s1036" type="#_x0000_t202" style="width:748;height:427;left:2128;position:absolute;top:3126" filled="f" stroked="f">
              <o:lock v:ext="edit" aspectratio="f"/>
              <v:textbox inset="0,0,0,0">
                <w:txbxContent>
                  <w:p>
                    <w:pPr>
                      <w:spacing w:line="20" w:lineRule="exact"/>
                    </w:pPr>
                  </w:p>
                  <w:tbl>
                    <w:tblPr>
                      <w:tblStyle w:val="TableNormal1"/>
                      <w:tblW w:w="677" w:type="dxa"/>
                      <w:tblInd w:w="37" w:type="dxa"/>
                      <w:tblBorders>
                        <w:top w:val="single" w:sz="10" w:space="0" w:color="000000"/>
                        <w:left w:val="single" w:sz="14" w:space="0" w:color="000000"/>
                        <w:bottom w:val="single" w:sz="10" w:space="0" w:color="000000"/>
                        <w:right w:val="single" w:sz="10" w:space="0" w:color="000000"/>
                      </w:tblBorders>
                      <w:shd w:val="clear" w:color="auto" w:fill="FFFFFF"/>
                      <w:tblLayout w:type="fixed"/>
                    </w:tblPr>
                    <w:tblGrid>
                      <w:gridCol w:w="677"/>
                    </w:tblGrid>
                    <w:tr>
                      <w:tblPrEx>
                        <w:tblW w:w="677" w:type="dxa"/>
                        <w:tblInd w:w="37" w:type="dxa"/>
                        <w:tblBorders>
                          <w:top w:val="single" w:sz="10" w:space="0" w:color="000000"/>
                          <w:left w:val="single" w:sz="14" w:space="0" w:color="000000"/>
                          <w:bottom w:val="single" w:sz="10" w:space="0" w:color="000000"/>
                          <w:right w:val="single" w:sz="10" w:space="0" w:color="000000"/>
                        </w:tblBorders>
                        <w:shd w:val="clear" w:color="auto" w:fill="FFFFFF"/>
                        <w:tblLayout w:type="fixed"/>
                      </w:tblPrEx>
                      <w:trPr>
                        <w:trHeight w:val="337"/>
                      </w:trPr>
                      <w:tc>
                        <w:tcPr>
                          <w:tcW w:w="677" w:type="dxa"/>
                          <w:shd w:val="clear" w:color="auto" w:fill="FFFFFF"/>
                          <w:vAlign w:val="top"/>
                        </w:tcPr>
                        <w:p>
                          <w:pPr>
                            <w:spacing w:before="74" w:line="219" w:lineRule="auto"/>
                            <w:ind w:left="185"/>
                            <w:rPr>
                              <w:rFonts w:ascii="SimSun" w:eastAsia="SimSun" w:hAnsi="SimSun" w:cs="SimSun"/>
                              <w:sz w:val="18"/>
                              <w:szCs w:val="18"/>
                            </w:rPr>
                          </w:pPr>
                          <w:r>
                            <w:rPr>
                              <w:rFonts w:ascii="SimSun" w:eastAsia="SimSun" w:hAnsi="SimSun" w:cs="SimSun"/>
                              <w:spacing w:val="-15"/>
                              <w:sz w:val="18"/>
                              <w:szCs w:val="18"/>
                            </w:rPr>
                            <w:t>电机</w:t>
                          </w:r>
                        </w:p>
                      </w:tc>
                    </w:tr>
                  </w:tbl>
                  <w:p>
                    <w:pPr>
                      <w:rPr>
                        <w:rFonts w:ascii="Arial"/>
                        <w:sz w:val="21"/>
                      </w:rPr>
                    </w:pPr>
                  </w:p>
                </w:txbxContent>
              </v:textbox>
            </v:shape>
            <v:shape id="_x0000_s1037" type="#_x0000_t75" style="width:120;height:495;left:1325;position:absolute;top:2657" filled="f" stroked="f">
              <v:imagedata r:id="rId17" o:title=""/>
            </v:shape>
            <v:shape id="_x0000_s1038" type="#_x0000_t75" style="width:175;height:120;left:1635;position:absolute;top:3263" filled="f" stroked="f">
              <v:imagedata r:id="rId18" o:title=""/>
            </v:shape>
            <v:rect id="_x0000_s1039" style="width:2251;height:15;left:1385;position:absolute;top:3766" filled="t" fillcolor="black" stroked="f"/>
            <v:shape id="_x0000_s1040" type="#_x0000_t75" style="width:120;height:247;left:1325;position:absolute;top:3525" filled="f" stroked="f">
              <v:imagedata r:id="rId19" o:title=""/>
            </v:shape>
            <v:shape id="_x0000_s1041" type="#_x0000_t202" style="width:685;height:427;left:977;position:absolute;top:3126" filled="f" stroked="f">
              <o:lock v:ext="edit" aspectratio="f"/>
              <v:textbox inset="0,0,0,0">
                <w:txbxContent>
                  <w:p>
                    <w:pPr>
                      <w:spacing w:line="20" w:lineRule="exact"/>
                    </w:pPr>
                  </w:p>
                  <w:tbl>
                    <w:tblPr>
                      <w:tblStyle w:val="TableNormal1"/>
                      <w:tblW w:w="620" w:type="dxa"/>
                      <w:tblInd w:w="32" w:type="dxa"/>
                      <w:tblBorders>
                        <w:top w:val="single" w:sz="10" w:space="0" w:color="000000"/>
                        <w:left w:val="single" w:sz="10" w:space="0" w:color="000000"/>
                        <w:bottom w:val="single" w:sz="10" w:space="0" w:color="000000"/>
                        <w:right w:val="single" w:sz="10" w:space="0" w:color="000000"/>
                      </w:tblBorders>
                      <w:shd w:val="clear" w:color="auto" w:fill="FFFFFF"/>
                      <w:tblLayout w:type="fixed"/>
                    </w:tblPr>
                    <w:tblGrid>
                      <w:gridCol w:w="620"/>
                    </w:tblGrid>
                    <w:tr>
                      <w:tblPrEx>
                        <w:tblW w:w="620" w:type="dxa"/>
                        <w:tblInd w:w="32" w:type="dxa"/>
                        <w:tblBorders>
                          <w:top w:val="single" w:sz="10" w:space="0" w:color="000000"/>
                          <w:left w:val="single" w:sz="10" w:space="0" w:color="000000"/>
                          <w:bottom w:val="single" w:sz="10" w:space="0" w:color="000000"/>
                          <w:right w:val="single" w:sz="10" w:space="0" w:color="000000"/>
                        </w:tblBorders>
                        <w:shd w:val="clear" w:color="auto" w:fill="FFFFFF"/>
                        <w:tblLayout w:type="fixed"/>
                      </w:tblPrEx>
                      <w:trPr>
                        <w:trHeight w:val="337"/>
                      </w:trPr>
                      <w:tc>
                        <w:tcPr>
                          <w:tcW w:w="620" w:type="dxa"/>
                          <w:shd w:val="clear" w:color="auto" w:fill="FFFFFF"/>
                          <w:vAlign w:val="top"/>
                        </w:tcPr>
                        <w:p>
                          <w:pPr>
                            <w:spacing w:before="74" w:line="220" w:lineRule="auto"/>
                            <w:ind w:left="113"/>
                            <w:rPr>
                              <w:rFonts w:ascii="SimSun" w:eastAsia="SimSun" w:hAnsi="SimSun" w:cs="SimSun"/>
                              <w:sz w:val="18"/>
                              <w:szCs w:val="18"/>
                            </w:rPr>
                          </w:pPr>
                          <w:r>
                            <w:rPr>
                              <w:rFonts w:ascii="SimSun" w:eastAsia="SimSun" w:hAnsi="SimSun" w:cs="SimSun"/>
                              <w:spacing w:val="-5"/>
                              <w:sz w:val="18"/>
                              <w:szCs w:val="18"/>
                            </w:rPr>
                            <w:t>油泵</w:t>
                          </w:r>
                        </w:p>
                      </w:tc>
                    </w:tr>
                  </w:tbl>
                  <w:p>
                    <w:pPr>
                      <w:rPr>
                        <w:rFonts w:ascii="Arial"/>
                        <w:sz w:val="21"/>
                      </w:rPr>
                    </w:pPr>
                  </w:p>
                </w:txbxContent>
              </v:textbox>
            </v:shape>
            <v:shape id="_x0000_s1042" type="#_x0000_t202" style="width:390;height:221;left:3096;position:absolute;top:1742" filled="f" stroked="f">
              <o:lock v:ext="edit" aspectratio="f"/>
              <v:textbox inset="0,0,0,0">
                <w:txbxContent>
                  <w:p>
                    <w:pPr>
                      <w:spacing w:before="20" w:line="220" w:lineRule="auto"/>
                      <w:ind w:left="20"/>
                      <w:rPr>
                        <w:rFonts w:ascii="SimSun" w:eastAsia="SimSun" w:hAnsi="SimSun" w:cs="SimSun"/>
                        <w:sz w:val="18"/>
                        <w:szCs w:val="18"/>
                      </w:rPr>
                    </w:pPr>
                    <w:r>
                      <w:rPr>
                        <w:rFonts w:ascii="SimSun" w:eastAsia="SimSun" w:hAnsi="SimSun" w:cs="SimSun"/>
                        <w:spacing w:val="-5"/>
                        <w:sz w:val="18"/>
                        <w:szCs w:val="18"/>
                      </w:rPr>
                      <w:t>油枪</w:t>
                    </w:r>
                  </w:p>
                </w:txbxContent>
              </v:textbox>
            </v:shape>
            <v:rect id="_x0000_s1043" style="width:16;height:2231;left:209;position:absolute;top:1913" filled="t" fillcolor="black" stroked="f"/>
            <v:shape id="_x0000_s1044" type="#_x0000_t75" style="width:502;height:120;left:217;position:absolute;top:1853" filled="f" stroked="f">
              <v:imagedata r:id="rId20" o:title=""/>
            </v:shape>
            <v:rect id="_x0000_s1045" style="width:3570;height:16;left:210;position:absolute;top:4144" filled="t" fillcolor="black" stroked="f"/>
            <v:shape id="_x0000_s1046" type="#_x0000_t75" style="width:1120;height:35;left:1955;position:absolute;top:292" filled="f" stroked="f">
              <v:imagedata r:id="rId21" o:title=""/>
            </v:shape>
            <v:shape id="_x0000_s1047" type="#_x0000_t75" style="width:120;height:250;left:1325;position:absolute;top:2037" filled="f" stroked="f">
              <v:imagedata r:id="rId22" o:title=""/>
            </v:shape>
            <v:shape id="_x0000_s1048" type="#_x0000_t75" style="width:120;height:248;left:1519;position:absolute;top:666" filled="f" stroked="f">
              <v:imagedata r:id="rId23" o:title=""/>
            </v:shape>
            <v:shape id="_x0000_s1049" type="#_x0000_t75" style="width:120;height:248;left:1170;position:absolute;top:698" filled="f" stroked="f">
              <v:imagedata r:id="rId24" o:title=""/>
            </v:shape>
            <v:shape id="_x0000_s1050" type="#_x0000_t75" style="width:120;height:171;left:1325;position:absolute;top:1295" filled="f" stroked="f">
              <v:imagedata r:id="rId25" o:title=""/>
            </v:shape>
            <v:shape id="_x0000_s1051" type="#_x0000_t75" style="width:16;height:795;left:5137;position:absolute;top:3290" filled="f" stroked="f">
              <v:imagedata r:id="rId26" o:title=""/>
            </v:shape>
            <v:shape id="_x0000_s1052" type="#_x0000_t75" style="width:281;height:35;left:4864;position:absolute;top:4099" filled="f" stroked="f">
              <v:imagedata r:id="rId27" o:title=""/>
            </v:shape>
            <v:shape id="_x0000_s1053" type="#_x0000_t75" style="width:186;height:35;left:1833;position:absolute;top:3305" filled="f" stroked="f">
              <v:imagedata r:id="rId28" o:title=""/>
            </v:shape>
            <v:shape id="_x0000_s1054" type="#_x0000_t75" style="width:35;height:175;left:1367;position:absolute;top:1490" filled="f" stroked="f">
              <v:imagedata r:id="rId29" o:title=""/>
            </v:shape>
            <v:rect id="_x0000_s1055" style="width:81;height:35;left:2043;position:absolute;top:3305" filled="t" fillcolor="black" stroked="f"/>
            <w10:wrap type="none"/>
          </v:group>
        </w:pict>
      </w:r>
    </w:p>
    <w:p>
      <w:pPr>
        <w:spacing w:line="229" w:lineRule="exact"/>
      </w:pPr>
    </w:p>
    <w:p>
      <w:pPr>
        <w:spacing w:line="229" w:lineRule="exact"/>
        <w:sectPr>
          <w:headerReference w:type="default" r:id="rId30"/>
          <w:footerReference w:type="default" r:id="rId31"/>
          <w:pgSz w:w="11906" w:h="16839"/>
          <w:pgMar w:top="400" w:right="793" w:bottom="1156" w:left="794" w:header="0" w:footer="994" w:gutter="0"/>
          <w:pgNumType w:start="4"/>
          <w:cols w:num="1" w:space="708" w:equalWidth="0">
            <w:col w:w="10319" w:space="0"/>
          </w:cols>
        </w:sectPr>
      </w:pPr>
    </w:p>
    <w:p>
      <w:pPr>
        <w:pStyle w:val="BodyText"/>
        <w:spacing w:before="41" w:line="194" w:lineRule="auto"/>
        <w:ind w:left="3665"/>
        <w:rPr>
          <w:sz w:val="20"/>
          <w:szCs w:val="20"/>
        </w:rPr>
      </w:pPr>
      <w:r>
        <w:rPr>
          <w:spacing w:val="-10"/>
          <w:sz w:val="20"/>
          <w:szCs w:val="20"/>
        </w:rPr>
        <w:t>图</w:t>
      </w:r>
      <w:r>
        <w:rPr>
          <w:spacing w:val="29"/>
          <w:sz w:val="20"/>
          <w:szCs w:val="20"/>
        </w:rPr>
        <w:t xml:space="preserve"> </w:t>
      </w:r>
      <w:r>
        <w:rPr>
          <w:spacing w:val="-10"/>
          <w:sz w:val="20"/>
          <w:szCs w:val="20"/>
        </w:rPr>
        <w:t>1</w:t>
      </w:r>
    </w:p>
    <w:p>
      <w:pPr>
        <w:spacing w:line="14" w:lineRule="auto"/>
        <w:rPr>
          <w:rFonts w:ascii="Arial"/>
          <w:sz w:val="2"/>
        </w:rPr>
      </w:pPr>
      <w:r>
        <w:rPr>
          <w:rFonts w:ascii="Arial" w:eastAsia="Arial" w:hAnsi="Arial" w:cs="Arial"/>
          <w:sz w:val="2"/>
          <w:szCs w:val="2"/>
        </w:rPr>
        <w:br w:type="column"/>
      </w:r>
    </w:p>
    <w:p>
      <w:pPr>
        <w:pStyle w:val="BodyText"/>
        <w:spacing w:before="40" w:line="194" w:lineRule="auto"/>
        <w:rPr>
          <w:sz w:val="20"/>
          <w:szCs w:val="20"/>
        </w:rPr>
      </w:pPr>
      <w:r>
        <w:rPr>
          <w:spacing w:val="8"/>
          <w:sz w:val="20"/>
          <w:szCs w:val="20"/>
          <w:shd w:val="clear" w:color="auto" w:fill="FFFF00"/>
        </w:rPr>
        <w:t>加油机工作原理示意图</w:t>
      </w:r>
    </w:p>
    <w:p>
      <w:pPr>
        <w:spacing w:line="194" w:lineRule="auto"/>
        <w:rPr>
          <w:sz w:val="20"/>
          <w:szCs w:val="20"/>
        </w:rPr>
        <w:sectPr>
          <w:headerReference w:type="default" r:id="rId32"/>
          <w:footerReference w:type="default" r:id="rId33"/>
          <w:type w:val="continuous"/>
          <w:pgSz w:w="11906" w:h="16839"/>
          <w:pgMar w:top="400" w:right="793" w:bottom="1156" w:left="794" w:header="0" w:footer="994" w:gutter="0"/>
          <w:pgNumType w:start="5"/>
          <w:cols w:num="2" w:space="708" w:equalWidth="0">
            <w:col w:w="4491" w:space="100"/>
            <w:col w:w="5728" w:space="0"/>
          </w:cols>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4675" w:lineRule="exact"/>
        <w:ind w:firstLine="907"/>
      </w:pPr>
      <w:r>
        <w:rPr>
          <w:position w:val="-93"/>
        </w:rPr>
        <w:drawing>
          <wp:inline distT="0" distB="0" distL="0" distR="0">
            <wp:extent cx="5399531" cy="296875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5399531" cy="2968752"/>
                    </a:xfrm>
                    <a:prstGeom prst="rect">
                      <a:avLst/>
                    </a:prstGeom>
                  </pic:spPr>
                </pic:pic>
              </a:graphicData>
            </a:graphic>
          </wp:inline>
        </w:drawing>
      </w:r>
    </w:p>
    <w:p>
      <w:pPr>
        <w:pStyle w:val="BodyText"/>
        <w:spacing w:before="239"/>
        <w:ind w:left="3480"/>
        <w:rPr>
          <w:sz w:val="20"/>
          <w:szCs w:val="20"/>
        </w:rPr>
      </w:pPr>
      <w:r>
        <w:rPr>
          <w:spacing w:val="7"/>
          <w:sz w:val="20"/>
          <w:szCs w:val="20"/>
        </w:rPr>
        <w:t>图</w:t>
      </w:r>
      <w:r>
        <w:rPr>
          <w:spacing w:val="-38"/>
          <w:sz w:val="20"/>
          <w:szCs w:val="20"/>
        </w:rPr>
        <w:t xml:space="preserve"> </w:t>
      </w:r>
      <w:r>
        <w:rPr>
          <w:rFonts w:ascii="Times New Roman" w:eastAsia="Times New Roman" w:hAnsi="Times New Roman" w:cs="Times New Roman"/>
          <w:spacing w:val="7"/>
          <w:sz w:val="20"/>
          <w:szCs w:val="20"/>
        </w:rPr>
        <w:t>2</w:t>
      </w:r>
      <w:r>
        <w:rPr>
          <w:position w:val="-6"/>
          <w:sz w:val="20"/>
          <w:szCs w:val="20"/>
        </w:rPr>
        <w:drawing>
          <wp:inline distT="0" distB="0" distL="0" distR="0">
            <wp:extent cx="67513" cy="17271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5"/>
                    <a:stretch>
                      <a:fillRect/>
                    </a:stretch>
                  </pic:blipFill>
                  <pic:spPr>
                    <a:xfrm>
                      <a:off x="0" y="0"/>
                      <a:ext cx="67513" cy="172719"/>
                    </a:xfrm>
                    <a:prstGeom prst="rect">
                      <a:avLst/>
                    </a:prstGeom>
                  </pic:spPr>
                </pic:pic>
              </a:graphicData>
            </a:graphic>
          </wp:inline>
        </w:drawing>
      </w:r>
      <w:r>
        <w:rPr>
          <w:spacing w:val="7"/>
          <w:sz w:val="20"/>
          <w:szCs w:val="20"/>
          <w:shd w:val="clear" w:color="auto" w:fill="FFFF00"/>
        </w:rPr>
        <w:t>自带泵型</w:t>
      </w:r>
      <w:r>
        <w:rPr>
          <w:color w:val="FF0000"/>
          <w:spacing w:val="7"/>
          <w:sz w:val="20"/>
          <w:szCs w:val="20"/>
          <w:shd w:val="clear" w:color="auto" w:fill="FFFF00"/>
        </w:rPr>
        <w:t>新型</w:t>
      </w:r>
      <w:r>
        <w:rPr>
          <w:spacing w:val="7"/>
          <w:sz w:val="20"/>
          <w:szCs w:val="20"/>
          <w:shd w:val="clear" w:color="auto" w:fill="FFFF00"/>
        </w:rPr>
        <w:t>加油机原理示意图</w:t>
      </w:r>
    </w:p>
    <w:p>
      <w:pPr>
        <w:rPr>
          <w:sz w:val="20"/>
          <w:szCs w:val="20"/>
        </w:rPr>
        <w:sectPr>
          <w:headerReference w:type="default" r:id="rId36"/>
          <w:footerReference w:type="default" r:id="rId37"/>
          <w:type w:val="continuous"/>
          <w:pgSz w:w="11906" w:h="16839"/>
          <w:pgMar w:top="400" w:right="793" w:bottom="1156" w:left="794" w:header="0" w:footer="994" w:gutter="0"/>
          <w:pgNumType w:start="6"/>
          <w:cols w:num="1" w:space="708" w:equalWidth="0">
            <w:col w:w="10319" w:space="0"/>
          </w:cols>
        </w:sectPr>
      </w:pPr>
    </w:p>
    <w:p>
      <w:pPr>
        <w:spacing w:line="445" w:lineRule="auto"/>
        <w:rPr>
          <w:rFonts w:ascii="Arial"/>
          <w:sz w:val="21"/>
        </w:rPr>
      </w:pPr>
      <w:r>
        <w:pict>
          <v:rect id="_x0000_s1056" style="width:515.95pt;height:0.75pt;margin-top:57.15pt;margin-left:39.7pt;mso-position-horizontal-relative:page;mso-position-vertical-relative:page;position:absolute;z-index:251659264" o:allowincell="f" filled="t" fillcolor="black" stroked="f"/>
        </w:pict>
      </w:r>
    </w:p>
    <w:p>
      <w:pPr>
        <w:spacing w:before="65" w:line="191" w:lineRule="auto"/>
        <w:ind w:left="4592"/>
        <w:rPr>
          <w:rFonts w:ascii="SimHei" w:eastAsia="SimHei" w:hAnsi="SimHei" w:cs="SimHei"/>
          <w:sz w:val="20"/>
          <w:szCs w:val="20"/>
        </w:rPr>
      </w:pPr>
      <w:r>
        <w:rPr>
          <w:rFonts w:ascii="SimHei" w:eastAsia="SimHei" w:hAnsi="SimHei" w:cs="SimHei"/>
          <w:sz w:val="20"/>
          <w:szCs w:val="20"/>
        </w:rPr>
        <w:t>JJG</w:t>
      </w:r>
      <w:r>
        <w:rPr>
          <w:rFonts w:ascii="SimHei" w:eastAsia="SimHei" w:hAnsi="SimHei" w:cs="SimHei"/>
          <w:spacing w:val="5"/>
          <w:sz w:val="20"/>
          <w:szCs w:val="20"/>
        </w:rPr>
        <w:t>443-202X</w:t>
      </w:r>
    </w:p>
    <w:p>
      <w:pPr>
        <w:spacing w:before="39" w:line="4680" w:lineRule="exact"/>
        <w:ind w:firstLine="907"/>
      </w:pPr>
      <w:r>
        <w:rPr>
          <w:position w:val="-93"/>
        </w:rPr>
        <w:drawing>
          <wp:inline distT="0" distB="0" distL="0" distR="0">
            <wp:extent cx="5399531" cy="29718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8"/>
                    <a:stretch>
                      <a:fillRect/>
                    </a:stretch>
                  </pic:blipFill>
                  <pic:spPr>
                    <a:xfrm>
                      <a:off x="0" y="0"/>
                      <a:ext cx="5399531" cy="2971800"/>
                    </a:xfrm>
                    <a:prstGeom prst="rect">
                      <a:avLst/>
                    </a:prstGeom>
                  </pic:spPr>
                </pic:pic>
              </a:graphicData>
            </a:graphic>
          </wp:inline>
        </w:drawing>
      </w:r>
    </w:p>
    <w:p>
      <w:pPr>
        <w:pStyle w:val="BodyText"/>
        <w:spacing w:before="269" w:line="228" w:lineRule="auto"/>
        <w:ind w:left="3480"/>
        <w:rPr>
          <w:sz w:val="20"/>
          <w:szCs w:val="20"/>
        </w:rPr>
      </w:pPr>
      <w:r>
        <w:rPr>
          <w:spacing w:val="6"/>
          <w:sz w:val="20"/>
          <w:szCs w:val="20"/>
        </w:rPr>
        <w:t>图</w:t>
      </w:r>
      <w:r>
        <w:rPr>
          <w:spacing w:val="-28"/>
          <w:sz w:val="20"/>
          <w:szCs w:val="20"/>
        </w:rPr>
        <w:t xml:space="preserve"> </w:t>
      </w:r>
      <w:r>
        <w:rPr>
          <w:rFonts w:ascii="Times New Roman" w:eastAsia="Times New Roman" w:hAnsi="Times New Roman" w:cs="Times New Roman"/>
          <w:spacing w:val="6"/>
          <w:sz w:val="20"/>
          <w:szCs w:val="20"/>
        </w:rPr>
        <w:t xml:space="preserve">3  </w:t>
      </w:r>
      <w:r>
        <w:rPr>
          <w:spacing w:val="6"/>
          <w:sz w:val="20"/>
          <w:szCs w:val="20"/>
          <w:shd w:val="clear" w:color="auto" w:fill="FFFF00"/>
        </w:rPr>
        <w:t>潜油泵型</w:t>
      </w:r>
      <w:r>
        <w:rPr>
          <w:color w:val="FF0000"/>
          <w:spacing w:val="6"/>
          <w:sz w:val="20"/>
          <w:szCs w:val="20"/>
          <w:shd w:val="clear" w:color="auto" w:fill="FFFF00"/>
        </w:rPr>
        <w:t>新型</w:t>
      </w:r>
      <w:r>
        <w:rPr>
          <w:spacing w:val="6"/>
          <w:sz w:val="20"/>
          <w:szCs w:val="20"/>
          <w:shd w:val="clear" w:color="auto" w:fill="FFFF00"/>
        </w:rPr>
        <w:t>加油机原理示意图</w:t>
      </w:r>
    </w:p>
    <w:p>
      <w:pPr>
        <w:pStyle w:val="BodyText"/>
        <w:spacing w:before="285" w:line="222" w:lineRule="auto"/>
        <w:ind w:left="8"/>
        <w:outlineLvl w:val="2"/>
      </w:pPr>
      <w:r>
        <w:rPr>
          <w:spacing w:val="-4"/>
        </w:rPr>
        <w:t>4.3</w:t>
      </w:r>
      <w:r>
        <w:rPr>
          <w:spacing w:val="11"/>
        </w:rPr>
        <w:t xml:space="preserve"> </w:t>
      </w:r>
      <w:r>
        <w:rPr>
          <w:spacing w:val="-4"/>
        </w:rPr>
        <w:t>用途</w:t>
      </w:r>
    </w:p>
    <w:p>
      <w:pPr>
        <w:pStyle w:val="BodyText"/>
        <w:spacing w:before="300" w:line="465" w:lineRule="exact"/>
        <w:ind w:left="489"/>
      </w:pPr>
      <w:r>
        <w:rPr>
          <w:position w:val="17"/>
        </w:rPr>
        <w:t>加油机是一种主要用于为车辆添加液体燃料，计量各种液体燃料</w:t>
      </w:r>
      <w:r>
        <w:rPr>
          <w:spacing w:val="-1"/>
          <w:position w:val="17"/>
        </w:rPr>
        <w:t>累计体积流量的液体体积动态</w:t>
      </w:r>
    </w:p>
    <w:p>
      <w:pPr>
        <w:pStyle w:val="BodyText"/>
        <w:spacing w:line="219" w:lineRule="auto"/>
        <w:jc w:val="right"/>
      </w:pPr>
      <w:r>
        <w:rPr>
          <w:spacing w:val="-4"/>
        </w:rPr>
        <w:t>测量系统，可具有附加装置和辅助装置，也适用于给小型船、小型飞机加注燃料时的液体体积测量。</w:t>
      </w:r>
    </w:p>
    <w:p>
      <w:pPr>
        <w:spacing w:before="304" w:line="222" w:lineRule="auto"/>
        <w:ind w:left="4"/>
        <w:outlineLvl w:val="1"/>
        <w:rPr>
          <w:rFonts w:ascii="SimHei" w:eastAsia="SimHei" w:hAnsi="SimHei" w:cs="SimHei"/>
          <w:sz w:val="24"/>
          <w:szCs w:val="24"/>
        </w:rPr>
      </w:pPr>
      <w:r>
        <w:rPr>
          <w:rFonts w:ascii="SimHei" w:eastAsia="SimHei" w:hAnsi="SimHei" w:cs="SimHei"/>
          <w:spacing w:val="-1"/>
          <w:sz w:val="24"/>
          <w:szCs w:val="24"/>
        </w:rPr>
        <w:t>5</w:t>
      </w:r>
      <w:r>
        <w:rPr>
          <w:rFonts w:ascii="SimHei" w:eastAsia="SimHei" w:hAnsi="SimHei" w:cs="SimHei"/>
          <w:spacing w:val="-1"/>
          <w:sz w:val="24"/>
          <w:szCs w:val="24"/>
        </w:rPr>
        <w:t xml:space="preserve">  </w:t>
      </w:r>
      <w:r>
        <w:rPr>
          <w:rFonts w:ascii="SimHei" w:eastAsia="SimHei" w:hAnsi="SimHei" w:cs="SimHei"/>
          <w:spacing w:val="-1"/>
          <w:sz w:val="24"/>
          <w:szCs w:val="24"/>
        </w:rPr>
        <w:t>计量性能要求</w:t>
      </w:r>
    </w:p>
    <w:p>
      <w:pPr>
        <w:pStyle w:val="BodyText"/>
        <w:spacing w:before="297" w:line="219" w:lineRule="auto"/>
        <w:ind w:left="14"/>
        <w:outlineLvl w:val="2"/>
      </w:pPr>
      <w:r>
        <w:rPr>
          <w:spacing w:val="-2"/>
        </w:rPr>
        <w:t>5.1 加油机的最大允许误差</w:t>
      </w:r>
    </w:p>
    <w:p>
      <w:pPr>
        <w:pStyle w:val="BodyText"/>
        <w:spacing w:before="303" w:line="219" w:lineRule="auto"/>
        <w:ind w:left="489"/>
      </w:pPr>
      <w:r>
        <w:rPr>
          <w:spacing w:val="-1"/>
        </w:rPr>
        <w:t xml:space="preserve">加油机的最大允许误差和重复性见表 </w:t>
      </w:r>
      <w:r>
        <w:rPr>
          <w:rFonts w:ascii="Times New Roman" w:eastAsia="Times New Roman" w:hAnsi="Times New Roman" w:cs="Times New Roman"/>
          <w:spacing w:val="-1"/>
        </w:rPr>
        <w:t xml:space="preserve">2 </w:t>
      </w:r>
      <w:r>
        <w:rPr>
          <w:spacing w:val="-1"/>
        </w:rPr>
        <w:t>规定。</w:t>
      </w:r>
    </w:p>
    <w:p>
      <w:pPr>
        <w:spacing w:before="176" w:line="230" w:lineRule="auto"/>
        <w:ind w:left="3856"/>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7"/>
          <w:sz w:val="20"/>
          <w:szCs w:val="20"/>
        </w:rPr>
        <w:t xml:space="preserve"> </w:t>
      </w:r>
      <w:r>
        <w:rPr>
          <w:rFonts w:ascii="Times New Roman" w:eastAsia="Times New Roman" w:hAnsi="Times New Roman" w:cs="Times New Roman"/>
          <w:spacing w:val="7"/>
          <w:sz w:val="20"/>
          <w:szCs w:val="20"/>
        </w:rPr>
        <w:t>2</w:t>
      </w:r>
      <w:r>
        <w:rPr>
          <w:rFonts w:ascii="Times New Roman" w:eastAsia="Times New Roman" w:hAnsi="Times New Roman" w:cs="Times New Roman"/>
          <w:spacing w:val="9"/>
          <w:sz w:val="20"/>
          <w:szCs w:val="20"/>
        </w:rPr>
        <w:t xml:space="preserve">  </w:t>
      </w:r>
      <w:r>
        <w:rPr>
          <w:rFonts w:ascii="SimHei" w:eastAsia="SimHei" w:hAnsi="SimHei" w:cs="SimHei"/>
          <w:spacing w:val="7"/>
          <w:sz w:val="20"/>
          <w:szCs w:val="20"/>
        </w:rPr>
        <w:t>最大允许误差和重复性</w:t>
      </w:r>
    </w:p>
    <w:p>
      <w:pPr>
        <w:spacing w:line="129" w:lineRule="exact"/>
      </w:pPr>
    </w:p>
    <w:tbl>
      <w:tblPr>
        <w:tblStyle w:val="TableNormal2"/>
        <w:tblW w:w="8802" w:type="dxa"/>
        <w:tblInd w:w="7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935"/>
        <w:gridCol w:w="2931"/>
        <w:gridCol w:w="2936"/>
      </w:tblGrid>
      <w:tr>
        <w:tblPrEx>
          <w:tblW w:w="8802" w:type="dxa"/>
          <w:tblInd w:w="75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2"/>
        </w:trPr>
        <w:tc>
          <w:tcPr>
            <w:tcW w:w="2935" w:type="dxa"/>
            <w:vAlign w:val="top"/>
          </w:tcPr>
          <w:p>
            <w:pPr>
              <w:pStyle w:val="TableText"/>
              <w:spacing w:before="127" w:line="229" w:lineRule="auto"/>
              <w:ind w:left="1053"/>
            </w:pPr>
            <w:r>
              <w:rPr>
                <w:spacing w:val="7"/>
              </w:rPr>
              <w:t>流量范围</w:t>
            </w:r>
          </w:p>
        </w:tc>
        <w:tc>
          <w:tcPr>
            <w:tcW w:w="2931" w:type="dxa"/>
            <w:vAlign w:val="top"/>
          </w:tcPr>
          <w:p>
            <w:pPr>
              <w:pStyle w:val="TableText"/>
              <w:spacing w:before="127" w:line="228" w:lineRule="auto"/>
              <w:ind w:left="842"/>
            </w:pPr>
            <w:r>
              <w:rPr>
                <w:spacing w:val="7"/>
              </w:rPr>
              <w:t>最大允许误差</w:t>
            </w:r>
          </w:p>
        </w:tc>
        <w:tc>
          <w:tcPr>
            <w:tcW w:w="2936" w:type="dxa"/>
            <w:vAlign w:val="top"/>
          </w:tcPr>
          <w:p>
            <w:pPr>
              <w:pStyle w:val="TableText"/>
              <w:spacing w:before="127" w:line="229" w:lineRule="auto"/>
              <w:ind w:left="1159"/>
            </w:pPr>
            <w:r>
              <w:rPr>
                <w:spacing w:val="6"/>
              </w:rPr>
              <w:t>重复性</w:t>
            </w:r>
          </w:p>
        </w:tc>
      </w:tr>
      <w:tr>
        <w:tblPrEx>
          <w:tblW w:w="8802" w:type="dxa"/>
          <w:tblInd w:w="757" w:type="dxa"/>
          <w:tblLayout w:type="fixed"/>
        </w:tblPrEx>
        <w:trPr>
          <w:trHeight w:val="457"/>
        </w:trPr>
        <w:tc>
          <w:tcPr>
            <w:tcW w:w="2935" w:type="dxa"/>
            <w:vAlign w:val="top"/>
          </w:tcPr>
          <w:p>
            <w:pPr>
              <w:spacing w:before="75" w:line="268" w:lineRule="exact"/>
              <w:ind w:left="761"/>
              <w:rPr>
                <w:rFonts w:ascii="Times New Roman" w:eastAsia="Times New Roman" w:hAnsi="Times New Roman" w:cs="Times New Roman"/>
                <w:sz w:val="20"/>
                <w:szCs w:val="20"/>
              </w:rPr>
            </w:pPr>
            <w:r>
              <w:pict>
                <v:shape id="_x0000_s1057" type="#_x0000_t202" style="width:11.9pt;height:6pt;margin-top:12.98pt;margin-left:43.56pt;position:absolute;z-index:251660288" filled="f" stroked="f">
                  <o:lock v:ext="edit" aspectratio="f"/>
                  <v:textbox inset="0,0,0,0">
                    <w:txbxContent>
                      <w:p>
                        <w:pPr>
                          <w:spacing w:before="20" w:line="79" w:lineRule="exact"/>
                          <w:ind w:left="20"/>
                          <w:rPr>
                            <w:rFonts w:ascii="Times New Roman" w:eastAsia="Times New Roman" w:hAnsi="Times New Roman" w:cs="Times New Roman"/>
                            <w:sz w:val="11"/>
                            <w:szCs w:val="11"/>
                          </w:rPr>
                        </w:pPr>
                        <w:r>
                          <w:rPr>
                            <w:rFonts w:ascii="Times New Roman" w:eastAsia="Times New Roman" w:hAnsi="Times New Roman" w:cs="Times New Roman"/>
                            <w:spacing w:val="2"/>
                            <w:sz w:val="11"/>
                            <w:szCs w:val="11"/>
                          </w:rPr>
                          <w:t>max</w:t>
                        </w:r>
                      </w:p>
                    </w:txbxContent>
                  </v:textbox>
                </v:shape>
              </w:pict>
            </w:r>
            <w:r>
              <w:rPr>
                <w:rFonts w:ascii="Times New Roman" w:eastAsia="Times New Roman" w:hAnsi="Times New Roman" w:cs="Times New Roman"/>
                <w:i/>
                <w:iCs/>
                <w:spacing w:val="-1"/>
                <w:position w:val="3"/>
                <w:sz w:val="20"/>
                <w:szCs w:val="20"/>
              </w:rPr>
              <w:t>Q</w:t>
            </w:r>
            <w:r>
              <w:rPr>
                <w:rFonts w:ascii="Times New Roman" w:eastAsia="Times New Roman" w:hAnsi="Times New Roman" w:cs="Times New Roman"/>
                <w:i/>
                <w:iCs/>
                <w:spacing w:val="4"/>
                <w:position w:val="3"/>
                <w:sz w:val="20"/>
                <w:szCs w:val="20"/>
              </w:rPr>
              <w:t xml:space="preserve">     </w:t>
            </w:r>
            <w:r>
              <w:rPr>
                <w:rFonts w:ascii="Symbol" w:eastAsia="Symbol" w:hAnsi="Symbol" w:cs="Symbol"/>
                <w:spacing w:val="-1"/>
                <w:position w:val="3"/>
                <w:sz w:val="20"/>
                <w:szCs w:val="20"/>
              </w:rPr>
              <w:t xml:space="preserve">&lt; </w:t>
            </w:r>
            <w:r>
              <w:rPr>
                <w:rFonts w:ascii="Times New Roman" w:eastAsia="Times New Roman" w:hAnsi="Times New Roman" w:cs="Times New Roman"/>
                <w:spacing w:val="-1"/>
                <w:position w:val="3"/>
                <w:sz w:val="20"/>
                <w:szCs w:val="20"/>
              </w:rPr>
              <w:t>200 L/min</w:t>
            </w:r>
          </w:p>
        </w:tc>
        <w:tc>
          <w:tcPr>
            <w:tcW w:w="2931" w:type="dxa"/>
            <w:vAlign w:val="top"/>
          </w:tcPr>
          <w:p>
            <w:pPr>
              <w:spacing w:before="92" w:line="275" w:lineRule="exact"/>
              <w:ind w:left="1134"/>
              <w:rPr>
                <w:rFonts w:ascii="Times New Roman" w:eastAsia="Times New Roman" w:hAnsi="Times New Roman" w:cs="Times New Roman"/>
                <w:sz w:val="20"/>
                <w:szCs w:val="20"/>
              </w:rPr>
            </w:pPr>
            <w:r>
              <w:rPr>
                <w:rFonts w:ascii="Times New Roman" w:eastAsia="Times New Roman" w:hAnsi="Times New Roman" w:cs="Times New Roman"/>
                <w:spacing w:val="4"/>
                <w:position w:val="2"/>
                <w:sz w:val="20"/>
                <w:szCs w:val="20"/>
              </w:rPr>
              <w:t>±0.30%</w:t>
            </w:r>
          </w:p>
        </w:tc>
        <w:tc>
          <w:tcPr>
            <w:tcW w:w="2936" w:type="dxa"/>
            <w:vAlign w:val="top"/>
          </w:tcPr>
          <w:p>
            <w:pPr>
              <w:spacing w:before="92" w:line="275" w:lineRule="exact"/>
              <w:ind w:left="1200"/>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0.10%</w:t>
            </w:r>
          </w:p>
        </w:tc>
      </w:tr>
      <w:tr>
        <w:tblPrEx>
          <w:tblW w:w="8802" w:type="dxa"/>
          <w:tblInd w:w="757" w:type="dxa"/>
          <w:tblLayout w:type="fixed"/>
        </w:tblPrEx>
        <w:trPr>
          <w:trHeight w:val="462"/>
        </w:trPr>
        <w:tc>
          <w:tcPr>
            <w:tcW w:w="2935" w:type="dxa"/>
            <w:vAlign w:val="top"/>
          </w:tcPr>
          <w:p>
            <w:pPr>
              <w:spacing w:before="76" w:line="268" w:lineRule="exact"/>
              <w:ind w:left="761"/>
              <w:rPr>
                <w:rFonts w:ascii="Times New Roman" w:eastAsia="Times New Roman" w:hAnsi="Times New Roman" w:cs="Times New Roman"/>
                <w:sz w:val="20"/>
                <w:szCs w:val="20"/>
              </w:rPr>
            </w:pPr>
            <w:r>
              <w:pict>
                <v:shape id="_x0000_s1058" type="#_x0000_t202" style="width:11.9pt;height:6pt;margin-top:13.03pt;margin-left:43.56pt;position:absolute;z-index:251661312" filled="f" stroked="f">
                  <o:lock v:ext="edit" aspectratio="f"/>
                  <v:textbox inset="0,0,0,0">
                    <w:txbxContent>
                      <w:p>
                        <w:pPr>
                          <w:spacing w:before="20" w:line="79" w:lineRule="exact"/>
                          <w:ind w:left="20"/>
                          <w:rPr>
                            <w:rFonts w:ascii="Times New Roman" w:eastAsia="Times New Roman" w:hAnsi="Times New Roman" w:cs="Times New Roman"/>
                            <w:sz w:val="11"/>
                            <w:szCs w:val="11"/>
                          </w:rPr>
                        </w:pPr>
                        <w:r>
                          <w:rPr>
                            <w:rFonts w:ascii="Times New Roman" w:eastAsia="Times New Roman" w:hAnsi="Times New Roman" w:cs="Times New Roman"/>
                            <w:spacing w:val="2"/>
                            <w:sz w:val="11"/>
                            <w:szCs w:val="11"/>
                          </w:rPr>
                          <w:t>max</w:t>
                        </w:r>
                      </w:p>
                    </w:txbxContent>
                  </v:textbox>
                </v:shape>
              </w:pict>
            </w:r>
            <w:r>
              <w:rPr>
                <w:rFonts w:ascii="Times New Roman" w:eastAsia="Times New Roman" w:hAnsi="Times New Roman" w:cs="Times New Roman"/>
                <w:i/>
                <w:iCs/>
                <w:spacing w:val="-1"/>
                <w:position w:val="3"/>
                <w:sz w:val="20"/>
                <w:szCs w:val="20"/>
              </w:rPr>
              <w:t>Q</w:t>
            </w:r>
            <w:r>
              <w:rPr>
                <w:rFonts w:ascii="Times New Roman" w:eastAsia="Times New Roman" w:hAnsi="Times New Roman" w:cs="Times New Roman"/>
                <w:i/>
                <w:iCs/>
                <w:spacing w:val="4"/>
                <w:position w:val="3"/>
                <w:sz w:val="20"/>
                <w:szCs w:val="20"/>
              </w:rPr>
              <w:t xml:space="preserve">     </w:t>
            </w:r>
            <w:r>
              <w:rPr>
                <w:rFonts w:ascii="Symbol" w:eastAsia="Symbol" w:hAnsi="Symbol" w:cs="Symbol"/>
                <w:spacing w:val="-1"/>
                <w:position w:val="3"/>
                <w:sz w:val="20"/>
                <w:szCs w:val="20"/>
              </w:rPr>
              <w:t xml:space="preserve">&gt; </w:t>
            </w:r>
            <w:r>
              <w:rPr>
                <w:rFonts w:ascii="Times New Roman" w:eastAsia="Times New Roman" w:hAnsi="Times New Roman" w:cs="Times New Roman"/>
                <w:spacing w:val="-1"/>
                <w:position w:val="3"/>
                <w:sz w:val="20"/>
                <w:szCs w:val="20"/>
              </w:rPr>
              <w:t>200 L/min</w:t>
            </w:r>
          </w:p>
        </w:tc>
        <w:tc>
          <w:tcPr>
            <w:tcW w:w="2931" w:type="dxa"/>
            <w:vAlign w:val="top"/>
          </w:tcPr>
          <w:p>
            <w:pPr>
              <w:spacing w:before="96" w:line="274" w:lineRule="exact"/>
              <w:ind w:left="1134"/>
              <w:rPr>
                <w:rFonts w:ascii="Times New Roman" w:eastAsia="Times New Roman" w:hAnsi="Times New Roman" w:cs="Times New Roman"/>
                <w:sz w:val="20"/>
                <w:szCs w:val="20"/>
              </w:rPr>
            </w:pPr>
            <w:r>
              <w:rPr>
                <w:rFonts w:ascii="Times New Roman" w:eastAsia="Times New Roman" w:hAnsi="Times New Roman" w:cs="Times New Roman"/>
                <w:spacing w:val="4"/>
                <w:position w:val="2"/>
                <w:sz w:val="20"/>
                <w:szCs w:val="20"/>
              </w:rPr>
              <w:t>±0.50%</w:t>
            </w:r>
          </w:p>
        </w:tc>
        <w:tc>
          <w:tcPr>
            <w:tcW w:w="2936" w:type="dxa"/>
            <w:vAlign w:val="top"/>
          </w:tcPr>
          <w:p>
            <w:pPr>
              <w:spacing w:before="96" w:line="274" w:lineRule="exact"/>
              <w:ind w:left="1200"/>
              <w:rPr>
                <w:rFonts w:ascii="Times New Roman" w:eastAsia="Times New Roman" w:hAnsi="Times New Roman" w:cs="Times New Roman"/>
                <w:sz w:val="20"/>
                <w:szCs w:val="20"/>
              </w:rPr>
            </w:pPr>
            <w:r>
              <w:rPr>
                <w:rFonts w:ascii="Times New Roman" w:eastAsia="Times New Roman" w:hAnsi="Times New Roman" w:cs="Times New Roman"/>
                <w:spacing w:val="3"/>
                <w:position w:val="2"/>
                <w:sz w:val="20"/>
                <w:szCs w:val="20"/>
              </w:rPr>
              <w:t>0.17%</w:t>
            </w:r>
          </w:p>
        </w:tc>
      </w:tr>
    </w:tbl>
    <w:p>
      <w:pPr>
        <w:pStyle w:val="BodyText"/>
        <w:spacing w:before="157" w:line="219" w:lineRule="auto"/>
        <w:ind w:left="14"/>
        <w:outlineLvl w:val="2"/>
      </w:pPr>
      <w:r>
        <w:rPr>
          <w:spacing w:val="-2"/>
        </w:rPr>
        <w:t>5.2 加油机的付费金额误差</w:t>
      </w:r>
    </w:p>
    <w:p>
      <w:pPr>
        <w:pStyle w:val="BodyText"/>
        <w:spacing w:before="191" w:line="248" w:lineRule="auto"/>
        <w:ind w:left="16" w:right="81" w:firstLine="473"/>
      </w:pPr>
      <w:r>
        <w:t>加油机显示的付费金额不大于单价和体积示值计算的付费金额，</w:t>
      </w:r>
      <w:r>
        <w:rPr>
          <w:spacing w:val="-1"/>
        </w:rPr>
        <w:t>且二者之差的绝对值不超过最</w:t>
      </w:r>
      <w:r>
        <w:t xml:space="preserve"> </w:t>
      </w:r>
      <w:r>
        <w:rPr>
          <w:spacing w:val="-3"/>
        </w:rPr>
        <w:t>小付费变量。</w:t>
      </w:r>
    </w:p>
    <w:p>
      <w:pPr>
        <w:spacing w:before="192" w:line="222" w:lineRule="auto"/>
        <w:ind w:left="8"/>
        <w:outlineLvl w:val="1"/>
        <w:rPr>
          <w:rFonts w:ascii="SimHei" w:eastAsia="SimHei" w:hAnsi="SimHei" w:cs="SimHei"/>
          <w:sz w:val="24"/>
          <w:szCs w:val="24"/>
        </w:rPr>
      </w:pPr>
      <w:r>
        <w:rPr>
          <w:rFonts w:ascii="SimHei" w:eastAsia="SimHei" w:hAnsi="SimHei" w:cs="SimHei"/>
          <w:spacing w:val="-1"/>
          <w:sz w:val="24"/>
          <w:szCs w:val="24"/>
        </w:rPr>
        <w:t>6</w:t>
      </w:r>
      <w:r>
        <w:rPr>
          <w:rFonts w:ascii="SimHei" w:eastAsia="SimHei" w:hAnsi="SimHei" w:cs="SimHei"/>
          <w:spacing w:val="-1"/>
          <w:sz w:val="24"/>
          <w:szCs w:val="24"/>
        </w:rPr>
        <w:t xml:space="preserve">  </w:t>
      </w:r>
      <w:r>
        <w:rPr>
          <w:rFonts w:ascii="SimHei" w:eastAsia="SimHei" w:hAnsi="SimHei" w:cs="SimHei"/>
          <w:spacing w:val="-1"/>
          <w:sz w:val="24"/>
          <w:szCs w:val="24"/>
        </w:rPr>
        <w:t>通用技术要求</w:t>
      </w:r>
    </w:p>
    <w:p>
      <w:pPr>
        <w:pStyle w:val="BodyText"/>
        <w:spacing w:before="299" w:line="222" w:lineRule="auto"/>
        <w:ind w:left="11"/>
        <w:outlineLvl w:val="2"/>
        <w:rPr>
          <w:rFonts w:ascii="SimHei" w:eastAsia="SimHei" w:hAnsi="SimHei" w:cs="SimHei"/>
        </w:rPr>
      </w:pPr>
      <w:r>
        <w:rPr>
          <w:spacing w:val="-1"/>
        </w:rPr>
        <w:t>6.1 铭牌、标记</w:t>
      </w:r>
      <w:r>
        <w:rPr>
          <w:rFonts w:ascii="SimHei" w:eastAsia="SimHei" w:hAnsi="SimHei" w:cs="SimHei"/>
          <w:spacing w:val="-1"/>
        </w:rPr>
        <w:t>和随机文件</w:t>
      </w:r>
    </w:p>
    <w:p>
      <w:pPr>
        <w:pStyle w:val="BodyText"/>
        <w:spacing w:before="189" w:line="213" w:lineRule="auto"/>
        <w:ind w:left="8"/>
        <w:sectPr>
          <w:headerReference w:type="default" r:id="rId39"/>
          <w:footerReference w:type="default" r:id="rId40"/>
          <w:pgSz w:w="11906" w:h="16839"/>
          <w:pgMar w:top="400" w:right="712" w:bottom="1156" w:left="794" w:header="0" w:footer="994" w:gutter="0"/>
          <w:pgNumType w:start="7"/>
          <w:cols w:space="708"/>
        </w:sectPr>
      </w:pPr>
      <w:r>
        <w:rPr>
          <w:rFonts w:ascii="SimHei" w:eastAsia="SimHei" w:hAnsi="SimHei" w:cs="SimHei"/>
          <w:spacing w:val="-1"/>
        </w:rPr>
        <w:t>6.1.1</w:t>
      </w:r>
      <w:r>
        <w:rPr>
          <w:rFonts w:ascii="SimHei" w:eastAsia="SimHei" w:hAnsi="SimHei" w:cs="SimHei"/>
          <w:spacing w:val="-50"/>
        </w:rPr>
        <w:t xml:space="preserve"> </w:t>
      </w:r>
      <w:r>
        <w:rPr>
          <w:rFonts w:ascii="SimHei" w:eastAsia="SimHei" w:hAnsi="SimHei" w:cs="SimHei"/>
          <w:spacing w:val="-1"/>
        </w:rPr>
        <w:t>加油机铭牌应易于查看，并标明</w:t>
      </w:r>
      <w:r>
        <w:rPr>
          <w:spacing w:val="-1"/>
        </w:rPr>
        <w:t>：</w:t>
      </w:r>
    </w:p>
    <w:p>
      <w:pPr>
        <w:pStyle w:val="BodyText"/>
        <w:spacing w:before="81" w:line="358" w:lineRule="exact"/>
        <w:ind w:left="445"/>
      </w:pPr>
      <w:r>
        <w:rPr>
          <w:spacing w:val="-4"/>
          <w:position w:val="8"/>
        </w:rPr>
        <w:t>a) 制造厂名；</w:t>
      </w:r>
    </w:p>
    <w:p>
      <w:pPr>
        <w:pStyle w:val="BodyText"/>
        <w:spacing w:line="220" w:lineRule="auto"/>
        <w:ind w:left="440"/>
      </w:pPr>
      <w:r>
        <w:rPr>
          <w:spacing w:val="-1"/>
        </w:rPr>
        <w:t>b) 产品名称；</w:t>
      </w:r>
    </w:p>
    <w:p>
      <w:pPr>
        <w:pStyle w:val="BodyText"/>
        <w:spacing w:before="71" w:line="220" w:lineRule="auto"/>
        <w:ind w:left="448"/>
      </w:pPr>
      <w:r>
        <w:rPr>
          <w:spacing w:val="-2"/>
        </w:rPr>
        <w:t>c) 规格型号；</w:t>
      </w:r>
    </w:p>
    <w:p>
      <w:pPr>
        <w:spacing w:line="220" w:lineRule="auto"/>
        <w:sectPr>
          <w:headerReference w:type="default" r:id="rId41"/>
          <w:footerReference w:type="default" r:id="rId42"/>
          <w:type w:val="nextPage"/>
          <w:pgSz w:w="11906" w:h="16839"/>
          <w:pgMar w:top="400" w:right="712" w:bottom="1156" w:left="794" w:header="0" w:footer="994" w:gutter="0"/>
          <w:pgNumType w:start="8"/>
          <w:cols w:space="708"/>
          <w:titlePg w:val="0"/>
        </w:sectPr>
      </w:pPr>
    </w:p>
    <w:p>
      <w:pPr>
        <w:pStyle w:val="BodyText"/>
        <w:spacing w:before="36" w:line="358" w:lineRule="exact"/>
        <w:ind w:left="448"/>
      </w:pPr>
      <w:r>
        <w:rPr>
          <w:spacing w:val="-2"/>
          <w:position w:val="8"/>
        </w:rPr>
        <w:t>d) 制造年月；</w:t>
      </w:r>
    </w:p>
    <w:p>
      <w:pPr>
        <w:pStyle w:val="BodyText"/>
        <w:spacing w:line="220" w:lineRule="auto"/>
        <w:ind w:left="449"/>
      </w:pPr>
      <w:r>
        <w:rPr>
          <w:spacing w:val="-7"/>
        </w:rPr>
        <w:t>e)</w:t>
      </w:r>
      <w:r>
        <w:rPr>
          <w:spacing w:val="32"/>
        </w:rPr>
        <w:t xml:space="preserve"> </w:t>
      </w:r>
      <w:r>
        <w:rPr>
          <w:spacing w:val="-7"/>
        </w:rPr>
        <w:t>出厂编号；</w:t>
      </w:r>
    </w:p>
    <w:p>
      <w:pPr>
        <w:pStyle w:val="BodyText"/>
        <w:spacing w:before="71" w:line="221" w:lineRule="auto"/>
        <w:ind w:left="448"/>
      </w:pPr>
      <w:r>
        <w:rPr>
          <w:spacing w:val="-2"/>
        </w:rPr>
        <w:t>f) 流量范围；</w:t>
      </w:r>
    </w:p>
    <w:p>
      <w:pPr>
        <w:pStyle w:val="BodyText"/>
        <w:spacing w:before="70" w:line="358" w:lineRule="exact"/>
        <w:ind w:left="448"/>
      </w:pPr>
      <w:r>
        <w:rPr>
          <w:spacing w:val="-2"/>
          <w:position w:val="8"/>
        </w:rPr>
        <w:t>g) 最大允许误差；</w:t>
      </w:r>
    </w:p>
    <w:p>
      <w:pPr>
        <w:pStyle w:val="BodyText"/>
        <w:spacing w:line="220" w:lineRule="auto"/>
        <w:ind w:left="441"/>
      </w:pPr>
      <w:r>
        <w:rPr>
          <w:spacing w:val="-1"/>
        </w:rPr>
        <w:t>h) 最小被测量；</w:t>
      </w:r>
    </w:p>
    <w:p>
      <w:pPr>
        <w:pStyle w:val="BodyText"/>
        <w:spacing w:before="71" w:line="222" w:lineRule="auto"/>
        <w:ind w:left="460"/>
      </w:pPr>
      <w:r>
        <w:rPr>
          <w:spacing w:val="-9"/>
        </w:rPr>
        <w:t>i)</w:t>
      </w:r>
      <w:r>
        <w:rPr>
          <w:spacing w:val="37"/>
        </w:rPr>
        <w:t xml:space="preserve"> </w:t>
      </w:r>
      <w:r>
        <w:rPr>
          <w:spacing w:val="-9"/>
        </w:rPr>
        <w:t>电源电压；</w:t>
      </w:r>
    </w:p>
    <w:p>
      <w:pPr>
        <w:pStyle w:val="BodyText"/>
        <w:spacing w:before="68" w:line="215" w:lineRule="auto"/>
        <w:ind w:left="453"/>
      </w:pPr>
      <w:r>
        <w:rPr>
          <w:spacing w:val="-2"/>
        </w:rPr>
        <w:t>j) Ex</w:t>
      </w:r>
      <w:r>
        <w:rPr>
          <w:spacing w:val="-48"/>
        </w:rPr>
        <w:t xml:space="preserve"> </w:t>
      </w:r>
      <w:r>
        <w:rPr>
          <w:spacing w:val="-2"/>
        </w:rPr>
        <w:t>标志和防爆合格证编号；</w:t>
      </w:r>
    </w:p>
    <w:p>
      <w:pPr>
        <w:pStyle w:val="BodyText"/>
        <w:spacing w:before="81" w:line="219" w:lineRule="auto"/>
        <w:ind w:left="442"/>
      </w:pPr>
      <w:r>
        <w:rPr>
          <w:spacing w:val="-1"/>
        </w:rPr>
        <w:t>k) CPA</w:t>
      </w:r>
      <w:r>
        <w:rPr>
          <w:spacing w:val="-42"/>
        </w:rPr>
        <w:t xml:space="preserve"> </w:t>
      </w:r>
      <w:r>
        <w:rPr>
          <w:spacing w:val="-1"/>
        </w:rPr>
        <w:t>标志及编号（规程实施后出厂的加油机适用）。</w:t>
      </w:r>
    </w:p>
    <w:p>
      <w:pPr>
        <w:pStyle w:val="BodyText"/>
        <w:spacing w:before="193" w:line="219" w:lineRule="auto"/>
        <w:ind w:left="11"/>
      </w:pPr>
      <w:r>
        <w:rPr>
          <w:spacing w:val="-2"/>
        </w:rPr>
        <w:t>6.1.2</w:t>
      </w:r>
      <w:r>
        <w:rPr>
          <w:spacing w:val="-27"/>
        </w:rPr>
        <w:t xml:space="preserve"> </w:t>
      </w:r>
      <w:r>
        <w:rPr>
          <w:spacing w:val="-2"/>
        </w:rPr>
        <w:t>多于一条油枪的加油机应标注油枪编号。</w:t>
      </w:r>
    </w:p>
    <w:p>
      <w:pPr>
        <w:pStyle w:val="BodyText"/>
        <w:spacing w:before="193" w:line="247" w:lineRule="auto"/>
        <w:ind w:left="29" w:hanging="18"/>
      </w:pPr>
      <w:r>
        <w:rPr>
          <w:spacing w:val="1"/>
        </w:rPr>
        <w:t>6.1.3</w:t>
      </w:r>
      <w:r>
        <w:rPr>
          <w:spacing w:val="-50"/>
        </w:rPr>
        <w:t xml:space="preserve"> </w:t>
      </w:r>
      <w:r>
        <w:rPr>
          <w:spacing w:val="1"/>
        </w:rPr>
        <w:t>加油机出厂随机文件应附其型式评价报告中关键零部件和建议批准型</w:t>
      </w:r>
      <w:r>
        <w:t xml:space="preserve">号的信息（规程实施后 </w:t>
      </w:r>
      <w:r>
        <w:rPr>
          <w:spacing w:val="-4"/>
        </w:rPr>
        <w:t>出厂的加油机适用）。</w:t>
      </w:r>
    </w:p>
    <w:p>
      <w:pPr>
        <w:pStyle w:val="BodyText"/>
        <w:spacing w:before="192" w:line="221" w:lineRule="auto"/>
        <w:ind w:left="11"/>
        <w:outlineLvl w:val="2"/>
      </w:pPr>
      <w:r>
        <w:rPr>
          <w:spacing w:val="-4"/>
        </w:rPr>
        <w:t>6.2</w:t>
      </w:r>
      <w:r>
        <w:rPr>
          <w:spacing w:val="15"/>
        </w:rPr>
        <w:t xml:space="preserve"> </w:t>
      </w:r>
      <w:r>
        <w:rPr>
          <w:spacing w:val="-4"/>
        </w:rPr>
        <w:t>外观结构</w:t>
      </w:r>
    </w:p>
    <w:p>
      <w:pPr>
        <w:pStyle w:val="BodyText"/>
        <w:spacing w:before="191" w:line="219" w:lineRule="auto"/>
        <w:ind w:left="489"/>
      </w:pPr>
      <w:r>
        <w:rPr>
          <w:spacing w:val="-1"/>
        </w:rPr>
        <w:t>加油机关键零部件与型式批准有关的信息应可方便查看。</w:t>
      </w:r>
    </w:p>
    <w:p>
      <w:pPr>
        <w:pStyle w:val="BodyText"/>
        <w:spacing w:before="194" w:line="221" w:lineRule="auto"/>
        <w:ind w:left="11"/>
      </w:pPr>
      <w:r>
        <w:rPr>
          <w:spacing w:val="-2"/>
        </w:rPr>
        <w:t>6.2.1 指示装置</w:t>
      </w:r>
    </w:p>
    <w:p>
      <w:pPr>
        <w:pStyle w:val="BodyText"/>
        <w:spacing w:before="190" w:line="248" w:lineRule="auto"/>
        <w:ind w:left="11" w:right="2" w:firstLine="418"/>
      </w:pPr>
      <w:r>
        <w:rPr>
          <w:spacing w:val="1"/>
        </w:rPr>
        <w:t>加油机的指示装置应清晰显示单价、付费金额、交易的体积量。加油机显示的体积量应是工况</w:t>
      </w:r>
      <w:r>
        <w:rPr>
          <w:spacing w:val="3"/>
        </w:rPr>
        <w:t xml:space="preserve"> </w:t>
      </w:r>
      <w:r>
        <w:rPr>
          <w:spacing w:val="-2"/>
        </w:rPr>
        <w:t>条件下的体积量。</w:t>
      </w:r>
    </w:p>
    <w:p>
      <w:pPr>
        <w:pStyle w:val="BodyText"/>
        <w:spacing w:before="192" w:line="219" w:lineRule="auto"/>
        <w:ind w:left="11"/>
      </w:pPr>
      <w:r>
        <w:rPr>
          <w:spacing w:val="-1"/>
        </w:rPr>
        <w:t>6.2.2</w:t>
      </w:r>
      <w:r>
        <w:rPr>
          <w:spacing w:val="-35"/>
        </w:rPr>
        <w:t xml:space="preserve"> </w:t>
      </w:r>
      <w:r>
        <w:rPr>
          <w:spacing w:val="-1"/>
        </w:rPr>
        <w:t>禁止多条油枪共用一个流量测量变换器（规程实施后出厂的加油机适用）。</w:t>
      </w:r>
    </w:p>
    <w:p>
      <w:pPr>
        <w:pStyle w:val="BodyText"/>
        <w:spacing w:before="72" w:line="248" w:lineRule="auto"/>
        <w:ind w:left="10" w:firstLine="478"/>
      </w:pPr>
      <w:r>
        <w:t>在用的多条油枪共用一个流量测量变换器型加油机，当其中一条油</w:t>
      </w:r>
      <w:r>
        <w:rPr>
          <w:spacing w:val="-1"/>
        </w:rPr>
        <w:t>枪加油时，其他油枪应由控</w:t>
      </w:r>
      <w:r>
        <w:t xml:space="preserve"> </w:t>
      </w:r>
      <w:r>
        <w:rPr>
          <w:spacing w:val="-2"/>
        </w:rPr>
        <w:t>制阀锁定不能加油。</w:t>
      </w:r>
    </w:p>
    <w:p>
      <w:pPr>
        <w:pStyle w:val="BodyText"/>
        <w:spacing w:before="70" w:line="248" w:lineRule="auto"/>
        <w:ind w:left="11"/>
      </w:pPr>
      <w:r>
        <w:rPr>
          <w:spacing w:val="1"/>
        </w:rPr>
        <w:t>6.2.3</w:t>
      </w:r>
      <w:r>
        <w:rPr>
          <w:spacing w:val="-50"/>
        </w:rPr>
        <w:t xml:space="preserve"> </w:t>
      </w:r>
      <w:r>
        <w:rPr>
          <w:spacing w:val="1"/>
        </w:rPr>
        <w:t>加油机的流量测量变换器的调整装置处、编码器与流量测量变换器之</w:t>
      </w:r>
      <w:r>
        <w:t xml:space="preserve">间、计控主板与机体间 </w:t>
      </w:r>
      <w:r>
        <w:rPr>
          <w:spacing w:val="-1"/>
        </w:rPr>
        <w:t>等三个位置应加有效封印。</w:t>
      </w:r>
    </w:p>
    <w:p>
      <w:pPr>
        <w:pStyle w:val="BodyText"/>
        <w:spacing w:before="72" w:line="248" w:lineRule="auto"/>
        <w:ind w:left="13" w:hanging="2"/>
      </w:pPr>
      <w:r>
        <w:rPr>
          <w:spacing w:val="1"/>
        </w:rPr>
        <w:t>6.2.4</w:t>
      </w:r>
      <w:r>
        <w:rPr>
          <w:spacing w:val="-50"/>
        </w:rPr>
        <w:t xml:space="preserve"> </w:t>
      </w:r>
      <w:r>
        <w:rPr>
          <w:spacing w:val="1"/>
        </w:rPr>
        <w:t>计控主板与编码器的连接线中间不得</w:t>
      </w:r>
      <w:r>
        <w:t>有接插头（规程实施后出厂的加油机适用</w:t>
      </w:r>
      <w:r>
        <w:rPr>
          <w:spacing w:val="7"/>
        </w:rPr>
        <w:t>），</w:t>
      </w:r>
      <w:r>
        <w:t xml:space="preserve">计控主板 </w:t>
      </w:r>
      <w:r>
        <w:rPr>
          <w:spacing w:val="-1"/>
        </w:rPr>
        <w:t>与指示装置的连接线中间不得有接插头。</w:t>
      </w:r>
    </w:p>
    <w:p>
      <w:pPr>
        <w:pStyle w:val="BodyText"/>
        <w:spacing w:before="73" w:line="247" w:lineRule="auto"/>
        <w:ind w:left="7" w:firstLine="3"/>
      </w:pPr>
      <w:r>
        <w:rPr>
          <w:spacing w:val="1"/>
        </w:rPr>
        <w:t>6.2.5</w:t>
      </w:r>
      <w:r>
        <w:rPr>
          <w:spacing w:val="-47"/>
        </w:rPr>
        <w:t xml:space="preserve"> </w:t>
      </w:r>
      <w:r>
        <w:rPr>
          <w:spacing w:val="1"/>
        </w:rPr>
        <w:t>指示装置上不应有可以改变显示内容的附加电路或装置。当有</w:t>
      </w:r>
      <w:r>
        <w:t xml:space="preserve">其他显示装置时，其他显示装 </w:t>
      </w:r>
      <w:r>
        <w:rPr>
          <w:spacing w:val="-1"/>
        </w:rPr>
        <w:t>置显示的内容应与加油机指示装置的显示内容一致。</w:t>
      </w:r>
    </w:p>
    <w:p>
      <w:pPr>
        <w:pStyle w:val="BodyText"/>
        <w:spacing w:before="73" w:line="247" w:lineRule="auto"/>
        <w:ind w:left="10"/>
      </w:pPr>
      <w:r>
        <w:t>6.2.6 计控主板的封盖应将计控主板有效密封，应能防止计控主</w:t>
      </w:r>
      <w:r>
        <w:rPr>
          <w:spacing w:val="-1"/>
        </w:rPr>
        <w:t>板、监控微处理器被更换，应能防</w:t>
      </w:r>
      <w:r>
        <w:t xml:space="preserve"> </w:t>
      </w:r>
      <w:r>
        <w:rPr>
          <w:spacing w:val="-1"/>
        </w:rPr>
        <w:t>止计控主板的软件烧录端口外露。</w:t>
      </w:r>
    </w:p>
    <w:p>
      <w:pPr>
        <w:pStyle w:val="BodyText"/>
        <w:spacing w:before="194" w:line="220" w:lineRule="auto"/>
        <w:ind w:left="11"/>
      </w:pPr>
      <w:r>
        <w:rPr>
          <w:spacing w:val="-4"/>
        </w:rPr>
        <w:t>6.3</w:t>
      </w:r>
      <w:r>
        <w:rPr>
          <w:spacing w:val="15"/>
        </w:rPr>
        <w:t xml:space="preserve"> </w:t>
      </w:r>
      <w:r>
        <w:rPr>
          <w:spacing w:val="-4"/>
        </w:rPr>
        <w:t>软件标识</w:t>
      </w:r>
    </w:p>
    <w:p>
      <w:pPr>
        <w:pStyle w:val="BodyText"/>
        <w:spacing w:before="190" w:line="257" w:lineRule="auto"/>
        <w:ind w:left="11" w:firstLine="477"/>
      </w:pPr>
      <w:r>
        <w:rPr>
          <w:spacing w:val="3"/>
        </w:rPr>
        <w:t>对于</w:t>
      </w:r>
      <w:r>
        <w:t>JJF</w:t>
      </w:r>
      <w:r>
        <w:rPr>
          <w:spacing w:val="3"/>
        </w:rPr>
        <w:t xml:space="preserve"> 1521-2023《燃油加油机型式</w:t>
      </w:r>
      <w:r>
        <w:rPr>
          <w:spacing w:val="2"/>
        </w:rPr>
        <w:t>评价大纲》实施后出厂的加油机应有清晰的软件标识。</w:t>
      </w:r>
      <w:r>
        <w:t xml:space="preserve"> </w:t>
      </w:r>
      <w:r>
        <w:t>软件标识应能覆盖各组件法制计量相关软件代码与法制计量相关</w:t>
      </w:r>
      <w:r>
        <w:rPr>
          <w:spacing w:val="-1"/>
        </w:rPr>
        <w:t>数据域。加油机应能防止与软件标</w:t>
      </w:r>
      <w:r>
        <w:t xml:space="preserve"> </w:t>
      </w:r>
      <w:r>
        <w:t>识不匹配的软件运行。软件标识应能永久地存在加油机</w:t>
      </w:r>
      <w:r>
        <w:rPr>
          <w:spacing w:val="-1"/>
        </w:rPr>
        <w:t>上，或通过命令、操作展现。</w:t>
      </w:r>
    </w:p>
    <w:p>
      <w:pPr>
        <w:pStyle w:val="BodyText"/>
        <w:spacing w:before="192" w:line="221" w:lineRule="auto"/>
        <w:ind w:left="11"/>
        <w:outlineLvl w:val="2"/>
        <w:sectPr>
          <w:headerReference w:type="default" r:id="rId43"/>
          <w:footerReference w:type="default" r:id="rId44"/>
          <w:pgSz w:w="11906" w:h="16839"/>
          <w:pgMar w:top="1157" w:right="793" w:bottom="1153" w:left="794" w:header="912" w:footer="994" w:gutter="0"/>
          <w:pgNumType w:start="9"/>
          <w:cols w:space="708"/>
        </w:sectPr>
      </w:pPr>
      <w:r>
        <w:rPr>
          <w:spacing w:val="-9"/>
        </w:rPr>
        <w:t>6.4</w:t>
      </w:r>
      <w:r>
        <w:rPr>
          <w:spacing w:val="50"/>
        </w:rPr>
        <w:t xml:space="preserve"> </w:t>
      </w:r>
      <w:r>
        <w:rPr>
          <w:spacing w:val="-9"/>
        </w:rPr>
        <w:t>自锁功能</w:t>
      </w:r>
    </w:p>
    <w:p>
      <w:pPr>
        <w:pStyle w:val="BodyText"/>
        <w:spacing w:before="191" w:line="247" w:lineRule="auto"/>
        <w:ind w:left="7" w:firstLine="483"/>
      </w:pPr>
      <w:r>
        <w:t>用于国内油品贸易结算的加油机应具有自锁功能，自锁功能</w:t>
      </w:r>
      <w:r>
        <w:rPr>
          <w:spacing w:val="-1"/>
        </w:rPr>
        <w:t>由监控微处理器、编码器、指示装</w:t>
      </w:r>
      <w:r>
        <w:t xml:space="preserve"> </w:t>
      </w:r>
      <w:r>
        <w:t>置和相应的程序来实现。当加油机加油量异常或校验功能异常时，加油机</w:t>
      </w:r>
      <w:r>
        <w:rPr>
          <w:spacing w:val="-1"/>
        </w:rPr>
        <w:t>应被锁定无法加油。</w:t>
      </w:r>
    </w:p>
    <w:p>
      <w:pPr>
        <w:pStyle w:val="BodyText"/>
        <w:spacing w:before="193" w:line="220" w:lineRule="auto"/>
        <w:ind w:left="11"/>
      </w:pPr>
      <w:r>
        <w:rPr>
          <w:spacing w:val="-1"/>
        </w:rPr>
        <w:t>6.4.1 监控微处理器</w:t>
      </w:r>
    </w:p>
    <w:p>
      <w:pPr>
        <w:pStyle w:val="BodyText"/>
        <w:spacing w:before="192" w:line="219" w:lineRule="auto"/>
        <w:jc w:val="right"/>
      </w:pPr>
      <w:r>
        <w:rPr>
          <w:spacing w:val="5"/>
        </w:rPr>
        <w:t>当计量微处理器或编码器中微处理器的程序被非法变更时，监控微处理器应对加油机进行锁</w:t>
      </w:r>
    </w:p>
    <w:p>
      <w:pPr>
        <w:spacing w:line="219" w:lineRule="auto"/>
        <w:sectPr>
          <w:headerReference w:type="default" r:id="rId45"/>
          <w:footerReference w:type="default" r:id="rId46"/>
          <w:type w:val="nextPage"/>
          <w:pgSz w:w="11906" w:h="16839"/>
          <w:pgMar w:top="1157" w:right="793" w:bottom="1153" w:left="794" w:header="912" w:footer="994" w:gutter="0"/>
          <w:pgNumType w:start="10"/>
          <w:cols w:space="708"/>
          <w:titlePg w:val="0"/>
        </w:sectPr>
      </w:pPr>
    </w:p>
    <w:p>
      <w:pPr>
        <w:pStyle w:val="BodyText"/>
        <w:spacing w:before="37" w:line="219" w:lineRule="auto"/>
        <w:ind w:left="15"/>
      </w:pPr>
      <w:r>
        <w:rPr>
          <w:spacing w:val="-2"/>
        </w:rPr>
        <w:t>定，加油机无法加油。</w:t>
      </w:r>
    </w:p>
    <w:p>
      <w:pPr>
        <w:pStyle w:val="BodyText"/>
        <w:spacing w:before="192" w:line="219" w:lineRule="auto"/>
        <w:ind w:left="11"/>
      </w:pPr>
      <w:r>
        <w:rPr>
          <w:spacing w:val="-1"/>
        </w:rPr>
        <w:t>6.4.2 编码器和计控主板</w:t>
      </w:r>
    </w:p>
    <w:p>
      <w:pPr>
        <w:pStyle w:val="BodyText"/>
        <w:spacing w:before="192" w:line="220" w:lineRule="auto"/>
        <w:ind w:left="490"/>
      </w:pPr>
      <w:r>
        <w:rPr>
          <w:spacing w:val="-1"/>
        </w:rPr>
        <w:t>监控微处理器、编码器和指示装置应具备唯一序列号，不可更改。</w:t>
      </w:r>
    </w:p>
    <w:p>
      <w:pPr>
        <w:pStyle w:val="BodyText"/>
        <w:spacing w:before="192" w:line="247" w:lineRule="auto"/>
        <w:ind w:left="8" w:right="63" w:firstLine="2"/>
      </w:pPr>
      <w:hyperlink r:id="rId47" w:history="1">
        <w:r>
          <w:t>6.4.2.1</w:t>
        </w:r>
      </w:hyperlink>
      <w:r>
        <w:t xml:space="preserve"> 编码器应与监控微处理器进行相互验证，当编码器与监</w:t>
      </w:r>
      <w:r>
        <w:rPr>
          <w:spacing w:val="-1"/>
        </w:rPr>
        <w:t>控微处理器相互验证失败时，加油</w:t>
      </w:r>
      <w:r>
        <w:t xml:space="preserve"> </w:t>
      </w:r>
      <w:r>
        <w:rPr>
          <w:spacing w:val="-1"/>
        </w:rPr>
        <w:t>机应被锁定无法加油。</w:t>
      </w:r>
    </w:p>
    <w:p>
      <w:pPr>
        <w:pStyle w:val="BodyText"/>
        <w:spacing w:before="192" w:line="260" w:lineRule="auto"/>
        <w:ind w:left="10" w:right="63"/>
        <w:jc w:val="both"/>
      </w:pPr>
      <w:hyperlink r:id="rId48" w:history="1">
        <w:r>
          <w:rPr>
            <w:spacing w:val="2"/>
          </w:rPr>
          <w:t>6.4.2.2</w:t>
        </w:r>
      </w:hyperlink>
      <w:r>
        <w:rPr>
          <w:spacing w:val="2"/>
        </w:rPr>
        <w:t xml:space="preserve"> 初始化后的加油机，更换计控主板后，如不重新初始化，在进行3次加油操作后编码器应</w:t>
      </w:r>
      <w:r>
        <w:rPr>
          <w:spacing w:val="8"/>
        </w:rPr>
        <w:t xml:space="preserve"> </w:t>
      </w:r>
      <w:r>
        <w:t>停止向计控主板发送信号，加油机应被锁定无法加油，编码器应记</w:t>
      </w:r>
      <w:r>
        <w:rPr>
          <w:spacing w:val="-1"/>
        </w:rPr>
        <w:t>录、保存更换计控主板的相关信</w:t>
      </w:r>
      <w:r>
        <w:t xml:space="preserve"> </w:t>
      </w:r>
      <w:r>
        <w:rPr>
          <w:spacing w:val="-6"/>
        </w:rPr>
        <w:t>息。</w:t>
      </w:r>
    </w:p>
    <w:p>
      <w:pPr>
        <w:pStyle w:val="BodyText"/>
        <w:spacing w:before="180" w:line="248" w:lineRule="auto"/>
        <w:ind w:left="10" w:right="63"/>
      </w:pPr>
      <w:hyperlink r:id="rId49" w:history="1">
        <w:r>
          <w:t>6.4.2.3</w:t>
        </w:r>
      </w:hyperlink>
      <w:r>
        <w:t xml:space="preserve"> 当加油量异常时,在累计加油5次后编码器应停止向计控</w:t>
      </w:r>
      <w:r>
        <w:rPr>
          <w:spacing w:val="-1"/>
        </w:rPr>
        <w:t>主板发送信号，加油机应被锁定无</w:t>
      </w:r>
      <w:r>
        <w:t xml:space="preserve"> </w:t>
      </w:r>
      <w:r>
        <w:rPr>
          <w:spacing w:val="-1"/>
        </w:rPr>
        <w:t>法加油，编码器应记录、保存异常情况的相关信息。</w:t>
      </w:r>
    </w:p>
    <w:p>
      <w:pPr>
        <w:pStyle w:val="BodyText"/>
        <w:spacing w:before="191" w:line="294" w:lineRule="auto"/>
        <w:ind w:left="11" w:right="3699"/>
      </w:pPr>
      <w:hyperlink r:id="rId50" w:history="1">
        <w:r>
          <w:rPr>
            <w:spacing w:val="-2"/>
          </w:rPr>
          <w:t>6.4.2.4</w:t>
        </w:r>
      </w:hyperlink>
      <w:r>
        <w:rPr>
          <w:spacing w:val="-2"/>
        </w:rPr>
        <w:t xml:space="preserve"> 编码器应是不可打开的，如被打开应失效且不可恢复。</w:t>
      </w:r>
      <w:r>
        <w:rPr>
          <w:spacing w:val="12"/>
        </w:rPr>
        <w:t xml:space="preserve"> </w:t>
      </w:r>
      <w:r>
        <w:rPr>
          <w:spacing w:val="-2"/>
        </w:rPr>
        <w:t>6.5校验功能</w:t>
      </w:r>
    </w:p>
    <w:p>
      <w:pPr>
        <w:pStyle w:val="BodyText"/>
        <w:spacing w:before="191" w:line="257" w:lineRule="auto"/>
        <w:ind w:left="9" w:firstLine="479"/>
        <w:jc w:val="both"/>
      </w:pPr>
      <w:r>
        <w:t>JJF</w:t>
      </w:r>
      <w:r>
        <w:rPr>
          <w:spacing w:val="2"/>
        </w:rPr>
        <w:t xml:space="preserve"> 1521-2023《燃油加油机型式评价大纲》实施后出厂的加油机应具有校验功能，应有校验</w:t>
      </w:r>
      <w:r>
        <w:rPr>
          <w:spacing w:val="17"/>
        </w:rPr>
        <w:t xml:space="preserve"> </w:t>
      </w:r>
      <w:r>
        <w:rPr>
          <w:spacing w:val="-4"/>
        </w:rPr>
        <w:t>装置，能够对加油机中其他作为软件载体的组件进行校验，并记录变</w:t>
      </w:r>
      <w:r>
        <w:rPr>
          <w:spacing w:val="-5"/>
        </w:rPr>
        <w:t>更、维修人员身份信息和异常，</w:t>
      </w:r>
      <w:r>
        <w:t xml:space="preserve"> </w:t>
      </w:r>
      <w:r>
        <w:rPr>
          <w:spacing w:val="-1"/>
        </w:rPr>
        <w:t>必要时控制监控微处理器执行锁机。</w:t>
      </w:r>
    </w:p>
    <w:p>
      <w:pPr>
        <w:spacing w:before="193" w:line="223" w:lineRule="auto"/>
        <w:ind w:left="10"/>
        <w:outlineLvl w:val="1"/>
        <w:rPr>
          <w:rFonts w:ascii="SimHei" w:eastAsia="SimHei" w:hAnsi="SimHei" w:cs="SimHei"/>
          <w:sz w:val="24"/>
          <w:szCs w:val="24"/>
        </w:rPr>
      </w:pPr>
      <w:r>
        <w:rPr>
          <w:rFonts w:ascii="SimHei" w:eastAsia="SimHei" w:hAnsi="SimHei" w:cs="SimHei"/>
          <w:spacing w:val="-2"/>
          <w:sz w:val="24"/>
          <w:szCs w:val="24"/>
        </w:rPr>
        <w:t>7</w:t>
      </w:r>
      <w:r>
        <w:rPr>
          <w:rFonts w:ascii="SimHei" w:eastAsia="SimHei" w:hAnsi="SimHei" w:cs="SimHei"/>
          <w:spacing w:val="-2"/>
          <w:sz w:val="24"/>
          <w:szCs w:val="24"/>
        </w:rPr>
        <w:t xml:space="preserve"> </w:t>
      </w:r>
      <w:r>
        <w:rPr>
          <w:rFonts w:ascii="SimHei" w:eastAsia="SimHei" w:hAnsi="SimHei" w:cs="SimHei"/>
          <w:spacing w:val="-2"/>
          <w:sz w:val="24"/>
          <w:szCs w:val="24"/>
        </w:rPr>
        <w:t>计量器具控制</w:t>
      </w:r>
    </w:p>
    <w:p>
      <w:pPr>
        <w:pStyle w:val="BodyText"/>
        <w:spacing w:before="188" w:line="219" w:lineRule="auto"/>
        <w:ind w:left="489"/>
      </w:pPr>
      <w:r>
        <w:rPr>
          <w:spacing w:val="-1"/>
        </w:rPr>
        <w:t>计量器具控制包括加油机的首次检定、后续检定和使用中检查。</w:t>
      </w:r>
    </w:p>
    <w:p>
      <w:pPr>
        <w:pStyle w:val="BodyText"/>
        <w:spacing w:before="193" w:line="220" w:lineRule="auto"/>
        <w:ind w:left="15"/>
        <w:outlineLvl w:val="2"/>
      </w:pPr>
      <w:r>
        <w:rPr>
          <w:spacing w:val="-2"/>
        </w:rPr>
        <w:t>7.1 检定条件</w:t>
      </w:r>
    </w:p>
    <w:p>
      <w:pPr>
        <w:pStyle w:val="BodyText"/>
        <w:spacing w:before="191" w:line="220" w:lineRule="auto"/>
        <w:ind w:left="15"/>
      </w:pPr>
      <w:r>
        <w:rPr>
          <w:spacing w:val="-2"/>
        </w:rPr>
        <w:t>7.1.1 主标准器和配套设备及要求见表</w:t>
      </w:r>
      <w:r>
        <w:rPr>
          <w:spacing w:val="-33"/>
        </w:rPr>
        <w:t xml:space="preserve"> </w:t>
      </w:r>
      <w:r>
        <w:rPr>
          <w:spacing w:val="-2"/>
        </w:rPr>
        <w:t>3。</w:t>
      </w:r>
    </w:p>
    <w:p>
      <w:pPr>
        <w:spacing w:line="467" w:lineRule="auto"/>
        <w:rPr>
          <w:rFonts w:ascii="Arial"/>
          <w:sz w:val="21"/>
        </w:rPr>
      </w:pPr>
    </w:p>
    <w:p>
      <w:pPr>
        <w:spacing w:before="65" w:line="230" w:lineRule="auto"/>
        <w:ind w:left="3830"/>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5"/>
          <w:sz w:val="20"/>
          <w:szCs w:val="20"/>
        </w:rPr>
        <w:t xml:space="preserve"> </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主标准器和配套设备表</w:t>
      </w:r>
    </w:p>
    <w:tbl>
      <w:tblPr>
        <w:tblStyle w:val="TableNormal3"/>
        <w:tblW w:w="9403" w:type="dxa"/>
        <w:tblInd w:w="4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2614"/>
        <w:gridCol w:w="6079"/>
      </w:tblGrid>
      <w:tr>
        <w:tblPrEx>
          <w:tblW w:w="9403" w:type="dxa"/>
          <w:tblInd w:w="4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94"/>
        </w:trPr>
        <w:tc>
          <w:tcPr>
            <w:tcW w:w="710" w:type="dxa"/>
            <w:vAlign w:val="top"/>
          </w:tcPr>
          <w:p>
            <w:pPr>
              <w:pStyle w:val="TableText"/>
              <w:spacing w:before="42" w:line="223" w:lineRule="auto"/>
              <w:ind w:left="114"/>
            </w:pPr>
            <w:r>
              <w:rPr>
                <w:spacing w:val="5"/>
              </w:rPr>
              <w:t>序号</w:t>
            </w:r>
          </w:p>
        </w:tc>
        <w:tc>
          <w:tcPr>
            <w:tcW w:w="2614" w:type="dxa"/>
            <w:vAlign w:val="top"/>
          </w:tcPr>
          <w:p>
            <w:pPr>
              <w:pStyle w:val="TableText"/>
              <w:spacing w:before="42" w:line="223" w:lineRule="auto"/>
              <w:ind w:left="114"/>
            </w:pPr>
            <w:r>
              <w:rPr>
                <w:spacing w:val="6"/>
              </w:rPr>
              <w:t>设备名称</w:t>
            </w:r>
          </w:p>
        </w:tc>
        <w:tc>
          <w:tcPr>
            <w:tcW w:w="6079" w:type="dxa"/>
            <w:vAlign w:val="top"/>
          </w:tcPr>
          <w:p>
            <w:pPr>
              <w:pStyle w:val="TableText"/>
              <w:spacing w:before="42" w:line="223" w:lineRule="auto"/>
              <w:ind w:left="114"/>
            </w:pPr>
            <w:r>
              <w:rPr>
                <w:spacing w:val="7"/>
              </w:rPr>
              <w:t>技术要求</w:t>
            </w:r>
          </w:p>
        </w:tc>
      </w:tr>
      <w:tr>
        <w:tblPrEx>
          <w:tblW w:w="9403" w:type="dxa"/>
          <w:tblInd w:w="456" w:type="dxa"/>
          <w:tblLayout w:type="fixed"/>
        </w:tblPrEx>
        <w:trPr>
          <w:trHeight w:val="1365"/>
        </w:trPr>
        <w:tc>
          <w:tcPr>
            <w:tcW w:w="710" w:type="dxa"/>
            <w:vAlign w:val="top"/>
          </w:tcPr>
          <w:p>
            <w:pPr>
              <w:spacing w:line="270" w:lineRule="auto"/>
              <w:rPr>
                <w:rFonts w:ascii="Arial"/>
                <w:sz w:val="21"/>
              </w:rPr>
            </w:pPr>
          </w:p>
          <w:p>
            <w:pPr>
              <w:spacing w:line="270" w:lineRule="auto"/>
              <w:rPr>
                <w:rFonts w:ascii="Arial"/>
                <w:sz w:val="21"/>
              </w:rPr>
            </w:pPr>
          </w:p>
          <w:p>
            <w:pPr>
              <w:pStyle w:val="TableText"/>
              <w:spacing w:before="65" w:line="189" w:lineRule="auto"/>
              <w:ind w:left="131"/>
            </w:pPr>
            <w:r>
              <w:t>1</w:t>
            </w:r>
          </w:p>
        </w:tc>
        <w:tc>
          <w:tcPr>
            <w:tcW w:w="2614" w:type="dxa"/>
            <w:vAlign w:val="top"/>
          </w:tcPr>
          <w:p>
            <w:pPr>
              <w:spacing w:line="372" w:lineRule="auto"/>
              <w:rPr>
                <w:rFonts w:ascii="Arial"/>
                <w:sz w:val="21"/>
              </w:rPr>
            </w:pPr>
          </w:p>
          <w:p>
            <w:pPr>
              <w:pStyle w:val="TableText"/>
              <w:spacing w:before="65" w:line="243" w:lineRule="auto"/>
              <w:ind w:left="111" w:right="108"/>
            </w:pPr>
            <w:r>
              <w:rPr>
                <w:spacing w:val="17"/>
              </w:rPr>
              <w:t>标准金属量器（以下简称</w:t>
            </w:r>
            <w:r>
              <w:t xml:space="preserve"> </w:t>
            </w:r>
            <w:r>
              <w:rPr>
                <w:spacing w:val="3"/>
              </w:rPr>
              <w:t>量器）</w:t>
            </w:r>
          </w:p>
        </w:tc>
        <w:tc>
          <w:tcPr>
            <w:tcW w:w="6079" w:type="dxa"/>
            <w:vAlign w:val="top"/>
          </w:tcPr>
          <w:p>
            <w:pPr>
              <w:pStyle w:val="TableText"/>
              <w:spacing w:before="33" w:line="244" w:lineRule="auto"/>
              <w:ind w:left="107" w:right="106" w:firstLine="5"/>
              <w:jc w:val="both"/>
            </w:pPr>
            <w:r>
              <w:rPr>
                <w:spacing w:val="12"/>
              </w:rPr>
              <w:t>量器应符合</w:t>
            </w:r>
            <w:r>
              <w:rPr>
                <w:spacing w:val="-35"/>
              </w:rPr>
              <w:t xml:space="preserve"> </w:t>
            </w:r>
            <w:r>
              <w:rPr>
                <w:rFonts w:ascii="Times New Roman" w:eastAsia="Times New Roman" w:hAnsi="Times New Roman" w:cs="Times New Roman"/>
              </w:rPr>
              <w:t>JJG</w:t>
            </w:r>
            <w:r>
              <w:rPr>
                <w:rFonts w:ascii="Times New Roman" w:eastAsia="Times New Roman" w:hAnsi="Times New Roman" w:cs="Times New Roman"/>
                <w:spacing w:val="12"/>
              </w:rPr>
              <w:t xml:space="preserve"> 259</w:t>
            </w:r>
            <w:r>
              <w:rPr>
                <w:spacing w:val="12"/>
              </w:rPr>
              <w:t>《标准金属量器》检定规程的技术要求，应</w:t>
            </w:r>
            <w:r>
              <w:t xml:space="preserve"> </w:t>
            </w:r>
            <w:r>
              <w:rPr>
                <w:spacing w:val="12"/>
              </w:rPr>
              <w:t>具有导液管。量器的最大允许误差不超过±0.05%，容积</w:t>
            </w:r>
            <w:r>
              <w:rPr>
                <w:spacing w:val="11"/>
              </w:rPr>
              <w:t>不小于</w:t>
            </w:r>
            <w:r>
              <w:t xml:space="preserve"> </w:t>
            </w:r>
            <w:r>
              <w:rPr>
                <w:spacing w:val="6"/>
              </w:rPr>
              <w:t>加油机的最小体积变量的</w:t>
            </w:r>
            <w:r>
              <w:rPr>
                <w:spacing w:val="-24"/>
              </w:rPr>
              <w:t xml:space="preserve"> </w:t>
            </w:r>
            <w:r>
              <w:rPr>
                <w:spacing w:val="6"/>
              </w:rPr>
              <w:t>1000</w:t>
            </w:r>
            <w:r>
              <w:rPr>
                <w:spacing w:val="-40"/>
              </w:rPr>
              <w:t xml:space="preserve"> </w:t>
            </w:r>
            <w:r>
              <w:rPr>
                <w:spacing w:val="6"/>
              </w:rPr>
              <w:t>倍，并不小于检定流量下</w:t>
            </w:r>
            <w:r>
              <w:rPr>
                <w:spacing w:val="-24"/>
              </w:rPr>
              <w:t xml:space="preserve"> </w:t>
            </w:r>
            <w:r>
              <w:rPr>
                <w:spacing w:val="5"/>
              </w:rPr>
              <w:t>1</w:t>
            </w:r>
            <w:r>
              <w:t>min</w:t>
            </w:r>
            <w:r>
              <w:rPr>
                <w:spacing w:val="-21"/>
              </w:rPr>
              <w:t xml:space="preserve"> </w:t>
            </w:r>
            <w:r>
              <w:rPr>
                <w:spacing w:val="5"/>
              </w:rPr>
              <w:t>的</w:t>
            </w:r>
            <w:r>
              <w:t xml:space="preserve"> </w:t>
            </w:r>
            <w:r>
              <w:rPr>
                <w:spacing w:val="6"/>
              </w:rPr>
              <w:t>排放量。量器配有水平调节装置，水平调节装置的准确度为</w:t>
            </w:r>
            <w:r>
              <w:rPr>
                <w:spacing w:val="-22"/>
              </w:rPr>
              <w:t xml:space="preserve"> </w:t>
            </w:r>
            <w:r>
              <w:rPr>
                <w:spacing w:val="6"/>
              </w:rPr>
              <w:t>0.05</w:t>
            </w:r>
            <w:r>
              <w:t xml:space="preserve"> </w:t>
            </w:r>
            <w:r>
              <w:t>mm</w:t>
            </w:r>
            <w:r>
              <w:rPr>
                <w:spacing w:val="8"/>
              </w:rPr>
              <w:t>/m。必要时应有保温措施。</w:t>
            </w:r>
          </w:p>
        </w:tc>
      </w:tr>
      <w:tr>
        <w:tblPrEx>
          <w:tblW w:w="9403" w:type="dxa"/>
          <w:tblInd w:w="456" w:type="dxa"/>
          <w:tblLayout w:type="fixed"/>
        </w:tblPrEx>
        <w:trPr>
          <w:trHeight w:val="313"/>
        </w:trPr>
        <w:tc>
          <w:tcPr>
            <w:tcW w:w="710" w:type="dxa"/>
            <w:vAlign w:val="top"/>
          </w:tcPr>
          <w:p>
            <w:pPr>
              <w:pStyle w:val="TableText"/>
              <w:spacing w:before="83" w:line="189" w:lineRule="auto"/>
              <w:ind w:left="118"/>
            </w:pPr>
            <w:r>
              <w:t>2</w:t>
            </w:r>
          </w:p>
        </w:tc>
        <w:tc>
          <w:tcPr>
            <w:tcW w:w="2614" w:type="dxa"/>
            <w:vAlign w:val="top"/>
          </w:tcPr>
          <w:p>
            <w:pPr>
              <w:pStyle w:val="TableText"/>
              <w:spacing w:before="51" w:line="229" w:lineRule="auto"/>
              <w:ind w:left="113"/>
            </w:pPr>
            <w:r>
              <w:rPr>
                <w:spacing w:val="6"/>
              </w:rPr>
              <w:t>温度计</w:t>
            </w:r>
          </w:p>
        </w:tc>
        <w:tc>
          <w:tcPr>
            <w:tcW w:w="6079" w:type="dxa"/>
            <w:shd w:val="clear" w:color="auto" w:fill="FFFF00"/>
            <w:vAlign w:val="top"/>
          </w:tcPr>
          <w:p>
            <w:pPr>
              <w:pStyle w:val="TableText"/>
              <w:spacing w:before="16" w:line="278" w:lineRule="exact"/>
              <w:ind w:left="127"/>
            </w:pPr>
            <w:r>
              <w:rPr>
                <w:rFonts w:ascii="Times New Roman" w:eastAsia="Times New Roman" w:hAnsi="Times New Roman" w:cs="Times New Roman"/>
                <w:i/>
                <w:iCs/>
                <w:spacing w:val="-1"/>
                <w:position w:val="1"/>
              </w:rPr>
              <w:t xml:space="preserve">U  </w:t>
            </w:r>
            <w:r>
              <w:rPr>
                <w:spacing w:val="-1"/>
                <w:position w:val="1"/>
              </w:rPr>
              <w:t>≤0.2</w:t>
            </w:r>
            <w:r>
              <w:rPr>
                <w:spacing w:val="30"/>
                <w:position w:val="1"/>
              </w:rPr>
              <w:t xml:space="preserve"> </w:t>
            </w:r>
            <w:r>
              <w:rPr>
                <w:spacing w:val="-1"/>
                <w:position w:val="1"/>
              </w:rPr>
              <w:t>℃(</w:t>
            </w:r>
            <w:r>
              <w:rPr>
                <w:spacing w:val="-44"/>
                <w:position w:val="1"/>
              </w:rPr>
              <w:t xml:space="preserve"> </w:t>
            </w:r>
            <w:r>
              <w:rPr>
                <w:rFonts w:ascii="Times New Roman" w:eastAsia="Times New Roman" w:hAnsi="Times New Roman" w:cs="Times New Roman"/>
                <w:i/>
                <w:iCs/>
                <w:spacing w:val="-1"/>
                <w:position w:val="1"/>
              </w:rPr>
              <w:t xml:space="preserve">k </w:t>
            </w:r>
            <w:r>
              <w:rPr>
                <w:spacing w:val="-1"/>
                <w:position w:val="1"/>
              </w:rPr>
              <w:t>=</w:t>
            </w:r>
            <w:r>
              <w:rPr>
                <w:spacing w:val="-35"/>
                <w:position w:val="1"/>
              </w:rPr>
              <w:t xml:space="preserve"> </w:t>
            </w:r>
            <w:r>
              <w:rPr>
                <w:spacing w:val="-1"/>
                <w:position w:val="1"/>
              </w:rPr>
              <w:t>2)、最小分度值</w:t>
            </w:r>
            <w:r>
              <w:rPr>
                <w:spacing w:val="-2"/>
                <w:position w:val="1"/>
              </w:rPr>
              <w:t>不大于 0.2</w:t>
            </w:r>
            <w:r>
              <w:rPr>
                <w:spacing w:val="28"/>
                <w:position w:val="1"/>
              </w:rPr>
              <w:t xml:space="preserve"> </w:t>
            </w:r>
            <w:r>
              <w:rPr>
                <w:spacing w:val="-2"/>
                <w:position w:val="1"/>
              </w:rPr>
              <w:t>℃、（MPE≤0.2</w:t>
            </w:r>
            <w:r>
              <w:rPr>
                <w:spacing w:val="28"/>
                <w:position w:val="1"/>
              </w:rPr>
              <w:t xml:space="preserve"> </w:t>
            </w:r>
            <w:r>
              <w:rPr>
                <w:spacing w:val="-2"/>
                <w:position w:val="1"/>
              </w:rPr>
              <w:t>℃)</w:t>
            </w:r>
          </w:p>
        </w:tc>
      </w:tr>
      <w:tr>
        <w:tblPrEx>
          <w:tblW w:w="9403" w:type="dxa"/>
          <w:tblInd w:w="456" w:type="dxa"/>
          <w:tblLayout w:type="fixed"/>
        </w:tblPrEx>
        <w:trPr>
          <w:trHeight w:val="304"/>
        </w:trPr>
        <w:tc>
          <w:tcPr>
            <w:tcW w:w="710" w:type="dxa"/>
            <w:vAlign w:val="top"/>
          </w:tcPr>
          <w:p>
            <w:pPr>
              <w:pStyle w:val="TableText"/>
              <w:spacing w:before="80" w:line="189" w:lineRule="auto"/>
              <w:ind w:left="119"/>
            </w:pPr>
            <w:r>
              <w:t>3</w:t>
            </w:r>
          </w:p>
        </w:tc>
        <w:tc>
          <w:tcPr>
            <w:tcW w:w="2614" w:type="dxa"/>
            <w:vAlign w:val="top"/>
          </w:tcPr>
          <w:p>
            <w:pPr>
              <w:pStyle w:val="TableText"/>
              <w:spacing w:before="46" w:line="228" w:lineRule="auto"/>
              <w:ind w:left="110"/>
            </w:pPr>
            <w:r>
              <w:rPr>
                <w:spacing w:val="5"/>
              </w:rPr>
              <w:t>秒表</w:t>
            </w:r>
          </w:p>
        </w:tc>
        <w:tc>
          <w:tcPr>
            <w:tcW w:w="6079" w:type="dxa"/>
            <w:vAlign w:val="top"/>
          </w:tcPr>
          <w:p>
            <w:pPr>
              <w:pStyle w:val="TableText"/>
              <w:spacing w:before="46" w:line="228" w:lineRule="auto"/>
              <w:ind w:left="115"/>
            </w:pPr>
            <w:r>
              <w:rPr>
                <w:spacing w:val="4"/>
              </w:rPr>
              <w:t>最大允许误差：</w:t>
            </w:r>
            <w:r>
              <w:rPr>
                <w:spacing w:val="-56"/>
              </w:rPr>
              <w:t xml:space="preserve"> </w:t>
            </w:r>
            <w:r>
              <w:rPr>
                <w:spacing w:val="4"/>
              </w:rPr>
              <w:t>±0.5 s/d</w:t>
            </w:r>
          </w:p>
        </w:tc>
      </w:tr>
      <w:tr>
        <w:tblPrEx>
          <w:tblW w:w="9403" w:type="dxa"/>
          <w:tblInd w:w="456" w:type="dxa"/>
          <w:tblLayout w:type="fixed"/>
        </w:tblPrEx>
        <w:trPr>
          <w:trHeight w:val="1370"/>
        </w:trPr>
        <w:tc>
          <w:tcPr>
            <w:tcW w:w="710" w:type="dxa"/>
            <w:vAlign w:val="top"/>
          </w:tcPr>
          <w:p>
            <w:pPr>
              <w:spacing w:line="271" w:lineRule="auto"/>
              <w:rPr>
                <w:rFonts w:ascii="Arial"/>
                <w:sz w:val="21"/>
              </w:rPr>
            </w:pPr>
          </w:p>
          <w:p>
            <w:pPr>
              <w:spacing w:line="271" w:lineRule="auto"/>
              <w:rPr>
                <w:rFonts w:ascii="Arial"/>
                <w:sz w:val="21"/>
              </w:rPr>
            </w:pPr>
          </w:p>
          <w:p>
            <w:pPr>
              <w:pStyle w:val="TableText"/>
              <w:spacing w:before="65" w:line="189" w:lineRule="auto"/>
              <w:ind w:left="114"/>
            </w:pPr>
            <w:r>
              <w:t>4</w:t>
            </w:r>
          </w:p>
        </w:tc>
        <w:tc>
          <w:tcPr>
            <w:tcW w:w="2614" w:type="dxa"/>
            <w:vAlign w:val="top"/>
          </w:tcPr>
          <w:p>
            <w:pPr>
              <w:spacing w:line="254" w:lineRule="auto"/>
              <w:rPr>
                <w:rFonts w:ascii="Arial"/>
                <w:sz w:val="21"/>
              </w:rPr>
            </w:pPr>
          </w:p>
          <w:p>
            <w:pPr>
              <w:spacing w:line="255" w:lineRule="auto"/>
              <w:rPr>
                <w:rFonts w:ascii="Arial"/>
                <w:sz w:val="21"/>
              </w:rPr>
            </w:pPr>
          </w:p>
          <w:p>
            <w:pPr>
              <w:pStyle w:val="TableText"/>
              <w:spacing w:before="65" w:line="228" w:lineRule="auto"/>
              <w:ind w:left="111"/>
            </w:pPr>
            <w:r>
              <w:rPr>
                <w:spacing w:val="9"/>
              </w:rPr>
              <w:t>加油机检定专用手持终端</w:t>
            </w:r>
          </w:p>
        </w:tc>
        <w:tc>
          <w:tcPr>
            <w:tcW w:w="6079" w:type="dxa"/>
            <w:vAlign w:val="top"/>
          </w:tcPr>
          <w:p>
            <w:pPr>
              <w:pStyle w:val="TableText"/>
              <w:spacing w:before="33" w:line="229" w:lineRule="auto"/>
              <w:ind w:left="113"/>
            </w:pPr>
            <w:r>
              <w:rPr>
                <w:spacing w:val="8"/>
              </w:rPr>
              <w:t>包括但不限于以下功能：</w:t>
            </w:r>
          </w:p>
          <w:p>
            <w:pPr>
              <w:pStyle w:val="TableText"/>
              <w:spacing w:before="26" w:line="239" w:lineRule="auto"/>
              <w:ind w:left="117" w:right="107" w:firstLine="11"/>
            </w:pPr>
            <w:r>
              <w:rPr>
                <w:spacing w:val="6"/>
              </w:rPr>
              <w:t>1.查询总累计（含年累计、月累计、</w:t>
            </w:r>
            <w:r>
              <w:rPr>
                <w:spacing w:val="-38"/>
              </w:rPr>
              <w:t xml:space="preserve"> </w:t>
            </w:r>
            <w:r>
              <w:rPr>
                <w:spacing w:val="6"/>
              </w:rPr>
              <w:t>日累计）、当次加油量、序</w:t>
            </w:r>
            <w:r>
              <w:t xml:space="preserve"> </w:t>
            </w:r>
            <w:r>
              <w:rPr>
                <w:spacing w:val="8"/>
              </w:rPr>
              <w:t>列号、时间戳、异常加油量；</w:t>
            </w:r>
          </w:p>
          <w:p>
            <w:pPr>
              <w:pStyle w:val="TableText"/>
              <w:spacing w:before="26" w:line="271" w:lineRule="exact"/>
              <w:ind w:left="115"/>
            </w:pPr>
            <w:r>
              <w:rPr>
                <w:spacing w:val="8"/>
                <w:position w:val="4"/>
              </w:rPr>
              <w:t>2.启动自锁功能、查询自锁功能启用状态；</w:t>
            </w:r>
          </w:p>
        </w:tc>
      </w:tr>
    </w:tbl>
    <w:p>
      <w:pPr>
        <w:sectPr>
          <w:headerReference w:type="default" r:id="rId51"/>
          <w:footerReference w:type="default" r:id="rId52"/>
          <w:pgSz w:w="11906" w:h="16839"/>
          <w:pgMar w:top="1157" w:right="730" w:bottom="1156" w:left="794" w:header="912" w:footer="994" w:gutter="0"/>
          <w:pgNumType w:start="11"/>
          <w:cols w:space="708"/>
        </w:sectPr>
      </w:pPr>
    </w:p>
    <w:tbl>
      <w:tblPr>
        <w:tblStyle w:val="TableNormal4"/>
        <w:tblW w:w="9403" w:type="dxa"/>
        <w:tblInd w:w="4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0"/>
        <w:gridCol w:w="2614"/>
        <w:gridCol w:w="6079"/>
      </w:tblGrid>
      <w:tr>
        <w:tblPrEx>
          <w:tblW w:w="9403" w:type="dxa"/>
          <w:tblInd w:w="45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0"/>
        </w:trPr>
        <w:tc>
          <w:tcPr>
            <w:tcW w:w="710" w:type="dxa"/>
            <w:vAlign w:val="top"/>
          </w:tcPr>
          <w:p/>
        </w:tc>
        <w:tc>
          <w:tcPr>
            <w:tcW w:w="2614" w:type="dxa"/>
            <w:vAlign w:val="top"/>
          </w:tcPr>
          <w:p/>
        </w:tc>
        <w:tc>
          <w:tcPr>
            <w:tcW w:w="6079" w:type="dxa"/>
            <w:vAlign w:val="top"/>
          </w:tcPr>
          <w:p>
            <w:pPr>
              <w:pStyle w:val="TableText"/>
              <w:spacing w:line="218" w:lineRule="auto"/>
              <w:ind w:left="117"/>
            </w:pPr>
            <w:r>
              <w:rPr>
                <w:spacing w:val="6"/>
              </w:rPr>
              <w:t>3.校验功能查询</w:t>
            </w:r>
          </w:p>
        </w:tc>
      </w:tr>
    </w:tbl>
    <w:p>
      <w:pPr>
        <w:pStyle w:val="BodyText"/>
        <w:spacing w:before="36" w:line="219" w:lineRule="auto"/>
        <w:ind w:left="489"/>
      </w:pPr>
      <w:r>
        <w:t>量器、温度计、秒表应有有效的计量溯源证书。对</w:t>
      </w:r>
      <w:r>
        <w:rPr>
          <w:spacing w:val="-1"/>
        </w:rPr>
        <w:t>于自动检定装置和检定方法见附录</w:t>
      </w:r>
      <w:r>
        <w:rPr>
          <w:spacing w:val="-53"/>
        </w:rPr>
        <w:t xml:space="preserve"> </w:t>
      </w:r>
      <w:r>
        <w:rPr>
          <w:spacing w:val="-1"/>
        </w:rPr>
        <w:t>C 。</w:t>
      </w:r>
    </w:p>
    <w:p>
      <w:pPr>
        <w:pStyle w:val="BodyText"/>
        <w:spacing w:before="73" w:line="220" w:lineRule="auto"/>
        <w:ind w:left="15"/>
      </w:pPr>
      <w:r>
        <w:rPr>
          <w:spacing w:val="-3"/>
        </w:rPr>
        <w:t>7.1.2</w:t>
      </w:r>
      <w:r>
        <w:rPr>
          <w:spacing w:val="-44"/>
        </w:rPr>
        <w:t xml:space="preserve"> </w:t>
      </w:r>
      <w:r>
        <w:rPr>
          <w:spacing w:val="-3"/>
        </w:rPr>
        <w:t>检定环境条件</w:t>
      </w:r>
    </w:p>
    <w:p>
      <w:pPr>
        <w:pStyle w:val="BodyText"/>
        <w:spacing w:before="192" w:line="247" w:lineRule="auto"/>
        <w:ind w:left="9" w:right="63" w:firstLine="480"/>
      </w:pPr>
      <w:r>
        <w:rPr>
          <w:spacing w:val="1"/>
        </w:rPr>
        <w:t>检定环境温度：-25 ℃~+55 ℃</w:t>
      </w:r>
      <w:r>
        <w:rPr>
          <w:spacing w:val="-76"/>
        </w:rPr>
        <w:t xml:space="preserve"> </w:t>
      </w:r>
      <w:r>
        <w:rPr>
          <w:spacing w:val="1"/>
        </w:rPr>
        <w:t>,</w:t>
      </w:r>
      <w:r>
        <w:rPr>
          <w:spacing w:val="63"/>
        </w:rPr>
        <w:t xml:space="preserve"> </w:t>
      </w:r>
      <w:r>
        <w:rPr>
          <w:spacing w:val="1"/>
        </w:rPr>
        <w:t>检定过程中环境温度的变化应不超过</w:t>
      </w:r>
      <w:r>
        <w:rPr>
          <w:spacing w:val="-43"/>
        </w:rPr>
        <w:t xml:space="preserve"> </w:t>
      </w:r>
      <w:r>
        <w:rPr>
          <w:spacing w:val="1"/>
        </w:rPr>
        <w:t>5</w:t>
      </w:r>
      <w:r>
        <w:rPr>
          <w:spacing w:val="27"/>
        </w:rPr>
        <w:t xml:space="preserve"> </w:t>
      </w:r>
      <w:r>
        <w:rPr>
          <w:spacing w:val="1"/>
        </w:rPr>
        <w:t>℃</w:t>
      </w:r>
      <w:r>
        <w:rPr>
          <w:spacing w:val="-92"/>
        </w:rPr>
        <w:t xml:space="preserve"> </w:t>
      </w:r>
      <w:r>
        <w:rPr>
          <w:spacing w:val="1"/>
        </w:rPr>
        <w:t>,</w:t>
      </w:r>
      <w:r>
        <w:rPr>
          <w:spacing w:val="64"/>
        </w:rPr>
        <w:t xml:space="preserve"> </w:t>
      </w:r>
      <w:r>
        <w:rPr>
          <w:spacing w:val="1"/>
        </w:rPr>
        <w:t>环境温度应在</w:t>
      </w:r>
      <w:r>
        <w:t xml:space="preserve"> </w:t>
      </w:r>
      <w:r>
        <w:rPr>
          <w:spacing w:val="-1"/>
        </w:rPr>
        <w:t>加油机和量器附近测量；</w:t>
      </w:r>
    </w:p>
    <w:p>
      <w:pPr>
        <w:spacing w:line="247" w:lineRule="auto"/>
        <w:sectPr>
          <w:headerReference w:type="default" r:id="rId53"/>
          <w:footerReference w:type="default" r:id="rId54"/>
          <w:type w:val="nextPage"/>
          <w:pgSz w:w="11906" w:h="16839"/>
          <w:pgMar w:top="1157" w:right="730" w:bottom="1156" w:left="794" w:header="912" w:footer="994" w:gutter="0"/>
          <w:pgNumType w:start="12"/>
          <w:cols w:space="708"/>
          <w:titlePg w:val="0"/>
        </w:sectPr>
      </w:pPr>
    </w:p>
    <w:p>
      <w:pPr>
        <w:pStyle w:val="BodyText"/>
        <w:spacing w:line="360" w:lineRule="exact"/>
        <w:ind w:left="556"/>
      </w:pPr>
      <w:r>
        <w:rPr>
          <w:spacing w:val="-1"/>
          <w:position w:val="2"/>
        </w:rPr>
        <w:t>相对湿度：≤</w:t>
      </w:r>
      <w:r>
        <w:rPr>
          <w:rFonts w:ascii="Times New Roman" w:eastAsia="Times New Roman" w:hAnsi="Times New Roman" w:cs="Times New Roman"/>
          <w:spacing w:val="-1"/>
          <w:position w:val="2"/>
        </w:rPr>
        <w:t>95%</w:t>
      </w:r>
      <w:r>
        <w:rPr>
          <w:spacing w:val="-1"/>
          <w:position w:val="2"/>
        </w:rPr>
        <w:t>。</w:t>
      </w:r>
    </w:p>
    <w:p>
      <w:pPr>
        <w:pStyle w:val="BodyText"/>
        <w:spacing w:before="154" w:line="219" w:lineRule="auto"/>
        <w:ind w:left="128"/>
      </w:pPr>
      <w:r>
        <w:rPr>
          <w:spacing w:val="-2"/>
        </w:rPr>
        <w:t>7.1.3 检定介质温度</w:t>
      </w:r>
    </w:p>
    <w:p>
      <w:pPr>
        <w:pStyle w:val="BodyText"/>
        <w:spacing w:before="192" w:line="217" w:lineRule="auto"/>
        <w:jc w:val="right"/>
      </w:pPr>
      <w:r>
        <w:rPr>
          <w:spacing w:val="-8"/>
        </w:rPr>
        <w:t>检定时，介质温度与环境温度的最大温差不得超过</w:t>
      </w:r>
      <w:r>
        <w:rPr>
          <w:spacing w:val="-33"/>
        </w:rPr>
        <w:t xml:space="preserve"> </w:t>
      </w:r>
      <w:r>
        <w:rPr>
          <w:spacing w:val="-8"/>
        </w:rPr>
        <w:t>10</w:t>
      </w:r>
      <w:r>
        <w:rPr>
          <w:spacing w:val="28"/>
        </w:rPr>
        <w:t xml:space="preserve"> </w:t>
      </w:r>
      <w:r>
        <w:rPr>
          <w:spacing w:val="-8"/>
        </w:rPr>
        <w:t>℃</w:t>
      </w:r>
      <w:r>
        <w:rPr>
          <w:spacing w:val="-94"/>
        </w:rPr>
        <w:t xml:space="preserve"> </w:t>
      </w:r>
      <w:r>
        <w:rPr>
          <w:spacing w:val="-8"/>
        </w:rPr>
        <w:t>,</w:t>
      </w:r>
      <w:r>
        <w:rPr>
          <w:spacing w:val="65"/>
        </w:rPr>
        <w:t xml:space="preserve"> </w:t>
      </w:r>
      <w:r>
        <w:rPr>
          <w:spacing w:val="-8"/>
        </w:rPr>
        <w:t>如超过</w:t>
      </w:r>
      <w:r>
        <w:rPr>
          <w:spacing w:val="-33"/>
        </w:rPr>
        <w:t xml:space="preserve"> </w:t>
      </w:r>
      <w:r>
        <w:rPr>
          <w:spacing w:val="-8"/>
        </w:rPr>
        <w:t>10</w:t>
      </w:r>
      <w:r>
        <w:rPr>
          <w:spacing w:val="27"/>
        </w:rPr>
        <w:t xml:space="preserve"> </w:t>
      </w:r>
      <w:r>
        <w:rPr>
          <w:spacing w:val="-8"/>
        </w:rPr>
        <w:t>℃</w:t>
      </w:r>
      <w:r>
        <w:rPr>
          <w:spacing w:val="-94"/>
        </w:rPr>
        <w:t xml:space="preserve"> </w:t>
      </w:r>
      <w:r>
        <w:rPr>
          <w:spacing w:val="-8"/>
        </w:rPr>
        <w:t>,</w:t>
      </w:r>
      <w:r>
        <w:rPr>
          <w:spacing w:val="61"/>
        </w:rPr>
        <w:t xml:space="preserve"> </w:t>
      </w:r>
      <w:r>
        <w:rPr>
          <w:spacing w:val="-8"/>
        </w:rPr>
        <w:t>量器应有保温</w:t>
      </w:r>
      <w:r>
        <w:rPr>
          <w:spacing w:val="-9"/>
        </w:rPr>
        <w:t>措施。</w:t>
      </w:r>
    </w:p>
    <w:p>
      <w:pPr>
        <w:pStyle w:val="BodyText"/>
        <w:spacing w:before="195" w:line="220" w:lineRule="auto"/>
        <w:ind w:left="128"/>
        <w:outlineLvl w:val="2"/>
      </w:pPr>
      <w:r>
        <w:rPr>
          <w:spacing w:val="-2"/>
        </w:rPr>
        <w:t>7.2 检定项目</w:t>
      </w:r>
    </w:p>
    <w:p>
      <w:pPr>
        <w:pStyle w:val="BodyText"/>
        <w:spacing w:before="191" w:line="220" w:lineRule="auto"/>
        <w:ind w:left="606"/>
      </w:pPr>
      <w:r>
        <w:rPr>
          <w:spacing w:val="-1"/>
        </w:rPr>
        <w:t>首次检定、后续检定及使用中检查的项目见表</w:t>
      </w:r>
      <w:r>
        <w:rPr>
          <w:spacing w:val="-52"/>
        </w:rPr>
        <w:t xml:space="preserve"> </w:t>
      </w:r>
      <w:r>
        <w:rPr>
          <w:spacing w:val="-1"/>
        </w:rPr>
        <w:t>4。</w:t>
      </w:r>
    </w:p>
    <w:p>
      <w:pPr>
        <w:spacing w:before="187" w:line="230" w:lineRule="auto"/>
        <w:ind w:left="4521"/>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9"/>
          <w:sz w:val="20"/>
          <w:szCs w:val="20"/>
        </w:rPr>
        <w:t xml:space="preserve"> </w:t>
      </w:r>
      <w:r>
        <w:rPr>
          <w:rFonts w:ascii="SimHei" w:eastAsia="SimHei" w:hAnsi="SimHei" w:cs="SimHei"/>
          <w:spacing w:val="6"/>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检定项目表</w:t>
      </w:r>
    </w:p>
    <w:p>
      <w:pPr>
        <w:spacing w:before="8"/>
      </w:pPr>
    </w:p>
    <w:tbl>
      <w:tblPr>
        <w:tblStyle w:val="TableNormal5"/>
        <w:tblW w:w="10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08"/>
        <w:gridCol w:w="2604"/>
        <w:gridCol w:w="2604"/>
        <w:gridCol w:w="2608"/>
      </w:tblGrid>
      <w:tr>
        <w:tblPrEx>
          <w:tblW w:w="1042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8"/>
        </w:trPr>
        <w:tc>
          <w:tcPr>
            <w:tcW w:w="2608" w:type="dxa"/>
            <w:vAlign w:val="top"/>
          </w:tcPr>
          <w:p>
            <w:pPr>
              <w:pStyle w:val="TableText"/>
              <w:spacing w:before="36" w:line="228" w:lineRule="auto"/>
              <w:ind w:left="889"/>
            </w:pPr>
            <w:r>
              <w:rPr>
                <w:spacing w:val="7"/>
              </w:rPr>
              <w:t>检定项目</w:t>
            </w:r>
          </w:p>
        </w:tc>
        <w:tc>
          <w:tcPr>
            <w:tcW w:w="2604" w:type="dxa"/>
            <w:vAlign w:val="top"/>
          </w:tcPr>
          <w:p>
            <w:pPr>
              <w:pStyle w:val="TableText"/>
              <w:spacing w:before="36" w:line="228" w:lineRule="auto"/>
              <w:ind w:left="890"/>
            </w:pPr>
            <w:r>
              <w:rPr>
                <w:spacing w:val="6"/>
              </w:rPr>
              <w:t>首次检定</w:t>
            </w:r>
          </w:p>
        </w:tc>
        <w:tc>
          <w:tcPr>
            <w:tcW w:w="2604" w:type="dxa"/>
            <w:vAlign w:val="top"/>
          </w:tcPr>
          <w:p>
            <w:pPr>
              <w:pStyle w:val="TableText"/>
              <w:spacing w:before="36" w:line="228" w:lineRule="auto"/>
              <w:ind w:left="889"/>
            </w:pPr>
            <w:r>
              <w:rPr>
                <w:spacing w:val="6"/>
              </w:rPr>
              <w:t>后续检定</w:t>
            </w:r>
          </w:p>
        </w:tc>
        <w:tc>
          <w:tcPr>
            <w:tcW w:w="2608" w:type="dxa"/>
            <w:vAlign w:val="top"/>
          </w:tcPr>
          <w:p>
            <w:pPr>
              <w:pStyle w:val="TableText"/>
              <w:spacing w:before="36" w:line="228" w:lineRule="auto"/>
              <w:ind w:left="785"/>
            </w:pPr>
            <w:r>
              <w:rPr>
                <w:spacing w:val="7"/>
              </w:rPr>
              <w:t>使用中检查</w:t>
            </w:r>
          </w:p>
        </w:tc>
      </w:tr>
      <w:tr>
        <w:tblPrEx>
          <w:tblW w:w="10424" w:type="dxa"/>
          <w:tblInd w:w="2" w:type="dxa"/>
          <w:tblLayout w:type="fixed"/>
        </w:tblPrEx>
        <w:trPr>
          <w:trHeight w:val="413"/>
        </w:trPr>
        <w:tc>
          <w:tcPr>
            <w:tcW w:w="2608" w:type="dxa"/>
            <w:vAlign w:val="top"/>
          </w:tcPr>
          <w:p>
            <w:pPr>
              <w:pStyle w:val="TableText"/>
              <w:spacing w:before="31" w:line="228" w:lineRule="auto"/>
              <w:ind w:left="893"/>
            </w:pPr>
            <w:r>
              <w:rPr>
                <w:spacing w:val="6"/>
              </w:rPr>
              <w:t>外观检查</w:t>
            </w:r>
          </w:p>
        </w:tc>
        <w:tc>
          <w:tcPr>
            <w:tcW w:w="2604" w:type="dxa"/>
            <w:vAlign w:val="top"/>
          </w:tcPr>
          <w:p>
            <w:pPr>
              <w:pStyle w:val="TableText"/>
              <w:spacing w:before="31" w:line="292" w:lineRule="exact"/>
              <w:ind w:left="1219"/>
            </w:pPr>
            <w:r>
              <w:rPr>
                <w:spacing w:val="24"/>
                <w:w w:val="131"/>
                <w:position w:val="1"/>
              </w:rPr>
              <w:t>+</w:t>
            </w:r>
          </w:p>
        </w:tc>
        <w:tc>
          <w:tcPr>
            <w:tcW w:w="2604" w:type="dxa"/>
            <w:vAlign w:val="top"/>
          </w:tcPr>
          <w:p>
            <w:pPr>
              <w:pStyle w:val="TableText"/>
              <w:spacing w:before="31" w:line="292" w:lineRule="exact"/>
              <w:ind w:left="1219"/>
            </w:pPr>
            <w:r>
              <w:rPr>
                <w:spacing w:val="24"/>
                <w:w w:val="131"/>
                <w:position w:val="1"/>
              </w:rPr>
              <w:t>+</w:t>
            </w:r>
          </w:p>
        </w:tc>
        <w:tc>
          <w:tcPr>
            <w:tcW w:w="2608" w:type="dxa"/>
            <w:vAlign w:val="top"/>
          </w:tcPr>
          <w:p>
            <w:pPr>
              <w:pStyle w:val="TableText"/>
              <w:spacing w:before="31" w:line="292" w:lineRule="exact"/>
              <w:ind w:left="1222"/>
            </w:pPr>
            <w:r>
              <w:rPr>
                <w:spacing w:val="24"/>
                <w:w w:val="131"/>
                <w:position w:val="1"/>
              </w:rPr>
              <w:t>+</w:t>
            </w:r>
          </w:p>
        </w:tc>
      </w:tr>
      <w:tr>
        <w:tblPrEx>
          <w:tblW w:w="10424" w:type="dxa"/>
          <w:tblInd w:w="2" w:type="dxa"/>
          <w:tblLayout w:type="fixed"/>
        </w:tblPrEx>
        <w:trPr>
          <w:trHeight w:val="413"/>
        </w:trPr>
        <w:tc>
          <w:tcPr>
            <w:tcW w:w="2608" w:type="dxa"/>
            <w:vAlign w:val="top"/>
          </w:tcPr>
          <w:p>
            <w:pPr>
              <w:pStyle w:val="TableText"/>
              <w:spacing w:before="33" w:line="228" w:lineRule="auto"/>
              <w:ind w:left="157"/>
            </w:pPr>
            <w:r>
              <w:rPr>
                <w:spacing w:val="7"/>
              </w:rPr>
              <w:t>软件标识检查（如适用）</w:t>
            </w:r>
          </w:p>
        </w:tc>
        <w:tc>
          <w:tcPr>
            <w:tcW w:w="2604" w:type="dxa"/>
            <w:vAlign w:val="top"/>
          </w:tcPr>
          <w:p>
            <w:pPr>
              <w:pStyle w:val="TableText"/>
              <w:spacing w:before="33" w:line="292" w:lineRule="exact"/>
              <w:ind w:left="1219"/>
            </w:pPr>
            <w:r>
              <w:rPr>
                <w:spacing w:val="24"/>
                <w:w w:val="131"/>
                <w:position w:val="1"/>
              </w:rPr>
              <w:t>+</w:t>
            </w:r>
          </w:p>
        </w:tc>
        <w:tc>
          <w:tcPr>
            <w:tcW w:w="2604" w:type="dxa"/>
            <w:vAlign w:val="top"/>
          </w:tcPr>
          <w:p>
            <w:pPr>
              <w:pStyle w:val="TableText"/>
              <w:spacing w:before="33" w:line="292" w:lineRule="exact"/>
              <w:ind w:left="1219"/>
            </w:pPr>
            <w:r>
              <w:rPr>
                <w:spacing w:val="24"/>
                <w:w w:val="131"/>
                <w:position w:val="1"/>
              </w:rPr>
              <w:t>+</w:t>
            </w:r>
          </w:p>
        </w:tc>
        <w:tc>
          <w:tcPr>
            <w:tcW w:w="2608" w:type="dxa"/>
            <w:vAlign w:val="top"/>
          </w:tcPr>
          <w:p>
            <w:pPr>
              <w:pStyle w:val="TableText"/>
              <w:spacing w:before="33" w:line="292" w:lineRule="exact"/>
              <w:ind w:left="1222"/>
            </w:pPr>
            <w:r>
              <w:rPr>
                <w:spacing w:val="24"/>
                <w:w w:val="131"/>
                <w:position w:val="1"/>
              </w:rPr>
              <w:t>+</w:t>
            </w:r>
          </w:p>
        </w:tc>
      </w:tr>
      <w:tr>
        <w:tblPrEx>
          <w:tblW w:w="10424" w:type="dxa"/>
          <w:tblInd w:w="2" w:type="dxa"/>
          <w:tblLayout w:type="fixed"/>
        </w:tblPrEx>
        <w:trPr>
          <w:trHeight w:val="413"/>
        </w:trPr>
        <w:tc>
          <w:tcPr>
            <w:tcW w:w="2608" w:type="dxa"/>
            <w:vAlign w:val="top"/>
          </w:tcPr>
          <w:p>
            <w:pPr>
              <w:pStyle w:val="TableText"/>
              <w:spacing w:before="33" w:line="228" w:lineRule="auto"/>
              <w:ind w:left="714"/>
            </w:pPr>
            <w:r>
              <w:rPr>
                <w:spacing w:val="2"/>
              </w:rPr>
              <w:t>自锁功能检查</w:t>
            </w:r>
          </w:p>
        </w:tc>
        <w:tc>
          <w:tcPr>
            <w:tcW w:w="2604" w:type="dxa"/>
            <w:vAlign w:val="top"/>
          </w:tcPr>
          <w:p>
            <w:pPr>
              <w:pStyle w:val="TableText"/>
              <w:spacing w:before="32" w:line="293" w:lineRule="exact"/>
              <w:ind w:left="1219"/>
            </w:pPr>
            <w:r>
              <w:rPr>
                <w:spacing w:val="24"/>
                <w:w w:val="131"/>
                <w:position w:val="1"/>
              </w:rPr>
              <w:t>+</w:t>
            </w:r>
          </w:p>
        </w:tc>
        <w:tc>
          <w:tcPr>
            <w:tcW w:w="2604" w:type="dxa"/>
            <w:vAlign w:val="top"/>
          </w:tcPr>
          <w:p>
            <w:pPr>
              <w:pStyle w:val="TableText"/>
              <w:spacing w:before="32" w:line="293" w:lineRule="exact"/>
              <w:ind w:left="1219"/>
            </w:pPr>
            <w:r>
              <w:rPr>
                <w:spacing w:val="24"/>
                <w:w w:val="131"/>
                <w:position w:val="1"/>
              </w:rPr>
              <w:t>+</w:t>
            </w:r>
          </w:p>
        </w:tc>
        <w:tc>
          <w:tcPr>
            <w:tcW w:w="2608" w:type="dxa"/>
            <w:vAlign w:val="top"/>
          </w:tcPr>
          <w:p>
            <w:pPr>
              <w:pStyle w:val="TableText"/>
              <w:spacing w:before="32" w:line="293" w:lineRule="exact"/>
              <w:ind w:left="1222"/>
            </w:pPr>
            <w:r>
              <w:rPr>
                <w:spacing w:val="24"/>
                <w:w w:val="131"/>
                <w:position w:val="1"/>
              </w:rPr>
              <w:t>+</w:t>
            </w:r>
          </w:p>
        </w:tc>
      </w:tr>
      <w:tr>
        <w:tblPrEx>
          <w:tblW w:w="10424" w:type="dxa"/>
          <w:tblInd w:w="2" w:type="dxa"/>
          <w:tblLayout w:type="fixed"/>
        </w:tblPrEx>
        <w:trPr>
          <w:trHeight w:val="413"/>
        </w:trPr>
        <w:tc>
          <w:tcPr>
            <w:tcW w:w="2608" w:type="dxa"/>
            <w:vAlign w:val="top"/>
          </w:tcPr>
          <w:p>
            <w:pPr>
              <w:pStyle w:val="TableText"/>
              <w:spacing w:before="32" w:line="228" w:lineRule="auto"/>
              <w:ind w:left="155"/>
            </w:pPr>
            <w:r>
              <w:rPr>
                <w:spacing w:val="8"/>
              </w:rPr>
              <w:t>校验功能检查（如适用）</w:t>
            </w:r>
          </w:p>
        </w:tc>
        <w:tc>
          <w:tcPr>
            <w:tcW w:w="2604" w:type="dxa"/>
            <w:vAlign w:val="top"/>
          </w:tcPr>
          <w:p>
            <w:pPr>
              <w:pStyle w:val="TableText"/>
              <w:spacing w:before="32" w:line="293" w:lineRule="exact"/>
              <w:ind w:left="1219"/>
            </w:pPr>
            <w:r>
              <w:rPr>
                <w:spacing w:val="24"/>
                <w:w w:val="131"/>
                <w:position w:val="1"/>
              </w:rPr>
              <w:t>+</w:t>
            </w:r>
          </w:p>
        </w:tc>
        <w:tc>
          <w:tcPr>
            <w:tcW w:w="2604" w:type="dxa"/>
            <w:vAlign w:val="top"/>
          </w:tcPr>
          <w:p>
            <w:pPr>
              <w:pStyle w:val="TableText"/>
              <w:spacing w:before="32" w:line="293" w:lineRule="exact"/>
              <w:ind w:left="1219"/>
            </w:pPr>
            <w:r>
              <w:rPr>
                <w:spacing w:val="24"/>
                <w:w w:val="131"/>
                <w:position w:val="1"/>
              </w:rPr>
              <w:t>+</w:t>
            </w:r>
          </w:p>
        </w:tc>
        <w:tc>
          <w:tcPr>
            <w:tcW w:w="2608" w:type="dxa"/>
            <w:vAlign w:val="top"/>
          </w:tcPr>
          <w:p>
            <w:pPr>
              <w:pStyle w:val="TableText"/>
              <w:spacing w:before="32" w:line="293" w:lineRule="exact"/>
              <w:ind w:left="1222"/>
            </w:pPr>
            <w:r>
              <w:rPr>
                <w:spacing w:val="24"/>
                <w:w w:val="131"/>
                <w:position w:val="1"/>
              </w:rPr>
              <w:t>+</w:t>
            </w:r>
          </w:p>
        </w:tc>
      </w:tr>
      <w:tr>
        <w:tblPrEx>
          <w:tblW w:w="10424" w:type="dxa"/>
          <w:tblInd w:w="2" w:type="dxa"/>
          <w:tblLayout w:type="fixed"/>
        </w:tblPrEx>
        <w:trPr>
          <w:trHeight w:val="412"/>
        </w:trPr>
        <w:tc>
          <w:tcPr>
            <w:tcW w:w="2608" w:type="dxa"/>
            <w:vAlign w:val="top"/>
          </w:tcPr>
          <w:p>
            <w:pPr>
              <w:pStyle w:val="TableText"/>
              <w:spacing w:before="34" w:line="228" w:lineRule="auto"/>
              <w:ind w:left="889"/>
            </w:pPr>
            <w:r>
              <w:rPr>
                <w:spacing w:val="7"/>
              </w:rPr>
              <w:t>示值误差</w:t>
            </w:r>
          </w:p>
        </w:tc>
        <w:tc>
          <w:tcPr>
            <w:tcW w:w="2604" w:type="dxa"/>
            <w:vAlign w:val="top"/>
          </w:tcPr>
          <w:p>
            <w:pPr>
              <w:pStyle w:val="TableText"/>
              <w:spacing w:before="34" w:line="293" w:lineRule="exact"/>
              <w:ind w:left="1219"/>
            </w:pPr>
            <w:r>
              <w:rPr>
                <w:spacing w:val="24"/>
                <w:w w:val="131"/>
                <w:position w:val="1"/>
              </w:rPr>
              <w:t>+</w:t>
            </w:r>
          </w:p>
        </w:tc>
        <w:tc>
          <w:tcPr>
            <w:tcW w:w="2604" w:type="dxa"/>
            <w:vAlign w:val="top"/>
          </w:tcPr>
          <w:p>
            <w:pPr>
              <w:pStyle w:val="TableText"/>
              <w:spacing w:before="34" w:line="293" w:lineRule="exact"/>
              <w:ind w:left="1219"/>
            </w:pPr>
            <w:r>
              <w:rPr>
                <w:spacing w:val="24"/>
                <w:w w:val="131"/>
                <w:position w:val="1"/>
              </w:rPr>
              <w:t>+</w:t>
            </w:r>
          </w:p>
        </w:tc>
        <w:tc>
          <w:tcPr>
            <w:tcW w:w="2608" w:type="dxa"/>
            <w:vAlign w:val="top"/>
          </w:tcPr>
          <w:p>
            <w:pPr>
              <w:pStyle w:val="TableText"/>
              <w:spacing w:before="34" w:line="293" w:lineRule="exact"/>
              <w:ind w:left="1222"/>
            </w:pPr>
            <w:r>
              <w:rPr>
                <w:spacing w:val="24"/>
                <w:w w:val="131"/>
                <w:position w:val="1"/>
              </w:rPr>
              <w:t>+</w:t>
            </w:r>
          </w:p>
        </w:tc>
      </w:tr>
      <w:tr>
        <w:tblPrEx>
          <w:tblW w:w="10424" w:type="dxa"/>
          <w:tblInd w:w="2" w:type="dxa"/>
          <w:tblLayout w:type="fixed"/>
        </w:tblPrEx>
        <w:trPr>
          <w:trHeight w:val="413"/>
        </w:trPr>
        <w:tc>
          <w:tcPr>
            <w:tcW w:w="2608" w:type="dxa"/>
            <w:vAlign w:val="top"/>
          </w:tcPr>
          <w:p>
            <w:pPr>
              <w:pStyle w:val="TableText"/>
              <w:spacing w:before="35" w:line="229" w:lineRule="auto"/>
              <w:ind w:left="995"/>
            </w:pPr>
            <w:r>
              <w:rPr>
                <w:spacing w:val="6"/>
              </w:rPr>
              <w:t>重复性</w:t>
            </w:r>
          </w:p>
        </w:tc>
        <w:tc>
          <w:tcPr>
            <w:tcW w:w="2604" w:type="dxa"/>
            <w:vAlign w:val="top"/>
          </w:tcPr>
          <w:p>
            <w:pPr>
              <w:pStyle w:val="TableText"/>
              <w:spacing w:before="34" w:line="293" w:lineRule="exact"/>
              <w:ind w:left="1219"/>
            </w:pPr>
            <w:r>
              <w:rPr>
                <w:spacing w:val="24"/>
                <w:w w:val="131"/>
                <w:position w:val="1"/>
              </w:rPr>
              <w:t>+</w:t>
            </w:r>
          </w:p>
        </w:tc>
        <w:tc>
          <w:tcPr>
            <w:tcW w:w="2604" w:type="dxa"/>
            <w:vAlign w:val="top"/>
          </w:tcPr>
          <w:p>
            <w:pPr>
              <w:pStyle w:val="TableText"/>
              <w:spacing w:before="35" w:line="233" w:lineRule="auto"/>
              <w:ind w:left="1116"/>
            </w:pPr>
            <w:r>
              <w:rPr>
                <w:spacing w:val="13"/>
                <w:w w:val="118"/>
              </w:rPr>
              <w:t>+/-</w:t>
            </w:r>
          </w:p>
        </w:tc>
        <w:tc>
          <w:tcPr>
            <w:tcW w:w="2608" w:type="dxa"/>
            <w:vAlign w:val="top"/>
          </w:tcPr>
          <w:p>
            <w:pPr>
              <w:pStyle w:val="TableText"/>
              <w:spacing w:before="35" w:line="233" w:lineRule="auto"/>
              <w:ind w:left="1116"/>
            </w:pPr>
            <w:r>
              <w:rPr>
                <w:spacing w:val="13"/>
                <w:w w:val="119"/>
              </w:rPr>
              <w:t>+/-</w:t>
            </w:r>
          </w:p>
        </w:tc>
      </w:tr>
      <w:tr>
        <w:tblPrEx>
          <w:tblW w:w="10424" w:type="dxa"/>
          <w:tblInd w:w="2" w:type="dxa"/>
          <w:tblLayout w:type="fixed"/>
        </w:tblPrEx>
        <w:trPr>
          <w:trHeight w:val="417"/>
        </w:trPr>
        <w:tc>
          <w:tcPr>
            <w:tcW w:w="2608" w:type="dxa"/>
            <w:vAlign w:val="top"/>
          </w:tcPr>
          <w:p>
            <w:pPr>
              <w:pStyle w:val="TableText"/>
              <w:spacing w:before="34" w:line="228" w:lineRule="auto"/>
              <w:ind w:left="680"/>
            </w:pPr>
            <w:r>
              <w:rPr>
                <w:spacing w:val="8"/>
              </w:rPr>
              <w:t>付费金额误差</w:t>
            </w:r>
          </w:p>
        </w:tc>
        <w:tc>
          <w:tcPr>
            <w:tcW w:w="2604" w:type="dxa"/>
            <w:vAlign w:val="top"/>
          </w:tcPr>
          <w:p>
            <w:pPr>
              <w:pStyle w:val="TableText"/>
              <w:spacing w:before="34" w:line="293" w:lineRule="exact"/>
              <w:ind w:left="1219"/>
            </w:pPr>
            <w:r>
              <w:rPr>
                <w:spacing w:val="24"/>
                <w:w w:val="131"/>
                <w:position w:val="1"/>
              </w:rPr>
              <w:t>+</w:t>
            </w:r>
          </w:p>
        </w:tc>
        <w:tc>
          <w:tcPr>
            <w:tcW w:w="2604" w:type="dxa"/>
            <w:vAlign w:val="top"/>
          </w:tcPr>
          <w:p>
            <w:pPr>
              <w:tabs>
                <w:tab w:val="left" w:pos="1351"/>
              </w:tabs>
              <w:spacing w:line="181" w:lineRule="exact"/>
              <w:ind w:left="1253"/>
              <w:rPr>
                <w:rFonts w:ascii="Arial"/>
                <w:sz w:val="21"/>
              </w:rPr>
            </w:pPr>
            <w:r>
              <w:rPr>
                <w:rFonts w:ascii="Arial" w:eastAsia="Arial" w:hAnsi="Arial" w:cs="Arial"/>
                <w:position w:val="-2"/>
                <w:sz w:val="21"/>
                <w:szCs w:val="21"/>
                <w:u w:val="single" w:color="auto"/>
              </w:rPr>
              <w:tab/>
            </w:r>
          </w:p>
        </w:tc>
        <w:tc>
          <w:tcPr>
            <w:tcW w:w="2608" w:type="dxa"/>
            <w:vAlign w:val="top"/>
          </w:tcPr>
          <w:p>
            <w:pPr>
              <w:tabs>
                <w:tab w:val="left" w:pos="1353"/>
              </w:tabs>
              <w:spacing w:line="181" w:lineRule="exact"/>
              <w:ind w:left="1255"/>
              <w:rPr>
                <w:rFonts w:ascii="Arial"/>
                <w:sz w:val="21"/>
              </w:rPr>
            </w:pPr>
            <w:r>
              <w:rPr>
                <w:rFonts w:ascii="Arial" w:eastAsia="Arial" w:hAnsi="Arial" w:cs="Arial"/>
                <w:position w:val="-2"/>
                <w:sz w:val="21"/>
                <w:szCs w:val="21"/>
                <w:u w:val="single" w:color="auto"/>
              </w:rPr>
              <w:tab/>
            </w:r>
          </w:p>
        </w:tc>
      </w:tr>
    </w:tbl>
    <w:p>
      <w:pPr>
        <w:pStyle w:val="BodyText"/>
        <w:spacing w:before="151" w:line="229" w:lineRule="auto"/>
        <w:jc w:val="right"/>
        <w:rPr>
          <w:rFonts w:ascii="FangSong" w:eastAsia="FangSong" w:hAnsi="FangSong" w:cs="FangSong"/>
          <w:sz w:val="20"/>
          <w:szCs w:val="20"/>
        </w:rPr>
      </w:pPr>
      <w:r>
        <w:rPr>
          <w:rFonts w:ascii="FangSong" w:eastAsia="FangSong" w:hAnsi="FangSong" w:cs="FangSong"/>
          <w:spacing w:val="5"/>
          <w:sz w:val="20"/>
          <w:szCs w:val="20"/>
        </w:rPr>
        <w:t>注：</w:t>
      </w:r>
      <w:r>
        <w:rPr>
          <w:rFonts w:ascii="FangSong" w:eastAsia="FangSong" w:hAnsi="FangSong" w:cs="FangSong"/>
          <w:spacing w:val="5"/>
          <w:sz w:val="20"/>
          <w:szCs w:val="20"/>
        </w:rPr>
        <w:t xml:space="preserve"> </w:t>
      </w:r>
      <w:r>
        <w:rPr>
          <w:rFonts w:ascii="FangSong" w:eastAsia="FangSong" w:hAnsi="FangSong" w:cs="FangSong"/>
          <w:spacing w:val="5"/>
          <w:sz w:val="20"/>
          <w:szCs w:val="20"/>
        </w:rPr>
        <w:t>1.“+</w:t>
      </w:r>
      <w:r>
        <w:rPr>
          <w:rFonts w:ascii="FangSong" w:eastAsia="FangSong" w:hAnsi="FangSong" w:cs="FangSong"/>
          <w:spacing w:val="-71"/>
          <w:sz w:val="20"/>
          <w:szCs w:val="20"/>
        </w:rPr>
        <w:t xml:space="preserve"> </w:t>
      </w:r>
      <w:r>
        <w:rPr>
          <w:rFonts w:ascii="FangSong" w:eastAsia="FangSong" w:hAnsi="FangSong" w:cs="FangSong"/>
          <w:spacing w:val="5"/>
          <w:sz w:val="20"/>
          <w:szCs w:val="20"/>
        </w:rPr>
        <w:t>”为应检项目，“-</w:t>
      </w:r>
      <w:r>
        <w:rPr>
          <w:rFonts w:ascii="FangSong" w:eastAsia="FangSong" w:hAnsi="FangSong" w:cs="FangSong"/>
          <w:spacing w:val="-71"/>
          <w:sz w:val="20"/>
          <w:szCs w:val="20"/>
        </w:rPr>
        <w:t xml:space="preserve"> </w:t>
      </w:r>
      <w:r>
        <w:rPr>
          <w:rFonts w:ascii="FangSong" w:eastAsia="FangSong" w:hAnsi="FangSong" w:cs="FangSong"/>
          <w:spacing w:val="5"/>
          <w:sz w:val="20"/>
          <w:szCs w:val="20"/>
        </w:rPr>
        <w:t>”为不检项目，“</w:t>
      </w:r>
      <w:r>
        <w:rPr>
          <w:rFonts w:ascii="FangSong" w:eastAsia="FangSong" w:hAnsi="FangSong" w:cs="FangSong"/>
          <w:spacing w:val="-74"/>
          <w:sz w:val="20"/>
          <w:szCs w:val="20"/>
        </w:rPr>
        <w:t xml:space="preserve"> </w:t>
      </w:r>
      <w:r>
        <w:rPr>
          <w:spacing w:val="5"/>
          <w:sz w:val="20"/>
          <w:szCs w:val="20"/>
        </w:rPr>
        <w:t>+/-</w:t>
      </w:r>
      <w:r>
        <w:rPr>
          <w:spacing w:val="-73"/>
          <w:sz w:val="20"/>
          <w:szCs w:val="20"/>
        </w:rPr>
        <w:t xml:space="preserve"> </w:t>
      </w:r>
      <w:r>
        <w:rPr>
          <w:rFonts w:ascii="FangSong" w:eastAsia="FangSong" w:hAnsi="FangSong" w:cs="FangSong"/>
          <w:spacing w:val="5"/>
          <w:sz w:val="20"/>
          <w:szCs w:val="20"/>
        </w:rPr>
        <w:t>”若后续检定只检定一次，则可</w:t>
      </w:r>
      <w:r>
        <w:rPr>
          <w:rFonts w:ascii="FangSong" w:eastAsia="FangSong" w:hAnsi="FangSong" w:cs="FangSong"/>
          <w:spacing w:val="4"/>
          <w:sz w:val="20"/>
          <w:szCs w:val="20"/>
        </w:rPr>
        <w:t>不进行加油机重复性的检定。</w:t>
      </w:r>
    </w:p>
    <w:p>
      <w:pPr>
        <w:spacing w:before="144" w:line="393" w:lineRule="exact"/>
        <w:ind w:left="648"/>
        <w:rPr>
          <w:rFonts w:ascii="FangSong" w:eastAsia="FangSong" w:hAnsi="FangSong" w:cs="FangSong"/>
          <w:sz w:val="20"/>
          <w:szCs w:val="20"/>
        </w:rPr>
      </w:pPr>
      <w:r>
        <w:rPr>
          <w:rFonts w:ascii="FangSong" w:eastAsia="FangSong" w:hAnsi="FangSong" w:cs="FangSong"/>
          <w:spacing w:val="10"/>
          <w:position w:val="14"/>
          <w:sz w:val="20"/>
          <w:szCs w:val="20"/>
        </w:rPr>
        <w:t>2.</w:t>
      </w:r>
      <w:r>
        <w:rPr>
          <w:rFonts w:ascii="FangSong" w:eastAsia="FangSong" w:hAnsi="FangSong" w:cs="FangSong"/>
          <w:spacing w:val="10"/>
          <w:position w:val="14"/>
          <w:sz w:val="20"/>
          <w:szCs w:val="20"/>
        </w:rPr>
        <w:t xml:space="preserve"> </w:t>
      </w:r>
      <w:r>
        <w:rPr>
          <w:rFonts w:ascii="FangSong" w:eastAsia="FangSong" w:hAnsi="FangSong" w:cs="FangSong"/>
          <w:spacing w:val="10"/>
          <w:position w:val="14"/>
          <w:sz w:val="20"/>
          <w:szCs w:val="20"/>
        </w:rPr>
        <w:t>使用中检查是为了检查加油机的检定标</w:t>
      </w:r>
      <w:r>
        <w:rPr>
          <w:rFonts w:ascii="FangSong" w:eastAsia="FangSong" w:hAnsi="FangSong" w:cs="FangSong"/>
          <w:spacing w:val="9"/>
          <w:position w:val="14"/>
          <w:sz w:val="20"/>
          <w:szCs w:val="20"/>
        </w:rPr>
        <w:t>记或检定证书是否有效，封印是否损坏，使用中的计量器具状态</w:t>
      </w:r>
    </w:p>
    <w:p>
      <w:pPr>
        <w:spacing w:before="1" w:line="230" w:lineRule="auto"/>
        <w:ind w:left="967"/>
        <w:rPr>
          <w:rFonts w:ascii="FangSong" w:eastAsia="FangSong" w:hAnsi="FangSong" w:cs="FangSong"/>
          <w:sz w:val="20"/>
          <w:szCs w:val="20"/>
        </w:rPr>
      </w:pPr>
      <w:r>
        <w:rPr>
          <w:rFonts w:ascii="FangSong" w:eastAsia="FangSong" w:hAnsi="FangSong" w:cs="FangSong"/>
          <w:spacing w:val="9"/>
          <w:sz w:val="20"/>
          <w:szCs w:val="20"/>
        </w:rPr>
        <w:t>是否受到明显变动，及其误差是否超过加油机的最大允许误差。</w:t>
      </w:r>
    </w:p>
    <w:p>
      <w:pPr>
        <w:pStyle w:val="BodyText"/>
        <w:spacing w:before="146" w:line="220" w:lineRule="auto"/>
        <w:ind w:left="128"/>
        <w:outlineLvl w:val="2"/>
      </w:pPr>
      <w:r>
        <w:rPr>
          <w:spacing w:val="-2"/>
        </w:rPr>
        <w:t>7.3 检定方法</w:t>
      </w:r>
    </w:p>
    <w:p>
      <w:pPr>
        <w:pStyle w:val="BodyText"/>
        <w:spacing w:before="192" w:line="220" w:lineRule="auto"/>
        <w:ind w:left="128"/>
      </w:pPr>
      <w:r>
        <w:rPr>
          <w:spacing w:val="-4"/>
        </w:rPr>
        <w:t>7.3.1</w:t>
      </w:r>
      <w:r>
        <w:rPr>
          <w:spacing w:val="19"/>
        </w:rPr>
        <w:t xml:space="preserve"> </w:t>
      </w:r>
      <w:r>
        <w:rPr>
          <w:spacing w:val="-4"/>
        </w:rPr>
        <w:t>外观检查</w:t>
      </w:r>
    </w:p>
    <w:p>
      <w:pPr>
        <w:pStyle w:val="BodyText"/>
        <w:spacing w:before="74" w:line="219" w:lineRule="auto"/>
        <w:ind w:left="128"/>
      </w:pPr>
      <w:hyperlink r:id="rId55" w:history="1">
        <w:r>
          <w:t>7.3.1.1</w:t>
        </w:r>
      </w:hyperlink>
      <w:r>
        <w:t xml:space="preserve"> 检查加油机的铭牌标记、外观结构和随机文件，其</w:t>
      </w:r>
      <w:r>
        <w:rPr>
          <w:spacing w:val="-1"/>
        </w:rPr>
        <w:t>结果应符合第6.1、6.2的要求。</w:t>
      </w:r>
    </w:p>
    <w:p>
      <w:pPr>
        <w:pStyle w:val="BodyText"/>
        <w:spacing w:before="191" w:line="248" w:lineRule="auto"/>
        <w:ind w:left="121" w:right="81" w:firstLine="484"/>
      </w:pPr>
      <w:r>
        <w:rPr>
          <w:spacing w:val="3"/>
        </w:rPr>
        <w:t>首次检定时检查加油机出厂时的封印,后续检定</w:t>
      </w:r>
      <w:r>
        <w:rPr>
          <w:spacing w:val="2"/>
        </w:rPr>
        <w:t>和使用中检查时检查加油机上一周期检定时的</w:t>
      </w:r>
      <w:r>
        <w:t xml:space="preserve"> </w:t>
      </w:r>
      <w:r>
        <w:rPr>
          <w:spacing w:val="-3"/>
        </w:rPr>
        <w:t>封印。</w:t>
      </w:r>
    </w:p>
    <w:p>
      <w:pPr>
        <w:pStyle w:val="BodyText"/>
        <w:spacing w:before="192" w:line="219" w:lineRule="auto"/>
        <w:ind w:left="602"/>
      </w:pPr>
      <w:r>
        <w:t>检查加油机的内部结构，</w:t>
      </w:r>
      <w:r>
        <w:rPr>
          <w:color w:val="FF0000"/>
          <w:shd w:val="clear" w:color="auto" w:fill="FFFF00"/>
        </w:rPr>
        <w:t>若存在明显新增线路和部件</w:t>
      </w:r>
      <w:r>
        <w:rPr>
          <w:spacing w:val="-1"/>
        </w:rPr>
        <w:t>，需确认后再进行检定。</w:t>
      </w:r>
    </w:p>
    <w:p>
      <w:pPr>
        <w:pStyle w:val="BodyText"/>
        <w:spacing w:before="193" w:line="220" w:lineRule="auto"/>
        <w:ind w:left="128"/>
      </w:pPr>
      <w:r>
        <w:rPr>
          <w:spacing w:val="-2"/>
        </w:rPr>
        <w:t>7.3.2</w:t>
      </w:r>
      <w:r>
        <w:rPr>
          <w:spacing w:val="-45"/>
        </w:rPr>
        <w:t xml:space="preserve"> </w:t>
      </w:r>
      <w:r>
        <w:rPr>
          <w:spacing w:val="-2"/>
        </w:rPr>
        <w:t>软件标识检查（如适用）</w:t>
      </w:r>
    </w:p>
    <w:p>
      <w:pPr>
        <w:pStyle w:val="BodyText"/>
        <w:spacing w:before="191" w:line="247" w:lineRule="auto"/>
        <w:ind w:left="124" w:right="83" w:firstLine="477"/>
      </w:pPr>
      <w:r>
        <w:rPr>
          <w:spacing w:val="1"/>
        </w:rPr>
        <w:t>对于</w:t>
      </w:r>
      <w:r>
        <w:rPr>
          <w:spacing w:val="-52"/>
        </w:rPr>
        <w:t xml:space="preserve"> </w:t>
      </w:r>
      <w:r>
        <w:t>JJF</w:t>
      </w:r>
      <w:r>
        <w:rPr>
          <w:spacing w:val="1"/>
        </w:rPr>
        <w:t xml:space="preserve"> 1521-2023《燃油加油机型式评价大纲》实施后出厂的加油机，查看</w:t>
      </w:r>
      <w:r>
        <w:t xml:space="preserve">并核对其软件标 </w:t>
      </w:r>
      <w:r>
        <w:rPr>
          <w:spacing w:val="-1"/>
        </w:rPr>
        <w:t>识是否与型式评价报告的软件标识一致。</w:t>
      </w:r>
    </w:p>
    <w:p>
      <w:pPr>
        <w:pStyle w:val="BodyText"/>
        <w:spacing w:before="193" w:line="220" w:lineRule="auto"/>
        <w:ind w:left="128"/>
      </w:pPr>
      <w:r>
        <w:rPr>
          <w:spacing w:val="-7"/>
        </w:rPr>
        <w:t>7.3.3 自锁功能检查</w:t>
      </w:r>
    </w:p>
    <w:p>
      <w:pPr>
        <w:pStyle w:val="BodyText"/>
        <w:spacing w:before="195" w:line="219" w:lineRule="auto"/>
        <w:ind w:left="602"/>
        <w:sectPr>
          <w:headerReference w:type="default" r:id="rId56"/>
          <w:footerReference w:type="default" r:id="rId57"/>
          <w:pgSz w:w="11906" w:h="16839"/>
          <w:pgMar w:top="1157" w:right="712" w:bottom="1153" w:left="681" w:header="912" w:footer="994" w:gutter="0"/>
          <w:pgNumType w:start="13"/>
          <w:cols w:space="708"/>
        </w:sectPr>
      </w:pPr>
      <w:r>
        <w:rPr>
          <w:spacing w:val="-3"/>
        </w:rPr>
        <w:t>检查加油机自锁功能，应符合</w:t>
      </w:r>
      <w:r>
        <w:rPr>
          <w:spacing w:val="-40"/>
        </w:rPr>
        <w:t xml:space="preserve"> </w:t>
      </w:r>
      <w:r>
        <w:rPr>
          <w:spacing w:val="-3"/>
        </w:rPr>
        <w:t>6.4</w:t>
      </w:r>
      <w:r>
        <w:rPr>
          <w:spacing w:val="-31"/>
        </w:rPr>
        <w:t xml:space="preserve"> </w:t>
      </w:r>
      <w:r>
        <w:rPr>
          <w:spacing w:val="-3"/>
        </w:rPr>
        <w:t>的要求。</w:t>
      </w:r>
    </w:p>
    <w:p>
      <w:pPr>
        <w:pStyle w:val="BodyText"/>
        <w:spacing w:before="190" w:line="257" w:lineRule="auto"/>
        <w:ind w:left="121" w:right="81" w:firstLine="6"/>
      </w:pPr>
      <w:hyperlink r:id="rId58" w:history="1">
        <w:r>
          <w:rPr>
            <w:spacing w:val="1"/>
          </w:rPr>
          <w:t>7.3.3.1</w:t>
        </w:r>
      </w:hyperlink>
      <w:r>
        <w:rPr>
          <w:spacing w:val="-50"/>
        </w:rPr>
        <w:t xml:space="preserve"> </w:t>
      </w:r>
      <w:r>
        <w:rPr>
          <w:spacing w:val="1"/>
        </w:rPr>
        <w:t>通过专用接口，使用加油机检定专用手持终端查询监控</w:t>
      </w:r>
      <w:r>
        <w:t xml:space="preserve">微处理器、编码器和指示装置（规 </w:t>
      </w:r>
      <w:r>
        <w:t>程实施后出厂的加油机适用）的序列号、加油机自锁功能的运行情况和</w:t>
      </w:r>
      <w:r>
        <w:rPr>
          <w:spacing w:val="-1"/>
        </w:rPr>
        <w:t>异常加油量。首次查询到的</w:t>
      </w:r>
      <w:r>
        <w:t xml:space="preserve"> </w:t>
      </w:r>
      <w:r>
        <w:t>监控微处理、编码器、指示装置序列号的注册使用单位应与被检</w:t>
      </w:r>
      <w:r>
        <w:rPr>
          <w:spacing w:val="-1"/>
        </w:rPr>
        <w:t>加油机生产单位一致。</w:t>
      </w:r>
    </w:p>
    <w:p>
      <w:pPr>
        <w:pStyle w:val="BodyText"/>
        <w:spacing w:before="193" w:line="247" w:lineRule="auto"/>
        <w:ind w:left="126" w:right="81" w:firstLine="1"/>
      </w:pPr>
      <w:hyperlink r:id="rId59" w:history="1">
        <w:r>
          <w:t>7.3.2.2</w:t>
        </w:r>
      </w:hyperlink>
      <w:r>
        <w:t xml:space="preserve"> </w:t>
      </w:r>
      <w:r>
        <w:rPr>
          <w:shd w:val="clear" w:color="auto" w:fill="FFFF00"/>
        </w:rPr>
        <w:t>检查加油机的当次加油量是否和加油机检定专</w:t>
      </w:r>
      <w:r>
        <w:rPr>
          <w:spacing w:val="-1"/>
          <w:shd w:val="clear" w:color="auto" w:fill="FFFF00"/>
        </w:rPr>
        <w:t>用手持终端的查询结果一致，总累计加油量</w:t>
      </w:r>
      <w:r>
        <w:t xml:space="preserve"> </w:t>
      </w:r>
      <w:r>
        <w:rPr>
          <w:spacing w:val="-1"/>
          <w:shd w:val="clear" w:color="auto" w:fill="FFFF00"/>
        </w:rPr>
        <w:t>是否和加油机检定专用手持终端的查询结果在合理范围内</w:t>
      </w:r>
      <w:r>
        <w:rPr>
          <w:spacing w:val="-1"/>
        </w:rPr>
        <w:t>。</w:t>
      </w:r>
    </w:p>
    <w:p>
      <w:pPr>
        <w:spacing w:line="247" w:lineRule="auto"/>
        <w:sectPr>
          <w:headerReference w:type="default" r:id="rId60"/>
          <w:footerReference w:type="default" r:id="rId61"/>
          <w:type w:val="nextPage"/>
          <w:pgSz w:w="11906" w:h="16839"/>
          <w:pgMar w:top="1157" w:right="712" w:bottom="1153" w:left="681" w:header="912" w:footer="994" w:gutter="0"/>
          <w:pgNumType w:start="14"/>
          <w:cols w:space="708"/>
          <w:titlePg w:val="0"/>
        </w:sectPr>
      </w:pPr>
    </w:p>
    <w:p>
      <w:pPr>
        <w:pStyle w:val="BodyText"/>
        <w:spacing w:before="36" w:line="220" w:lineRule="auto"/>
        <w:ind w:left="15"/>
      </w:pPr>
      <w:r>
        <w:rPr>
          <w:spacing w:val="-2"/>
        </w:rPr>
        <w:t>7.3.4</w:t>
      </w:r>
      <w:r>
        <w:rPr>
          <w:spacing w:val="-45"/>
        </w:rPr>
        <w:t xml:space="preserve"> </w:t>
      </w:r>
      <w:r>
        <w:rPr>
          <w:spacing w:val="-2"/>
        </w:rPr>
        <w:t>校验功能检查（如适用）</w:t>
      </w:r>
    </w:p>
    <w:p>
      <w:pPr>
        <w:pStyle w:val="BodyText"/>
        <w:spacing w:before="191" w:line="248" w:lineRule="auto"/>
        <w:ind w:left="13" w:right="66" w:firstLine="475"/>
      </w:pPr>
      <w:r>
        <w:rPr>
          <w:spacing w:val="1"/>
        </w:rPr>
        <w:t>对于</w:t>
      </w:r>
      <w:r>
        <w:rPr>
          <w:spacing w:val="-52"/>
        </w:rPr>
        <w:t xml:space="preserve"> </w:t>
      </w:r>
      <w:r>
        <w:t>JJF</w:t>
      </w:r>
      <w:r>
        <w:rPr>
          <w:spacing w:val="1"/>
        </w:rPr>
        <w:t xml:space="preserve"> 1521-2023《燃油加油机型式评价大纲》实施后出厂的加油机，查验</w:t>
      </w:r>
      <w:r>
        <w:t xml:space="preserve">其校验功能结果 </w:t>
      </w:r>
      <w:r>
        <w:rPr>
          <w:spacing w:val="-3"/>
        </w:rPr>
        <w:t>是否正常。</w:t>
      </w:r>
    </w:p>
    <w:p>
      <w:pPr>
        <w:pStyle w:val="BodyText"/>
        <w:spacing w:before="190" w:line="220" w:lineRule="auto"/>
        <w:ind w:left="15"/>
      </w:pPr>
      <w:r>
        <w:rPr>
          <w:spacing w:val="-3"/>
        </w:rPr>
        <w:t>7.3.5</w:t>
      </w:r>
      <w:r>
        <w:rPr>
          <w:spacing w:val="-44"/>
        </w:rPr>
        <w:t xml:space="preserve"> </w:t>
      </w:r>
      <w:r>
        <w:rPr>
          <w:spacing w:val="-3"/>
        </w:rPr>
        <w:t>示值误差检定</w:t>
      </w:r>
    </w:p>
    <w:p>
      <w:pPr>
        <w:pStyle w:val="BodyText"/>
        <w:spacing w:before="71" w:line="219" w:lineRule="auto"/>
        <w:ind w:left="489"/>
      </w:pPr>
      <w:r>
        <w:rPr>
          <w:spacing w:val="-2"/>
        </w:rPr>
        <w:t>检定加油机的流量点选择见表</w:t>
      </w:r>
      <w:r>
        <w:rPr>
          <w:spacing w:val="-41"/>
        </w:rPr>
        <w:t xml:space="preserve"> </w:t>
      </w:r>
      <w:r>
        <w:rPr>
          <w:spacing w:val="-2"/>
        </w:rPr>
        <w:t>5。</w:t>
      </w:r>
    </w:p>
    <w:p>
      <w:pPr>
        <w:spacing w:before="68" w:line="229" w:lineRule="auto"/>
        <w:ind w:left="4355"/>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44"/>
          <w:sz w:val="20"/>
          <w:szCs w:val="20"/>
        </w:rPr>
        <w:t xml:space="preserve"> </w:t>
      </w: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流量点选择</w:t>
      </w:r>
    </w:p>
    <w:p>
      <w:pPr>
        <w:spacing w:line="131" w:lineRule="exact"/>
      </w:pPr>
    </w:p>
    <w:tbl>
      <w:tblPr>
        <w:tblStyle w:val="TableNormal6"/>
        <w:tblW w:w="8606" w:type="dxa"/>
        <w:tblInd w:w="8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05"/>
        <w:gridCol w:w="3846"/>
        <w:gridCol w:w="2055"/>
      </w:tblGrid>
      <w:tr>
        <w:tblPrEx>
          <w:tblW w:w="8606" w:type="dxa"/>
          <w:tblInd w:w="8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8"/>
        </w:trPr>
        <w:tc>
          <w:tcPr>
            <w:tcW w:w="2705" w:type="dxa"/>
            <w:vAlign w:val="top"/>
          </w:tcPr>
          <w:p>
            <w:pPr>
              <w:pStyle w:val="TableText"/>
              <w:spacing w:before="79" w:line="220" w:lineRule="auto"/>
              <w:ind w:left="1119"/>
              <w:rPr>
                <w:sz w:val="24"/>
                <w:szCs w:val="24"/>
              </w:rPr>
            </w:pPr>
            <w:r>
              <w:rPr>
                <w:spacing w:val="-5"/>
                <w:sz w:val="24"/>
                <w:szCs w:val="24"/>
              </w:rPr>
              <w:t>类型</w:t>
            </w:r>
          </w:p>
        </w:tc>
        <w:tc>
          <w:tcPr>
            <w:tcW w:w="3846" w:type="dxa"/>
            <w:vAlign w:val="top"/>
          </w:tcPr>
          <w:p>
            <w:pPr>
              <w:pStyle w:val="TableText"/>
              <w:spacing w:before="79" w:line="224" w:lineRule="auto"/>
              <w:ind w:left="1571"/>
              <w:rPr>
                <w:sz w:val="24"/>
                <w:szCs w:val="24"/>
              </w:rPr>
            </w:pPr>
            <w:r>
              <w:rPr>
                <w:spacing w:val="-4"/>
                <w:sz w:val="24"/>
                <w:szCs w:val="24"/>
              </w:rPr>
              <w:t>流量点</w:t>
            </w:r>
          </w:p>
        </w:tc>
        <w:tc>
          <w:tcPr>
            <w:tcW w:w="2055" w:type="dxa"/>
            <w:vAlign w:val="top"/>
          </w:tcPr>
          <w:p>
            <w:pPr>
              <w:pStyle w:val="TableText"/>
              <w:spacing w:before="79" w:line="220" w:lineRule="auto"/>
              <w:ind w:left="555"/>
              <w:rPr>
                <w:sz w:val="24"/>
                <w:szCs w:val="24"/>
              </w:rPr>
            </w:pPr>
            <w:r>
              <w:rPr>
                <w:spacing w:val="-3"/>
                <w:sz w:val="24"/>
                <w:szCs w:val="24"/>
              </w:rPr>
              <w:t>测量次数</w:t>
            </w:r>
          </w:p>
        </w:tc>
      </w:tr>
      <w:tr>
        <w:tblPrEx>
          <w:tblW w:w="8606" w:type="dxa"/>
          <w:tblInd w:w="855" w:type="dxa"/>
          <w:tblLayout w:type="fixed"/>
        </w:tblPrEx>
        <w:trPr>
          <w:trHeight w:val="650"/>
        </w:trPr>
        <w:tc>
          <w:tcPr>
            <w:tcW w:w="2705" w:type="dxa"/>
            <w:vMerge w:val="restart"/>
            <w:tcBorders>
              <w:bottom w:val="nil"/>
            </w:tcBorders>
            <w:vAlign w:val="top"/>
          </w:tcPr>
          <w:p>
            <w:pPr>
              <w:spacing w:line="450" w:lineRule="auto"/>
              <w:rPr>
                <w:rFonts w:ascii="Arial"/>
                <w:sz w:val="21"/>
              </w:rPr>
            </w:pPr>
          </w:p>
          <w:p>
            <w:pPr>
              <w:pStyle w:val="TableText"/>
              <w:spacing w:before="78" w:line="220" w:lineRule="auto"/>
              <w:ind w:left="883"/>
              <w:rPr>
                <w:sz w:val="24"/>
                <w:szCs w:val="24"/>
              </w:rPr>
            </w:pPr>
            <w:r>
              <w:rPr>
                <w:spacing w:val="-4"/>
                <w:sz w:val="24"/>
                <w:szCs w:val="24"/>
              </w:rPr>
              <w:t>首次检定</w:t>
            </w:r>
          </w:p>
        </w:tc>
        <w:tc>
          <w:tcPr>
            <w:tcW w:w="3846" w:type="dxa"/>
            <w:vAlign w:val="top"/>
          </w:tcPr>
          <w:p>
            <w:pPr>
              <w:spacing w:before="246" w:line="188" w:lineRule="auto"/>
              <w:ind w:left="1169"/>
              <w:rPr>
                <w:rFonts w:ascii="Times New Roman" w:eastAsia="Times New Roman" w:hAnsi="Times New Roman" w:cs="Times New Roman"/>
                <w:sz w:val="15"/>
                <w:szCs w:val="15"/>
              </w:rPr>
            </w:pPr>
            <w:r>
              <w:rPr>
                <w:rFonts w:ascii="Times New Roman" w:eastAsia="Times New Roman" w:hAnsi="Times New Roman" w:cs="Times New Roman"/>
                <w:spacing w:val="-4"/>
                <w:sz w:val="24"/>
                <w:szCs w:val="24"/>
              </w:rPr>
              <w:t>0.8</w:t>
            </w:r>
            <w:r>
              <w:rPr>
                <w:rFonts w:ascii="Times New Roman" w:eastAsia="Times New Roman" w:hAnsi="Times New Roman" w:cs="Times New Roman"/>
                <w:spacing w:val="19"/>
                <w:w w:val="101"/>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spacing w:val="-4"/>
                <w:position w:val="-1"/>
                <w:sz w:val="15"/>
                <w:szCs w:val="15"/>
              </w:rPr>
              <w:t xml:space="preserve">L </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i/>
                <w:iCs/>
                <w:spacing w:val="-17"/>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spacing w:val="-4"/>
                <w:position w:val="-1"/>
                <w:sz w:val="15"/>
                <w:szCs w:val="15"/>
              </w:rPr>
              <w:t>L</w:t>
            </w:r>
          </w:p>
        </w:tc>
        <w:tc>
          <w:tcPr>
            <w:tcW w:w="2055" w:type="dxa"/>
            <w:vAlign w:val="top"/>
          </w:tcPr>
          <w:p>
            <w:pPr>
              <w:pStyle w:val="TableText"/>
              <w:spacing w:before="242" w:line="183" w:lineRule="auto"/>
              <w:ind w:left="978"/>
              <w:rPr>
                <w:sz w:val="24"/>
                <w:szCs w:val="24"/>
              </w:rPr>
            </w:pPr>
            <w:r>
              <w:rPr>
                <w:sz w:val="24"/>
                <w:szCs w:val="24"/>
              </w:rPr>
              <w:t>3</w:t>
            </w:r>
          </w:p>
        </w:tc>
      </w:tr>
      <w:tr>
        <w:tblPrEx>
          <w:tblW w:w="8606" w:type="dxa"/>
          <w:tblInd w:w="855" w:type="dxa"/>
          <w:tblLayout w:type="fixed"/>
        </w:tblPrEx>
        <w:trPr>
          <w:trHeight w:val="650"/>
        </w:trPr>
        <w:tc>
          <w:tcPr>
            <w:tcW w:w="2705" w:type="dxa"/>
            <w:vMerge/>
            <w:tcBorders>
              <w:top w:val="nil"/>
            </w:tcBorders>
            <w:vAlign w:val="top"/>
          </w:tcPr>
          <w:p>
            <w:pPr>
              <w:rPr>
                <w:rFonts w:ascii="Arial"/>
                <w:sz w:val="21"/>
              </w:rPr>
            </w:pPr>
          </w:p>
        </w:tc>
        <w:tc>
          <w:tcPr>
            <w:tcW w:w="3846" w:type="dxa"/>
            <w:vAlign w:val="top"/>
          </w:tcPr>
          <w:p>
            <w:pPr>
              <w:spacing w:before="246" w:line="188" w:lineRule="auto"/>
              <w:ind w:left="989"/>
              <w:rPr>
                <w:rFonts w:ascii="Times New Roman" w:eastAsia="Times New Roman" w:hAnsi="Times New Roman" w:cs="Times New Roman"/>
                <w:sz w:val="15"/>
                <w:szCs w:val="15"/>
              </w:rPr>
            </w:pPr>
            <w:r>
              <w:rPr>
                <w:rFonts w:ascii="Times New Roman" w:eastAsia="Times New Roman" w:hAnsi="Times New Roman" w:cs="Times New Roman"/>
                <w:spacing w:val="-3"/>
                <w:sz w:val="24"/>
                <w:szCs w:val="24"/>
              </w:rPr>
              <w:t xml:space="preserve">0.4 </w:t>
            </w:r>
            <w:r>
              <w:rPr>
                <w:rFonts w:ascii="Times New Roman" w:eastAsia="Times New Roman" w:hAnsi="Times New Roman" w:cs="Times New Roman"/>
                <w:i/>
                <w:iCs/>
                <w:spacing w:val="-3"/>
                <w:sz w:val="24"/>
                <w:szCs w:val="24"/>
              </w:rPr>
              <w:t>Q</w:t>
            </w:r>
            <w:r>
              <w:rPr>
                <w:rFonts w:ascii="Times New Roman" w:eastAsia="Times New Roman" w:hAnsi="Times New Roman" w:cs="Times New Roman"/>
                <w:spacing w:val="-3"/>
                <w:position w:val="-1"/>
                <w:sz w:val="15"/>
                <w:szCs w:val="15"/>
              </w:rPr>
              <w:t>L</w:t>
            </w:r>
            <w:r>
              <w:rPr>
                <w:rFonts w:ascii="Times New Roman" w:eastAsia="Times New Roman" w:hAnsi="Times New Roman" w:cs="Times New Roman"/>
                <w:spacing w:val="-7"/>
                <w:position w:val="-1"/>
                <w:sz w:val="15"/>
                <w:szCs w:val="15"/>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iCs/>
                <w:spacing w:val="-3"/>
                <w:sz w:val="24"/>
                <w:szCs w:val="24"/>
              </w:rPr>
              <w:t>Q</w:t>
            </w:r>
            <w:r>
              <w:rPr>
                <w:rFonts w:ascii="Times New Roman" w:eastAsia="Times New Roman" w:hAnsi="Times New Roman" w:cs="Times New Roman"/>
                <w:i/>
                <w:iCs/>
                <w:spacing w:val="-17"/>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9"/>
                <w:sz w:val="24"/>
                <w:szCs w:val="24"/>
              </w:rPr>
              <w:t xml:space="preserve"> </w:t>
            </w:r>
            <w:r>
              <w:rPr>
                <w:rFonts w:ascii="Times New Roman" w:eastAsia="Times New Roman" w:hAnsi="Times New Roman" w:cs="Times New Roman"/>
                <w:spacing w:val="-3"/>
                <w:sz w:val="24"/>
                <w:szCs w:val="24"/>
              </w:rPr>
              <w:t>0.8</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i/>
                <w:iCs/>
                <w:spacing w:val="-3"/>
                <w:sz w:val="24"/>
                <w:szCs w:val="24"/>
              </w:rPr>
              <w:t>Q</w:t>
            </w:r>
            <w:r>
              <w:rPr>
                <w:rFonts w:ascii="Times New Roman" w:eastAsia="Times New Roman" w:hAnsi="Times New Roman" w:cs="Times New Roman"/>
                <w:spacing w:val="-3"/>
                <w:position w:val="-1"/>
                <w:sz w:val="15"/>
                <w:szCs w:val="15"/>
              </w:rPr>
              <w:t>L</w:t>
            </w:r>
          </w:p>
        </w:tc>
        <w:tc>
          <w:tcPr>
            <w:tcW w:w="2055" w:type="dxa"/>
            <w:vAlign w:val="top"/>
          </w:tcPr>
          <w:p>
            <w:pPr>
              <w:pStyle w:val="TableText"/>
              <w:spacing w:before="242" w:line="183" w:lineRule="auto"/>
              <w:ind w:left="978"/>
              <w:rPr>
                <w:sz w:val="24"/>
                <w:szCs w:val="24"/>
              </w:rPr>
            </w:pPr>
            <w:r>
              <w:rPr>
                <w:sz w:val="24"/>
                <w:szCs w:val="24"/>
              </w:rPr>
              <w:t>3</w:t>
            </w:r>
          </w:p>
        </w:tc>
      </w:tr>
      <w:tr>
        <w:tblPrEx>
          <w:tblW w:w="8606" w:type="dxa"/>
          <w:tblInd w:w="855" w:type="dxa"/>
          <w:tblLayout w:type="fixed"/>
        </w:tblPrEx>
        <w:trPr>
          <w:trHeight w:val="650"/>
        </w:trPr>
        <w:tc>
          <w:tcPr>
            <w:tcW w:w="2705" w:type="dxa"/>
            <w:vAlign w:val="top"/>
          </w:tcPr>
          <w:p>
            <w:pPr>
              <w:pStyle w:val="TableText"/>
              <w:spacing w:before="204" w:line="220" w:lineRule="auto"/>
              <w:ind w:left="221"/>
              <w:rPr>
                <w:sz w:val="24"/>
                <w:szCs w:val="24"/>
              </w:rPr>
            </w:pPr>
            <w:r>
              <w:rPr>
                <w:spacing w:val="-2"/>
                <w:sz w:val="24"/>
                <w:szCs w:val="24"/>
              </w:rPr>
              <w:t>后续检定/使用中检查</w:t>
            </w:r>
          </w:p>
        </w:tc>
        <w:tc>
          <w:tcPr>
            <w:tcW w:w="3846" w:type="dxa"/>
            <w:vAlign w:val="top"/>
          </w:tcPr>
          <w:p>
            <w:pPr>
              <w:spacing w:before="246" w:line="188" w:lineRule="auto"/>
              <w:ind w:left="1169"/>
              <w:rPr>
                <w:rFonts w:ascii="Times New Roman" w:eastAsia="Times New Roman" w:hAnsi="Times New Roman" w:cs="Times New Roman"/>
                <w:sz w:val="15"/>
                <w:szCs w:val="15"/>
              </w:rPr>
            </w:pPr>
            <w:r>
              <w:rPr>
                <w:rFonts w:ascii="Times New Roman" w:eastAsia="Times New Roman" w:hAnsi="Times New Roman" w:cs="Times New Roman"/>
                <w:spacing w:val="-4"/>
                <w:sz w:val="24"/>
                <w:szCs w:val="24"/>
              </w:rPr>
              <w:t>0.4</w:t>
            </w:r>
            <w:r>
              <w:rPr>
                <w:rFonts w:ascii="Times New Roman" w:eastAsia="Times New Roman" w:hAnsi="Times New Roman" w:cs="Times New Roman"/>
                <w:spacing w:val="19"/>
                <w:w w:val="101"/>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spacing w:val="-4"/>
                <w:position w:val="-1"/>
                <w:sz w:val="15"/>
                <w:szCs w:val="15"/>
              </w:rPr>
              <w:t xml:space="preserve">L </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i/>
                <w:iCs/>
                <w:spacing w:val="-17"/>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i/>
                <w:iCs/>
                <w:spacing w:val="-4"/>
                <w:sz w:val="24"/>
                <w:szCs w:val="24"/>
              </w:rPr>
              <w:t>Q</w:t>
            </w:r>
            <w:r>
              <w:rPr>
                <w:rFonts w:ascii="Times New Roman" w:eastAsia="Times New Roman" w:hAnsi="Times New Roman" w:cs="Times New Roman"/>
                <w:spacing w:val="-4"/>
                <w:position w:val="-1"/>
                <w:sz w:val="15"/>
                <w:szCs w:val="15"/>
              </w:rPr>
              <w:t>L</w:t>
            </w:r>
          </w:p>
        </w:tc>
        <w:tc>
          <w:tcPr>
            <w:tcW w:w="2055" w:type="dxa"/>
            <w:vAlign w:val="top"/>
          </w:tcPr>
          <w:p>
            <w:pPr>
              <w:pStyle w:val="TableText"/>
              <w:spacing w:before="241" w:line="184" w:lineRule="auto"/>
              <w:ind w:left="991"/>
              <w:rPr>
                <w:sz w:val="24"/>
                <w:szCs w:val="24"/>
              </w:rPr>
            </w:pPr>
            <w:r>
              <w:rPr>
                <w:sz w:val="24"/>
                <w:szCs w:val="24"/>
              </w:rPr>
              <w:t>1</w:t>
            </w:r>
          </w:p>
        </w:tc>
      </w:tr>
      <w:tr>
        <w:tblPrEx>
          <w:tblW w:w="8606" w:type="dxa"/>
          <w:tblInd w:w="855" w:type="dxa"/>
          <w:tblLayout w:type="fixed"/>
        </w:tblPrEx>
        <w:trPr>
          <w:trHeight w:val="1253"/>
        </w:trPr>
        <w:tc>
          <w:tcPr>
            <w:tcW w:w="8606" w:type="dxa"/>
            <w:gridSpan w:val="3"/>
            <w:vAlign w:val="top"/>
          </w:tcPr>
          <w:p>
            <w:pPr>
              <w:spacing w:before="39" w:line="230" w:lineRule="auto"/>
              <w:ind w:left="609"/>
              <w:rPr>
                <w:rFonts w:ascii="FangSong" w:eastAsia="FangSong" w:hAnsi="FangSong" w:cs="FangSong"/>
                <w:sz w:val="24"/>
                <w:szCs w:val="24"/>
              </w:rPr>
            </w:pPr>
            <w:r>
              <w:rPr>
                <w:rFonts w:ascii="FangSong" w:eastAsia="FangSong" w:hAnsi="FangSong" w:cs="FangSong"/>
                <w:spacing w:val="-12"/>
                <w:sz w:val="24"/>
                <w:szCs w:val="24"/>
              </w:rPr>
              <w:t>注：</w:t>
            </w:r>
          </w:p>
          <w:p>
            <w:pPr>
              <w:spacing w:before="12" w:line="210" w:lineRule="auto"/>
              <w:ind w:left="613"/>
              <w:rPr>
                <w:rFonts w:ascii="FangSong" w:eastAsia="FangSong" w:hAnsi="FangSong" w:cs="FangSong"/>
                <w:sz w:val="24"/>
                <w:szCs w:val="24"/>
              </w:rPr>
            </w:pPr>
            <w:r>
              <w:rPr>
                <w:rFonts w:ascii="FangSong" w:eastAsia="FangSong" w:hAnsi="FangSong" w:cs="FangSong"/>
                <w:spacing w:val="-19"/>
                <w:sz w:val="24"/>
                <w:szCs w:val="24"/>
              </w:rPr>
              <w:t>1</w:t>
            </w:r>
            <w:r>
              <w:rPr>
                <w:rFonts w:ascii="FangSong" w:eastAsia="FangSong" w:hAnsi="FangSong" w:cs="FangSong"/>
                <w:spacing w:val="14"/>
                <w:sz w:val="24"/>
                <w:szCs w:val="24"/>
              </w:rPr>
              <w:t xml:space="preserve"> </w:t>
            </w:r>
            <w:r>
              <w:rPr>
                <w:rFonts w:ascii="Times New Roman" w:eastAsia="Times New Roman" w:hAnsi="Times New Roman" w:cs="Times New Roman"/>
                <w:i/>
                <w:iCs/>
                <w:spacing w:val="-19"/>
                <w:sz w:val="24"/>
                <w:szCs w:val="24"/>
              </w:rPr>
              <w:t>Q</w:t>
            </w:r>
            <w:r>
              <w:rPr>
                <w:rFonts w:ascii="Times New Roman" w:eastAsia="Times New Roman" w:hAnsi="Times New Roman" w:cs="Times New Roman"/>
                <w:spacing w:val="-1"/>
                <w:position w:val="-1"/>
                <w:sz w:val="15"/>
                <w:szCs w:val="15"/>
              </w:rPr>
              <w:t>L</w:t>
            </w:r>
            <w:r>
              <w:rPr>
                <w:rFonts w:ascii="Times New Roman" w:eastAsia="Times New Roman" w:hAnsi="Times New Roman" w:cs="Times New Roman"/>
                <w:spacing w:val="17"/>
                <w:w w:val="101"/>
                <w:position w:val="-1"/>
                <w:sz w:val="15"/>
                <w:szCs w:val="15"/>
              </w:rPr>
              <w:t xml:space="preserve"> </w:t>
            </w:r>
            <w:r>
              <w:rPr>
                <w:rFonts w:ascii="FangSong" w:eastAsia="FangSong" w:hAnsi="FangSong" w:cs="FangSong"/>
                <w:spacing w:val="-1"/>
                <w:sz w:val="24"/>
                <w:szCs w:val="24"/>
              </w:rPr>
              <w:t>指加油机现场检定时的最大流量。</w:t>
            </w:r>
          </w:p>
          <w:p>
            <w:pPr>
              <w:spacing w:before="36"/>
              <w:ind w:left="598"/>
              <w:rPr>
                <w:rFonts w:ascii="FangSong" w:eastAsia="FangSong" w:hAnsi="FangSong" w:cs="FangSong"/>
                <w:sz w:val="24"/>
                <w:szCs w:val="24"/>
              </w:rPr>
            </w:pPr>
            <w:r>
              <w:rPr>
                <w:rFonts w:ascii="FangSong" w:eastAsia="FangSong" w:hAnsi="FangSong" w:cs="FangSong"/>
                <w:spacing w:val="-2"/>
                <w:sz w:val="24"/>
                <w:szCs w:val="24"/>
              </w:rPr>
              <w:t>2</w:t>
            </w:r>
            <w:r>
              <w:rPr>
                <w:rFonts w:ascii="FangSong" w:eastAsia="FangSong" w:hAnsi="FangSong" w:cs="FangSong"/>
                <w:spacing w:val="-2"/>
                <w:sz w:val="24"/>
                <w:szCs w:val="24"/>
              </w:rPr>
              <w:t xml:space="preserve"> </w:t>
            </w:r>
            <w:r>
              <w:rPr>
                <w:rFonts w:ascii="FangSong" w:eastAsia="FangSong" w:hAnsi="FangSong" w:cs="FangSong"/>
                <w:spacing w:val="-2"/>
                <w:sz w:val="24"/>
                <w:szCs w:val="24"/>
              </w:rPr>
              <w:t>后续检定如示值误差有疑义，则测量次数增加</w:t>
            </w:r>
            <w:r>
              <w:rPr>
                <w:rFonts w:ascii="FangSong" w:eastAsia="FangSong" w:hAnsi="FangSong" w:cs="FangSong"/>
                <w:spacing w:val="-39"/>
                <w:sz w:val="24"/>
                <w:szCs w:val="24"/>
              </w:rPr>
              <w:t xml:space="preserve"> </w:t>
            </w:r>
            <w:r>
              <w:rPr>
                <w:rFonts w:ascii="FangSong" w:eastAsia="FangSong" w:hAnsi="FangSong" w:cs="FangSong"/>
                <w:spacing w:val="-2"/>
                <w:sz w:val="24"/>
                <w:szCs w:val="24"/>
              </w:rPr>
              <w:t>2</w:t>
            </w:r>
            <w:r>
              <w:rPr>
                <w:rFonts w:ascii="FangSong" w:eastAsia="FangSong" w:hAnsi="FangSong" w:cs="FangSong"/>
                <w:spacing w:val="-44"/>
                <w:sz w:val="24"/>
                <w:szCs w:val="24"/>
              </w:rPr>
              <w:t xml:space="preserve"> </w:t>
            </w:r>
            <w:r>
              <w:rPr>
                <w:rFonts w:ascii="FangSong" w:eastAsia="FangSong" w:hAnsi="FangSong" w:cs="FangSong"/>
                <w:spacing w:val="-2"/>
                <w:sz w:val="24"/>
                <w:szCs w:val="24"/>
              </w:rPr>
              <w:t>次。</w:t>
            </w:r>
          </w:p>
          <w:p>
            <w:pPr>
              <w:spacing w:line="207" w:lineRule="auto"/>
              <w:ind w:left="600"/>
              <w:rPr>
                <w:rFonts w:ascii="FangSong" w:eastAsia="FangSong" w:hAnsi="FangSong" w:cs="FangSong"/>
                <w:sz w:val="24"/>
                <w:szCs w:val="24"/>
              </w:rPr>
            </w:pPr>
            <w:r>
              <w:rPr>
                <w:rFonts w:ascii="FangSong" w:eastAsia="FangSong" w:hAnsi="FangSong" w:cs="FangSong"/>
                <w:spacing w:val="-1"/>
                <w:sz w:val="24"/>
                <w:szCs w:val="24"/>
              </w:rPr>
              <w:t>3</w:t>
            </w:r>
            <w:r>
              <w:rPr>
                <w:rFonts w:ascii="FangSong" w:eastAsia="FangSong" w:hAnsi="FangSong" w:cs="FangSong"/>
                <w:spacing w:val="-1"/>
                <w:sz w:val="24"/>
                <w:szCs w:val="24"/>
              </w:rPr>
              <w:t xml:space="preserve"> </w:t>
            </w:r>
            <w:r>
              <w:rPr>
                <w:rFonts w:ascii="FangSong" w:eastAsia="FangSong" w:hAnsi="FangSong" w:cs="FangSong"/>
                <w:spacing w:val="-1"/>
                <w:sz w:val="24"/>
                <w:szCs w:val="24"/>
              </w:rPr>
              <w:t>关键零部件维修后的检定按首次检定处理。</w:t>
            </w:r>
          </w:p>
        </w:tc>
      </w:tr>
    </w:tbl>
    <w:p>
      <w:pPr>
        <w:rPr>
          <w:rFonts w:ascii="Arial"/>
          <w:sz w:val="21"/>
        </w:rPr>
      </w:pPr>
    </w:p>
    <w:p>
      <w:pPr>
        <w:spacing w:line="241" w:lineRule="auto"/>
        <w:rPr>
          <w:rFonts w:ascii="Arial"/>
          <w:sz w:val="21"/>
        </w:rPr>
      </w:pPr>
    </w:p>
    <w:p>
      <w:pPr>
        <w:pStyle w:val="BodyText"/>
        <w:spacing w:before="78" w:line="248" w:lineRule="auto"/>
        <w:ind w:left="11" w:right="63" w:firstLine="3"/>
      </w:pPr>
      <w:hyperlink r:id="rId62" w:history="1">
        <w:r>
          <w:rPr>
            <w:spacing w:val="1"/>
          </w:rPr>
          <w:t>7.3.5.1</w:t>
        </w:r>
      </w:hyperlink>
      <w:r>
        <w:rPr>
          <w:spacing w:val="-52"/>
        </w:rPr>
        <w:t xml:space="preserve"> </w:t>
      </w:r>
      <w:r>
        <w:rPr>
          <w:spacing w:val="1"/>
        </w:rPr>
        <w:t>将量器放置在坚硬的平地上（若量器安放在运载汽车上或其</w:t>
      </w:r>
      <w:r>
        <w:t xml:space="preserve">他支架上，则必须保证检定时 </w:t>
      </w:r>
      <w:r>
        <w:rPr>
          <w:spacing w:val="-2"/>
        </w:rPr>
        <w:t>无任何晃动</w:t>
      </w:r>
      <w:r>
        <w:rPr>
          <w:spacing w:val="7"/>
        </w:rPr>
        <w:t>），</w:t>
      </w:r>
      <w:r>
        <w:rPr>
          <w:spacing w:val="-2"/>
        </w:rPr>
        <w:t>并使量器良好接地。</w:t>
      </w:r>
    </w:p>
    <w:p>
      <w:pPr>
        <w:pStyle w:val="BodyText"/>
        <w:spacing w:before="192" w:line="259" w:lineRule="auto"/>
        <w:ind w:left="9" w:right="63" w:firstLine="5"/>
      </w:pPr>
      <w:hyperlink r:id="rId63" w:history="1">
        <w:r>
          <w:rPr>
            <w:spacing w:val="1"/>
          </w:rPr>
          <w:t>7.3.5.2</w:t>
        </w:r>
      </w:hyperlink>
      <w:r>
        <w:rPr>
          <w:spacing w:val="-52"/>
        </w:rPr>
        <w:t xml:space="preserve"> </w:t>
      </w:r>
      <w:r>
        <w:rPr>
          <w:spacing w:val="1"/>
        </w:rPr>
        <w:t>进行试运行，启动加油机（有油</w:t>
      </w:r>
      <w:r>
        <w:t>气回收装置的加油机应同时启动油气回收装置</w:t>
      </w:r>
      <w:r>
        <w:rPr>
          <w:spacing w:val="6"/>
        </w:rPr>
        <w:t>），</w:t>
      </w:r>
      <w:r>
        <w:t xml:space="preserve">将油枪 </w:t>
      </w:r>
      <w:r>
        <w:rPr>
          <w:spacing w:val="-2"/>
        </w:rPr>
        <w:t>开启并调节到现场检定时的最大流量</w:t>
      </w:r>
      <w:r>
        <w:rPr>
          <w:spacing w:val="-46"/>
        </w:rPr>
        <w:t xml:space="preserve"> </w:t>
      </w:r>
      <w:r>
        <w:rPr>
          <w:i/>
          <w:iCs/>
          <w:spacing w:val="-2"/>
          <w:sz w:val="25"/>
          <w:szCs w:val="25"/>
        </w:rPr>
        <w:t>Q</w:t>
      </w:r>
      <w:r>
        <w:rPr>
          <w:rFonts w:ascii="Times New Roman" w:eastAsia="Times New Roman" w:hAnsi="Times New Roman" w:cs="Times New Roman"/>
          <w:spacing w:val="-2"/>
          <w:position w:val="-1"/>
          <w:sz w:val="15"/>
          <w:szCs w:val="15"/>
        </w:rPr>
        <w:t>L</w:t>
      </w:r>
      <w:r>
        <w:rPr>
          <w:rFonts w:ascii="Times New Roman" w:eastAsia="Times New Roman" w:hAnsi="Times New Roman" w:cs="Times New Roman"/>
          <w:spacing w:val="-13"/>
          <w:position w:val="-1"/>
          <w:sz w:val="15"/>
          <w:szCs w:val="15"/>
        </w:rPr>
        <w:t xml:space="preserve"> </w:t>
      </w:r>
      <w:r>
        <w:rPr>
          <w:spacing w:val="-2"/>
        </w:rPr>
        <w:t>，并用秒表计时，确定现场检定时的最大流量。将油液注入</w:t>
      </w:r>
      <w:r>
        <w:t xml:space="preserve"> </w:t>
      </w:r>
      <w:r>
        <w:t>量器内，直至注满。量器被注满后，将油枪放回托架，按量器检定证</w:t>
      </w:r>
      <w:r>
        <w:rPr>
          <w:spacing w:val="-1"/>
        </w:rPr>
        <w:t>书上规定的放液时间将量器内</w:t>
      </w:r>
      <w:r>
        <w:t xml:space="preserve"> </w:t>
      </w:r>
      <w:r>
        <w:rPr>
          <w:spacing w:val="-1"/>
        </w:rPr>
        <w:t>的油液放净，关闭阀门，使量器处于准备状态。</w:t>
      </w:r>
    </w:p>
    <w:p>
      <w:pPr>
        <w:pStyle w:val="BodyText"/>
        <w:spacing w:before="192" w:line="220" w:lineRule="auto"/>
        <w:ind w:left="15"/>
      </w:pPr>
      <w:hyperlink r:id="rId64" w:history="1">
        <w:r>
          <w:rPr>
            <w:spacing w:val="-1"/>
          </w:rPr>
          <w:t>7.3.5.3</w:t>
        </w:r>
      </w:hyperlink>
      <w:r>
        <w:rPr>
          <w:spacing w:val="-49"/>
        </w:rPr>
        <w:t xml:space="preserve"> </w:t>
      </w:r>
      <w:r>
        <w:rPr>
          <w:spacing w:val="-1"/>
        </w:rPr>
        <w:t>用水平调节装置将量器调平并使量器良好接地。</w:t>
      </w:r>
    </w:p>
    <w:p>
      <w:pPr>
        <w:pStyle w:val="BodyText"/>
        <w:spacing w:before="193" w:line="257" w:lineRule="auto"/>
        <w:ind w:left="13" w:firstLine="1"/>
      </w:pPr>
      <w:hyperlink r:id="rId65" w:history="1">
        <w:r>
          <w:rPr>
            <w:spacing w:val="-3"/>
          </w:rPr>
          <w:t>7.3.5.4</w:t>
        </w:r>
      </w:hyperlink>
      <w:r>
        <w:rPr>
          <w:spacing w:val="-50"/>
        </w:rPr>
        <w:t xml:space="preserve"> </w:t>
      </w:r>
      <w:r>
        <w:rPr>
          <w:spacing w:val="-3"/>
        </w:rPr>
        <w:t>提取油枪，启动加油机，使加油机的指示装置回零，将流量调至检定流量，向量</w:t>
      </w:r>
      <w:r>
        <w:rPr>
          <w:spacing w:val="-4"/>
        </w:rPr>
        <w:t>器内注油，</w:t>
      </w:r>
      <w:r>
        <w:t xml:space="preserve"> </w:t>
      </w:r>
      <w:r>
        <w:t>同时用温度计测量油枪出口处的油品温度，待温度计读数稳定时再读取油温，当油液注满量器时，</w:t>
      </w:r>
      <w:r>
        <w:rPr>
          <w:spacing w:val="11"/>
        </w:rPr>
        <w:t xml:space="preserve"> </w:t>
      </w:r>
      <w:r>
        <w:rPr>
          <w:spacing w:val="-3"/>
        </w:rPr>
        <w:t>关闭油枪。</w:t>
      </w:r>
    </w:p>
    <w:p>
      <w:pPr>
        <w:pStyle w:val="BodyText"/>
        <w:spacing w:before="192" w:line="247" w:lineRule="auto"/>
        <w:ind w:left="10" w:right="120" w:firstLine="4"/>
      </w:pPr>
      <w:hyperlink r:id="rId66" w:history="1">
        <w:r>
          <w:t>7.3.5.5</w:t>
        </w:r>
      </w:hyperlink>
      <w:r>
        <w:rPr>
          <w:spacing w:val="-49"/>
        </w:rPr>
        <w:t xml:space="preserve"> </w:t>
      </w:r>
      <w:r>
        <w:t>待量器中的油沫和气泡消失</w:t>
      </w:r>
      <w:r>
        <w:rPr>
          <w:spacing w:val="-1"/>
        </w:rPr>
        <w:t>后，读取并记录量器的示值，测量并记录量器中的油液温度，</w:t>
      </w:r>
      <w:r>
        <w:t xml:space="preserve"> </w:t>
      </w:r>
      <w:r>
        <w:t>然后按量器检定或校准证书上规定的放液时间将量器</w:t>
      </w:r>
      <w:r>
        <w:rPr>
          <w:spacing w:val="-1"/>
        </w:rPr>
        <w:t>内的油液放净，关闭阀门。</w:t>
      </w:r>
    </w:p>
    <w:p>
      <w:pPr>
        <w:pStyle w:val="BodyText"/>
        <w:spacing w:before="193" w:line="220" w:lineRule="auto"/>
        <w:ind w:left="15"/>
      </w:pPr>
      <w:hyperlink r:id="rId67" w:history="1">
        <w:r>
          <w:rPr>
            <w:spacing w:val="-2"/>
          </w:rPr>
          <w:t>7.3.5.6</w:t>
        </w:r>
      </w:hyperlink>
      <w:r>
        <w:rPr>
          <w:spacing w:val="-45"/>
        </w:rPr>
        <w:t xml:space="preserve"> </w:t>
      </w:r>
      <w:r>
        <w:rPr>
          <w:spacing w:val="-2"/>
        </w:rPr>
        <w:t>如需重复检定，则重复上述</w:t>
      </w:r>
      <w:r>
        <w:rPr>
          <w:spacing w:val="-45"/>
        </w:rPr>
        <w:t xml:space="preserve"> </w:t>
      </w:r>
      <w:r>
        <w:rPr>
          <w:spacing w:val="-2"/>
        </w:rPr>
        <w:t>7.3.5.3～7.3.5.5</w:t>
      </w:r>
      <w:r>
        <w:rPr>
          <w:spacing w:val="-31"/>
        </w:rPr>
        <w:t xml:space="preserve"> </w:t>
      </w:r>
      <w:r>
        <w:rPr>
          <w:spacing w:val="-2"/>
        </w:rPr>
        <w:t>的步骤。</w:t>
      </w:r>
    </w:p>
    <w:p>
      <w:pPr>
        <w:pStyle w:val="BodyText"/>
        <w:spacing w:before="191" w:line="220" w:lineRule="auto"/>
        <w:ind w:left="15"/>
      </w:pPr>
      <w:hyperlink r:id="rId68" w:history="1">
        <w:r>
          <w:rPr>
            <w:spacing w:val="-1"/>
          </w:rPr>
          <w:t>7.3.5.7</w:t>
        </w:r>
      </w:hyperlink>
      <w:r>
        <w:rPr>
          <w:spacing w:val="-1"/>
        </w:rPr>
        <w:t xml:space="preserve"> 如需要，完成其它流量点的检定。</w:t>
      </w:r>
    </w:p>
    <w:p>
      <w:pPr>
        <w:pStyle w:val="BodyText"/>
        <w:spacing w:before="192" w:line="220" w:lineRule="auto"/>
        <w:ind w:left="15"/>
      </w:pPr>
      <w:r>
        <w:rPr>
          <w:spacing w:val="-2"/>
        </w:rPr>
        <w:t>7.3.6 付费金额检定</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https://d.book118.com/015210243214011112</w:t>
        </w:r>
      </w:hyperlink>
    </w:p>
    <w:p>
      <w:pPr>
        <w:pStyle w:val="BodyText"/>
        <w:spacing w:before="192" w:line="220" w:lineRule="auto"/>
        <w:ind w:left="15"/>
      </w:pPr>
    </w:p>
    <w:sectPr>
      <w:headerReference w:type="default" r:id="rId70"/>
      <w:footerReference w:type="default" r:id="rId71"/>
      <w:pgSz w:w="11906" w:h="16839"/>
      <w:pgMar w:top="1157" w:right="730" w:bottom="1156" w:left="794" w:header="912" w:footer="994"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22"/>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3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29"/>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29"/>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9"/>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3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34"/>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34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1034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10237"/>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49" style="width:515.95pt;height:0.75pt;margin-top:57.15pt;margin-left:39.7pt;mso-position-horizontal-relative:page;mso-position-vertical-relative:page;position:absolute;z-index:251658240"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0" style="width:515.95pt;height:0.75pt;margin-top:57.15pt;margin-left:39.7pt;mso-position-horizontal-relative:page;mso-position-vertical-relative:page;position:absolute;z-index:251659264"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1" style="width:515.95pt;height:0.75pt;margin-top:57.15pt;margin-left:39.7pt;mso-position-horizontal-relative:page;mso-position-vertical-relative:page;position:absolute;z-index:251660288"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2" style="width:515.95pt;height:0.75pt;margin-top:57.15pt;margin-left:39.7pt;mso-position-horizontal-relative:page;mso-position-vertical-relative:page;position:absolute;z-index:251661312"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3" style="width:515.95pt;height:0.75pt;margin-top:57.15pt;margin-left:39.7pt;mso-position-horizontal-relative:page;mso-position-vertical-relative:page;position:absolute;z-index:251662336"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4" style="width:515.95pt;height:0.75pt;margin-top:57.15pt;margin-left:39.7pt;mso-position-horizontal-relative:page;mso-position-vertical-relative:page;position:absolute;z-index:251663360"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5" style="width:515.95pt;height:0.75pt;margin-top:57.15pt;margin-left:39.7pt;mso-position-horizontal-relative:page;mso-position-vertical-relative:page;position:absolute;z-index:251664384"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705"/>
      <w:rPr>
        <w:rFonts w:ascii="SimHei" w:eastAsia="SimHei" w:hAnsi="SimHei" w:cs="SimHei"/>
        <w:sz w:val="20"/>
        <w:szCs w:val="20"/>
      </w:rPr>
    </w:pPr>
    <w:r>
      <w:pict>
        <v:shape id="_x0000_s2056" style="width:515.95pt;height:0.75pt;margin-top:57.15pt;margin-left:39.7pt;mso-position-horizontal-relative:page;mso-position-vertical-relative:page;position:absolute;z-index:251665408"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705"/>
      <w:rPr>
        <w:rFonts w:ascii="SimHei" w:eastAsia="SimHei" w:hAnsi="SimHei" w:cs="SimHei"/>
        <w:sz w:val="20"/>
        <w:szCs w:val="20"/>
      </w:rPr>
    </w:pPr>
    <w:r>
      <w:pict>
        <v:shape id="_x0000_s2057" style="width:515.95pt;height:0.75pt;margin-top:57.15pt;margin-left:39.7pt;mso-position-horizontal-relative:page;mso-position-vertical-relative:page;position:absolute;z-index:251666432"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92"/>
      <w:rPr>
        <w:rFonts w:ascii="SimHei" w:eastAsia="SimHei" w:hAnsi="SimHei" w:cs="SimHei"/>
        <w:sz w:val="20"/>
        <w:szCs w:val="20"/>
      </w:rPr>
    </w:pPr>
    <w:r>
      <w:pict>
        <v:shape id="_x0000_s2058" style="width:515.95pt;height:0.75pt;margin-top:57.15pt;margin-left:39.7pt;mso-position-horizontal-relative:page;mso-position-vertical-relative:page;position:absolute;z-index:251667456" coordorigin="0,0" coordsize="10319,15" o:allowincell="f" path="m,l10318,l10318,14l,14l,xe" filled="t" fillcolor="black" stroked="f"/>
      </w:pict>
    </w:r>
    <w:r>
      <w:rPr>
        <w:rFonts w:ascii="SimHei" w:eastAsia="SimHei" w:hAnsi="SimHei" w:cs="SimHei"/>
        <w:sz w:val="20"/>
        <w:szCs w:val="20"/>
      </w:rPr>
      <w:t>JJG</w:t>
    </w:r>
    <w:r>
      <w:rPr>
        <w:rFonts w:ascii="SimHei" w:eastAsia="SimHei" w:hAnsi="SimHei" w:cs="SimHei"/>
        <w:spacing w:val="5"/>
        <w:sz w:val="20"/>
        <w:szCs w:val="20"/>
      </w:rPr>
      <w:t>443-202X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3.png"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header" Target="header4.xml" /><Relationship Id="rId31" Type="http://schemas.openxmlformats.org/officeDocument/2006/relationships/footer" Target="footer4.xml" /><Relationship Id="rId32" Type="http://schemas.openxmlformats.org/officeDocument/2006/relationships/header" Target="header5.xml" /><Relationship Id="rId33" Type="http://schemas.openxmlformats.org/officeDocument/2006/relationships/footer" Target="footer5.xml" /><Relationship Id="rId34" Type="http://schemas.openxmlformats.org/officeDocument/2006/relationships/image" Target="media/image21.jpeg" /><Relationship Id="rId35" Type="http://schemas.openxmlformats.org/officeDocument/2006/relationships/image" Target="media/image22.png" /><Relationship Id="rId36" Type="http://schemas.openxmlformats.org/officeDocument/2006/relationships/header" Target="header6.xml" /><Relationship Id="rId37" Type="http://schemas.openxmlformats.org/officeDocument/2006/relationships/footer" Target="footer6.xml" /><Relationship Id="rId38" Type="http://schemas.openxmlformats.org/officeDocument/2006/relationships/image" Target="media/image23.jpeg" /><Relationship Id="rId39" Type="http://schemas.openxmlformats.org/officeDocument/2006/relationships/header" Target="header7.xml" /><Relationship Id="rId4" Type="http://schemas.openxmlformats.org/officeDocument/2006/relationships/image" Target="media/image1.jpeg" /><Relationship Id="rId40" Type="http://schemas.openxmlformats.org/officeDocument/2006/relationships/footer" Target="footer7.xml" /><Relationship Id="rId41" Type="http://schemas.openxmlformats.org/officeDocument/2006/relationships/header" Target="header8.xml" /><Relationship Id="rId42" Type="http://schemas.openxmlformats.org/officeDocument/2006/relationships/footer" Target="footer8.xml" /><Relationship Id="rId43" Type="http://schemas.openxmlformats.org/officeDocument/2006/relationships/header" Target="header9.xml" /><Relationship Id="rId44" Type="http://schemas.openxmlformats.org/officeDocument/2006/relationships/footer" Target="footer9.xml" /><Relationship Id="rId45" Type="http://schemas.openxmlformats.org/officeDocument/2006/relationships/header" Target="header10.xml" /><Relationship Id="rId46" Type="http://schemas.openxmlformats.org/officeDocument/2006/relationships/footer" Target="footer10.xml" /><Relationship Id="rId47" Type="http://schemas.openxmlformats.org/officeDocument/2006/relationships/hyperlink" Target="6.4.2.1" TargetMode="External" /><Relationship Id="rId48" Type="http://schemas.openxmlformats.org/officeDocument/2006/relationships/hyperlink" Target="6.4.2.2" TargetMode="External" /><Relationship Id="rId49" Type="http://schemas.openxmlformats.org/officeDocument/2006/relationships/hyperlink" Target="6.4.2.3" TargetMode="External" /><Relationship Id="rId5" Type="http://schemas.openxmlformats.org/officeDocument/2006/relationships/image" Target="media/image2.png" /><Relationship Id="rId50" Type="http://schemas.openxmlformats.org/officeDocument/2006/relationships/hyperlink" Target="6.4.2.4" TargetMode="External" /><Relationship Id="rId51" Type="http://schemas.openxmlformats.org/officeDocument/2006/relationships/header" Target="header11.xml" /><Relationship Id="rId52" Type="http://schemas.openxmlformats.org/officeDocument/2006/relationships/footer" Target="footer11.xml" /><Relationship Id="rId53" Type="http://schemas.openxmlformats.org/officeDocument/2006/relationships/header" Target="header12.xml" /><Relationship Id="rId54" Type="http://schemas.openxmlformats.org/officeDocument/2006/relationships/footer" Target="footer12.xml" /><Relationship Id="rId55" Type="http://schemas.openxmlformats.org/officeDocument/2006/relationships/hyperlink" Target="7.3.1.1" TargetMode="External" /><Relationship Id="rId56" Type="http://schemas.openxmlformats.org/officeDocument/2006/relationships/header" Target="header13.xml" /><Relationship Id="rId57" Type="http://schemas.openxmlformats.org/officeDocument/2006/relationships/footer" Target="footer13.xml" /><Relationship Id="rId58" Type="http://schemas.openxmlformats.org/officeDocument/2006/relationships/hyperlink" Target="7.3.3.1" TargetMode="External" /><Relationship Id="rId59" Type="http://schemas.openxmlformats.org/officeDocument/2006/relationships/hyperlink" Target="7.3.2.2" TargetMode="External" /><Relationship Id="rId6" Type="http://schemas.openxmlformats.org/officeDocument/2006/relationships/header" Target="header1.xml" /><Relationship Id="rId60" Type="http://schemas.openxmlformats.org/officeDocument/2006/relationships/header" Target="header14.xml" /><Relationship Id="rId61" Type="http://schemas.openxmlformats.org/officeDocument/2006/relationships/footer" Target="footer14.xml" /><Relationship Id="rId62" Type="http://schemas.openxmlformats.org/officeDocument/2006/relationships/hyperlink" Target="7.3.5.1" TargetMode="External" /><Relationship Id="rId63" Type="http://schemas.openxmlformats.org/officeDocument/2006/relationships/hyperlink" Target="7.3.5.2" TargetMode="External" /><Relationship Id="rId64" Type="http://schemas.openxmlformats.org/officeDocument/2006/relationships/hyperlink" Target="7.3.5.3" TargetMode="External" /><Relationship Id="rId65" Type="http://schemas.openxmlformats.org/officeDocument/2006/relationships/hyperlink" Target="7.3.5.4" TargetMode="External" /><Relationship Id="rId66" Type="http://schemas.openxmlformats.org/officeDocument/2006/relationships/hyperlink" Target="7.3.5.5" TargetMode="External" /><Relationship Id="rId67" Type="http://schemas.openxmlformats.org/officeDocument/2006/relationships/hyperlink" Target="7.3.5.6" TargetMode="External" /><Relationship Id="rId68" Type="http://schemas.openxmlformats.org/officeDocument/2006/relationships/hyperlink" Target="7.3.5.7" TargetMode="External" /><Relationship Id="rId69" Type="http://schemas.openxmlformats.org/officeDocument/2006/relationships/hyperlink" Target="https://d.book118.com/015210243214011112" TargetMode="External" /><Relationship Id="rId7" Type="http://schemas.openxmlformats.org/officeDocument/2006/relationships/footer" Target="footer1.xml" /><Relationship Id="rId70" Type="http://schemas.openxmlformats.org/officeDocument/2006/relationships/header" Target="header15.xml" /><Relationship Id="rId71" Type="http://schemas.openxmlformats.org/officeDocument/2006/relationships/footer" Target="footer15.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jiayouji</dc:creator>
  <cp:revision>0</cp:revision>
  <dcterms:created xsi:type="dcterms:W3CDTF">2024-02-26T10:46:02Z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2024-02-26T21:41:14Z</vt:filetime>
  </property>
  <property fmtid="{D5CDD505-2E9C-101B-9397-08002B2CF9AE}" pid="3" name="CRO">
    <vt:lpwstr>wqlLaW5nc29mdCBQREYgdG8gV1BTIDkw</vt:lpwstr>
  </property>
</Properties>
</file>