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0"/>
        <w:rPr>
          <w:rFonts w:ascii="Times New Roman"/>
          <w:sz w:val="20"/>
        </w:rPr>
      </w:pPr>
    </w:p>
    <w:p>
      <w:pPr>
        <w:pStyle w:val="BodyText"/>
        <w:spacing w:before="11"/>
        <w:ind w:left="0"/>
        <w:rPr>
          <w:rFonts w:ascii="Times New Roman"/>
          <w:sz w:val="21"/>
        </w:rPr>
      </w:pPr>
    </w:p>
    <w:p>
      <w:pPr>
        <w:spacing w:before="41" w:line="523" w:lineRule="exact"/>
        <w:ind w:left="704" w:right="280" w:firstLine="0"/>
        <w:jc w:val="center"/>
        <w:rPr>
          <w:rFonts w:ascii="楷体" w:eastAsia="楷体"/>
          <w:sz w:val="42"/>
        </w:rPr>
      </w:pPr>
      <w:r>
        <w:rPr>
          <w:rFonts w:ascii="楷体" w:eastAsia="楷体"/>
          <w:spacing w:val="-1"/>
          <w:sz w:val="42"/>
        </w:rPr>
        <w:t>利民药业集团商办楼工程</w:t>
      </w:r>
    </w:p>
    <w:p>
      <w:pPr>
        <w:pStyle w:val="Title"/>
      </w:pPr>
      <w:r>
        <w:rPr>
          <w:spacing w:val="-1"/>
        </w:rPr>
        <w:t>监  理  实  施  细  则</w:t>
      </w:r>
    </w:p>
    <w:p>
      <w:pPr>
        <w:spacing w:before="387"/>
        <w:ind w:left="704" w:right="1119" w:firstLine="0"/>
        <w:jc w:val="center"/>
        <w:rPr>
          <w:rFonts w:ascii="楷体" w:eastAsia="楷体"/>
          <w:sz w:val="42"/>
        </w:rPr>
      </w:pPr>
      <w:r>
        <w:rPr>
          <w:rFonts w:ascii="楷体" w:eastAsia="楷体"/>
          <w:sz w:val="42"/>
        </w:rPr>
        <w:t>（安装工程</w:t>
      </w:r>
      <w:r>
        <w:rPr>
          <w:rFonts w:ascii="楷体" w:eastAsia="楷体"/>
          <w:spacing w:val="-10"/>
          <w:sz w:val="42"/>
        </w:rPr>
        <w:t>）</w:t>
      </w:r>
    </w:p>
    <w:p>
      <w:pPr>
        <w:pStyle w:val="BodyText"/>
        <w:ind w:left="0"/>
        <w:rPr>
          <w:rFonts w:ascii="楷体"/>
          <w:sz w:val="42"/>
        </w:rPr>
      </w:pPr>
    </w:p>
    <w:p>
      <w:pPr>
        <w:pStyle w:val="BodyText"/>
        <w:ind w:left="0"/>
        <w:rPr>
          <w:rFonts w:ascii="楷体"/>
          <w:sz w:val="42"/>
        </w:rPr>
      </w:pPr>
    </w:p>
    <w:p>
      <w:pPr>
        <w:pStyle w:val="BodyText"/>
        <w:ind w:left="0"/>
        <w:rPr>
          <w:rFonts w:ascii="楷体"/>
          <w:sz w:val="42"/>
        </w:rPr>
      </w:pPr>
    </w:p>
    <w:p>
      <w:pPr>
        <w:pStyle w:val="BodyText"/>
        <w:spacing w:before="6"/>
        <w:ind w:left="0"/>
        <w:rPr>
          <w:rFonts w:ascii="楷体"/>
          <w:sz w:val="61"/>
        </w:rPr>
      </w:pPr>
    </w:p>
    <w:p>
      <w:pPr>
        <w:spacing w:before="0"/>
        <w:ind w:left="1252" w:right="0" w:firstLine="0"/>
        <w:jc w:val="left"/>
        <w:rPr>
          <w:rFonts w:ascii="楷体" w:eastAsia="楷体"/>
          <w:sz w:val="42"/>
        </w:rPr>
      </w:pPr>
      <w:r>
        <w:rPr>
          <w:rFonts w:ascii="楷体" w:eastAsia="楷体"/>
          <w:spacing w:val="-1"/>
          <w:sz w:val="42"/>
        </w:rPr>
        <w:t>建设单位：聊城利民药业集团</w:t>
      </w:r>
    </w:p>
    <w:p>
      <w:pPr>
        <w:spacing w:before="62" w:line="266" w:lineRule="auto"/>
        <w:ind w:left="3352" w:right="773" w:hanging="2100"/>
        <w:jc w:val="left"/>
        <w:rPr>
          <w:rFonts w:ascii="楷体" w:eastAsia="楷体"/>
          <w:sz w:val="42"/>
        </w:rPr>
      </w:pPr>
      <w:r>
        <w:rPr>
          <w:rFonts w:ascii="楷体" w:eastAsia="楷体"/>
          <w:spacing w:val="-2"/>
          <w:sz w:val="42"/>
        </w:rPr>
        <w:t>监理单位：山东天柱建设监理咨询有限公司</w:t>
      </w:r>
      <w:r>
        <w:rPr>
          <w:rFonts w:ascii="楷体" w:eastAsia="楷体"/>
          <w:spacing w:val="-4"/>
          <w:sz w:val="42"/>
        </w:rPr>
        <w:t>第十分公司</w:t>
      </w:r>
    </w:p>
    <w:p>
      <w:pPr>
        <w:spacing w:before="6" w:line="266" w:lineRule="auto"/>
        <w:ind w:left="1252" w:right="5393" w:firstLine="0"/>
        <w:jc w:val="left"/>
        <w:rPr>
          <w:rFonts w:ascii="楷体" w:eastAsia="楷体"/>
          <w:sz w:val="42"/>
        </w:rPr>
      </w:pPr>
      <w:r>
        <w:rPr>
          <w:rFonts w:ascii="楷体" w:eastAsia="楷体"/>
          <w:spacing w:val="-2"/>
          <w:sz w:val="42"/>
        </w:rPr>
        <w:t>项目总监：梁兰英编 制 人：胡学亮</w:t>
      </w:r>
    </w:p>
    <w:p>
      <w:pPr>
        <w:pStyle w:val="BodyText"/>
        <w:ind w:left="0"/>
        <w:rPr>
          <w:rFonts w:ascii="楷体"/>
          <w:sz w:val="42"/>
        </w:rPr>
      </w:pPr>
    </w:p>
    <w:p>
      <w:pPr>
        <w:pStyle w:val="BodyText"/>
        <w:ind w:left="0"/>
        <w:rPr>
          <w:rFonts w:ascii="楷体"/>
          <w:sz w:val="42"/>
        </w:rPr>
      </w:pPr>
    </w:p>
    <w:p>
      <w:pPr>
        <w:pStyle w:val="BodyText"/>
        <w:ind w:left="0"/>
        <w:rPr>
          <w:rFonts w:ascii="楷体"/>
          <w:sz w:val="42"/>
        </w:rPr>
      </w:pPr>
    </w:p>
    <w:p>
      <w:pPr>
        <w:pStyle w:val="BodyText"/>
        <w:ind w:left="0"/>
        <w:rPr>
          <w:rFonts w:ascii="楷体"/>
          <w:sz w:val="42"/>
        </w:rPr>
      </w:pPr>
    </w:p>
    <w:p>
      <w:pPr>
        <w:spacing w:before="320" w:line="393" w:lineRule="auto"/>
        <w:ind w:left="1434" w:right="1009" w:firstLine="0"/>
        <w:jc w:val="center"/>
        <w:rPr>
          <w:rFonts w:ascii="楷体" w:eastAsia="楷体"/>
          <w:sz w:val="42"/>
        </w:rPr>
      </w:pPr>
      <w:r>
        <w:rPr>
          <w:rFonts w:ascii="楷体" w:eastAsia="楷体"/>
          <w:spacing w:val="-2"/>
          <w:sz w:val="42"/>
        </w:rPr>
        <w:t>山东天柱建设监理咨询有限公司十分公司</w:t>
      </w:r>
      <w:r>
        <w:rPr>
          <w:rFonts w:ascii="楷体" w:eastAsia="楷体"/>
          <w:spacing w:val="-13"/>
          <w:sz w:val="42"/>
        </w:rPr>
        <w:t xml:space="preserve">二 </w:t>
      </w:r>
      <w:r>
        <w:rPr>
          <w:rFonts w:ascii="楷体" w:eastAsia="楷体"/>
          <w:sz w:val="42"/>
        </w:rPr>
        <w:t>O</w:t>
      </w:r>
      <w:r>
        <w:rPr>
          <w:rFonts w:ascii="楷体" w:eastAsia="楷体"/>
          <w:spacing w:val="-5"/>
          <w:sz w:val="42"/>
        </w:rPr>
        <w:t xml:space="preserve"> 一一年五月</w:t>
      </w:r>
    </w:p>
    <w:p>
      <w:pPr>
        <w:spacing w:after="0" w:line="393" w:lineRule="auto"/>
        <w:jc w:val="center"/>
        <w:rPr>
          <w:rFonts w:ascii="楷体" w:eastAsia="楷体"/>
          <w:sz w:val="42"/>
        </w:rPr>
        <w:sectPr>
          <w:headerReference w:type="default" r:id="rId4"/>
          <w:footerReference w:type="default" r:id="rId5"/>
          <w:type w:val="continuous"/>
          <w:pgSz w:w="11910" w:h="16840"/>
          <w:pgMar w:top="1160" w:right="600" w:bottom="1560" w:left="1300" w:header="906" w:footer="1372"/>
          <w:pgNumType w:start="1"/>
          <w:cols w:space="708"/>
        </w:sectPr>
      </w:pPr>
    </w:p>
    <w:p>
      <w:pPr>
        <w:pStyle w:val="BodyText"/>
        <w:ind w:left="0"/>
        <w:rPr>
          <w:rFonts w:ascii="楷体"/>
          <w:sz w:val="20"/>
        </w:rPr>
      </w:pPr>
    </w:p>
    <w:p>
      <w:pPr>
        <w:pStyle w:val="BodyText"/>
        <w:ind w:left="0"/>
        <w:rPr>
          <w:rFonts w:ascii="楷体"/>
          <w:sz w:val="20"/>
        </w:rPr>
      </w:pPr>
    </w:p>
    <w:p>
      <w:pPr>
        <w:pStyle w:val="BodyText"/>
        <w:spacing w:before="7"/>
        <w:ind w:left="0"/>
        <w:rPr>
          <w:rFonts w:ascii="楷体"/>
          <w:sz w:val="27"/>
        </w:rPr>
      </w:pPr>
    </w:p>
    <w:p>
      <w:pPr>
        <w:tabs>
          <w:tab w:val="left" w:pos="1259"/>
        </w:tabs>
        <w:spacing w:before="11"/>
        <w:ind w:left="0" w:right="415" w:firstLine="0"/>
        <w:jc w:val="center"/>
        <w:rPr>
          <w:rFonts w:ascii="黑体" w:eastAsia="黑体"/>
          <w:sz w:val="63"/>
        </w:rPr>
      </w:pPr>
      <w:r>
        <w:rPr>
          <w:rFonts w:ascii="黑体" w:eastAsia="黑体"/>
          <w:spacing w:val="-10"/>
          <w:sz w:val="63"/>
        </w:rPr>
        <w:t>目</w:t>
      </w:r>
      <w:r>
        <w:rPr>
          <w:rFonts w:ascii="黑体" w:eastAsia="黑体"/>
          <w:sz w:val="63"/>
        </w:rPr>
        <w:tab/>
      </w:r>
      <w:r>
        <w:rPr>
          <w:rFonts w:ascii="黑体" w:eastAsia="黑体"/>
          <w:spacing w:val="-10"/>
          <w:sz w:val="63"/>
        </w:rPr>
        <w:t>录</w:t>
      </w:r>
    </w:p>
    <w:p>
      <w:pPr>
        <w:pStyle w:val="BodyText"/>
        <w:ind w:left="0"/>
        <w:rPr>
          <w:rFonts w:ascii="黑体"/>
          <w:sz w:val="62"/>
        </w:rPr>
      </w:pPr>
    </w:p>
    <w:sdt>
      <w:sdtPr>
        <w:id w:val="1662117894"/>
        <w:docPartObj>
          <w:docPartGallery w:val="Table of Contents"/>
          <w:docPartUnique/>
        </w:docPartObj>
      </w:sdtPr>
      <w:sdtContent>
        <w:p>
          <w:pPr>
            <w:pStyle w:val="TOC1"/>
            <w:tabs>
              <w:tab w:val="right" w:leader="dot" w:pos="9462"/>
            </w:tabs>
            <w:spacing w:before="496"/>
            <w:rPr>
              <w:rFonts w:ascii="新宋体" w:eastAsia="新宋体" w:hint="eastAsia"/>
            </w:rPr>
          </w:pPr>
          <w:r>
            <w:t>一、专业工程特</w:t>
          </w:r>
          <w:r>
            <w:rPr>
              <w:spacing w:val="-10"/>
            </w:rPr>
            <w:t>点</w:t>
          </w:r>
          <w:r>
            <w:rPr>
              <w:rFonts w:ascii="Times New Roman" w:eastAsia="Times New Roman"/>
            </w:rPr>
            <w:tab/>
          </w:r>
          <w:r>
            <w:rPr>
              <w:rFonts w:ascii="新宋体" w:eastAsia="新宋体" w:hint="eastAsia"/>
              <w:spacing w:val="-10"/>
            </w:rPr>
            <w:t>3</w:t>
          </w:r>
        </w:p>
        <w:p>
          <w:pPr>
            <w:pStyle w:val="TOC1"/>
            <w:tabs>
              <w:tab w:val="right" w:leader="dot" w:pos="9462"/>
            </w:tabs>
            <w:rPr>
              <w:rFonts w:ascii="新宋体" w:eastAsia="新宋体" w:hint="eastAsia"/>
            </w:rPr>
          </w:pPr>
          <w:hyperlink w:anchor="_TOC_250003" w:history="1">
            <w:r>
              <w:t>二、监理工作流</w:t>
            </w:r>
            <w:r>
              <w:rPr>
                <w:spacing w:val="-10"/>
              </w:rPr>
              <w:t>程</w:t>
            </w:r>
            <w:r>
              <w:rPr>
                <w:rFonts w:ascii="Times New Roman" w:eastAsia="Times New Roman"/>
              </w:rPr>
              <w:tab/>
            </w:r>
            <w:r>
              <w:rPr>
                <w:rFonts w:ascii="新宋体" w:eastAsia="新宋体" w:hint="eastAsia"/>
                <w:spacing w:val="-10"/>
              </w:rPr>
              <w:t>5</w:t>
            </w:r>
          </w:hyperlink>
        </w:p>
        <w:p>
          <w:pPr>
            <w:pStyle w:val="TOC1"/>
            <w:tabs>
              <w:tab w:val="right" w:leader="dot" w:pos="9462"/>
            </w:tabs>
            <w:spacing w:before="551"/>
            <w:rPr>
              <w:rFonts w:ascii="新宋体" w:eastAsia="新宋体" w:hint="eastAsia"/>
            </w:rPr>
          </w:pPr>
          <w:hyperlink w:anchor="_TOC_250002" w:history="1">
            <w:r>
              <w:t>三、监理工作的控制要点及目标</w:t>
            </w:r>
            <w:r>
              <w:rPr>
                <w:spacing w:val="-10"/>
              </w:rPr>
              <w:t>值</w:t>
            </w:r>
            <w:r>
              <w:rPr>
                <w:rFonts w:ascii="Times New Roman" w:eastAsia="Times New Roman"/>
              </w:rPr>
              <w:tab/>
            </w:r>
            <w:r>
              <w:rPr>
                <w:rFonts w:ascii="新宋体" w:eastAsia="新宋体" w:hint="eastAsia"/>
                <w:spacing w:val="-10"/>
              </w:rPr>
              <w:t>6</w:t>
            </w:r>
          </w:hyperlink>
        </w:p>
        <w:p>
          <w:pPr>
            <w:pStyle w:val="TOC1"/>
            <w:tabs>
              <w:tab w:val="right" w:leader="dot" w:pos="9462"/>
            </w:tabs>
            <w:rPr>
              <w:rFonts w:ascii="新宋体" w:eastAsia="新宋体" w:hint="eastAsia"/>
            </w:rPr>
          </w:pPr>
          <w:hyperlink w:anchor="_TOC_250001" w:history="1">
            <w:r>
              <w:t>四、监理工作方法及措</w:t>
            </w:r>
            <w:r>
              <w:rPr>
                <w:spacing w:val="-10"/>
              </w:rPr>
              <w:t>施</w:t>
            </w:r>
            <w:r>
              <w:rPr>
                <w:rFonts w:ascii="Times New Roman" w:eastAsia="Times New Roman"/>
              </w:rPr>
              <w:tab/>
            </w:r>
            <w:r>
              <w:rPr>
                <w:rFonts w:ascii="新宋体" w:eastAsia="新宋体" w:hint="eastAsia"/>
                <w:spacing w:val="-5"/>
              </w:rPr>
              <w:t>18</w:t>
            </w:r>
          </w:hyperlink>
        </w:p>
        <w:p>
          <w:pPr>
            <w:pStyle w:val="TOC1"/>
            <w:tabs>
              <w:tab w:val="right" w:leader="dot" w:pos="9462"/>
            </w:tabs>
            <w:rPr>
              <w:rFonts w:ascii="新宋体" w:eastAsia="新宋体" w:hint="eastAsia"/>
            </w:rPr>
          </w:pPr>
          <w:hyperlink w:anchor="_TOC_250000" w:history="1">
            <w:r>
              <w:t>五、安全控制监理措</w:t>
            </w:r>
            <w:r>
              <w:rPr>
                <w:spacing w:val="-10"/>
              </w:rPr>
              <w:t>施</w:t>
            </w:r>
            <w:r>
              <w:rPr>
                <w:rFonts w:ascii="Times New Roman" w:eastAsia="Times New Roman"/>
              </w:rPr>
              <w:tab/>
            </w:r>
            <w:r>
              <w:rPr>
                <w:rFonts w:ascii="新宋体" w:eastAsia="新宋体" w:hint="eastAsia"/>
                <w:spacing w:val="-5"/>
              </w:rPr>
              <w:t>22</w:t>
            </w:r>
          </w:hyperlink>
        </w:p>
      </w:sdtContent>
    </w:sdt>
    <w:p>
      <w:pPr>
        <w:spacing w:after="0"/>
        <w:rPr>
          <w:rFonts w:hint="eastAsia"/>
        </w:rPr>
        <w:sectPr>
          <w:headerReference w:type="default" r:id="rId6"/>
          <w:footerReference w:type="default" r:id="rId7"/>
          <w:pgSz w:w="11910" w:h="16840"/>
          <w:pgMar w:top="1160" w:right="600" w:bottom="1680" w:left="1300" w:header="906" w:footer="1372"/>
          <w:pgNumType w:start="2"/>
          <w:cols w:space="708"/>
        </w:sectPr>
      </w:pPr>
    </w:p>
    <w:p>
      <w:pPr>
        <w:pStyle w:val="BodyText"/>
        <w:spacing w:before="60" w:line="300" w:lineRule="auto"/>
        <w:ind w:right="532" w:firstLine="589"/>
        <w:jc w:val="both"/>
      </w:pPr>
      <w:r>
        <w:rPr>
          <w:spacing w:val="-2"/>
        </w:rPr>
        <w:t>为了利民药业集团商办楼项目安装工程施工阶段监理工作的顺利实施，</w:t>
      </w:r>
      <w:r>
        <w:rPr>
          <w:spacing w:val="-25"/>
        </w:rPr>
        <w:t>根据《监理合同》、《监理规划》、设计图纸及施工方报审的施工组织设计，制</w:t>
      </w:r>
      <w:r>
        <w:rPr>
          <w:spacing w:val="-2"/>
        </w:rPr>
        <w:t>定本工程施工阶段监理工作实施细则。</w:t>
      </w:r>
    </w:p>
    <w:p>
      <w:pPr>
        <w:spacing w:before="0" w:line="481" w:lineRule="exact"/>
        <w:ind w:left="707" w:right="0" w:firstLine="0"/>
        <w:jc w:val="left"/>
        <w:rPr>
          <w:rFonts w:ascii="Microsoft JhengHei" w:eastAsia="Microsoft JhengHei"/>
          <w:b/>
          <w:sz w:val="28"/>
        </w:rPr>
      </w:pPr>
      <w:r>
        <w:rPr>
          <w:rFonts w:ascii="Microsoft JhengHei" w:eastAsia="Microsoft JhengHei"/>
          <w:b/>
          <w:spacing w:val="-2"/>
          <w:sz w:val="28"/>
        </w:rPr>
        <w:t>一、工程概况</w:t>
      </w:r>
    </w:p>
    <w:p>
      <w:pPr>
        <w:pStyle w:val="BodyText"/>
        <w:spacing w:before="88"/>
        <w:ind w:left="741"/>
      </w:pPr>
      <w:r>
        <w:t>1</w:t>
      </w:r>
      <w:r>
        <w:rPr>
          <w:spacing w:val="-1"/>
        </w:rPr>
        <w:t>、工程名称：利民药业集团商办楼工程</w:t>
      </w:r>
    </w:p>
    <w:p>
      <w:pPr>
        <w:pStyle w:val="BodyText"/>
        <w:spacing w:before="151"/>
        <w:ind w:left="673"/>
      </w:pPr>
      <w:r>
        <w:t>2</w:t>
      </w:r>
      <w:r>
        <w:rPr>
          <w:spacing w:val="-1"/>
        </w:rPr>
        <w:t>、建设地点：聊城利民路与花园路路口</w:t>
      </w:r>
    </w:p>
    <w:p>
      <w:pPr>
        <w:pStyle w:val="BodyText"/>
        <w:spacing w:before="151"/>
        <w:ind w:left="673"/>
      </w:pPr>
      <w:r>
        <w:t>3</w:t>
      </w:r>
      <w:r>
        <w:rPr>
          <w:spacing w:val="-1"/>
        </w:rPr>
        <w:t>、建设单位：聊城利民药业集团</w:t>
      </w:r>
    </w:p>
    <w:p>
      <w:pPr>
        <w:pStyle w:val="BodyText"/>
        <w:spacing w:before="152"/>
        <w:ind w:left="673"/>
      </w:pPr>
      <w:r>
        <w:t>4</w:t>
      </w:r>
      <w:r>
        <w:rPr>
          <w:spacing w:val="6"/>
        </w:rPr>
        <w:t xml:space="preserve"> 设计单位：聊城市规划建筑设计院</w:t>
      </w:r>
    </w:p>
    <w:p>
      <w:pPr>
        <w:pStyle w:val="BodyText"/>
        <w:spacing w:before="151"/>
        <w:ind w:left="673"/>
      </w:pPr>
      <w:r>
        <w:t>5</w:t>
      </w:r>
      <w:r>
        <w:rPr>
          <w:spacing w:val="-1"/>
        </w:rPr>
        <w:t>、勘察单位：聊城市规划建筑设计院</w:t>
      </w:r>
    </w:p>
    <w:p>
      <w:pPr>
        <w:pStyle w:val="BodyText"/>
        <w:spacing w:before="151"/>
        <w:ind w:left="673"/>
      </w:pPr>
      <w:r>
        <w:t>6、监理单位：ft</w:t>
      </w:r>
      <w:r>
        <w:rPr>
          <w:spacing w:val="-1"/>
        </w:rPr>
        <w:t>东天柱建设监理咨询有限公司</w:t>
      </w:r>
    </w:p>
    <w:p>
      <w:pPr>
        <w:pStyle w:val="BodyText"/>
        <w:spacing w:before="151"/>
        <w:ind w:left="673"/>
      </w:pPr>
      <w:r>
        <w:t>7、施工单位：ft</w:t>
      </w:r>
      <w:r>
        <w:rPr>
          <w:spacing w:val="-2"/>
        </w:rPr>
        <w:t>东冠鲁集团公司</w:t>
      </w:r>
    </w:p>
    <w:p>
      <w:pPr>
        <w:pStyle w:val="BodyText"/>
        <w:spacing w:before="152"/>
        <w:ind w:left="673"/>
      </w:pPr>
      <w:r>
        <w:t>8</w:t>
      </w:r>
      <w:r>
        <w:rPr>
          <w:spacing w:val="-5"/>
        </w:rPr>
        <w:t xml:space="preserve">、建设规模：总建筑面积为 </w:t>
      </w:r>
      <w:r>
        <w:t>13833.93m</w:t>
      </w:r>
      <w:r>
        <w:rPr>
          <w:vertAlign w:val="superscript"/>
        </w:rPr>
        <w:t>2</w:t>
      </w:r>
      <w:r>
        <w:rPr>
          <w:spacing w:val="-1"/>
          <w:vertAlign w:val="baseline"/>
        </w:rPr>
        <w:t xml:space="preserve"> ，地下一层，地上六层。</w:t>
      </w:r>
    </w:p>
    <w:p>
      <w:pPr>
        <w:pStyle w:val="BodyText"/>
        <w:spacing w:before="151" w:line="340" w:lineRule="auto"/>
        <w:ind w:left="673" w:right="4572"/>
      </w:pPr>
      <w:r>
        <w:rPr>
          <w:spacing w:val="-2"/>
        </w:rPr>
        <w:t>9、质量监督：聊城市建设质量监督站</w:t>
      </w:r>
      <w:r>
        <w:rPr>
          <w:spacing w:val="-2"/>
        </w:rPr>
        <w:t>本工程属于二类高层综合性商业建筑。</w:t>
      </w:r>
      <w:r>
        <w:rPr>
          <w:spacing w:val="-1"/>
        </w:rPr>
        <w:t>一、工程电气部分包括强电及弱电系统</w:t>
      </w:r>
    </w:p>
    <w:p>
      <w:pPr>
        <w:pStyle w:val="BodyText"/>
        <w:spacing w:before="2" w:line="340" w:lineRule="auto"/>
        <w:ind w:right="532" w:firstLine="700"/>
        <w:jc w:val="both"/>
      </w:pPr>
      <w:r>
        <w:rPr>
          <w:spacing w:val="-2"/>
        </w:rPr>
        <w:t>（一）强电系统：本工程采用两路低压电缆进线，一路引自地下室变压</w:t>
      </w:r>
      <w:r>
        <w:rPr>
          <w:spacing w:val="-2"/>
        </w:rPr>
        <w:t>器，另一路引自柴油发电机，一用一备，应急及疏散照明采用分散式蓄电池</w:t>
      </w:r>
      <w:r>
        <w:rPr>
          <w:spacing w:val="-3"/>
        </w:rPr>
        <w:t xml:space="preserve">供电。本工程设备总容量为 </w:t>
      </w:r>
      <w:r>
        <w:t>686.3kw，其中：二级负荷容量，115kw，主要用</w:t>
      </w:r>
      <w:r>
        <w:rPr>
          <w:spacing w:val="-2"/>
        </w:rPr>
        <w:t>电设备有消防控制室，应急及疏散照明、水泵，消防设备；三级负荷容量， 571.3kw</w:t>
      </w:r>
      <w:r>
        <w:rPr>
          <w:spacing w:val="-27"/>
        </w:rPr>
        <w:t>主，要用电设备有办公照明</w:t>
      </w:r>
      <w:r>
        <w:rPr>
          <w:spacing w:val="-57"/>
        </w:rPr>
        <w:t>空，调用电</w:t>
      </w:r>
      <w:r>
        <w:rPr>
          <w:spacing w:val="-21"/>
        </w:rPr>
        <w:t>低。压配电系统采用２２０／３８０</w:t>
      </w:r>
      <w:r>
        <w:rPr>
          <w:spacing w:val="-2"/>
        </w:rPr>
        <w:t xml:space="preserve"> Ｖ放射式与树干式相结合的方式，对于单台容量较大的负荷或重要负荷采用</w:t>
      </w:r>
      <w:r>
        <w:rPr>
          <w:spacing w:val="-2"/>
        </w:rPr>
        <w:t>放射式供电；对于照明及一般负荷采用树干式。二级负荷和特别重要负荷采</w:t>
      </w:r>
      <w:r>
        <w:rPr>
          <w:spacing w:val="-2"/>
        </w:rPr>
        <w:t>用双电源供电，并在末端自动切换。</w:t>
      </w:r>
    </w:p>
    <w:p>
      <w:pPr>
        <w:pStyle w:val="BodyText"/>
        <w:spacing w:before="4" w:line="340" w:lineRule="auto"/>
        <w:ind w:right="532" w:firstLine="555"/>
      </w:pPr>
      <w:r>
        <w:rPr>
          <w:spacing w:val="-2"/>
        </w:rPr>
        <w:t>防雷接地系统：本工程防雷等级为第三类防雷建筑物，利用构造柱内钢</w:t>
      </w:r>
      <w:r>
        <w:rPr>
          <w:spacing w:val="-2"/>
        </w:rPr>
        <w:t>筋作为引下线与基础钢筋焊接，并设置总等电位连接。</w:t>
      </w:r>
    </w:p>
    <w:p>
      <w:pPr>
        <w:pStyle w:val="BodyText"/>
        <w:spacing w:before="1"/>
        <w:ind w:left="673"/>
      </w:pPr>
      <w:r>
        <w:t>（二）</w:t>
      </w:r>
      <w:r>
        <w:rPr>
          <w:spacing w:val="-2"/>
        </w:rPr>
        <w:t>弱电系统：</w:t>
      </w:r>
    </w:p>
    <w:p>
      <w:pPr>
        <w:pStyle w:val="BodyText"/>
        <w:tabs>
          <w:tab w:val="left" w:pos="9837"/>
        </w:tabs>
        <w:spacing w:line="510" w:lineRule="atLeast"/>
        <w:ind w:right="167" w:firstLine="980"/>
        <w:sectPr>
          <w:headerReference w:type="default" r:id="rId8"/>
          <w:footerReference w:type="default" r:id="rId9"/>
          <w:pgSz w:w="11910" w:h="16840"/>
          <w:pgMar w:top="1160" w:right="600" w:bottom="1560" w:left="1300" w:header="906" w:footer="1372"/>
          <w:pgNumType w:start="3"/>
          <w:cols w:space="708"/>
        </w:sectPr>
      </w:pPr>
      <w:r>
        <w:rPr>
          <w:spacing w:val="-2"/>
        </w:rPr>
        <w:t>1、火灾自动报警及消防联动控制系统。火灾自动报警系统的保护等</w:t>
      </w:r>
      <w:r>
        <w:rPr>
          <w:spacing w:val="40"/>
        </w:rPr>
        <w:t xml:space="preserve">  </w:t>
      </w:r>
    </w:p>
    <w:p>
      <w:pPr>
        <w:pStyle w:val="BodyText"/>
        <w:tabs>
          <w:tab w:val="left" w:pos="9837"/>
        </w:tabs>
        <w:spacing w:line="510" w:lineRule="atLeast"/>
        <w:ind w:right="167" w:firstLine="980"/>
      </w:pPr>
      <w:r>
        <w:rPr>
          <w:spacing w:val="-2"/>
          <w:u w:val="single"/>
        </w:rPr>
        <w:t>级</w:t>
      </w:r>
      <w:r>
        <w:rPr>
          <w:spacing w:val="-2"/>
          <w:u w:val="single"/>
        </w:rPr>
        <w:t>按</w:t>
      </w:r>
      <w:r>
        <w:rPr>
          <w:spacing w:val="-2"/>
          <w:u w:val="single"/>
        </w:rPr>
        <w:t>二</w:t>
      </w:r>
      <w:r>
        <w:rPr>
          <w:spacing w:val="-2"/>
          <w:u w:val="single"/>
        </w:rPr>
        <w:t>级</w:t>
      </w:r>
      <w:r>
        <w:rPr>
          <w:spacing w:val="-2"/>
          <w:u w:val="single"/>
        </w:rPr>
        <w:t>设</w:t>
      </w:r>
      <w:r>
        <w:rPr>
          <w:spacing w:val="-2"/>
          <w:u w:val="single"/>
        </w:rPr>
        <w:t>置</w:t>
      </w:r>
      <w:r>
        <w:rPr>
          <w:spacing w:val="-2"/>
          <w:u w:val="single"/>
        </w:rPr>
        <w:t>。</w:t>
      </w:r>
      <w:r>
        <w:rPr>
          <w:spacing w:val="-2"/>
          <w:u w:val="single"/>
        </w:rPr>
        <w:t>系</w:t>
      </w:r>
      <w:r>
        <w:rPr>
          <w:spacing w:val="-2"/>
          <w:u w:val="single"/>
        </w:rPr>
        <w:t>统</w:t>
      </w:r>
      <w:r>
        <w:rPr>
          <w:spacing w:val="-2"/>
          <w:u w:val="single"/>
        </w:rPr>
        <w:t>组</w:t>
      </w:r>
      <w:r>
        <w:rPr>
          <w:spacing w:val="-2"/>
          <w:u w:val="single"/>
        </w:rPr>
        <w:t>成</w:t>
      </w:r>
      <w:r>
        <w:rPr>
          <w:spacing w:val="-2"/>
          <w:u w:val="single"/>
        </w:rPr>
        <w:t>：</w:t>
      </w:r>
      <w:r>
        <w:rPr>
          <w:spacing w:val="-2"/>
          <w:u w:val="single"/>
        </w:rPr>
        <w:t>火</w:t>
      </w:r>
      <w:r>
        <w:rPr>
          <w:spacing w:val="-2"/>
          <w:u w:val="single"/>
        </w:rPr>
        <w:t>灾</w:t>
      </w:r>
      <w:r>
        <w:rPr>
          <w:spacing w:val="-2"/>
          <w:u w:val="single"/>
        </w:rPr>
        <w:t>自</w:t>
      </w:r>
      <w:r>
        <w:rPr>
          <w:spacing w:val="-2"/>
          <w:u w:val="single"/>
        </w:rPr>
        <w:t>动</w:t>
      </w:r>
      <w:r>
        <w:rPr>
          <w:spacing w:val="-2"/>
          <w:u w:val="single"/>
        </w:rPr>
        <w:t>报</w:t>
      </w:r>
      <w:r>
        <w:rPr>
          <w:spacing w:val="-2"/>
          <w:u w:val="single"/>
        </w:rPr>
        <w:t>警</w:t>
      </w:r>
      <w:r>
        <w:rPr>
          <w:spacing w:val="-2"/>
          <w:u w:val="single"/>
        </w:rPr>
        <w:t>系</w:t>
      </w:r>
      <w:r>
        <w:rPr>
          <w:spacing w:val="-2"/>
          <w:u w:val="single"/>
        </w:rPr>
        <w:t>统</w:t>
      </w:r>
      <w:r>
        <w:rPr>
          <w:spacing w:val="-2"/>
          <w:u w:val="single"/>
        </w:rPr>
        <w:t>；</w:t>
      </w:r>
      <w:r>
        <w:rPr>
          <w:spacing w:val="-2"/>
          <w:u w:val="single"/>
        </w:rPr>
        <w:t>消</w:t>
      </w:r>
      <w:r>
        <w:rPr>
          <w:spacing w:val="-2"/>
          <w:u w:val="single"/>
        </w:rPr>
        <w:t>防</w:t>
      </w:r>
      <w:r>
        <w:rPr>
          <w:spacing w:val="-2"/>
          <w:u w:val="single"/>
        </w:rPr>
        <w:t>联</w:t>
      </w:r>
      <w:r>
        <w:rPr>
          <w:spacing w:val="-2"/>
          <w:u w:val="single"/>
        </w:rPr>
        <w:t>动</w:t>
      </w:r>
      <w:r>
        <w:rPr>
          <w:spacing w:val="-2"/>
          <w:u w:val="single"/>
        </w:rPr>
        <w:t>控</w:t>
      </w:r>
      <w:r>
        <w:rPr>
          <w:spacing w:val="-2"/>
          <w:u w:val="single"/>
        </w:rPr>
        <w:t>制</w:t>
      </w:r>
      <w:r>
        <w:rPr>
          <w:spacing w:val="-2"/>
          <w:u w:val="single"/>
        </w:rPr>
        <w:t>系</w:t>
      </w:r>
      <w:r>
        <w:rPr>
          <w:spacing w:val="-2"/>
          <w:u w:val="single"/>
        </w:rPr>
        <w:t>统</w:t>
      </w:r>
      <w:r>
        <w:rPr>
          <w:spacing w:val="-2"/>
          <w:u w:val="single"/>
        </w:rPr>
        <w:t>；</w:t>
      </w:r>
      <w:r>
        <w:rPr>
          <w:spacing w:val="-2"/>
          <w:u w:val="single"/>
        </w:rPr>
        <w:t>火</w:t>
      </w:r>
      <w:r>
        <w:rPr>
          <w:spacing w:val="-2"/>
          <w:u w:val="single"/>
        </w:rPr>
        <w:t>灾</w:t>
      </w:r>
      <w:r>
        <w:rPr>
          <w:spacing w:val="-2"/>
          <w:u w:val="single"/>
        </w:rPr>
        <w:t>应</w:t>
      </w:r>
      <w:r>
        <w:rPr>
          <w:u w:val="single"/>
        </w:rPr>
        <w:tab/>
      </w:r>
    </w:p>
    <w:p>
      <w:pPr>
        <w:spacing w:after="0" w:line="510" w:lineRule="atLeast"/>
        <w:sectPr>
          <w:headerReference w:type="default" r:id="rId10"/>
          <w:footerReference w:type="default" r:id="rId11"/>
          <w:type w:val="nextPage"/>
          <w:pgSz w:w="11910" w:h="16840"/>
          <w:pgMar w:top="1160" w:right="600" w:bottom="1560" w:left="1300" w:header="906" w:footer="1372"/>
          <w:pgNumType w:start="4"/>
          <w:cols w:space="708"/>
          <w:titlePg w:val="0"/>
        </w:sectPr>
      </w:pPr>
    </w:p>
    <w:p>
      <w:pPr>
        <w:pStyle w:val="BodyText"/>
        <w:spacing w:before="123" w:line="340" w:lineRule="auto"/>
        <w:ind w:right="532"/>
      </w:pPr>
      <w:r>
        <w:rPr>
          <w:spacing w:val="-2"/>
        </w:rPr>
        <w:t>急广播系统；消防直通对讲电话系统；电梯监视控制系统；应急照明控制系</w:t>
      </w:r>
      <w:r>
        <w:rPr>
          <w:spacing w:val="-6"/>
        </w:rPr>
        <w:t>统。</w:t>
      </w:r>
    </w:p>
    <w:p>
      <w:pPr>
        <w:pStyle w:val="BodyText"/>
        <w:spacing w:before="2"/>
        <w:ind w:left="1098"/>
      </w:pPr>
      <w:r>
        <w:t>2</w:t>
      </w:r>
      <w:r>
        <w:rPr>
          <w:spacing w:val="-2"/>
        </w:rPr>
        <w:t>、有线电视系统。</w:t>
      </w:r>
    </w:p>
    <w:p>
      <w:pPr>
        <w:pStyle w:val="BodyText"/>
        <w:spacing w:before="151"/>
        <w:ind w:left="1098"/>
      </w:pPr>
      <w:r>
        <w:t>3</w:t>
      </w:r>
      <w:r>
        <w:rPr>
          <w:spacing w:val="-2"/>
        </w:rPr>
        <w:t>、综合布线系统。</w:t>
      </w:r>
    </w:p>
    <w:p>
      <w:pPr>
        <w:pStyle w:val="BodyText"/>
        <w:spacing w:before="135" w:line="417" w:lineRule="auto"/>
        <w:ind w:right="532" w:firstLine="560"/>
      </w:pPr>
      <w:r>
        <w:rPr>
          <w:spacing w:val="-2"/>
        </w:rPr>
        <w:t>二、工程给排水部分给水系统、生活排水系统、消火栓系统、自动喷水</w:t>
      </w:r>
      <w:r>
        <w:rPr>
          <w:spacing w:val="-2"/>
        </w:rPr>
        <w:t>灭火系统及移动灭火器配置。</w:t>
      </w:r>
    </w:p>
    <w:p>
      <w:pPr>
        <w:pStyle w:val="BodyText"/>
        <w:spacing w:line="417" w:lineRule="auto"/>
        <w:ind w:right="312"/>
      </w:pPr>
      <w:r>
        <w:t>（一） 给水系统： 水源为建设单位提供为市政给水管网供应，建筑物入口</w:t>
      </w:r>
      <w:r>
        <w:rPr>
          <w:spacing w:val="-1"/>
        </w:rPr>
        <w:t>供水压力不小于0.30MPa</w:t>
      </w:r>
      <w:r>
        <w:rPr>
          <w:spacing w:val="-23"/>
        </w:rPr>
        <w:t>。最高日用水量</w:t>
      </w:r>
      <w:r>
        <w:rPr>
          <w:spacing w:val="16"/>
        </w:rPr>
        <w:t>79.2T/d</w:t>
      </w:r>
      <w:r>
        <w:rPr>
          <w:spacing w:val="-17"/>
        </w:rPr>
        <w:t>，最大时生活用水量</w:t>
      </w:r>
      <w:r>
        <w:rPr>
          <w:spacing w:val="-1"/>
        </w:rPr>
        <w:t>7.26M</w:t>
      </w:r>
      <w:r>
        <w:rPr>
          <w:spacing w:val="-1"/>
          <w:vertAlign w:val="superscript"/>
        </w:rPr>
        <w:t>3</w:t>
      </w:r>
      <w:r>
        <w:rPr>
          <w:spacing w:val="-1"/>
          <w:vertAlign w:val="baseline"/>
        </w:rPr>
        <w:t>/h</w:t>
      </w:r>
      <w:r>
        <w:rPr>
          <w:spacing w:val="-1"/>
          <w:vertAlign w:val="baseline"/>
        </w:rPr>
        <w:t>。</w:t>
      </w:r>
      <w:r>
        <w:rPr>
          <w:spacing w:val="-7"/>
          <w:vertAlign w:val="baseline"/>
        </w:rPr>
        <w:t xml:space="preserve">室内给水管均采用 </w:t>
      </w:r>
      <w:r>
        <w:rPr>
          <w:vertAlign w:val="baseline"/>
        </w:rPr>
        <w:t>PP-R</w:t>
      </w:r>
      <w:r>
        <w:rPr>
          <w:spacing w:val="-16"/>
          <w:vertAlign w:val="baseline"/>
        </w:rPr>
        <w:t xml:space="preserve"> 塑料管</w:t>
      </w:r>
      <w:r>
        <w:rPr>
          <w:spacing w:val="28"/>
          <w:vertAlign w:val="baseline"/>
        </w:rPr>
        <w:t>（S4</w:t>
      </w:r>
      <w:r>
        <w:rPr>
          <w:spacing w:val="-112"/>
          <w:vertAlign w:val="baseline"/>
        </w:rPr>
        <w:t>）</w:t>
      </w:r>
      <w:r>
        <w:rPr>
          <w:spacing w:val="3"/>
          <w:vertAlign w:val="baseline"/>
        </w:rPr>
        <w:t>，热熔连接。</w:t>
      </w:r>
    </w:p>
    <w:p>
      <w:pPr>
        <w:pStyle w:val="BodyText"/>
        <w:spacing w:line="417" w:lineRule="auto"/>
        <w:ind w:right="392" w:firstLine="140"/>
      </w:pPr>
      <w:r>
        <w:t>（二）</w:t>
      </w:r>
      <w:r>
        <w:rPr>
          <w:spacing w:val="-5"/>
        </w:rPr>
        <w:t>生活排水系统：室内生活排水系统采用合流制，首层及首层以上的生</w:t>
      </w:r>
      <w:r>
        <w:rPr>
          <w:spacing w:val="2"/>
        </w:rPr>
        <w:t>活污水直接排至室外，经化粪池初级处理后排入城市污水管网。地下室的生</w:t>
      </w:r>
      <w:r>
        <w:rPr>
          <w:spacing w:val="-4"/>
        </w:rPr>
        <w:t>活污水、汽车库、水泵房内的积水均设集水池汇水，经潜污泵提升排至室外。</w:t>
      </w:r>
      <w:r>
        <w:rPr>
          <w:spacing w:val="-8"/>
        </w:rPr>
        <w:t xml:space="preserve">每个集水池设 </w:t>
      </w:r>
      <w:r>
        <w:t>2</w:t>
      </w:r>
      <w:r>
        <w:rPr>
          <w:spacing w:val="-6"/>
        </w:rPr>
        <w:t xml:space="preserve"> 台潜污泵，潜污泵由集水池水位自动控制启停，经化粪池初</w:t>
      </w:r>
      <w:r>
        <w:rPr>
          <w:spacing w:val="2"/>
        </w:rPr>
        <w:t>级处理后排入城市污水管网。排水横管敷设位置：下一层户内空间。室内排</w:t>
      </w:r>
      <w:r>
        <w:rPr>
          <w:spacing w:val="6"/>
        </w:rPr>
        <w:t>水立管采用硬聚氯乙烯</w:t>
      </w:r>
      <w:r>
        <w:t>(UPVC)</w:t>
      </w:r>
      <w:r>
        <w:rPr>
          <w:spacing w:val="1"/>
        </w:rPr>
        <w:t>管,承插粘接接头,每层加伸缩节和阻火圈,详 L03S002-67;</w:t>
      </w:r>
      <w:r>
        <w:rPr>
          <w:spacing w:val="4"/>
        </w:rPr>
        <w:t>支管采用普通</w:t>
      </w:r>
      <w:r>
        <w:t>(UPVC)</w:t>
      </w:r>
      <w:r>
        <w:rPr>
          <w:spacing w:val="2"/>
        </w:rPr>
        <w:t>排水塑料管粘接,雨水管采用高密度硬乙烯管,热熔连接,出屋面通气管采用机制排水铸铁管,柔性接口。</w:t>
      </w:r>
    </w:p>
    <w:p>
      <w:pPr>
        <w:pStyle w:val="BodyText"/>
        <w:spacing w:line="417" w:lineRule="auto"/>
        <w:ind w:right="531" w:firstLine="560"/>
        <w:jc w:val="both"/>
      </w:pPr>
      <w:r>
        <w:rPr>
          <w:spacing w:val="-2"/>
        </w:rPr>
        <w:t>（三）消火给水系统：本工程为耐火等级一级的二类高层公共建筑，室</w:t>
      </w:r>
      <w:r>
        <w:rPr>
          <w:spacing w:val="-6"/>
        </w:rPr>
        <w:t xml:space="preserve">内消防用水量为 </w:t>
      </w:r>
      <w:r>
        <w:rPr>
          <w:spacing w:val="-2"/>
        </w:rPr>
        <w:t>20L/S</w:t>
      </w:r>
      <w:r>
        <w:rPr>
          <w:spacing w:val="-6"/>
        </w:rPr>
        <w:t xml:space="preserve">，室外消防用水量为 </w:t>
      </w:r>
      <w:r>
        <w:rPr>
          <w:spacing w:val="-2"/>
        </w:rPr>
        <w:t>25L/S</w:t>
      </w:r>
      <w:r>
        <w:rPr>
          <w:spacing w:val="-6"/>
        </w:rPr>
        <w:t xml:space="preserve">，消防竖管流量为 </w:t>
      </w:r>
      <w:r>
        <w:rPr>
          <w:spacing w:val="-2"/>
        </w:rPr>
        <w:t>15L/S，</w:t>
      </w:r>
      <w:r>
        <w:rPr>
          <w:spacing w:val="-6"/>
        </w:rPr>
        <w:t xml:space="preserve">充实水柱大于等于 </w:t>
      </w:r>
      <w:r>
        <w:rPr>
          <w:spacing w:val="-2"/>
        </w:rPr>
        <w:t>7M</w:t>
      </w:r>
      <w:r>
        <w:rPr>
          <w:spacing w:val="-11"/>
        </w:rPr>
        <w:t xml:space="preserve"> ，火灾延续时间 </w:t>
      </w:r>
      <w:r>
        <w:rPr>
          <w:spacing w:val="-2"/>
        </w:rPr>
        <w:t>3</w:t>
      </w:r>
      <w:r>
        <w:rPr>
          <w:spacing w:val="-11"/>
        </w:rPr>
        <w:t xml:space="preserve"> 小时。并在屋顶设置 </w:t>
      </w:r>
      <w:r>
        <w:rPr>
          <w:spacing w:val="-2"/>
        </w:rPr>
        <w:t>18M</w:t>
      </w:r>
      <w:r>
        <w:rPr>
          <w:spacing w:val="-2"/>
          <w:vertAlign w:val="superscript"/>
        </w:rPr>
        <w:t>3</w:t>
      </w:r>
      <w:r>
        <w:rPr>
          <w:spacing w:val="-10"/>
          <w:vertAlign w:val="baseline"/>
        </w:rPr>
        <w:t xml:space="preserve"> 高位消防</w:t>
      </w:r>
      <w:r>
        <w:rPr>
          <w:spacing w:val="-6"/>
          <w:vertAlign w:val="baseline"/>
        </w:rPr>
        <w:t xml:space="preserve">水箱。地下室设消防水池，水池体积为 </w:t>
      </w:r>
      <w:r>
        <w:rPr>
          <w:spacing w:val="-4"/>
          <w:vertAlign w:val="baseline"/>
        </w:rPr>
        <w:t>252m³。自动喷水灭火系统：自动喷水</w:t>
      </w:r>
      <w:r>
        <w:rPr>
          <w:spacing w:val="7"/>
          <w:vertAlign w:val="baseline"/>
        </w:rPr>
        <w:t>灭火系统地下部分按中危险二级，地上部分按中危险一级，喷水强度分别</w:t>
      </w:r>
      <w:r>
        <w:rPr>
          <w:vertAlign w:val="baseline"/>
        </w:rPr>
        <w:t xml:space="preserve"> 8L/min.m</w:t>
      </w:r>
      <w:r>
        <w:rPr>
          <w:vertAlign w:val="superscript"/>
        </w:rPr>
        <w:t>2</w:t>
      </w:r>
      <w:r>
        <w:rPr>
          <w:spacing w:val="-25"/>
          <w:vertAlign w:val="baseline"/>
        </w:rPr>
        <w:t xml:space="preserve"> ，</w:t>
      </w:r>
      <w:r>
        <w:rPr>
          <w:vertAlign w:val="baseline"/>
        </w:rPr>
        <w:t>6L/min.m²</w:t>
      </w:r>
      <w:r>
        <w:rPr>
          <w:spacing w:val="-14"/>
          <w:vertAlign w:val="baseline"/>
        </w:rPr>
        <w:t xml:space="preserve">作用面积 </w:t>
      </w:r>
      <w:r>
        <w:rPr>
          <w:vertAlign w:val="baseline"/>
        </w:rPr>
        <w:t>160m</w:t>
      </w:r>
      <w:r>
        <w:rPr>
          <w:vertAlign w:val="superscript"/>
        </w:rPr>
        <w:t>2</w:t>
      </w:r>
      <w:r>
        <w:rPr>
          <w:spacing w:val="-8"/>
          <w:vertAlign w:val="baseline"/>
        </w:rPr>
        <w:t xml:space="preserve">，系统额定用水量 </w:t>
      </w:r>
      <w:r>
        <w:rPr>
          <w:vertAlign w:val="baseline"/>
        </w:rPr>
        <w:t>28L/S。喷淋供水管</w:t>
      </w:r>
    </w:p>
    <w:p>
      <w:pPr>
        <w:spacing w:after="0" w:line="417" w:lineRule="auto"/>
        <w:jc w:val="both"/>
        <w:sectPr>
          <w:headerReference w:type="default" r:id="rId12"/>
          <w:footerReference w:type="default" r:id="rId13"/>
          <w:pgSz w:w="11910" w:h="16840"/>
          <w:pgMar w:top="1160" w:right="600" w:bottom="1680" w:left="1300" w:header="906" w:footer="1372"/>
          <w:pgNumType w:start="5"/>
          <w:cols w:space="708"/>
        </w:sectPr>
      </w:pPr>
    </w:p>
    <w:p>
      <w:pPr>
        <w:pStyle w:val="BodyText"/>
        <w:spacing w:before="107"/>
        <w:jc w:val="both"/>
      </w:pPr>
      <w:r>
        <w:rPr>
          <w:spacing w:val="-5"/>
        </w:rPr>
        <w:t xml:space="preserve">道采用热镀锌钢管，管径小于 </w:t>
      </w:r>
      <w:r>
        <w:t>100</w:t>
      </w:r>
      <w:r>
        <w:rPr>
          <w:spacing w:val="-16"/>
        </w:rPr>
        <w:t xml:space="preserve"> 为丝接，管径大于 </w:t>
      </w:r>
      <w:r>
        <w:t>100</w:t>
      </w:r>
      <w:r>
        <w:rPr>
          <w:spacing w:val="-11"/>
        </w:rPr>
        <w:t xml:space="preserve"> 为沟槽管件连接。</w:t>
      </w:r>
    </w:p>
    <w:p>
      <w:pPr>
        <w:pStyle w:val="BodyText"/>
        <w:spacing w:before="9"/>
        <w:ind w:left="0"/>
        <w:rPr>
          <w:sz w:val="20"/>
        </w:rPr>
      </w:pPr>
    </w:p>
    <w:p>
      <w:pPr>
        <w:pStyle w:val="BodyText"/>
        <w:spacing w:line="417" w:lineRule="auto"/>
        <w:ind w:right="532" w:firstLine="560"/>
        <w:jc w:val="both"/>
      </w:pPr>
      <w:r>
        <w:rPr>
          <w:spacing w:val="-6"/>
        </w:rPr>
        <w:t>（四）移动灭火器配置：本工程商业部分按中危险级，A</w:t>
      </w:r>
      <w:r>
        <w:rPr>
          <w:spacing w:val="-8"/>
        </w:rPr>
        <w:t xml:space="preserve"> 类火灾。地下车</w:t>
      </w:r>
      <w:r>
        <w:rPr>
          <w:spacing w:val="-6"/>
        </w:rPr>
        <w:t>库部分按中危险级，B 类火灾。灭火器类型为磷酸铵盐干粉灭火器，设置于专</w:t>
      </w:r>
      <w:r>
        <w:rPr>
          <w:spacing w:val="-2"/>
        </w:rPr>
        <w:t>用灭火器箱。</w:t>
      </w:r>
    </w:p>
    <w:p>
      <w:pPr>
        <w:pStyle w:val="BodyText"/>
        <w:spacing w:line="417" w:lineRule="auto"/>
        <w:ind w:right="532" w:firstLine="560"/>
      </w:pPr>
      <w:r>
        <w:rPr>
          <w:spacing w:val="-2"/>
        </w:rPr>
        <w:t>三、工程通风部分包括；地下车库通风、设备机房通风、地下车库及商</w:t>
      </w:r>
      <w:r>
        <w:rPr>
          <w:spacing w:val="-2"/>
        </w:rPr>
        <w:t>场内的排烟。</w:t>
      </w:r>
    </w:p>
    <w:p>
      <w:pPr>
        <w:pStyle w:val="BodyText"/>
        <w:spacing w:line="417" w:lineRule="auto"/>
        <w:ind w:right="532" w:firstLine="560"/>
      </w:pPr>
      <w:r>
        <w:rPr>
          <w:spacing w:val="-2"/>
        </w:rPr>
        <w:t>四、采暖系统；采用低温热水地板辐射式采暖，加热管敷设在垫层内，</w:t>
      </w:r>
      <w:r>
        <w:rPr>
          <w:spacing w:val="-2"/>
        </w:rPr>
        <w:t>采暖立管采用异程式，卫生间设散热器。</w:t>
      </w:r>
    </w:p>
    <w:p>
      <w:pPr>
        <w:pStyle w:val="Heading1"/>
        <w:spacing w:before="62"/>
        <w:ind w:left="678"/>
      </w:pPr>
      <w:bookmarkStart w:id="0" w:name="_TOC_250003"/>
      <w:bookmarkEnd w:id="0"/>
      <w:r>
        <w:rPr>
          <w:spacing w:val="-2"/>
        </w:rPr>
        <w:t>二、监理工作流程</w:t>
      </w:r>
    </w:p>
    <w:p>
      <w:pPr>
        <w:pStyle w:val="BodyText"/>
        <w:spacing w:before="8"/>
        <w:ind w:left="0"/>
        <w:rPr>
          <w:rFonts w:ascii="Microsoft JhengHei"/>
          <w:b/>
          <w:sz w:val="19"/>
        </w:rPr>
      </w:pPr>
    </w:p>
    <w:p>
      <w:pPr>
        <w:pStyle w:val="ListParagraph"/>
        <w:numPr>
          <w:ilvl w:val="0"/>
          <w:numId w:val="25"/>
        </w:numPr>
        <w:tabs>
          <w:tab w:val="left" w:pos="959"/>
        </w:tabs>
        <w:spacing w:before="0" w:after="0" w:line="240" w:lineRule="auto"/>
        <w:ind w:left="959" w:right="0" w:hanging="281"/>
        <w:jc w:val="left"/>
        <w:rPr>
          <w:sz w:val="28"/>
        </w:rPr>
      </w:pPr>
      <w:r>
        <w:rPr>
          <w:spacing w:val="-1"/>
          <w:sz w:val="28"/>
        </w:rPr>
        <w:t>施工组织设计和前程序图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开工申请和前程序图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隐蔽工程报验程序图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工序交接检验程序图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1"/>
          <w:sz w:val="28"/>
        </w:rPr>
        <w:t>检验批、分项、分部工程流程图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进控制流程图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支付工程款程序框图</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2"/>
          <w:sz w:val="28"/>
        </w:rPr>
        <w:t>索赔处理流程</w:t>
      </w:r>
    </w:p>
    <w:p>
      <w:pPr>
        <w:pStyle w:val="BodyText"/>
        <w:spacing w:before="9"/>
        <w:ind w:left="0"/>
        <w:rPr>
          <w:sz w:val="20"/>
        </w:rPr>
      </w:pPr>
    </w:p>
    <w:p>
      <w:pPr>
        <w:pStyle w:val="ListParagraph"/>
        <w:numPr>
          <w:ilvl w:val="0"/>
          <w:numId w:val="25"/>
        </w:numPr>
        <w:tabs>
          <w:tab w:val="left" w:pos="959"/>
        </w:tabs>
        <w:spacing w:before="0" w:after="0" w:line="240" w:lineRule="auto"/>
        <w:ind w:left="959" w:right="0" w:hanging="281"/>
        <w:jc w:val="left"/>
        <w:rPr>
          <w:sz w:val="28"/>
        </w:rPr>
      </w:pPr>
      <w:r>
        <w:rPr>
          <w:spacing w:val="-1"/>
          <w:sz w:val="28"/>
        </w:rPr>
        <w:t>协调会议纪要签发程序图</w:t>
      </w:r>
    </w:p>
    <w:p>
      <w:pPr>
        <w:pStyle w:val="BodyText"/>
        <w:spacing w:before="9"/>
        <w:ind w:left="0"/>
        <w:rPr>
          <w:sz w:val="20"/>
        </w:rPr>
      </w:pPr>
    </w:p>
    <w:p>
      <w:pPr>
        <w:pStyle w:val="ListParagraph"/>
        <w:numPr>
          <w:ilvl w:val="0"/>
          <w:numId w:val="25"/>
        </w:numPr>
        <w:tabs>
          <w:tab w:val="left" w:pos="1099"/>
        </w:tabs>
        <w:spacing w:before="0" w:after="0" w:line="240" w:lineRule="auto"/>
        <w:ind w:left="1099" w:right="0" w:hanging="421"/>
        <w:jc w:val="left"/>
        <w:rPr>
          <w:sz w:val="28"/>
        </w:rPr>
      </w:pPr>
      <w:r>
        <w:rPr>
          <w:spacing w:val="-1"/>
          <w:sz w:val="28"/>
        </w:rPr>
        <w:t>工程设计变更签证程序框图</w:t>
      </w:r>
    </w:p>
    <w:p>
      <w:pPr>
        <w:pStyle w:val="BodyText"/>
        <w:spacing w:before="9"/>
        <w:ind w:left="0"/>
        <w:rPr>
          <w:sz w:val="20"/>
        </w:rPr>
      </w:pPr>
    </w:p>
    <w:p>
      <w:pPr>
        <w:pStyle w:val="ListParagraph"/>
        <w:numPr>
          <w:ilvl w:val="0"/>
          <w:numId w:val="25"/>
        </w:numPr>
        <w:tabs>
          <w:tab w:val="left" w:pos="1099"/>
        </w:tabs>
        <w:spacing w:before="0" w:after="0" w:line="240" w:lineRule="auto"/>
        <w:ind w:left="1099" w:right="0" w:hanging="421"/>
        <w:jc w:val="left"/>
        <w:rPr>
          <w:sz w:val="28"/>
        </w:rPr>
      </w:pPr>
      <w:r>
        <w:rPr>
          <w:spacing w:val="-1"/>
          <w:sz w:val="28"/>
        </w:rPr>
        <w:t>施工进度计划的申报及审批程序框图</w:t>
      </w:r>
    </w:p>
    <w:p>
      <w:pPr>
        <w:spacing w:after="0" w:line="240" w:lineRule="auto"/>
        <w:jc w:val="left"/>
        <w:rPr>
          <w:sz w:val="28"/>
        </w:rPr>
        <w:sectPr>
          <w:headerReference w:type="default" r:id="rId14"/>
          <w:footerReference w:type="default" r:id="rId15"/>
          <w:pgSz w:w="11910" w:h="16840"/>
          <w:pgMar w:top="1160" w:right="600" w:bottom="1680" w:left="1300" w:header="906" w:footer="1372"/>
          <w:pgNumType w:start="6"/>
          <w:cols w:space="708"/>
        </w:sectPr>
      </w:pPr>
    </w:p>
    <w:p>
      <w:pPr>
        <w:pStyle w:val="Heading1"/>
        <w:spacing w:before="15"/>
        <w:ind w:left="678"/>
      </w:pPr>
      <w:bookmarkStart w:id="1" w:name="_TOC_250002"/>
      <w:bookmarkEnd w:id="1"/>
      <w:r>
        <w:rPr>
          <w:spacing w:val="-1"/>
        </w:rPr>
        <w:t>三、监理工作的控制要点及目标值</w:t>
      </w:r>
    </w:p>
    <w:p>
      <w:pPr>
        <w:pStyle w:val="BodyText"/>
        <w:spacing w:before="7"/>
        <w:ind w:left="0"/>
        <w:rPr>
          <w:rFonts w:ascii="Microsoft JhengHei"/>
          <w:b/>
          <w:sz w:val="19"/>
        </w:rPr>
      </w:pPr>
    </w:p>
    <w:p>
      <w:pPr>
        <w:pStyle w:val="BodyText"/>
        <w:spacing w:before="1"/>
        <w:ind w:left="678"/>
      </w:pPr>
      <w:r>
        <w:t>（一）</w:t>
      </w:r>
      <w:r>
        <w:rPr>
          <w:spacing w:val="-2"/>
        </w:rPr>
        <w:t>电气安装工程</w:t>
      </w:r>
    </w:p>
    <w:p>
      <w:pPr>
        <w:pStyle w:val="BodyText"/>
        <w:spacing w:before="8"/>
        <w:ind w:left="0"/>
        <w:rPr>
          <w:sz w:val="20"/>
        </w:rPr>
      </w:pPr>
    </w:p>
    <w:p>
      <w:pPr>
        <w:pStyle w:val="ListParagraph"/>
        <w:numPr>
          <w:ilvl w:val="0"/>
          <w:numId w:val="24"/>
        </w:numPr>
        <w:tabs>
          <w:tab w:val="left" w:pos="959"/>
        </w:tabs>
        <w:spacing w:before="1" w:after="0" w:line="240" w:lineRule="auto"/>
        <w:ind w:left="959" w:right="0" w:hanging="281"/>
        <w:jc w:val="left"/>
        <w:rPr>
          <w:sz w:val="28"/>
        </w:rPr>
      </w:pPr>
      <w:r>
        <w:rPr>
          <w:spacing w:val="-3"/>
          <w:sz w:val="28"/>
        </w:rPr>
        <w:t>基础阶段</w:t>
      </w:r>
    </w:p>
    <w:p>
      <w:pPr>
        <w:pStyle w:val="BodyText"/>
        <w:spacing w:before="8"/>
        <w:ind w:left="0"/>
        <w:rPr>
          <w:sz w:val="20"/>
        </w:rPr>
      </w:pPr>
    </w:p>
    <w:p>
      <w:pPr>
        <w:pStyle w:val="BodyText"/>
        <w:spacing w:before="1" w:line="417" w:lineRule="auto"/>
        <w:ind w:right="532" w:firstLine="560"/>
      </w:pPr>
      <w:r>
        <w:rPr>
          <w:spacing w:val="-2"/>
        </w:rPr>
        <w:t>监理人员主要检查接地钢筋的焊接质量、测试点的设置情况以及等电位</w:t>
      </w:r>
      <w:r>
        <w:rPr>
          <w:spacing w:val="-2"/>
        </w:rPr>
        <w:t>的焊接质量情况。</w:t>
      </w:r>
    </w:p>
    <w:p>
      <w:pPr>
        <w:pStyle w:val="ListParagraph"/>
        <w:numPr>
          <w:ilvl w:val="0"/>
          <w:numId w:val="22"/>
        </w:numPr>
        <w:tabs>
          <w:tab w:val="left" w:pos="959"/>
        </w:tabs>
        <w:spacing w:before="0" w:after="0" w:line="417" w:lineRule="auto"/>
        <w:ind w:left="118" w:right="332" w:firstLine="560"/>
        <w:jc w:val="left"/>
        <w:rPr>
          <w:sz w:val="28"/>
        </w:rPr>
      </w:pPr>
      <w:r>
        <w:rPr>
          <w:spacing w:val="2"/>
          <w:sz w:val="28"/>
        </w:rPr>
        <w:t>接地装置采用建筑物基础内钢筋围绕建筑物一周作为接地极，在钢筋</w:t>
      </w:r>
      <w:r>
        <w:rPr>
          <w:spacing w:val="-11"/>
          <w:sz w:val="28"/>
        </w:rPr>
        <w:t>转弯处或钢筋对接处采用钢筋焊接，搭接处必须进行双面焊，焊接长度大于</w:t>
      </w:r>
      <w:r>
        <w:rPr>
          <w:sz w:val="28"/>
        </w:rPr>
        <w:t>6D</w:t>
      </w:r>
      <w:r>
        <w:rPr>
          <w:spacing w:val="-19"/>
          <w:sz w:val="28"/>
        </w:rPr>
        <w:t>。</w:t>
      </w:r>
    </w:p>
    <w:p>
      <w:pPr>
        <w:pStyle w:val="ListParagraph"/>
        <w:numPr>
          <w:ilvl w:val="0"/>
          <w:numId w:val="22"/>
        </w:numPr>
        <w:tabs>
          <w:tab w:val="left" w:pos="959"/>
        </w:tabs>
        <w:spacing w:before="0" w:after="0" w:line="417" w:lineRule="auto"/>
        <w:ind w:left="118" w:right="532" w:firstLine="560"/>
        <w:jc w:val="left"/>
        <w:rPr>
          <w:sz w:val="28"/>
        </w:rPr>
      </w:pPr>
      <w:r>
        <w:rPr>
          <w:sz w:val="28"/>
        </w:rPr>
        <w:t>接地装置与引下线必须采用φ16</w:t>
      </w:r>
      <w:r>
        <w:rPr>
          <w:spacing w:val="-8"/>
          <w:sz w:val="28"/>
        </w:rPr>
        <w:t xml:space="preserve"> 圆钢连接处必须进行双面焊，焊接长</w:t>
      </w:r>
      <w:r>
        <w:rPr>
          <w:spacing w:val="-6"/>
          <w:sz w:val="28"/>
        </w:rPr>
        <w:t xml:space="preserve">度大于 </w:t>
      </w:r>
      <w:r>
        <w:rPr>
          <w:sz w:val="28"/>
        </w:rPr>
        <w:t>6D，</w:t>
      </w:r>
      <w:r>
        <w:rPr>
          <w:spacing w:val="-11"/>
          <w:sz w:val="28"/>
        </w:rPr>
        <w:t xml:space="preserve">即 </w:t>
      </w:r>
      <w:r>
        <w:rPr>
          <w:sz w:val="28"/>
        </w:rPr>
        <w:t>6×16＝96mm；</w:t>
      </w:r>
    </w:p>
    <w:p>
      <w:pPr>
        <w:pStyle w:val="ListParagraph"/>
        <w:numPr>
          <w:ilvl w:val="0"/>
          <w:numId w:val="22"/>
        </w:numPr>
        <w:tabs>
          <w:tab w:val="left" w:pos="959"/>
        </w:tabs>
        <w:spacing w:before="0" w:after="0" w:line="417" w:lineRule="auto"/>
        <w:ind w:left="118" w:right="532" w:firstLine="560"/>
        <w:jc w:val="left"/>
        <w:rPr>
          <w:sz w:val="28"/>
        </w:rPr>
      </w:pPr>
      <w:r>
        <w:rPr>
          <w:spacing w:val="-12"/>
          <w:sz w:val="28"/>
        </w:rPr>
        <w:t xml:space="preserve">要在室外下 </w:t>
      </w:r>
      <w:r>
        <w:rPr>
          <w:spacing w:val="-2"/>
          <w:sz w:val="28"/>
        </w:rPr>
        <w:t>1</w:t>
      </w:r>
      <w:r>
        <w:rPr>
          <w:spacing w:val="-18"/>
          <w:sz w:val="28"/>
        </w:rPr>
        <w:t xml:space="preserve"> 米处，由引下线焊出一段</w:t>
      </w:r>
      <w:r>
        <w:rPr>
          <w:spacing w:val="-2"/>
          <w:sz w:val="28"/>
        </w:rPr>
        <w:t>－－40×4mm</w:t>
      </w:r>
      <w:r>
        <w:rPr>
          <w:spacing w:val="-10"/>
          <w:sz w:val="28"/>
        </w:rPr>
        <w:t xml:space="preserve"> 的热镀锌扁钢作为</w:t>
      </w:r>
      <w:r>
        <w:rPr>
          <w:spacing w:val="-2"/>
          <w:sz w:val="28"/>
        </w:rPr>
        <w:t>接地母线，以备接地电阻达不到设计要求时补打人工接地极。</w:t>
      </w:r>
    </w:p>
    <w:p>
      <w:pPr>
        <w:pStyle w:val="BodyText"/>
        <w:spacing w:line="417" w:lineRule="auto"/>
        <w:ind w:right="532" w:firstLine="560"/>
      </w:pPr>
      <w:r>
        <w:rPr>
          <w:spacing w:val="-2"/>
        </w:rPr>
        <w:t>d</w:t>
      </w:r>
      <w:r>
        <w:rPr>
          <w:spacing w:val="-7"/>
        </w:rPr>
        <w:t xml:space="preserve">、等电位在建筑物基础钢筋处采用 </w:t>
      </w:r>
      <w:r>
        <w:rPr>
          <w:spacing w:val="-2"/>
        </w:rPr>
        <w:t>40×4mm</w:t>
      </w:r>
      <w:r>
        <w:rPr>
          <w:spacing w:val="-11"/>
        </w:rPr>
        <w:t xml:space="preserve"> 的热镀锌扁钢焊接一周，并</w:t>
      </w:r>
      <w:r>
        <w:rPr>
          <w:spacing w:val="-1"/>
        </w:rPr>
        <w:t xml:space="preserve">与金属管道连接在一起，扁钢搭接处采用三边焊接，长度为扁钢的 </w:t>
      </w:r>
      <w:r>
        <w:t>2</w:t>
      </w:r>
      <w:r>
        <w:rPr>
          <w:spacing w:val="-8"/>
        </w:rPr>
        <w:t xml:space="preserve"> 倍。</w:t>
      </w:r>
    </w:p>
    <w:p>
      <w:pPr>
        <w:pStyle w:val="ListParagraph"/>
        <w:numPr>
          <w:ilvl w:val="0"/>
          <w:numId w:val="24"/>
        </w:numPr>
        <w:tabs>
          <w:tab w:val="left" w:pos="959"/>
        </w:tabs>
        <w:spacing w:before="0" w:after="0" w:line="358" w:lineRule="exact"/>
        <w:ind w:left="959" w:right="0" w:hanging="281"/>
        <w:jc w:val="left"/>
        <w:rPr>
          <w:sz w:val="28"/>
        </w:rPr>
      </w:pPr>
      <w:r>
        <w:rPr>
          <w:spacing w:val="-3"/>
          <w:sz w:val="28"/>
        </w:rPr>
        <w:t>主体阶段</w:t>
      </w:r>
    </w:p>
    <w:p>
      <w:pPr>
        <w:pStyle w:val="BodyText"/>
        <w:spacing w:before="7"/>
        <w:ind w:left="0"/>
        <w:rPr>
          <w:sz w:val="20"/>
        </w:rPr>
      </w:pPr>
    </w:p>
    <w:p>
      <w:pPr>
        <w:pStyle w:val="BodyText"/>
        <w:spacing w:line="417" w:lineRule="auto"/>
        <w:ind w:right="532" w:firstLine="560"/>
      </w:pPr>
      <w:r>
        <w:rPr>
          <w:spacing w:val="-2"/>
        </w:rPr>
        <w:t>监理人员主要检查避雷引下线的焊接情况，圈梁及现浇板内的穿线管预</w:t>
      </w:r>
      <w:r>
        <w:rPr>
          <w:spacing w:val="-2"/>
        </w:rPr>
        <w:t>留及预埋情况。</w:t>
      </w:r>
    </w:p>
    <w:p>
      <w:pPr>
        <w:pStyle w:val="ListParagraph"/>
        <w:numPr>
          <w:ilvl w:val="0"/>
          <w:numId w:val="23"/>
        </w:numPr>
        <w:tabs>
          <w:tab w:val="left" w:pos="959"/>
        </w:tabs>
        <w:spacing w:before="0" w:after="0" w:line="417" w:lineRule="auto"/>
        <w:ind w:left="118" w:right="437" w:firstLine="560"/>
        <w:jc w:val="left"/>
        <w:rPr>
          <w:sz w:val="28"/>
        </w:rPr>
      </w:pPr>
      <w:r>
        <w:rPr>
          <w:spacing w:val="-12"/>
          <w:sz w:val="28"/>
        </w:rPr>
        <w:t xml:space="preserve">在距室外坪 </w:t>
      </w:r>
      <w:r>
        <w:rPr>
          <w:spacing w:val="-2"/>
          <w:sz w:val="28"/>
        </w:rPr>
        <w:t>0.5</w:t>
      </w:r>
      <w:r>
        <w:rPr>
          <w:spacing w:val="-10"/>
          <w:sz w:val="28"/>
        </w:rPr>
        <w:t xml:space="preserve"> 米处由引下线引出</w:t>
      </w:r>
      <w:r>
        <w:rPr>
          <w:spacing w:val="-2"/>
          <w:sz w:val="28"/>
        </w:rPr>
        <w:t>－－40×4</w:t>
      </w:r>
      <w:r>
        <w:rPr>
          <w:spacing w:val="-10"/>
          <w:sz w:val="28"/>
        </w:rPr>
        <w:t xml:space="preserve"> 热镀锌扁钢至柱子边上，</w:t>
      </w:r>
      <w:r>
        <w:rPr>
          <w:spacing w:val="-2"/>
          <w:sz w:val="28"/>
        </w:rPr>
        <w:t>设置一铁接线盒，以备测试接地电阻。</w:t>
      </w:r>
    </w:p>
    <w:p>
      <w:pPr>
        <w:pStyle w:val="ListParagraph"/>
        <w:numPr>
          <w:ilvl w:val="0"/>
          <w:numId w:val="23"/>
        </w:numPr>
        <w:tabs>
          <w:tab w:val="left" w:pos="959"/>
        </w:tabs>
        <w:spacing w:before="0" w:after="0" w:line="417" w:lineRule="auto"/>
        <w:ind w:left="118" w:right="532" w:firstLine="560"/>
        <w:jc w:val="left"/>
        <w:rPr>
          <w:sz w:val="28"/>
        </w:rPr>
      </w:pPr>
      <w:r>
        <w:rPr>
          <w:spacing w:val="-2"/>
          <w:sz w:val="28"/>
        </w:rPr>
        <w:t>根据图纸要求配合土建在剪力墙及现浇顶内进行预留和预埋，预埋要</w:t>
      </w:r>
      <w:r>
        <w:rPr>
          <w:spacing w:val="-2"/>
          <w:sz w:val="28"/>
        </w:rPr>
        <w:t>及时，位置要准确。</w:t>
      </w:r>
    </w:p>
    <w:p>
      <w:pPr>
        <w:pStyle w:val="BodyText"/>
        <w:spacing w:line="417" w:lineRule="auto"/>
        <w:ind w:right="532" w:firstLine="560"/>
      </w:pPr>
      <w:r>
        <w:t>SC</w:t>
      </w:r>
      <w:r>
        <w:rPr>
          <w:spacing w:val="-34"/>
        </w:rPr>
        <w:t xml:space="preserve"> 管及 </w:t>
      </w:r>
      <w:r>
        <w:t>JDG</w:t>
      </w:r>
      <w:r>
        <w:rPr>
          <w:spacing w:val="-9"/>
        </w:rPr>
        <w:t xml:space="preserve"> 管宜采用管箍连接接，进入配电箱及接线盒均应采用锁母固</w:t>
      </w:r>
      <w:r>
        <w:rPr>
          <w:spacing w:val="-8"/>
        </w:rPr>
        <w:t xml:space="preserve">定，护口齐全。穿线 </w:t>
      </w:r>
      <w:r>
        <w:rPr>
          <w:spacing w:val="-2"/>
        </w:rPr>
        <w:t>SC</w:t>
      </w:r>
      <w:r>
        <w:rPr>
          <w:spacing w:val="-32"/>
        </w:rPr>
        <w:t xml:space="preserve"> 管及 </w:t>
      </w:r>
      <w:r>
        <w:rPr>
          <w:spacing w:val="-2"/>
        </w:rPr>
        <w:t>JDG</w:t>
      </w:r>
      <w:r>
        <w:rPr>
          <w:spacing w:val="-10"/>
        </w:rPr>
        <w:t xml:space="preserve"> 管暗配时，其弯曲半径及弯扁度要符合施工</w:t>
      </w:r>
    </w:p>
    <w:p>
      <w:pPr>
        <w:spacing w:after="0" w:line="417" w:lineRule="auto"/>
        <w:sectPr>
          <w:headerReference w:type="default" r:id="rId16"/>
          <w:footerReference w:type="default" r:id="rId17"/>
          <w:pgSz w:w="11910" w:h="16840"/>
          <w:pgMar w:top="1160" w:right="600" w:bottom="1680" w:left="1300" w:header="906" w:footer="1372"/>
          <w:pgNumType w:start="7"/>
          <w:cols w:space="708"/>
        </w:sectPr>
      </w:pPr>
    </w:p>
    <w:p>
      <w:pPr>
        <w:pStyle w:val="BodyText"/>
        <w:spacing w:before="107"/>
      </w:pPr>
      <w:r>
        <w:rPr>
          <w:spacing w:val="-2"/>
        </w:rPr>
        <w:t>规范要求。</w:t>
      </w:r>
    </w:p>
    <w:p>
      <w:pPr>
        <w:pStyle w:val="BodyText"/>
        <w:spacing w:before="9"/>
        <w:ind w:left="0"/>
        <w:rPr>
          <w:sz w:val="20"/>
        </w:rPr>
      </w:pPr>
    </w:p>
    <w:p>
      <w:pPr>
        <w:pStyle w:val="BodyText"/>
        <w:spacing w:line="417" w:lineRule="auto"/>
        <w:ind w:right="532" w:firstLine="560"/>
      </w:pPr>
      <w:r>
        <w:rPr>
          <w:spacing w:val="-2"/>
        </w:rPr>
        <w:t>接线盒的安装必须牢固，周围不得空鼓，并且上下顺直。管子进接线盒</w:t>
      </w:r>
      <w:r>
        <w:rPr>
          <w:spacing w:val="-2"/>
        </w:rPr>
        <w:t>连接处，采用管箍连接接，接口牢固密封。</w:t>
      </w:r>
    </w:p>
    <w:p>
      <w:pPr>
        <w:pStyle w:val="ListParagraph"/>
        <w:numPr>
          <w:ilvl w:val="0"/>
          <w:numId w:val="23"/>
        </w:numPr>
        <w:tabs>
          <w:tab w:val="left" w:pos="959"/>
        </w:tabs>
        <w:spacing w:before="0" w:after="0" w:line="417" w:lineRule="auto"/>
        <w:ind w:left="118" w:right="532" w:firstLine="560"/>
        <w:jc w:val="left"/>
        <w:rPr>
          <w:sz w:val="28"/>
        </w:rPr>
      </w:pPr>
      <w:r>
        <w:rPr>
          <w:spacing w:val="-2"/>
          <w:sz w:val="28"/>
        </w:rPr>
        <w:t>强电与弱电的配管要分开，平行布置时要有一定的距离，以免互相干</w:t>
      </w:r>
      <w:r>
        <w:rPr>
          <w:spacing w:val="-3"/>
          <w:sz w:val="28"/>
        </w:rPr>
        <w:t xml:space="preserve">扰，强电与弱电接线盒之间的距离要大于 </w:t>
      </w:r>
      <w:r>
        <w:rPr>
          <w:sz w:val="28"/>
        </w:rPr>
        <w:t>30cm。</w:t>
      </w:r>
    </w:p>
    <w:p>
      <w:pPr>
        <w:pStyle w:val="ListParagraph"/>
        <w:numPr>
          <w:ilvl w:val="0"/>
          <w:numId w:val="23"/>
        </w:numPr>
        <w:tabs>
          <w:tab w:val="left" w:pos="959"/>
        </w:tabs>
        <w:spacing w:before="0" w:after="0" w:line="417" w:lineRule="auto"/>
        <w:ind w:left="118" w:right="532" w:firstLine="560"/>
        <w:jc w:val="both"/>
        <w:rPr>
          <w:sz w:val="28"/>
        </w:rPr>
      </w:pPr>
      <w:r>
        <w:rPr>
          <w:spacing w:val="-2"/>
          <w:sz w:val="28"/>
        </w:rPr>
        <w:t>把握好第一次隐蔽工程的验收工作。第一次预埋至关重要，它关系到以后的预埋质量。在第一次预埋验收时提前进行检查，要求施工人员严格按</w:t>
      </w:r>
      <w:r>
        <w:rPr>
          <w:spacing w:val="-2"/>
          <w:sz w:val="28"/>
        </w:rPr>
        <w:t>规范要求施工，对现场预埋不尽合格和不合格之处当场指出。</w:t>
      </w:r>
    </w:p>
    <w:p>
      <w:pPr>
        <w:pStyle w:val="ListParagraph"/>
        <w:numPr>
          <w:ilvl w:val="0"/>
          <w:numId w:val="23"/>
        </w:numPr>
        <w:tabs>
          <w:tab w:val="left" w:pos="959"/>
        </w:tabs>
        <w:spacing w:before="0" w:after="0" w:line="417" w:lineRule="auto"/>
        <w:ind w:left="118" w:right="532" w:firstLine="560"/>
        <w:jc w:val="left"/>
        <w:rPr>
          <w:sz w:val="28"/>
        </w:rPr>
      </w:pPr>
      <w:r>
        <w:rPr>
          <w:spacing w:val="-2"/>
          <w:sz w:val="28"/>
        </w:rPr>
        <w:t>验收前施工单位需要画出实际的施工隐蔽平面图，附有关资料进行报</w:t>
      </w:r>
      <w:r>
        <w:rPr>
          <w:spacing w:val="-2"/>
          <w:sz w:val="28"/>
        </w:rPr>
        <w:t>验。分项（隐蔽）工程检验批质量验收流程图见附图解（二）</w:t>
      </w:r>
    </w:p>
    <w:p>
      <w:pPr>
        <w:pStyle w:val="ListParagraph"/>
        <w:numPr>
          <w:ilvl w:val="0"/>
          <w:numId w:val="24"/>
        </w:numPr>
        <w:tabs>
          <w:tab w:val="left" w:pos="959"/>
        </w:tabs>
        <w:spacing w:before="0" w:after="0" w:line="358" w:lineRule="exact"/>
        <w:ind w:left="959" w:right="0" w:hanging="281"/>
        <w:jc w:val="left"/>
        <w:rPr>
          <w:sz w:val="28"/>
        </w:rPr>
      </w:pPr>
      <w:r>
        <w:rPr>
          <w:spacing w:val="-3"/>
          <w:sz w:val="28"/>
        </w:rPr>
        <w:t>安装阶段</w:t>
      </w:r>
    </w:p>
    <w:p>
      <w:pPr>
        <w:pStyle w:val="BodyText"/>
        <w:spacing w:before="7"/>
        <w:ind w:left="0"/>
        <w:rPr>
          <w:sz w:val="20"/>
        </w:rPr>
      </w:pPr>
    </w:p>
    <w:p>
      <w:pPr>
        <w:pStyle w:val="ListParagraph"/>
        <w:numPr>
          <w:ilvl w:val="1"/>
          <w:numId w:val="24"/>
        </w:numPr>
        <w:tabs>
          <w:tab w:val="left" w:pos="1168"/>
        </w:tabs>
        <w:spacing w:before="0" w:after="0" w:line="240" w:lineRule="auto"/>
        <w:ind w:left="1168" w:right="0" w:hanging="490"/>
        <w:jc w:val="left"/>
        <w:rPr>
          <w:sz w:val="28"/>
        </w:rPr>
      </w:pPr>
      <w:r>
        <w:rPr>
          <w:spacing w:val="-3"/>
          <w:sz w:val="28"/>
        </w:rPr>
        <w:t>管内穿线</w:t>
      </w:r>
    </w:p>
    <w:p>
      <w:pPr>
        <w:pStyle w:val="BodyText"/>
        <w:spacing w:before="9"/>
        <w:ind w:left="0"/>
        <w:rPr>
          <w:sz w:val="20"/>
        </w:rPr>
      </w:pPr>
    </w:p>
    <w:p>
      <w:pPr>
        <w:pStyle w:val="ListParagraph"/>
        <w:numPr>
          <w:ilvl w:val="0"/>
          <w:numId w:val="21"/>
        </w:numPr>
        <w:tabs>
          <w:tab w:val="left" w:pos="959"/>
        </w:tabs>
        <w:spacing w:before="0" w:after="0" w:line="417" w:lineRule="auto"/>
        <w:ind w:left="118" w:right="532" w:firstLine="560"/>
        <w:jc w:val="both"/>
        <w:rPr>
          <w:sz w:val="28"/>
        </w:rPr>
      </w:pPr>
      <w:r>
        <w:rPr>
          <w:spacing w:val="-2"/>
          <w:sz w:val="28"/>
        </w:rPr>
        <w:t>管内穿线前，应清除管内杂物及积水，管口应有保护措施，不进入接线盒（箱）的垂直管口穿入电线、电缆后，管口应密封。穿线前管内应先穿铁丝，用铁丝带线。当管路较长或转弯多时，要在穿线的同时吹入管内适量</w:t>
      </w:r>
      <w:r>
        <w:rPr>
          <w:spacing w:val="-2"/>
          <w:sz w:val="28"/>
        </w:rPr>
        <w:t>的滑石粉，穿线应配合协调，一拉一送；</w:t>
      </w:r>
    </w:p>
    <w:p>
      <w:pPr>
        <w:pStyle w:val="ListParagraph"/>
        <w:numPr>
          <w:ilvl w:val="0"/>
          <w:numId w:val="21"/>
        </w:numPr>
        <w:tabs>
          <w:tab w:val="left" w:pos="959"/>
        </w:tabs>
        <w:spacing w:before="0" w:after="0" w:line="417" w:lineRule="auto"/>
        <w:ind w:left="678" w:right="532" w:firstLine="0"/>
        <w:jc w:val="left"/>
        <w:rPr>
          <w:sz w:val="28"/>
        </w:rPr>
      </w:pPr>
      <w:r>
        <w:rPr>
          <w:spacing w:val="-2"/>
          <w:sz w:val="28"/>
        </w:rPr>
        <w:t>对于管内穿线，必须按照图纸进行施工，不得随意对图纸进行变更； c.导线的规格、型号必须符合设计和国家有关标准要求，按批查验合格</w:t>
      </w:r>
    </w:p>
    <w:p>
      <w:pPr>
        <w:pStyle w:val="BodyText"/>
        <w:spacing w:line="417" w:lineRule="auto"/>
        <w:ind w:right="392"/>
      </w:pPr>
      <w:r>
        <w:rPr>
          <w:spacing w:val="2"/>
        </w:rPr>
        <w:t>证，合格证有生产许可证编号。对外观也要检查，且包装完好，抽检的电线</w:t>
      </w:r>
      <w:r>
        <w:rPr>
          <w:spacing w:val="-9"/>
        </w:rPr>
        <w:t xml:space="preserve">绝缘层完整无损，厚度均匀，线芯直径误差不大于标称直径的 </w:t>
      </w:r>
      <w:r>
        <w:t>1%</w:t>
      </w:r>
      <w:r>
        <w:rPr>
          <w:spacing w:val="-10"/>
        </w:rPr>
        <w:t>。对于相线、</w:t>
      </w:r>
      <w:r>
        <w:rPr>
          <w:spacing w:val="2"/>
        </w:rPr>
        <w:t>零线、保护接地线所用的颜色要加以区分，用黄绿色线作为保护接地线，蓝色作为零线，红线作为相线。对各种规格、型号的导线送检测站测试合格后</w:t>
      </w:r>
    </w:p>
    <w:p>
      <w:pPr>
        <w:spacing w:after="0" w:line="417" w:lineRule="auto"/>
        <w:sectPr>
          <w:headerReference w:type="default" r:id="rId18"/>
          <w:footerReference w:type="default" r:id="rId19"/>
          <w:pgSz w:w="11910" w:h="16840"/>
          <w:pgMar w:top="1160" w:right="600" w:bottom="1680" w:left="1300" w:header="906" w:footer="1372"/>
          <w:pgNumType w:start="8"/>
          <w:cols w:space="708"/>
        </w:sectPr>
      </w:pPr>
    </w:p>
    <w:p>
      <w:pPr>
        <w:pStyle w:val="BodyText"/>
        <w:spacing w:before="107"/>
      </w:pPr>
      <w:r>
        <w:rPr>
          <w:spacing w:val="-2"/>
        </w:rPr>
        <w:t>方可使用；</w:t>
      </w:r>
    </w:p>
    <w:p>
      <w:pPr>
        <w:pStyle w:val="BodyText"/>
        <w:spacing w:before="9"/>
        <w:ind w:left="0"/>
        <w:rPr>
          <w:sz w:val="20"/>
        </w:rPr>
      </w:pPr>
    </w:p>
    <w:p>
      <w:pPr>
        <w:pStyle w:val="ListParagraph"/>
        <w:numPr>
          <w:ilvl w:val="0"/>
          <w:numId w:val="26"/>
        </w:numPr>
        <w:tabs>
          <w:tab w:val="left" w:pos="959"/>
        </w:tabs>
        <w:spacing w:before="0" w:after="0" w:line="417" w:lineRule="auto"/>
        <w:ind w:left="118" w:right="532" w:firstLine="560"/>
        <w:jc w:val="left"/>
        <w:rPr>
          <w:sz w:val="28"/>
        </w:rPr>
      </w:pPr>
      <w:r>
        <w:rPr>
          <w:spacing w:val="-2"/>
          <w:sz w:val="28"/>
        </w:rPr>
        <w:t>不同回路不同电压的导线，不得穿入同一管内。导线在管内不得有接</w:t>
      </w:r>
      <w:r>
        <w:rPr>
          <w:spacing w:val="-2"/>
          <w:sz w:val="28"/>
        </w:rPr>
        <w:t>头，导线在接线盒内必须有足够的余量，以便于接线；</w:t>
      </w:r>
    </w:p>
    <w:p>
      <w:pPr>
        <w:pStyle w:val="ListParagraph"/>
        <w:numPr>
          <w:ilvl w:val="0"/>
          <w:numId w:val="26"/>
        </w:numPr>
        <w:tabs>
          <w:tab w:val="left" w:pos="959"/>
        </w:tabs>
        <w:spacing w:before="0" w:after="0" w:line="417" w:lineRule="auto"/>
        <w:ind w:left="118" w:right="532" w:firstLine="560"/>
        <w:jc w:val="left"/>
        <w:rPr>
          <w:sz w:val="28"/>
        </w:rPr>
      </w:pPr>
      <w:r>
        <w:rPr>
          <w:spacing w:val="-2"/>
          <w:sz w:val="28"/>
        </w:rPr>
        <w:t>导线接头必须进行搪锡，焊锡要饱满、均匀，严禁出现虚焊或夹渣现</w:t>
      </w:r>
      <w:r>
        <w:rPr>
          <w:spacing w:val="-6"/>
          <w:sz w:val="28"/>
        </w:rPr>
        <w:t>象；</w:t>
      </w:r>
    </w:p>
    <w:p>
      <w:pPr>
        <w:pStyle w:val="ListParagraph"/>
        <w:numPr>
          <w:ilvl w:val="0"/>
          <w:numId w:val="26"/>
        </w:numPr>
        <w:tabs>
          <w:tab w:val="left" w:pos="959"/>
        </w:tabs>
        <w:spacing w:before="0" w:after="0" w:line="417" w:lineRule="auto"/>
        <w:ind w:left="118" w:right="532" w:firstLine="560"/>
        <w:jc w:val="both"/>
        <w:rPr>
          <w:sz w:val="28"/>
        </w:rPr>
      </w:pPr>
      <w:r>
        <w:rPr>
          <w:spacing w:val="-2"/>
          <w:sz w:val="28"/>
        </w:rPr>
        <w:t xml:space="preserve">导线接头的包扎，首先用绝缘胶带包扎，把绝缘橡胶带拉长 </w:t>
      </w:r>
      <w:r>
        <w:rPr>
          <w:sz w:val="28"/>
        </w:rPr>
        <w:t>2</w:t>
      </w:r>
      <w:r>
        <w:rPr>
          <w:spacing w:val="-9"/>
          <w:sz w:val="28"/>
        </w:rPr>
        <w:t xml:space="preserve"> 倍后对</w:t>
      </w:r>
      <w:r>
        <w:rPr>
          <w:spacing w:val="-7"/>
          <w:sz w:val="28"/>
        </w:rPr>
        <w:t xml:space="preserve">线头进行缠绕，要缠 </w:t>
      </w:r>
      <w:r>
        <w:rPr>
          <w:spacing w:val="-4"/>
          <w:sz w:val="28"/>
        </w:rPr>
        <w:t>3－4</w:t>
      </w:r>
      <w:r>
        <w:rPr>
          <w:spacing w:val="-10"/>
          <w:sz w:val="28"/>
        </w:rPr>
        <w:t xml:space="preserve"> 圈，然后用绝黑胶布包扎，在包扎过程中要收紧胶</w:t>
      </w:r>
      <w:r>
        <w:rPr>
          <w:spacing w:val="-2"/>
          <w:sz w:val="28"/>
        </w:rPr>
        <w:t xml:space="preserve">布，对连接头封严密，黑胶布要缠 </w:t>
      </w:r>
      <w:r>
        <w:rPr>
          <w:sz w:val="28"/>
        </w:rPr>
        <w:t>3－4</w:t>
      </w:r>
      <w:r>
        <w:rPr>
          <w:spacing w:val="-8"/>
          <w:sz w:val="28"/>
        </w:rPr>
        <w:t xml:space="preserve"> 圈。</w:t>
      </w:r>
    </w:p>
    <w:p>
      <w:pPr>
        <w:pStyle w:val="ListParagraph"/>
        <w:numPr>
          <w:ilvl w:val="1"/>
          <w:numId w:val="24"/>
        </w:numPr>
        <w:tabs>
          <w:tab w:val="left" w:pos="1168"/>
        </w:tabs>
        <w:spacing w:before="0" w:after="0" w:line="358" w:lineRule="exact"/>
        <w:ind w:left="1168" w:right="0" w:hanging="490"/>
        <w:jc w:val="left"/>
        <w:rPr>
          <w:sz w:val="28"/>
        </w:rPr>
      </w:pPr>
      <w:r>
        <w:rPr>
          <w:sz w:val="28"/>
        </w:rPr>
        <w:t>配电箱（盘）</w:t>
      </w:r>
      <w:r>
        <w:rPr>
          <w:spacing w:val="-4"/>
          <w:sz w:val="28"/>
        </w:rPr>
        <w:t>的安装</w:t>
      </w:r>
    </w:p>
    <w:p>
      <w:pPr>
        <w:pStyle w:val="BodyText"/>
        <w:spacing w:before="8"/>
        <w:ind w:left="0"/>
        <w:rPr>
          <w:sz w:val="20"/>
        </w:rPr>
      </w:pPr>
    </w:p>
    <w:p>
      <w:pPr>
        <w:pStyle w:val="ListParagraph"/>
        <w:numPr>
          <w:ilvl w:val="0"/>
          <w:numId w:val="19"/>
        </w:numPr>
        <w:tabs>
          <w:tab w:val="left" w:pos="959"/>
        </w:tabs>
        <w:spacing w:before="0" w:after="0" w:line="417" w:lineRule="auto"/>
        <w:ind w:left="118" w:right="392" w:firstLine="560"/>
        <w:jc w:val="left"/>
        <w:rPr>
          <w:sz w:val="28"/>
        </w:rPr>
      </w:pPr>
      <w:r>
        <w:rPr>
          <w:spacing w:val="-2"/>
          <w:sz w:val="28"/>
        </w:rPr>
        <w:t>配电箱（盘）的规格、型号应符合设计和规范要求，要有出厂合格证，</w:t>
      </w:r>
      <w:r>
        <w:rPr>
          <w:spacing w:val="-2"/>
          <w:sz w:val="28"/>
        </w:rPr>
        <w:t xml:space="preserve">配件应齐全完整，外壳壁厚达到 </w:t>
      </w:r>
      <w:r>
        <w:rPr>
          <w:sz w:val="28"/>
        </w:rPr>
        <w:t>1.2mm</w:t>
      </w:r>
      <w:r>
        <w:rPr>
          <w:spacing w:val="-6"/>
          <w:sz w:val="28"/>
        </w:rPr>
        <w:t xml:space="preserve"> 以上；</w:t>
      </w:r>
    </w:p>
    <w:p>
      <w:pPr>
        <w:pStyle w:val="ListParagraph"/>
        <w:numPr>
          <w:ilvl w:val="0"/>
          <w:numId w:val="19"/>
        </w:numPr>
        <w:tabs>
          <w:tab w:val="left" w:pos="959"/>
        </w:tabs>
        <w:spacing w:before="0" w:after="0" w:line="417" w:lineRule="auto"/>
        <w:ind w:left="118" w:right="392" w:firstLine="560"/>
        <w:jc w:val="left"/>
        <w:rPr>
          <w:sz w:val="28"/>
        </w:rPr>
      </w:pPr>
      <w:r>
        <w:rPr>
          <w:spacing w:val="-2"/>
          <w:sz w:val="28"/>
        </w:rPr>
        <w:t>位置正确，部件齐全，箱体开孔与导管管径适配，箱体的漆膜应完整，</w:t>
      </w:r>
      <w:r>
        <w:rPr>
          <w:spacing w:val="-2"/>
          <w:sz w:val="28"/>
        </w:rPr>
        <w:t>不得有掉漆及漏刷漆现象；</w:t>
      </w:r>
    </w:p>
    <w:p>
      <w:pPr>
        <w:pStyle w:val="ListParagraph"/>
        <w:numPr>
          <w:ilvl w:val="0"/>
          <w:numId w:val="19"/>
        </w:numPr>
        <w:tabs>
          <w:tab w:val="left" w:pos="959"/>
        </w:tabs>
        <w:spacing w:before="0" w:after="0" w:line="358" w:lineRule="exact"/>
        <w:ind w:left="959" w:right="0" w:hanging="281"/>
        <w:jc w:val="left"/>
        <w:rPr>
          <w:sz w:val="28"/>
        </w:rPr>
      </w:pPr>
      <w:r>
        <w:rPr>
          <w:spacing w:val="-1"/>
          <w:sz w:val="28"/>
        </w:rPr>
        <w:t>箱内接线整齐，回路编号齐全，标识正确；</w:t>
      </w:r>
    </w:p>
    <w:p>
      <w:pPr>
        <w:pStyle w:val="BodyText"/>
        <w:spacing w:before="8"/>
        <w:ind w:left="0"/>
        <w:rPr>
          <w:sz w:val="20"/>
        </w:rPr>
      </w:pPr>
    </w:p>
    <w:p>
      <w:pPr>
        <w:pStyle w:val="ListParagraph"/>
        <w:numPr>
          <w:ilvl w:val="0"/>
          <w:numId w:val="19"/>
        </w:numPr>
        <w:tabs>
          <w:tab w:val="left" w:pos="959"/>
        </w:tabs>
        <w:spacing w:before="1" w:after="0" w:line="417" w:lineRule="auto"/>
        <w:ind w:left="118" w:right="532" w:firstLine="560"/>
        <w:jc w:val="left"/>
        <w:rPr>
          <w:sz w:val="28"/>
        </w:rPr>
      </w:pPr>
      <w:r>
        <w:rPr>
          <w:spacing w:val="-2"/>
          <w:sz w:val="28"/>
        </w:rPr>
        <w:t>配电箱（盘）内的构件如漏电保护器等要符合设计要求，要有出厂合</w:t>
      </w:r>
      <w:r>
        <w:rPr>
          <w:spacing w:val="-2"/>
          <w:sz w:val="28"/>
        </w:rPr>
        <w:t>格证，并且送检测站测试合格方可使用；</w:t>
      </w:r>
    </w:p>
    <w:p>
      <w:pPr>
        <w:pStyle w:val="ListParagraph"/>
        <w:numPr>
          <w:ilvl w:val="0"/>
          <w:numId w:val="19"/>
        </w:numPr>
        <w:tabs>
          <w:tab w:val="left" w:pos="959"/>
        </w:tabs>
        <w:spacing w:before="0" w:after="0" w:line="358" w:lineRule="exact"/>
        <w:ind w:left="959" w:right="0" w:hanging="281"/>
        <w:jc w:val="left"/>
        <w:rPr>
          <w:sz w:val="28"/>
        </w:rPr>
      </w:pPr>
      <w:r>
        <w:rPr>
          <w:sz w:val="28"/>
        </w:rPr>
        <w:t>配电箱（盘）</w:t>
      </w:r>
      <w:r>
        <w:rPr>
          <w:spacing w:val="-1"/>
          <w:sz w:val="28"/>
        </w:rPr>
        <w:t>必须有可靠的接地装置；</w:t>
      </w:r>
    </w:p>
    <w:p>
      <w:pPr>
        <w:pStyle w:val="BodyText"/>
        <w:spacing w:before="8"/>
        <w:ind w:left="0"/>
        <w:rPr>
          <w:sz w:val="20"/>
        </w:rPr>
      </w:pPr>
    </w:p>
    <w:p>
      <w:pPr>
        <w:pStyle w:val="ListParagraph"/>
        <w:numPr>
          <w:ilvl w:val="0"/>
          <w:numId w:val="19"/>
        </w:numPr>
        <w:tabs>
          <w:tab w:val="left" w:pos="959"/>
        </w:tabs>
        <w:spacing w:before="1" w:after="0" w:line="417" w:lineRule="auto"/>
        <w:ind w:left="118" w:right="532" w:firstLine="560"/>
        <w:jc w:val="left"/>
        <w:rPr>
          <w:sz w:val="28"/>
        </w:rPr>
      </w:pPr>
      <w:r>
        <w:rPr>
          <w:spacing w:val="-2"/>
          <w:sz w:val="28"/>
        </w:rPr>
        <w:t>配电箱（盘）与穿线连接处，不得随意切割，必须用开孔器开孔，然</w:t>
      </w:r>
      <w:r>
        <w:rPr>
          <w:spacing w:val="-2"/>
          <w:sz w:val="28"/>
        </w:rPr>
        <w:t>后进行防腐。</w:t>
      </w:r>
    </w:p>
    <w:p>
      <w:pPr>
        <w:pStyle w:val="ListParagraph"/>
        <w:numPr>
          <w:ilvl w:val="1"/>
          <w:numId w:val="24"/>
        </w:numPr>
        <w:tabs>
          <w:tab w:val="left" w:pos="1168"/>
        </w:tabs>
        <w:spacing w:before="0" w:after="0" w:line="358" w:lineRule="exact"/>
        <w:ind w:left="1168" w:right="0" w:hanging="490"/>
        <w:jc w:val="left"/>
        <w:rPr>
          <w:sz w:val="28"/>
        </w:rPr>
      </w:pPr>
      <w:r>
        <w:rPr>
          <w:spacing w:val="-2"/>
          <w:sz w:val="28"/>
        </w:rPr>
        <w:t>灯具的安装</w:t>
      </w:r>
    </w:p>
    <w:p>
      <w:pPr>
        <w:pStyle w:val="BodyText"/>
        <w:spacing w:before="8"/>
        <w:ind w:left="0"/>
        <w:rPr>
          <w:sz w:val="20"/>
        </w:rPr>
      </w:pPr>
    </w:p>
    <w:p>
      <w:pPr>
        <w:pStyle w:val="ListParagraph"/>
        <w:numPr>
          <w:ilvl w:val="0"/>
          <w:numId w:val="18"/>
        </w:numPr>
        <w:tabs>
          <w:tab w:val="left" w:pos="959"/>
        </w:tabs>
        <w:spacing w:before="1" w:after="0" w:line="417" w:lineRule="auto"/>
        <w:ind w:left="118" w:right="532" w:firstLine="560"/>
        <w:jc w:val="left"/>
        <w:rPr>
          <w:sz w:val="28"/>
        </w:rPr>
      </w:pPr>
      <w:r>
        <w:rPr>
          <w:spacing w:val="-2"/>
          <w:sz w:val="28"/>
        </w:rPr>
        <w:t>灯具的规格、型号必须符合设计要求和国家标准要求，不得有油漆脱</w:t>
      </w:r>
      <w:r>
        <w:rPr>
          <w:spacing w:val="-2"/>
          <w:sz w:val="28"/>
        </w:rPr>
        <w:t>落、灯罩变形等现象，所有灯具要有出厂合格证，并且配件齐全、完整；</w:t>
      </w:r>
    </w:p>
    <w:p>
      <w:pPr>
        <w:spacing w:after="0" w:line="417" w:lineRule="auto"/>
        <w:jc w:val="left"/>
        <w:rPr>
          <w:sz w:val="28"/>
        </w:rPr>
        <w:sectPr>
          <w:headerReference w:type="default" r:id="rId20"/>
          <w:footerReference w:type="default" r:id="rId21"/>
          <w:pgSz w:w="11910" w:h="16840"/>
          <w:pgMar w:top="1160" w:right="600" w:bottom="1680" w:left="1300" w:header="906" w:footer="1372"/>
          <w:pgNumType w:start="9"/>
          <w:cols w:space="708"/>
        </w:sectPr>
      </w:pPr>
    </w:p>
    <w:p>
      <w:pPr>
        <w:pStyle w:val="ListParagraph"/>
        <w:numPr>
          <w:ilvl w:val="0"/>
          <w:numId w:val="18"/>
        </w:numPr>
        <w:tabs>
          <w:tab w:val="left" w:pos="959"/>
        </w:tabs>
        <w:spacing w:before="107" w:after="0" w:line="240" w:lineRule="auto"/>
        <w:ind w:left="959" w:right="0" w:hanging="281"/>
        <w:jc w:val="left"/>
        <w:rPr>
          <w:sz w:val="28"/>
        </w:rPr>
      </w:pPr>
      <w:r>
        <w:rPr>
          <w:spacing w:val="-17"/>
          <w:sz w:val="28"/>
        </w:rPr>
        <w:t xml:space="preserve">灯具的安装应牢固、端正，位置准确，灯具固定用螺钉或螺栓不小于 </w:t>
      </w:r>
      <w:r>
        <w:rPr>
          <w:spacing w:val="-10"/>
          <w:sz w:val="28"/>
        </w:rPr>
        <w:t>2</w:t>
      </w:r>
    </w:p>
    <w:p>
      <w:pPr>
        <w:pStyle w:val="BodyText"/>
        <w:spacing w:before="9"/>
        <w:ind w:left="0"/>
        <w:rPr>
          <w:sz w:val="20"/>
        </w:rPr>
      </w:pPr>
    </w:p>
    <w:p>
      <w:pPr>
        <w:pStyle w:val="BodyText"/>
      </w:pPr>
      <w:r>
        <w:rPr>
          <w:spacing w:val="-1"/>
        </w:rPr>
        <w:t>个，灯具吸顶安装时，灯具与顶之间缝隙要均匀。</w:t>
      </w:r>
    </w:p>
    <w:p>
      <w:pPr>
        <w:pStyle w:val="BodyText"/>
        <w:spacing w:before="9"/>
        <w:ind w:left="0"/>
        <w:rPr>
          <w:sz w:val="20"/>
        </w:rPr>
      </w:pPr>
    </w:p>
    <w:p>
      <w:pPr>
        <w:pStyle w:val="ListParagraph"/>
        <w:numPr>
          <w:ilvl w:val="1"/>
          <w:numId w:val="24"/>
        </w:numPr>
        <w:tabs>
          <w:tab w:val="left" w:pos="1168"/>
        </w:tabs>
        <w:spacing w:before="0" w:after="0" w:line="240" w:lineRule="auto"/>
        <w:ind w:left="1168" w:right="0" w:hanging="490"/>
        <w:jc w:val="left"/>
        <w:rPr>
          <w:sz w:val="28"/>
        </w:rPr>
      </w:pPr>
      <w:r>
        <w:rPr>
          <w:spacing w:val="-2"/>
          <w:sz w:val="28"/>
        </w:rPr>
        <w:t>开关、插座的安装</w:t>
      </w:r>
    </w:p>
    <w:p>
      <w:pPr>
        <w:pStyle w:val="BodyText"/>
        <w:spacing w:before="9"/>
        <w:ind w:left="0"/>
        <w:rPr>
          <w:sz w:val="20"/>
        </w:rPr>
      </w:pPr>
    </w:p>
    <w:p>
      <w:pPr>
        <w:pStyle w:val="ListParagraph"/>
        <w:numPr>
          <w:ilvl w:val="0"/>
          <w:numId w:val="17"/>
        </w:numPr>
        <w:tabs>
          <w:tab w:val="left" w:pos="959"/>
        </w:tabs>
        <w:spacing w:before="0" w:after="0" w:line="417" w:lineRule="auto"/>
        <w:ind w:left="118" w:right="532" w:firstLine="560"/>
        <w:jc w:val="left"/>
        <w:rPr>
          <w:sz w:val="28"/>
        </w:rPr>
      </w:pPr>
      <w:r>
        <w:rPr>
          <w:spacing w:val="-2"/>
          <w:sz w:val="28"/>
        </w:rPr>
        <w:t>开关、插座的规格、型号必须符合设计要求和国家标准要求，要有出</w:t>
      </w:r>
      <w:r>
        <w:rPr>
          <w:spacing w:val="-2"/>
          <w:sz w:val="28"/>
        </w:rPr>
        <w:t>厂合格证，并送检测站检测合格后方可使用；</w:t>
      </w:r>
    </w:p>
    <w:p>
      <w:pPr>
        <w:pStyle w:val="ListParagraph"/>
        <w:numPr>
          <w:ilvl w:val="0"/>
          <w:numId w:val="17"/>
        </w:numPr>
        <w:tabs>
          <w:tab w:val="left" w:pos="959"/>
        </w:tabs>
        <w:spacing w:before="0" w:after="0" w:line="417" w:lineRule="auto"/>
        <w:ind w:left="118" w:right="532" w:firstLine="560"/>
        <w:jc w:val="both"/>
        <w:rPr>
          <w:sz w:val="28"/>
        </w:rPr>
      </w:pPr>
      <w:r>
        <w:rPr>
          <w:spacing w:val="-7"/>
          <w:sz w:val="28"/>
        </w:rPr>
        <w:t xml:space="preserve">开关、插座的安装高度应符合设计要求，要求标高不得超过 </w:t>
      </w:r>
      <w:r>
        <w:rPr>
          <w:spacing w:val="-6"/>
          <w:sz w:val="28"/>
        </w:rPr>
        <w:t>5mm，面板</w:t>
      </w:r>
      <w:r>
        <w:rPr>
          <w:spacing w:val="-2"/>
          <w:sz w:val="28"/>
        </w:rPr>
        <w:t>安装牢固且螺钉及保护帽齐全，面板的水平和垂直符合要求，与墙面缝隙处</w:t>
      </w:r>
      <w:r>
        <w:rPr>
          <w:spacing w:val="-2"/>
          <w:sz w:val="28"/>
        </w:rPr>
        <w:t>理严密，同时保证相序连接正确，开关断相线，插座左零右火上接地；</w:t>
      </w:r>
    </w:p>
    <w:p>
      <w:pPr>
        <w:pStyle w:val="ListParagraph"/>
        <w:numPr>
          <w:ilvl w:val="0"/>
          <w:numId w:val="17"/>
        </w:numPr>
        <w:tabs>
          <w:tab w:val="left" w:pos="959"/>
        </w:tabs>
        <w:spacing w:before="0" w:after="0" w:line="417" w:lineRule="auto"/>
        <w:ind w:left="118" w:right="532" w:firstLine="560"/>
        <w:jc w:val="both"/>
        <w:rPr>
          <w:sz w:val="28"/>
        </w:rPr>
      </w:pPr>
      <w:r>
        <w:rPr>
          <w:spacing w:val="-4"/>
          <w:sz w:val="28"/>
        </w:rPr>
        <w:t xml:space="preserve">开关距门口的距离为 </w:t>
      </w:r>
      <w:r>
        <w:rPr>
          <w:sz w:val="28"/>
        </w:rPr>
        <w:t>15－20cm，同一场所的开关切断位置应一致，并</w:t>
      </w:r>
      <w:r>
        <w:rPr>
          <w:spacing w:val="-2"/>
          <w:sz w:val="28"/>
        </w:rPr>
        <w:t>且要操作灵活。成排安装的开关、插座高度应致，并列安装的高度偏差范围</w:t>
      </w:r>
      <w:r>
        <w:rPr>
          <w:spacing w:val="-11"/>
          <w:sz w:val="28"/>
        </w:rPr>
        <w:t xml:space="preserve">在 </w:t>
      </w:r>
      <w:r>
        <w:rPr>
          <w:sz w:val="28"/>
        </w:rPr>
        <w:t>0.5mm</w:t>
      </w:r>
      <w:r>
        <w:rPr>
          <w:spacing w:val="-6"/>
          <w:sz w:val="28"/>
        </w:rPr>
        <w:t xml:space="preserve"> 以内。</w:t>
      </w:r>
    </w:p>
    <w:p>
      <w:pPr>
        <w:pStyle w:val="ListParagraph"/>
        <w:numPr>
          <w:ilvl w:val="1"/>
          <w:numId w:val="24"/>
        </w:numPr>
        <w:tabs>
          <w:tab w:val="left" w:pos="1168"/>
        </w:tabs>
        <w:spacing w:before="0" w:after="0" w:line="358" w:lineRule="exact"/>
        <w:ind w:left="1168" w:right="0" w:hanging="490"/>
        <w:jc w:val="left"/>
        <w:rPr>
          <w:sz w:val="28"/>
        </w:rPr>
      </w:pPr>
      <w:r>
        <w:rPr>
          <w:spacing w:val="-2"/>
          <w:sz w:val="28"/>
        </w:rPr>
        <w:t>屋面避雷网的安装</w:t>
      </w:r>
    </w:p>
    <w:p>
      <w:pPr>
        <w:pStyle w:val="BodyText"/>
        <w:spacing w:before="8"/>
        <w:ind w:left="0"/>
        <w:rPr>
          <w:sz w:val="20"/>
        </w:rPr>
      </w:pPr>
    </w:p>
    <w:p>
      <w:pPr>
        <w:pStyle w:val="ListParagraph"/>
        <w:numPr>
          <w:ilvl w:val="0"/>
          <w:numId w:val="16"/>
        </w:numPr>
        <w:tabs>
          <w:tab w:val="left" w:pos="959"/>
        </w:tabs>
        <w:spacing w:before="0" w:after="0" w:line="417" w:lineRule="auto"/>
        <w:ind w:left="118" w:right="532" w:firstLine="560"/>
        <w:jc w:val="both"/>
        <w:rPr>
          <w:sz w:val="28"/>
        </w:rPr>
      </w:pPr>
      <w:r>
        <w:rPr>
          <w:spacing w:val="-2"/>
          <w:sz w:val="28"/>
        </w:rPr>
        <w:t>土建女儿墙压顶完毕前先进行支架的安装，支架必须热镀锌，规格必</w:t>
      </w:r>
      <w:r>
        <w:rPr>
          <w:spacing w:val="-10"/>
          <w:sz w:val="28"/>
        </w:rPr>
        <w:t>须符合标准要求</w:t>
      </w:r>
      <w:r>
        <w:rPr>
          <w:spacing w:val="1"/>
          <w:sz w:val="28"/>
        </w:rPr>
        <w:t>（190×20×3mm</w:t>
      </w:r>
      <w:r>
        <w:rPr>
          <w:spacing w:val="-139"/>
          <w:sz w:val="28"/>
        </w:rPr>
        <w:t>）</w:t>
      </w:r>
      <w:r>
        <w:rPr>
          <w:spacing w:val="-12"/>
          <w:sz w:val="28"/>
        </w:rPr>
        <w:t xml:space="preserve">。支架的间距为 </w:t>
      </w:r>
      <w:r>
        <w:rPr>
          <w:spacing w:val="-10"/>
          <w:sz w:val="28"/>
        </w:rPr>
        <w:t>1</w:t>
      </w:r>
      <w:r>
        <w:rPr>
          <w:spacing w:val="-14"/>
          <w:sz w:val="28"/>
        </w:rPr>
        <w:t xml:space="preserve"> 米，转弯处为 </w:t>
      </w:r>
      <w:r>
        <w:rPr>
          <w:spacing w:val="-10"/>
          <w:sz w:val="28"/>
        </w:rPr>
        <w:t>0.5</w:t>
      </w:r>
      <w:r>
        <w:rPr>
          <w:spacing w:val="-13"/>
          <w:sz w:val="28"/>
        </w:rPr>
        <w:t xml:space="preserve"> 米，避</w:t>
      </w:r>
      <w:r>
        <w:rPr>
          <w:spacing w:val="-6"/>
          <w:sz w:val="28"/>
        </w:rPr>
        <w:t xml:space="preserve">雷网钢筋距压顶 </w:t>
      </w:r>
      <w:r>
        <w:rPr>
          <w:sz w:val="28"/>
        </w:rPr>
        <w:t>10cm；</w:t>
      </w:r>
    </w:p>
    <w:p>
      <w:pPr>
        <w:pStyle w:val="ListParagraph"/>
        <w:numPr>
          <w:ilvl w:val="0"/>
          <w:numId w:val="16"/>
        </w:numPr>
        <w:tabs>
          <w:tab w:val="left" w:pos="959"/>
        </w:tabs>
        <w:spacing w:before="0" w:after="0" w:line="417" w:lineRule="auto"/>
        <w:ind w:left="118" w:right="532" w:firstLine="560"/>
        <w:jc w:val="both"/>
        <w:rPr>
          <w:sz w:val="28"/>
        </w:rPr>
      </w:pPr>
      <w:r>
        <w:rPr>
          <w:sz w:val="28"/>
        </w:rPr>
        <w:t>避雷网所用钢筋为φ10</w:t>
      </w:r>
      <w:r>
        <w:rPr>
          <w:spacing w:val="-6"/>
          <w:sz w:val="28"/>
        </w:rPr>
        <w:t xml:space="preserve"> 的热镀锌钢筋，搭接处必须进行双面焊，并用</w:t>
      </w:r>
      <w:r>
        <w:rPr>
          <w:spacing w:val="-2"/>
          <w:sz w:val="28"/>
        </w:rPr>
        <w:t>专职焊工进行，拐角处弯曲不得为直角，也不应过大，焊接完毕后对焊口用</w:t>
      </w:r>
      <w:r>
        <w:rPr>
          <w:spacing w:val="-2"/>
          <w:sz w:val="28"/>
        </w:rPr>
        <w:t>防锈漆进行防腐，再刷银粉。</w:t>
      </w:r>
    </w:p>
    <w:p>
      <w:pPr>
        <w:pStyle w:val="ListParagraph"/>
        <w:numPr>
          <w:ilvl w:val="1"/>
          <w:numId w:val="24"/>
        </w:numPr>
        <w:tabs>
          <w:tab w:val="left" w:pos="1168"/>
        </w:tabs>
        <w:spacing w:before="0" w:after="0" w:line="358" w:lineRule="exact"/>
        <w:ind w:left="1168" w:right="0" w:hanging="490"/>
        <w:jc w:val="left"/>
        <w:rPr>
          <w:sz w:val="28"/>
        </w:rPr>
      </w:pPr>
      <w:r>
        <w:rPr>
          <w:spacing w:val="-2"/>
          <w:sz w:val="28"/>
        </w:rPr>
        <w:t>调试与测试</w:t>
      </w:r>
    </w:p>
    <w:p>
      <w:pPr>
        <w:pStyle w:val="BodyText"/>
        <w:spacing w:before="8"/>
        <w:ind w:left="0"/>
        <w:rPr>
          <w:sz w:val="20"/>
        </w:rPr>
      </w:pPr>
    </w:p>
    <w:p>
      <w:pPr>
        <w:pStyle w:val="BodyText"/>
        <w:spacing w:line="417" w:lineRule="auto"/>
        <w:ind w:left="678" w:right="4357"/>
      </w:pPr>
      <w:r>
        <w:rPr>
          <w:spacing w:val="-2"/>
        </w:rPr>
        <w:t>a.</w:t>
      </w:r>
      <w:r>
        <w:rPr>
          <w:spacing w:val="-7"/>
        </w:rPr>
        <w:t xml:space="preserve">照明线间绝缘电阻值必须大于 </w:t>
      </w:r>
      <w:r>
        <w:rPr>
          <w:spacing w:val="-2"/>
        </w:rPr>
        <w:t>0.5MΩ;</w:t>
      </w:r>
      <w:r>
        <w:rPr>
          <w:spacing w:val="-2"/>
        </w:rPr>
        <w:t xml:space="preserve"> </w:t>
      </w:r>
      <w:r>
        <w:t>b.</w:t>
      </w:r>
      <w:r>
        <w:rPr>
          <w:spacing w:val="-2"/>
        </w:rPr>
        <w:t xml:space="preserve">避雷接地的电阻值不大于 </w:t>
      </w:r>
      <w:r>
        <w:t>1</w:t>
      </w:r>
      <w:r>
        <w:rPr>
          <w:spacing w:val="-6"/>
        </w:rPr>
        <w:t xml:space="preserve"> 欧姆。</w:t>
      </w:r>
    </w:p>
    <w:p>
      <w:pPr>
        <w:pStyle w:val="BodyText"/>
        <w:spacing w:line="358" w:lineRule="exact"/>
        <w:ind w:left="678"/>
      </w:pPr>
      <w:r>
        <w:t>（二）</w:t>
      </w:r>
      <w:r>
        <w:rPr>
          <w:spacing w:val="-3"/>
        </w:rPr>
        <w:t>弱电工程</w:t>
      </w:r>
    </w:p>
    <w:p>
      <w:pPr>
        <w:spacing w:after="0" w:line="358" w:lineRule="exact"/>
        <w:sectPr>
          <w:headerReference w:type="default" r:id="rId22"/>
          <w:footerReference w:type="default" r:id="rId23"/>
          <w:pgSz w:w="11910" w:h="16840"/>
          <w:pgMar w:top="1160" w:right="600" w:bottom="1680" w:left="1300" w:header="906" w:footer="1372"/>
          <w:pgNumType w:start="10"/>
          <w:cols w:space="708"/>
        </w:sectPr>
      </w:pPr>
    </w:p>
    <w:p>
      <w:pPr>
        <w:pStyle w:val="BodyText"/>
        <w:spacing w:before="107"/>
        <w:ind w:left="108" w:right="5677"/>
        <w:jc w:val="center"/>
      </w:pPr>
      <w:r>
        <w:rPr>
          <w:spacing w:val="-2"/>
        </w:rPr>
        <w:t>火灾自动报警系统</w:t>
      </w:r>
    </w:p>
    <w:p>
      <w:pPr>
        <w:pStyle w:val="BodyText"/>
        <w:spacing w:before="9"/>
        <w:ind w:left="0"/>
        <w:rPr>
          <w:sz w:val="20"/>
        </w:rPr>
      </w:pPr>
    </w:p>
    <w:p>
      <w:pPr>
        <w:pStyle w:val="ListParagraph"/>
        <w:numPr>
          <w:ilvl w:val="0"/>
          <w:numId w:val="27"/>
        </w:numPr>
        <w:tabs>
          <w:tab w:val="left" w:pos="1379"/>
        </w:tabs>
        <w:spacing w:before="0" w:after="0" w:line="240" w:lineRule="auto"/>
        <w:ind w:left="1379" w:right="0" w:hanging="701"/>
        <w:jc w:val="left"/>
        <w:rPr>
          <w:sz w:val="28"/>
        </w:rPr>
      </w:pPr>
      <w:r>
        <w:rPr>
          <w:spacing w:val="-1"/>
          <w:sz w:val="28"/>
        </w:rPr>
        <w:t>、火灾自动报警系统配管、配线同电气安装工程。</w:t>
      </w:r>
    </w:p>
    <w:p>
      <w:pPr>
        <w:pStyle w:val="BodyText"/>
        <w:spacing w:before="9"/>
        <w:ind w:left="0"/>
        <w:rPr>
          <w:sz w:val="20"/>
        </w:rPr>
      </w:pPr>
    </w:p>
    <w:p>
      <w:pPr>
        <w:pStyle w:val="ListParagraph"/>
        <w:numPr>
          <w:ilvl w:val="0"/>
          <w:numId w:val="27"/>
        </w:numPr>
        <w:tabs>
          <w:tab w:val="left" w:pos="1383"/>
        </w:tabs>
        <w:spacing w:before="0" w:after="0" w:line="417" w:lineRule="auto"/>
        <w:ind w:left="118" w:right="532" w:firstLine="560"/>
        <w:jc w:val="left"/>
        <w:rPr>
          <w:sz w:val="28"/>
        </w:rPr>
      </w:pPr>
      <w:r>
        <w:rPr>
          <w:spacing w:val="3"/>
          <w:sz w:val="28"/>
        </w:rPr>
        <w:t>、感烟、感温等探测器严格按设计要求布置，安装时盒口周边无</w:t>
      </w:r>
      <w:r>
        <w:rPr>
          <w:sz w:val="28"/>
        </w:rPr>
        <w:t>破损，探测器接线正确，外观无损，牢固可靠。</w:t>
      </w:r>
    </w:p>
    <w:p>
      <w:pPr>
        <w:pStyle w:val="ListParagraph"/>
        <w:numPr>
          <w:ilvl w:val="0"/>
          <w:numId w:val="27"/>
        </w:numPr>
        <w:tabs>
          <w:tab w:val="left" w:pos="1379"/>
        </w:tabs>
        <w:spacing w:before="0" w:after="0" w:line="358" w:lineRule="exact"/>
        <w:ind w:left="1379" w:right="0" w:hanging="701"/>
        <w:jc w:val="left"/>
        <w:rPr>
          <w:sz w:val="28"/>
        </w:rPr>
      </w:pPr>
      <w:r>
        <w:rPr>
          <w:spacing w:val="-1"/>
          <w:sz w:val="28"/>
        </w:rPr>
        <w:t>、消防控制设备布置应符合下列要求：</w:t>
      </w:r>
    </w:p>
    <w:p>
      <w:pPr>
        <w:pStyle w:val="BodyText"/>
        <w:spacing w:before="9"/>
        <w:ind w:left="0"/>
        <w:rPr>
          <w:sz w:val="20"/>
        </w:rPr>
      </w:pPr>
    </w:p>
    <w:p>
      <w:pPr>
        <w:pStyle w:val="BodyText"/>
        <w:spacing w:line="417" w:lineRule="auto"/>
        <w:ind w:right="532"/>
      </w:pPr>
      <w:r>
        <w:rPr>
          <w:spacing w:val="-4"/>
        </w:rPr>
        <w:t>A</w:t>
      </w:r>
      <w:r>
        <w:rPr>
          <w:spacing w:val="-7"/>
        </w:rPr>
        <w:t xml:space="preserve">、单列布置时，盘前操作距离不应小于 </w:t>
      </w:r>
      <w:r>
        <w:rPr>
          <w:spacing w:val="-4"/>
        </w:rPr>
        <w:t>1.5m，双列布置时，盘前操作距离不</w:t>
      </w:r>
      <w:r>
        <w:rPr>
          <w:spacing w:val="-8"/>
        </w:rPr>
        <w:t xml:space="preserve">小于 </w:t>
      </w:r>
      <w:r>
        <w:t>2m。B</w:t>
      </w:r>
      <w:r>
        <w:rPr>
          <w:spacing w:val="-1"/>
        </w:rPr>
        <w:t xml:space="preserve">、值班人员经常工作的一面，控制盘至墙的距离不应小于 </w:t>
      </w:r>
      <w:r>
        <w:t>3m。</w:t>
      </w:r>
    </w:p>
    <w:p>
      <w:pPr>
        <w:pStyle w:val="BodyText"/>
        <w:spacing w:line="417" w:lineRule="auto"/>
        <w:ind w:right="532"/>
      </w:pPr>
      <w:r>
        <w:t>C</w:t>
      </w:r>
      <w:r>
        <w:rPr>
          <w:spacing w:val="-6"/>
        </w:rPr>
        <w:t xml:space="preserve">、盘后维修距离不应小于 </w:t>
      </w:r>
      <w:r>
        <w:t>1m</w:t>
      </w:r>
      <w:r>
        <w:rPr>
          <w:spacing w:val="-7"/>
        </w:rPr>
        <w:t xml:space="preserve">，控制盘排列长度大于 </w:t>
      </w:r>
      <w:r>
        <w:t>4m</w:t>
      </w:r>
      <w:r>
        <w:rPr>
          <w:spacing w:val="-9"/>
        </w:rPr>
        <w:t xml:space="preserve"> 时，控制盘两端应设</w:t>
      </w:r>
      <w:r>
        <w:rPr>
          <w:spacing w:val="-3"/>
        </w:rPr>
        <w:t xml:space="preserve">置宽度不小于 </w:t>
      </w:r>
      <w:r>
        <w:t>1m</w:t>
      </w:r>
      <w:r>
        <w:rPr>
          <w:spacing w:val="-5"/>
        </w:rPr>
        <w:t xml:space="preserve"> 的通道。</w:t>
      </w:r>
    </w:p>
    <w:p>
      <w:pPr>
        <w:pStyle w:val="ListParagraph"/>
        <w:numPr>
          <w:ilvl w:val="0"/>
          <w:numId w:val="27"/>
        </w:numPr>
        <w:tabs>
          <w:tab w:val="left" w:pos="1381"/>
        </w:tabs>
        <w:spacing w:before="0" w:after="0" w:line="417" w:lineRule="auto"/>
        <w:ind w:left="118" w:right="532" w:firstLine="560"/>
        <w:jc w:val="both"/>
        <w:rPr>
          <w:sz w:val="28"/>
        </w:rPr>
      </w:pPr>
      <w:r>
        <w:rPr>
          <w:spacing w:val="-2"/>
          <w:sz w:val="28"/>
        </w:rPr>
        <w:t xml:space="preserve">、探测器的安装倾斜角不能大于 </w:t>
      </w:r>
      <w:r>
        <w:rPr>
          <w:sz w:val="28"/>
        </w:rPr>
        <w:t>45º</w:t>
      </w:r>
      <w:r>
        <w:rPr>
          <w:spacing w:val="-3"/>
          <w:sz w:val="28"/>
        </w:rPr>
        <w:t xml:space="preserve">，探测器周边 </w:t>
      </w:r>
      <w:r>
        <w:rPr>
          <w:sz w:val="28"/>
        </w:rPr>
        <w:t>0.5m</w:t>
      </w:r>
      <w:r>
        <w:rPr>
          <w:spacing w:val="-5"/>
          <w:sz w:val="28"/>
        </w:rPr>
        <w:t xml:space="preserve"> 内不应有</w:t>
      </w:r>
      <w:r>
        <w:rPr>
          <w:spacing w:val="-2"/>
          <w:sz w:val="28"/>
        </w:rPr>
        <w:t xml:space="preserve">遮挡物。探测器至空调送风口边的水平距离不应小于 </w:t>
      </w:r>
      <w:r>
        <w:rPr>
          <w:sz w:val="28"/>
        </w:rPr>
        <w:t>1.5m，并宜接近回风口</w:t>
      </w:r>
      <w:r>
        <w:rPr>
          <w:spacing w:val="-4"/>
          <w:sz w:val="28"/>
        </w:rPr>
        <w:t>安装。</w:t>
      </w:r>
    </w:p>
    <w:p>
      <w:pPr>
        <w:pStyle w:val="ListParagraph"/>
        <w:numPr>
          <w:ilvl w:val="0"/>
          <w:numId w:val="27"/>
        </w:numPr>
        <w:tabs>
          <w:tab w:val="left" w:pos="1383"/>
        </w:tabs>
        <w:spacing w:before="0" w:after="0" w:line="417" w:lineRule="auto"/>
        <w:ind w:left="118" w:right="532" w:firstLine="560"/>
        <w:jc w:val="left"/>
        <w:rPr>
          <w:sz w:val="28"/>
        </w:rPr>
      </w:pPr>
      <w:r>
        <w:rPr>
          <w:spacing w:val="3"/>
          <w:sz w:val="28"/>
        </w:rPr>
        <w:t>、端子箱内各回路电缆排列整齐，线号清楚，绑扎成束，端子号</w:t>
      </w:r>
      <w:r>
        <w:rPr>
          <w:sz w:val="28"/>
        </w:rPr>
        <w:t>相对应，字迹清晰。</w:t>
      </w:r>
    </w:p>
    <w:p>
      <w:pPr>
        <w:pStyle w:val="ListParagraph"/>
        <w:numPr>
          <w:ilvl w:val="0"/>
          <w:numId w:val="27"/>
        </w:numPr>
        <w:tabs>
          <w:tab w:val="left" w:pos="1381"/>
        </w:tabs>
        <w:spacing w:before="0" w:after="0" w:line="417" w:lineRule="auto"/>
        <w:ind w:left="118" w:right="531" w:firstLine="560"/>
        <w:jc w:val="both"/>
        <w:rPr>
          <w:sz w:val="28"/>
        </w:rPr>
      </w:pPr>
      <w:r>
        <w:rPr>
          <w:sz w:val="28"/>
        </w:rPr>
        <w:t>、消防控制室工作接地电阻小于 4Ω,采用联合接地时，接地电阻</w:t>
      </w:r>
      <w:r>
        <w:rPr>
          <w:spacing w:val="-9"/>
          <w:sz w:val="28"/>
        </w:rPr>
        <w:t xml:space="preserve">应小于 </w:t>
      </w:r>
      <w:r>
        <w:rPr>
          <w:spacing w:val="-2"/>
          <w:sz w:val="28"/>
        </w:rPr>
        <w:t>1Ω，</w:t>
      </w:r>
      <w:r>
        <w:rPr>
          <w:spacing w:val="-4"/>
          <w:sz w:val="28"/>
        </w:rPr>
        <w:t xml:space="preserve">专用接地干线应用铜芯绝缘导线，其线芯截面不小于 </w:t>
      </w:r>
      <w:r>
        <w:rPr>
          <w:spacing w:val="-2"/>
          <w:sz w:val="28"/>
        </w:rPr>
        <w:t>16㎜</w:t>
      </w:r>
      <w:r>
        <w:rPr>
          <w:spacing w:val="-2"/>
          <w:sz w:val="28"/>
          <w:vertAlign w:val="superscript"/>
        </w:rPr>
        <w:t>2</w:t>
      </w:r>
      <w:r>
        <w:rPr>
          <w:spacing w:val="-2"/>
          <w:sz w:val="28"/>
          <w:vertAlign w:val="baseline"/>
        </w:rPr>
        <w:t>，由</w:t>
      </w:r>
      <w:r>
        <w:rPr>
          <w:spacing w:val="-2"/>
          <w:sz w:val="28"/>
          <w:vertAlign w:val="baseline"/>
        </w:rPr>
        <w:t>消控室接地极引至各消防设备的接地线应选用铜芯绝缘软线，线芯截面积不</w:t>
      </w:r>
      <w:r>
        <w:rPr>
          <w:spacing w:val="-14"/>
          <w:sz w:val="28"/>
          <w:vertAlign w:val="baseline"/>
        </w:rPr>
        <w:t xml:space="preserve">小于 </w:t>
      </w:r>
      <w:r>
        <w:rPr>
          <w:sz w:val="28"/>
          <w:vertAlign w:val="baseline"/>
        </w:rPr>
        <w:t>4㎜</w:t>
      </w:r>
      <w:r>
        <w:rPr>
          <w:sz w:val="28"/>
          <w:vertAlign w:val="superscript"/>
        </w:rPr>
        <w:t>2</w:t>
      </w:r>
      <w:r>
        <w:rPr>
          <w:sz w:val="28"/>
          <w:vertAlign w:val="baseline"/>
        </w:rPr>
        <w:t>。</w:t>
      </w:r>
    </w:p>
    <w:p>
      <w:pPr>
        <w:pStyle w:val="BodyText"/>
        <w:spacing w:line="358" w:lineRule="exact"/>
        <w:ind w:left="398"/>
      </w:pPr>
      <w:r>
        <w:t>2</w:t>
      </w:r>
      <w:r>
        <w:rPr>
          <w:spacing w:val="-2"/>
        </w:rPr>
        <w:t>、综合布线系统</w:t>
      </w:r>
    </w:p>
    <w:p>
      <w:pPr>
        <w:pStyle w:val="BodyText"/>
        <w:spacing w:before="7"/>
        <w:ind w:left="0"/>
        <w:rPr>
          <w:sz w:val="20"/>
        </w:rPr>
      </w:pPr>
    </w:p>
    <w:p>
      <w:pPr>
        <w:pStyle w:val="BodyText"/>
        <w:ind w:left="0" w:right="5569"/>
        <w:jc w:val="center"/>
      </w:pPr>
      <w:r>
        <w:rPr>
          <w:spacing w:val="-1"/>
        </w:rPr>
        <w:t>网络综合布线系统监理主要工作：</w:t>
      </w:r>
    </w:p>
    <w:p>
      <w:pPr>
        <w:pStyle w:val="BodyText"/>
        <w:spacing w:before="9"/>
        <w:ind w:left="0"/>
        <w:rPr>
          <w:sz w:val="20"/>
        </w:rPr>
      </w:pPr>
    </w:p>
    <w:p>
      <w:pPr>
        <w:pStyle w:val="BodyText"/>
        <w:ind w:left="678"/>
      </w:pPr>
      <w:r>
        <w:rPr>
          <w:spacing w:val="-1"/>
        </w:rPr>
        <w:t>网络综合布线系统材料验收，布线系统合同执行情况，进度审核；</w:t>
      </w:r>
    </w:p>
    <w:p>
      <w:pPr>
        <w:pStyle w:val="BodyText"/>
        <w:spacing w:before="9"/>
        <w:ind w:left="0"/>
        <w:rPr>
          <w:sz w:val="20"/>
        </w:rPr>
      </w:pPr>
    </w:p>
    <w:p>
      <w:pPr>
        <w:pStyle w:val="BodyText"/>
        <w:ind w:left="678"/>
      </w:pPr>
      <w:r>
        <w:rPr>
          <w:spacing w:val="-1"/>
        </w:rPr>
        <w:t>网络综合布线系统测试，根据测试结果，判定网络综合布线系统施工是</w:t>
      </w:r>
    </w:p>
    <w:p>
      <w:pPr>
        <w:spacing w:after="0"/>
        <w:sectPr>
          <w:headerReference w:type="default" r:id="rId24"/>
          <w:footerReference w:type="default" r:id="rId25"/>
          <w:pgSz w:w="11910" w:h="16840"/>
          <w:pgMar w:top="1160" w:right="600" w:bottom="1680" w:left="1300" w:header="906" w:footer="1372"/>
          <w:pgNumType w:start="11"/>
          <w:cols w:space="708"/>
        </w:sectPr>
      </w:pPr>
    </w:p>
    <w:p>
      <w:pPr>
        <w:pStyle w:val="BodyText"/>
        <w:spacing w:before="107" w:line="417" w:lineRule="auto"/>
        <w:ind w:right="532"/>
      </w:pPr>
      <w:r>
        <w:rPr>
          <w:spacing w:val="-2"/>
        </w:rPr>
        <w:t>否合格，若合格则继续履行合同；若不合格，则敦促施工单位根据测试情况</w:t>
      </w:r>
      <w:r>
        <w:rPr>
          <w:spacing w:val="-2"/>
        </w:rPr>
        <w:t>进行修正，直至测试达标；</w:t>
      </w:r>
    </w:p>
    <w:p>
      <w:pPr>
        <w:pStyle w:val="BodyText"/>
        <w:spacing w:line="417" w:lineRule="auto"/>
        <w:ind w:left="678" w:right="4287"/>
      </w:pPr>
      <w:r>
        <w:rPr>
          <w:spacing w:val="-2"/>
        </w:rPr>
        <w:t>提供详实的网络综合布线系统测试报告；</w:t>
      </w:r>
      <w:r>
        <w:rPr>
          <w:spacing w:val="-2"/>
        </w:rPr>
        <w:t>根据合同进行网络综合布线系统验收；</w:t>
      </w:r>
    </w:p>
    <w:p>
      <w:pPr>
        <w:pStyle w:val="BodyText"/>
        <w:spacing w:line="417" w:lineRule="auto"/>
        <w:ind w:right="532" w:firstLine="560"/>
      </w:pPr>
      <w:r>
        <w:rPr>
          <w:spacing w:val="23"/>
        </w:rPr>
        <w:t>验收时应参照《建筑与建筑群综合布线系统工程验收规范》</w:t>
      </w:r>
      <w:r>
        <w:t>（</w:t>
      </w:r>
      <w:r>
        <w:rPr>
          <w:spacing w:val="-111"/>
        </w:rPr>
        <w:t xml:space="preserve"> </w:t>
      </w:r>
      <w:r>
        <w:t xml:space="preserve">GB/T </w:t>
      </w:r>
      <w:r>
        <w:rPr>
          <w:spacing w:val="-2"/>
        </w:rPr>
        <w:t>50312-2000）等相关国家或行业标准；</w:t>
      </w:r>
    </w:p>
    <w:p>
      <w:pPr>
        <w:pStyle w:val="BodyText"/>
        <w:spacing w:line="358" w:lineRule="exact"/>
        <w:ind w:left="398"/>
      </w:pPr>
      <w:r>
        <w:t>施工质量控制（检查</w:t>
      </w:r>
      <w:r>
        <w:rPr>
          <w:spacing w:val="-10"/>
        </w:rPr>
        <w:t>）</w:t>
      </w:r>
    </w:p>
    <w:p>
      <w:pPr>
        <w:pStyle w:val="BodyText"/>
        <w:spacing w:before="8"/>
        <w:ind w:left="0"/>
        <w:rPr>
          <w:sz w:val="20"/>
        </w:rPr>
      </w:pPr>
    </w:p>
    <w:p>
      <w:pPr>
        <w:pStyle w:val="BodyText"/>
        <w:spacing w:line="417" w:lineRule="auto"/>
        <w:ind w:right="532"/>
      </w:pPr>
      <w:r>
        <w:rPr>
          <w:spacing w:val="-2"/>
        </w:rPr>
        <w:t>施工质量控制工作是落实施工前质量检查和随工检验、隐蔽工程检查签证等</w:t>
      </w:r>
      <w:r>
        <w:rPr>
          <w:spacing w:val="-4"/>
        </w:rPr>
        <w:t>内容。</w:t>
      </w:r>
    </w:p>
    <w:p>
      <w:pPr>
        <w:pStyle w:val="ListParagraph"/>
        <w:numPr>
          <w:ilvl w:val="0"/>
          <w:numId w:val="14"/>
        </w:numPr>
        <w:tabs>
          <w:tab w:val="left" w:pos="539"/>
        </w:tabs>
        <w:spacing w:before="0" w:after="0" w:line="417" w:lineRule="auto"/>
        <w:ind w:left="118" w:right="532" w:firstLine="0"/>
        <w:jc w:val="left"/>
        <w:rPr>
          <w:sz w:val="28"/>
        </w:rPr>
      </w:pPr>
      <w:r>
        <w:rPr>
          <w:spacing w:val="-2"/>
          <w:sz w:val="28"/>
        </w:rPr>
        <w:t>施工质量控制检查项目主要包括环境检查、器材检查、设备安装检验、缆</w:t>
      </w:r>
      <w:r>
        <w:rPr>
          <w:spacing w:val="-2"/>
          <w:sz w:val="28"/>
        </w:rPr>
        <w:t>线敷设和保护方式检验、线缆终接等方面。</w:t>
      </w:r>
    </w:p>
    <w:p>
      <w:pPr>
        <w:pStyle w:val="ListParagraph"/>
        <w:numPr>
          <w:ilvl w:val="0"/>
          <w:numId w:val="14"/>
        </w:numPr>
        <w:tabs>
          <w:tab w:val="left" w:pos="539"/>
        </w:tabs>
        <w:spacing w:before="0" w:after="0" w:line="417" w:lineRule="auto"/>
        <w:ind w:left="118" w:right="531" w:firstLine="0"/>
        <w:jc w:val="both"/>
        <w:rPr>
          <w:sz w:val="28"/>
        </w:rPr>
      </w:pPr>
      <w:r>
        <w:rPr>
          <w:spacing w:val="-2"/>
          <w:sz w:val="28"/>
        </w:rPr>
        <w:t>施工质量控制工程对象，包括传输链路、缆线、跳线、终端、配线架、连</w:t>
      </w:r>
      <w:r>
        <w:rPr>
          <w:spacing w:val="-2"/>
          <w:sz w:val="28"/>
        </w:rPr>
        <w:t>接硬件、集线器、信息插座、线管、线槽、线箱（线盒）、支撑、防护、接</w:t>
      </w:r>
      <w:r>
        <w:rPr>
          <w:spacing w:val="-2"/>
          <w:sz w:val="28"/>
        </w:rPr>
        <w:t>地等及它其性能质量。</w:t>
      </w:r>
    </w:p>
    <w:p>
      <w:pPr>
        <w:pStyle w:val="ListParagraph"/>
        <w:numPr>
          <w:ilvl w:val="0"/>
          <w:numId w:val="14"/>
        </w:numPr>
        <w:tabs>
          <w:tab w:val="left" w:pos="539"/>
        </w:tabs>
        <w:spacing w:before="0" w:after="0" w:line="417" w:lineRule="auto"/>
        <w:ind w:left="118" w:right="532" w:firstLine="0"/>
        <w:jc w:val="left"/>
        <w:rPr>
          <w:sz w:val="28"/>
        </w:rPr>
      </w:pPr>
      <w:r>
        <w:rPr>
          <w:spacing w:val="-2"/>
          <w:sz w:val="28"/>
        </w:rPr>
        <w:t>监理人员检查施工单位的质量保证和质量管理体系，质检机构设置，人员</w:t>
      </w:r>
      <w:r>
        <w:rPr>
          <w:spacing w:val="-2"/>
          <w:sz w:val="28"/>
        </w:rPr>
        <w:t>配备；检查管理制度是否健全等。</w:t>
      </w:r>
    </w:p>
    <w:p>
      <w:pPr>
        <w:pStyle w:val="ListParagraph"/>
        <w:numPr>
          <w:ilvl w:val="0"/>
          <w:numId w:val="14"/>
        </w:numPr>
        <w:tabs>
          <w:tab w:val="left" w:pos="539"/>
        </w:tabs>
        <w:spacing w:before="0" w:after="0" w:line="417" w:lineRule="auto"/>
        <w:ind w:left="118" w:right="2747" w:firstLine="0"/>
        <w:jc w:val="left"/>
        <w:rPr>
          <w:sz w:val="28"/>
        </w:rPr>
      </w:pPr>
      <w:r>
        <w:rPr>
          <w:spacing w:val="-2"/>
          <w:sz w:val="28"/>
        </w:rPr>
        <w:t>环境检查（施工前）</w:t>
      </w:r>
      <w:r>
        <w:rPr>
          <w:spacing w:val="80"/>
          <w:w w:val="150"/>
          <w:sz w:val="28"/>
        </w:rPr>
        <w:t xml:space="preserve">              </w:t>
      </w:r>
      <w:r>
        <w:rPr>
          <w:spacing w:val="-2"/>
          <w:sz w:val="28"/>
        </w:rPr>
        <w:t>A．对交接间、设备间、工作区的土建和环境条件进行检查</w:t>
      </w:r>
    </w:p>
    <w:p>
      <w:pPr>
        <w:pStyle w:val="BodyText"/>
        <w:spacing w:line="417" w:lineRule="auto"/>
        <w:ind w:right="531"/>
      </w:pPr>
      <w:r>
        <w:rPr>
          <w:spacing w:val="-2"/>
        </w:rPr>
        <w:t>B．土建已全部竣工，预埋地槽、暗管、孔洞、竖井的位置、数量尺寸、质量</w:t>
      </w:r>
      <w:r>
        <w:rPr>
          <w:spacing w:val="-2"/>
        </w:rPr>
        <w:t>均符合设计要求。</w:t>
      </w:r>
    </w:p>
    <w:p>
      <w:pPr>
        <w:pStyle w:val="BodyText"/>
        <w:spacing w:line="417" w:lineRule="auto"/>
        <w:ind w:right="4987"/>
      </w:pPr>
      <w:r>
        <w:rPr>
          <w:spacing w:val="-2"/>
        </w:rPr>
        <w:t>C．检查接地装置及其接地电阻设计要求</w:t>
      </w:r>
      <w:r>
        <w:rPr>
          <w:spacing w:val="-2"/>
        </w:rPr>
        <w:t xml:space="preserve"> D．电源插座齐备并有电。</w:t>
      </w:r>
    </w:p>
    <w:p>
      <w:pPr>
        <w:spacing w:after="0" w:line="417" w:lineRule="auto"/>
        <w:sectPr>
          <w:headerReference w:type="default" r:id="rId26"/>
          <w:footerReference w:type="default" r:id="rId27"/>
          <w:pgSz w:w="11910" w:h="16840"/>
          <w:pgMar w:top="1160" w:right="600" w:bottom="1680" w:left="1300" w:header="906" w:footer="1372"/>
          <w:pgNumType w:start="12"/>
          <w:cols w:space="708"/>
        </w:sectPr>
      </w:pPr>
    </w:p>
    <w:p>
      <w:pPr>
        <w:pStyle w:val="BodyText"/>
        <w:spacing w:before="107" w:line="417" w:lineRule="auto"/>
        <w:ind w:right="4987"/>
      </w:pPr>
      <w:r>
        <w:rPr>
          <w:spacing w:val="-2"/>
        </w:rPr>
        <w:t>E．地板、通风、环境等符合设计要求。</w:t>
      </w:r>
      <w:r>
        <w:rPr>
          <w:spacing w:val="-2"/>
        </w:rPr>
        <w:t xml:space="preserve"> 5）器材检查（施工前）</w:t>
      </w:r>
    </w:p>
    <w:p>
      <w:pPr>
        <w:pStyle w:val="ListParagraph"/>
        <w:numPr>
          <w:ilvl w:val="0"/>
          <w:numId w:val="13"/>
        </w:numPr>
        <w:tabs>
          <w:tab w:val="left" w:pos="539"/>
        </w:tabs>
        <w:spacing w:before="0" w:after="0" w:line="417" w:lineRule="auto"/>
        <w:ind w:left="118" w:right="532" w:firstLine="0"/>
        <w:jc w:val="left"/>
        <w:rPr>
          <w:sz w:val="28"/>
        </w:rPr>
      </w:pPr>
      <w:r>
        <w:rPr>
          <w:spacing w:val="-2"/>
          <w:sz w:val="28"/>
        </w:rPr>
        <w:t>智能建筑工程所有缆线器材设备硬件的形式、规格、数量、质量在施工前</w:t>
      </w:r>
      <w:r>
        <w:rPr>
          <w:spacing w:val="-2"/>
          <w:sz w:val="28"/>
        </w:rPr>
        <w:t>应进行检查，对不符合要求的不得使用。</w:t>
      </w:r>
    </w:p>
    <w:p>
      <w:pPr>
        <w:pStyle w:val="ListParagraph"/>
        <w:numPr>
          <w:ilvl w:val="0"/>
          <w:numId w:val="13"/>
        </w:numPr>
        <w:tabs>
          <w:tab w:val="left" w:pos="539"/>
        </w:tabs>
        <w:spacing w:before="0" w:after="0" w:line="417" w:lineRule="auto"/>
        <w:ind w:left="118" w:right="392" w:firstLine="0"/>
        <w:jc w:val="left"/>
        <w:rPr>
          <w:sz w:val="28"/>
        </w:rPr>
      </w:pPr>
      <w:r>
        <w:rPr>
          <w:spacing w:val="-14"/>
          <w:sz w:val="28"/>
        </w:rPr>
        <w:t>缆线检查包括：双绞电缆、光缆及跳线的型式、规格、型号、等级、外表、</w:t>
      </w:r>
      <w:r>
        <w:rPr>
          <w:spacing w:val="-2"/>
          <w:sz w:val="28"/>
        </w:rPr>
        <w:t>标志、标签、外护套等</w:t>
      </w:r>
      <w:r>
        <w:rPr>
          <w:spacing w:val="80"/>
          <w:w w:val="150"/>
          <w:sz w:val="28"/>
        </w:rPr>
        <w:t xml:space="preserve">                      </w:t>
      </w:r>
      <w:r>
        <w:rPr>
          <w:spacing w:val="-2"/>
          <w:sz w:val="28"/>
        </w:rPr>
        <w:t>C．电缆的电气性能抽验，加上选用的接插体进行抽样测试。</w:t>
      </w:r>
      <w:r>
        <w:rPr>
          <w:spacing w:val="80"/>
          <w:w w:val="150"/>
          <w:sz w:val="28"/>
        </w:rPr>
        <w:t xml:space="preserve">       </w:t>
      </w:r>
      <w:r>
        <w:rPr>
          <w:spacing w:val="-2"/>
          <w:sz w:val="28"/>
        </w:rPr>
        <w:t>D．查光缆合格证及检验测试数据；必要时用光纤测试仪测试光纤衰减和光纤</w:t>
      </w:r>
      <w:r>
        <w:rPr>
          <w:spacing w:val="-4"/>
          <w:sz w:val="28"/>
        </w:rPr>
        <w:t>长度。</w:t>
      </w:r>
    </w:p>
    <w:p>
      <w:pPr>
        <w:pStyle w:val="BodyText"/>
        <w:spacing w:line="417" w:lineRule="auto"/>
        <w:ind w:right="532"/>
        <w:jc w:val="both"/>
      </w:pPr>
      <w:r>
        <w:rPr>
          <w:spacing w:val="-2"/>
        </w:rPr>
        <w:t>E．接插件和配线设备的检验：配线模块、信息插座、光纤插座的连接器的型</w:t>
      </w:r>
      <w:r>
        <w:rPr>
          <w:spacing w:val="-2"/>
        </w:rPr>
        <w:t>式、数量、位置及保安单元的指标应满足设计要求。光、电缆交接设备的型</w:t>
      </w:r>
      <w:r>
        <w:rPr>
          <w:spacing w:val="-2"/>
        </w:rPr>
        <w:t>式、规格、编排及标志名称应与设计相符。</w:t>
      </w:r>
    </w:p>
    <w:p>
      <w:pPr>
        <w:pStyle w:val="BodyText"/>
        <w:spacing w:line="417" w:lineRule="auto"/>
        <w:ind w:right="392"/>
      </w:pPr>
      <w:r>
        <w:rPr>
          <w:spacing w:val="-2"/>
        </w:rPr>
        <w:t>F</w:t>
      </w:r>
      <w:r>
        <w:rPr>
          <w:spacing w:val="-14"/>
        </w:rPr>
        <w:t>．器材与铁件的检验：各种型材、管材、管道、铁件预埋金属线槽、过线盒、</w:t>
      </w:r>
      <w:r>
        <w:rPr>
          <w:spacing w:val="-2"/>
        </w:rPr>
        <w:t>接线盒、桥架等的材质、规格、型号、表面、完整性都应符合设计要求</w:t>
      </w:r>
      <w:r>
        <w:rPr>
          <w:spacing w:val="80"/>
          <w:w w:val="150"/>
        </w:rPr>
        <w:t xml:space="preserve">  </w:t>
      </w:r>
      <w:r>
        <w:rPr>
          <w:spacing w:val="-2"/>
        </w:rPr>
        <w:t>6）设备安装检验</w:t>
      </w:r>
    </w:p>
    <w:p>
      <w:pPr>
        <w:pStyle w:val="BodyText"/>
        <w:spacing w:line="417" w:lineRule="auto"/>
        <w:ind w:right="532" w:firstLine="280"/>
      </w:pPr>
      <w:r>
        <w:rPr>
          <w:spacing w:val="-4"/>
        </w:rPr>
        <w:t>设备安装检验包括：机柜、机架安装；各类配线部件安装；8</w:t>
      </w:r>
      <w:r>
        <w:rPr>
          <w:spacing w:val="-15"/>
        </w:rPr>
        <w:t xml:space="preserve"> 位模块式通用</w:t>
      </w:r>
      <w:r>
        <w:rPr>
          <w:spacing w:val="20"/>
        </w:rPr>
        <w:t>插座安装； 电缆桥架及线槽安装； 所有设备的接地等内容必须符合</w:t>
      </w:r>
      <w:r>
        <w:t xml:space="preserve"> GB/T50312—2000</w:t>
      </w:r>
      <w:r>
        <w:rPr>
          <w:spacing w:val="69"/>
          <w:w w:val="150"/>
        </w:rPr>
        <w:t xml:space="preserve">                  </w:t>
      </w:r>
      <w:r>
        <w:t>及设计要求。</w:t>
      </w:r>
      <w:r>
        <w:rPr>
          <w:spacing w:val="80"/>
        </w:rPr>
        <w:t xml:space="preserve"> </w:t>
      </w:r>
      <w:r>
        <w:rPr>
          <w:spacing w:val="-2"/>
        </w:rPr>
        <w:t>7）缆线的敷设和保护措施检验（隐蔽工程签证）</w:t>
      </w:r>
      <w:r>
        <w:rPr>
          <w:spacing w:val="80"/>
          <w:w w:val="150"/>
        </w:rPr>
        <w:t xml:space="preserve">           </w:t>
      </w:r>
      <w:r>
        <w:rPr>
          <w:spacing w:val="-2"/>
        </w:rPr>
        <w:t>A．光缆布放分楼内和楼间（室外）的敷设；楼内又分缆线桥架及线槽布放和</w:t>
      </w:r>
      <w:r>
        <w:rPr>
          <w:spacing w:val="-2"/>
        </w:rPr>
        <w:t>缆线暗敷两种。</w:t>
      </w:r>
      <w:r>
        <w:rPr>
          <w:spacing w:val="80"/>
          <w:w w:val="150"/>
        </w:rPr>
        <w:t xml:space="preserve">                         </w:t>
      </w:r>
      <w:r>
        <w:rPr>
          <w:spacing w:val="-2"/>
        </w:rPr>
        <w:t>B．楼间（室外）布放又分为架空、管道、埋式、隧道等情况。</w:t>
      </w:r>
    </w:p>
    <w:p>
      <w:pPr>
        <w:spacing w:after="0" w:line="417" w:lineRule="auto"/>
        <w:sectPr>
          <w:headerReference w:type="default" r:id="rId28"/>
          <w:footerReference w:type="default" r:id="rId29"/>
          <w:pgSz w:w="11910" w:h="16840"/>
          <w:pgMar w:top="1160" w:right="600" w:bottom="1680" w:left="1300" w:header="906" w:footer="1372"/>
          <w:pgNumType w:start="13"/>
          <w:cols w:space="708"/>
        </w:sectPr>
      </w:pPr>
    </w:p>
    <w:p>
      <w:pPr>
        <w:pStyle w:val="ListParagraph"/>
        <w:numPr>
          <w:ilvl w:val="0"/>
          <w:numId w:val="13"/>
        </w:numPr>
        <w:tabs>
          <w:tab w:val="left" w:pos="539"/>
        </w:tabs>
        <w:spacing w:before="107" w:after="0" w:line="240" w:lineRule="auto"/>
        <w:ind w:left="539" w:right="0" w:hanging="421"/>
        <w:jc w:val="left"/>
        <w:rPr>
          <w:sz w:val="28"/>
        </w:rPr>
      </w:pPr>
      <w:r>
        <w:rPr>
          <w:spacing w:val="-1"/>
          <w:sz w:val="28"/>
        </w:rPr>
        <w:t>电、光缆敷设和保护措施检验项目、内容。</w:t>
      </w:r>
    </w:p>
    <w:p>
      <w:pPr>
        <w:pStyle w:val="BodyText"/>
        <w:spacing w:before="9"/>
        <w:ind w:left="0"/>
        <w:rPr>
          <w:sz w:val="20"/>
        </w:rPr>
      </w:pPr>
    </w:p>
    <w:p>
      <w:pPr>
        <w:pStyle w:val="ListParagraph"/>
        <w:numPr>
          <w:ilvl w:val="0"/>
          <w:numId w:val="13"/>
        </w:numPr>
        <w:tabs>
          <w:tab w:val="left" w:pos="539"/>
        </w:tabs>
        <w:spacing w:before="0" w:after="0" w:line="417" w:lineRule="auto"/>
        <w:ind w:left="118" w:right="392" w:firstLine="0"/>
        <w:jc w:val="left"/>
        <w:rPr>
          <w:sz w:val="28"/>
        </w:rPr>
      </w:pPr>
      <w:r>
        <w:rPr>
          <w:spacing w:val="-2"/>
          <w:sz w:val="28"/>
        </w:rPr>
        <w:t>电、光缆的敷设和保护措施要求（例如对绞电缆与电力线最小净距、电光</w:t>
      </w:r>
      <w:r>
        <w:rPr>
          <w:spacing w:val="-2"/>
          <w:sz w:val="28"/>
        </w:rPr>
        <w:t>缆暗管敷设与其他管线最小净距等）</w:t>
      </w:r>
      <w:r>
        <w:rPr>
          <w:spacing w:val="-14"/>
          <w:sz w:val="28"/>
        </w:rPr>
        <w:t xml:space="preserve">必须符合 </w:t>
      </w:r>
      <w:r>
        <w:rPr>
          <w:spacing w:val="-2"/>
          <w:sz w:val="28"/>
        </w:rPr>
        <w:t>GB/T50312—2000</w:t>
      </w:r>
      <w:r>
        <w:rPr>
          <w:spacing w:val="-11"/>
          <w:sz w:val="28"/>
        </w:rPr>
        <w:t xml:space="preserve"> 和设计要求。</w:t>
      </w:r>
      <w:r>
        <w:rPr>
          <w:spacing w:val="-2"/>
          <w:sz w:val="28"/>
        </w:rPr>
        <w:t xml:space="preserve"> 8）缆线终接检查</w:t>
      </w:r>
    </w:p>
    <w:p>
      <w:pPr>
        <w:pStyle w:val="BodyText"/>
        <w:spacing w:line="417" w:lineRule="auto"/>
        <w:ind w:right="532"/>
        <w:jc w:val="both"/>
      </w:pPr>
      <w:r>
        <w:rPr>
          <w:spacing w:val="-3"/>
        </w:rPr>
        <w:t xml:space="preserve">包括对绞电缆芯线与 </w:t>
      </w:r>
      <w:r>
        <w:t>8</w:t>
      </w:r>
      <w:r>
        <w:rPr>
          <w:spacing w:val="-6"/>
        </w:rPr>
        <w:t xml:space="preserve"> 位模块式通用插座连接；光缆芯线与光纤插座等的连</w:t>
      </w:r>
      <w:r>
        <w:rPr>
          <w:spacing w:val="-23"/>
        </w:rPr>
        <w:t xml:space="preserve">接；各类跳线与接插件间的终端等，都应符合 </w:t>
      </w:r>
      <w:r>
        <w:rPr>
          <w:spacing w:val="-4"/>
        </w:rPr>
        <w:t>GB/T50312—2000</w:t>
      </w:r>
      <w:r>
        <w:rPr>
          <w:spacing w:val="-31"/>
        </w:rPr>
        <w:t xml:space="preserve"> 和工艺要求</w:t>
      </w:r>
      <w:r>
        <w:rPr>
          <w:spacing w:val="-4"/>
        </w:rPr>
        <w:t>（</w:t>
      </w:r>
      <w:r>
        <w:rPr>
          <w:spacing w:val="-4"/>
        </w:rPr>
        <w:t>例</w:t>
      </w:r>
      <w:r>
        <w:rPr>
          <w:spacing w:val="-2"/>
        </w:rPr>
        <w:t>如光纤连接损耗值要求）。应对工程的每一环节质量把关：系统集成方案是</w:t>
      </w:r>
      <w:r>
        <w:rPr>
          <w:spacing w:val="-2"/>
        </w:rPr>
        <w:t>否合理，所选设备质量是否合格，能否达到企业要求；基础建设是否完成，</w:t>
      </w:r>
      <w:r>
        <w:rPr>
          <w:spacing w:val="-2"/>
        </w:rPr>
        <w:t>结构化布线是否合理；信息系统硬件平台环境是否合理，可扩充性如何，软</w:t>
      </w:r>
      <w:r>
        <w:rPr>
          <w:spacing w:val="-2"/>
        </w:rPr>
        <w:t>件平台是否统一合理；应用软件能否实现相应功能，是否便于使用、管理和</w:t>
      </w:r>
      <w:r>
        <w:rPr>
          <w:spacing w:val="-2"/>
        </w:rPr>
        <w:t>维护；对相关人员的技术培训教内容是否合适等。</w:t>
      </w:r>
    </w:p>
    <w:p>
      <w:pPr>
        <w:pStyle w:val="BodyText"/>
        <w:spacing w:line="357" w:lineRule="exact"/>
        <w:ind w:left="538"/>
        <w:rPr>
          <w:rFonts w:ascii="黑体" w:eastAsia="黑体"/>
        </w:rPr>
      </w:pPr>
      <w:r>
        <w:rPr>
          <w:rFonts w:ascii="黑体" w:eastAsia="黑体"/>
        </w:rPr>
        <w:t>（三）</w:t>
      </w:r>
      <w:r>
        <w:rPr>
          <w:rFonts w:ascii="黑体" w:eastAsia="黑体"/>
          <w:spacing w:val="-2"/>
        </w:rPr>
        <w:t>给排水暖通安装工程</w:t>
      </w:r>
    </w:p>
    <w:p>
      <w:pPr>
        <w:pStyle w:val="BodyText"/>
        <w:spacing w:before="8"/>
        <w:ind w:left="0"/>
        <w:rPr>
          <w:rFonts w:ascii="黑体"/>
          <w:sz w:val="20"/>
        </w:rPr>
      </w:pPr>
    </w:p>
    <w:p>
      <w:pPr>
        <w:pStyle w:val="ListParagraph"/>
        <w:numPr>
          <w:ilvl w:val="1"/>
          <w:numId w:val="13"/>
        </w:numPr>
        <w:tabs>
          <w:tab w:val="left" w:pos="959"/>
        </w:tabs>
        <w:spacing w:before="0" w:after="0" w:line="240" w:lineRule="auto"/>
        <w:ind w:left="959" w:right="0" w:hanging="281"/>
        <w:jc w:val="left"/>
        <w:rPr>
          <w:sz w:val="28"/>
        </w:rPr>
      </w:pPr>
      <w:r>
        <w:rPr>
          <w:spacing w:val="-2"/>
          <w:sz w:val="28"/>
        </w:rPr>
        <w:t>基础阶段与主体阶段</w:t>
      </w:r>
    </w:p>
    <w:p>
      <w:pPr>
        <w:pStyle w:val="BodyText"/>
        <w:spacing w:before="9"/>
        <w:ind w:left="0"/>
        <w:rPr>
          <w:sz w:val="20"/>
        </w:rPr>
      </w:pPr>
    </w:p>
    <w:p>
      <w:pPr>
        <w:pStyle w:val="BodyText"/>
        <w:spacing w:line="417" w:lineRule="auto"/>
        <w:ind w:right="532" w:firstLine="560"/>
      </w:pPr>
      <w:r>
        <w:rPr>
          <w:spacing w:val="-2"/>
        </w:rPr>
        <w:t>监理人员主要检查给排水管道进、出口、预留及给、排水管线预留的标</w:t>
      </w:r>
      <w:r>
        <w:rPr>
          <w:spacing w:val="-2"/>
        </w:rPr>
        <w:t>高、卫生间预留孔洞的坐标。</w:t>
      </w:r>
    </w:p>
    <w:p>
      <w:pPr>
        <w:pStyle w:val="BodyText"/>
        <w:spacing w:line="417" w:lineRule="auto"/>
        <w:ind w:right="532" w:firstLine="560"/>
        <w:jc w:val="both"/>
      </w:pPr>
      <w:r>
        <w:rPr>
          <w:spacing w:val="-2"/>
        </w:rPr>
        <w:t>由于本工程的地下外墙全部为剪力墙，所以对管道的预留预埋要求很严</w:t>
      </w:r>
      <w:r>
        <w:rPr>
          <w:spacing w:val="-2"/>
        </w:rPr>
        <w:t>格，根据图纸要求首先确定各种管道的标高，管道标高确定后，随土建进度</w:t>
      </w:r>
      <w:r>
        <w:rPr>
          <w:spacing w:val="-2"/>
        </w:rPr>
        <w:t>在墙上做好预留预埋。</w:t>
      </w:r>
    </w:p>
    <w:p>
      <w:pPr>
        <w:pStyle w:val="BodyText"/>
        <w:spacing w:line="417" w:lineRule="auto"/>
        <w:ind w:right="532" w:firstLine="560"/>
        <w:jc w:val="both"/>
      </w:pPr>
      <w:r>
        <w:rPr>
          <w:spacing w:val="-2"/>
        </w:rPr>
        <w:t>土建进行主体施工时，根据图纸要求和会审记录的要求，确定管道穿现</w:t>
      </w:r>
      <w:r>
        <w:rPr>
          <w:spacing w:val="-2"/>
        </w:rPr>
        <w:t>浇板的位置，要求指出预留洞的具体坐标及洞的尺寸，待孔洞预留完后需对</w:t>
      </w:r>
      <w:r>
        <w:rPr>
          <w:spacing w:val="-2"/>
        </w:rPr>
        <w:t>其进行尺寸的再度核实。</w:t>
      </w:r>
    </w:p>
    <w:p>
      <w:pPr>
        <w:pStyle w:val="BodyText"/>
        <w:spacing w:line="358" w:lineRule="exact"/>
        <w:ind w:left="678"/>
      </w:pPr>
      <w:r>
        <w:rPr>
          <w:spacing w:val="-1"/>
        </w:rPr>
        <w:t>本工程顶端为现浇板，进行给排水及消防孔洞预留时应注意先在模板上</w:t>
      </w:r>
    </w:p>
    <w:p>
      <w:pPr>
        <w:spacing w:after="0" w:line="358" w:lineRule="exact"/>
        <w:sectPr>
          <w:headerReference w:type="default" r:id="rId30"/>
          <w:footerReference w:type="default" r:id="rId31"/>
          <w:pgSz w:w="11910" w:h="16840"/>
          <w:pgMar w:top="1160" w:right="600" w:bottom="1680" w:left="1300" w:header="906" w:footer="1372"/>
          <w:pgNumType w:start="14"/>
          <w:cols w:space="708"/>
        </w:sectPr>
      </w:pPr>
    </w:p>
    <w:p>
      <w:pPr>
        <w:pStyle w:val="BodyText"/>
        <w:spacing w:before="107" w:line="417" w:lineRule="auto"/>
        <w:ind w:right="532"/>
      </w:pPr>
      <w:r>
        <w:rPr>
          <w:spacing w:val="-2"/>
        </w:rPr>
        <w:t>对孔洞的坐标做好标识，根据土建的进度及时安排人员，在浇注混凝土时，</w:t>
      </w:r>
      <w:r>
        <w:rPr>
          <w:spacing w:val="-2"/>
        </w:rPr>
        <w:t>结合土建盯在现场，防止震动位移。</w:t>
      </w:r>
    </w:p>
    <w:p>
      <w:pPr>
        <w:pStyle w:val="BodyText"/>
        <w:spacing w:line="417" w:lineRule="auto"/>
        <w:ind w:right="532" w:firstLine="560"/>
        <w:jc w:val="both"/>
      </w:pPr>
      <w:r>
        <w:rPr>
          <w:spacing w:val="-2"/>
        </w:rPr>
        <w:t>进行套管安装，用镀锌钢管或塑料管制作穿现浇顶时注意上下垂直，下</w:t>
      </w:r>
      <w:r>
        <w:rPr>
          <w:spacing w:val="-3"/>
        </w:rPr>
        <w:t xml:space="preserve">与楼板平，卫生间高出装饰地面 </w:t>
      </w:r>
      <w:r>
        <w:t>50mm，并做好卫生间内的套管防水。穿过现</w:t>
      </w:r>
      <w:r>
        <w:rPr>
          <w:spacing w:val="-2"/>
        </w:rPr>
        <w:t>浇板的套管与管道之间缝隙应用阻燃密实材料和防水油膏填实，端面光滑，</w:t>
      </w:r>
      <w:r>
        <w:rPr>
          <w:spacing w:val="-2"/>
        </w:rPr>
        <w:t>穿墙套管与管道之间缝隙宜用阻燃密实材料填实，且端面光滑。管道的接口</w:t>
      </w:r>
      <w:r>
        <w:rPr>
          <w:spacing w:val="-2"/>
        </w:rPr>
        <w:t>不得设在套管内。</w:t>
      </w:r>
    </w:p>
    <w:p>
      <w:pPr>
        <w:pStyle w:val="BodyText"/>
        <w:spacing w:line="358" w:lineRule="exact"/>
        <w:ind w:left="678"/>
      </w:pPr>
      <w:r>
        <w:rPr>
          <w:spacing w:val="-1"/>
        </w:rPr>
        <w:t>卫生间内的套管应作防水台，防水台必须用与地砖同材质的瓷砖镶贴。</w:t>
      </w:r>
    </w:p>
    <w:p>
      <w:pPr>
        <w:pStyle w:val="BodyText"/>
        <w:spacing w:before="8"/>
        <w:ind w:left="0"/>
        <w:rPr>
          <w:sz w:val="20"/>
        </w:rPr>
      </w:pPr>
    </w:p>
    <w:p>
      <w:pPr>
        <w:pStyle w:val="ListParagraph"/>
        <w:numPr>
          <w:ilvl w:val="1"/>
          <w:numId w:val="13"/>
        </w:numPr>
        <w:tabs>
          <w:tab w:val="left" w:pos="959"/>
        </w:tabs>
        <w:spacing w:before="0" w:after="0" w:line="240" w:lineRule="auto"/>
        <w:ind w:left="959" w:right="0" w:hanging="281"/>
        <w:jc w:val="left"/>
        <w:rPr>
          <w:sz w:val="28"/>
        </w:rPr>
      </w:pPr>
      <w:r>
        <w:rPr>
          <w:spacing w:val="-3"/>
          <w:sz w:val="28"/>
        </w:rPr>
        <w:t>安装阶段</w:t>
      </w:r>
    </w:p>
    <w:p>
      <w:pPr>
        <w:pStyle w:val="BodyText"/>
        <w:spacing w:before="9"/>
        <w:ind w:left="0"/>
        <w:rPr>
          <w:sz w:val="20"/>
        </w:rPr>
      </w:pPr>
    </w:p>
    <w:p>
      <w:pPr>
        <w:pStyle w:val="BodyText"/>
        <w:spacing w:line="417" w:lineRule="auto"/>
        <w:ind w:right="532" w:firstLine="560"/>
      </w:pPr>
      <w:r>
        <w:rPr>
          <w:spacing w:val="-4"/>
        </w:rPr>
        <w:t>监理人员主要检查安装材料的优劣（如钢管、铸铁管、PPR</w:t>
      </w:r>
      <w:r>
        <w:rPr>
          <w:spacing w:val="-15"/>
        </w:rPr>
        <w:t xml:space="preserve"> 管塑料管、卫</w:t>
      </w:r>
      <w:r>
        <w:rPr>
          <w:spacing w:val="-2"/>
        </w:rPr>
        <w:t>生洁具等</w:t>
      </w:r>
      <w:r>
        <w:rPr>
          <w:spacing w:val="-140"/>
        </w:rPr>
        <w:t>）</w:t>
      </w:r>
      <w:r>
        <w:rPr>
          <w:spacing w:val="-2"/>
        </w:rPr>
        <w:t>、是否按照规范要求施工，系统测试等。</w:t>
      </w:r>
    </w:p>
    <w:p>
      <w:pPr>
        <w:pStyle w:val="ListParagraph"/>
        <w:numPr>
          <w:ilvl w:val="2"/>
          <w:numId w:val="13"/>
        </w:numPr>
        <w:tabs>
          <w:tab w:val="left" w:pos="959"/>
        </w:tabs>
        <w:spacing w:before="0" w:after="0" w:line="417" w:lineRule="auto"/>
        <w:ind w:left="118" w:right="532" w:firstLine="560"/>
        <w:jc w:val="left"/>
        <w:rPr>
          <w:sz w:val="28"/>
        </w:rPr>
      </w:pPr>
      <w:r>
        <w:rPr>
          <w:spacing w:val="-2"/>
          <w:sz w:val="28"/>
        </w:rPr>
        <w:t xml:space="preserve">由于给水管道系统热水管采用 </w:t>
      </w:r>
      <w:r>
        <w:rPr>
          <w:sz w:val="28"/>
        </w:rPr>
        <w:t>PPR</w:t>
      </w:r>
      <w:r>
        <w:rPr>
          <w:spacing w:val="-6"/>
          <w:sz w:val="28"/>
        </w:rPr>
        <w:t xml:space="preserve"> 管，采用热熔连接，所以要严把材</w:t>
      </w:r>
      <w:r>
        <w:rPr>
          <w:spacing w:val="-2"/>
          <w:sz w:val="28"/>
        </w:rPr>
        <w:t>料进场关，对于所有进场材料都要检查其出厂合格证和检测报告。</w:t>
      </w:r>
    </w:p>
    <w:p>
      <w:pPr>
        <w:pStyle w:val="BodyText"/>
        <w:spacing w:line="417" w:lineRule="auto"/>
        <w:ind w:right="532" w:firstLine="560"/>
        <w:jc w:val="both"/>
      </w:pPr>
      <w:r>
        <w:rPr>
          <w:spacing w:val="-2"/>
        </w:rPr>
        <w:t>安装前首先熟悉图纸，注意管道的规格及坐标尺寸。安装立管的垂直度</w:t>
      </w:r>
      <w:r>
        <w:rPr>
          <w:spacing w:val="-5"/>
        </w:rPr>
        <w:t xml:space="preserve">偏差不得大于 </w:t>
      </w:r>
      <w:r>
        <w:t>2mm/m</w:t>
      </w:r>
      <w:r>
        <w:rPr>
          <w:spacing w:val="-3"/>
        </w:rPr>
        <w:t xml:space="preserve">，与墙间距合理，给水管道应有 </w:t>
      </w:r>
      <w:r>
        <w:t>2‰－5‰的坡度坡向泄</w:t>
      </w:r>
      <w:r>
        <w:rPr>
          <w:spacing w:val="-2"/>
        </w:rPr>
        <w:t>水装置，要及时安装固定支架，支架间距及高度符合规范要求。</w:t>
      </w:r>
    </w:p>
    <w:p>
      <w:pPr>
        <w:pStyle w:val="BodyText"/>
        <w:spacing w:line="417" w:lineRule="auto"/>
        <w:ind w:right="532" w:firstLine="560"/>
        <w:jc w:val="both"/>
      </w:pPr>
      <w:r>
        <w:rPr>
          <w:spacing w:val="-2"/>
        </w:rPr>
        <w:t>冷水管与热水管并列安装时应注意位置关系：左热右冷，上热下冷，地</w:t>
      </w:r>
      <w:r>
        <w:rPr>
          <w:spacing w:val="-2"/>
        </w:rPr>
        <w:t>下车库内的管道均保温，地上各层管道井内的冷、热水管均保温，保温材料</w:t>
      </w:r>
      <w:r>
        <w:rPr>
          <w:spacing w:val="-7"/>
        </w:rPr>
        <w:t xml:space="preserve">采用难燃 </w:t>
      </w:r>
      <w:r>
        <w:t>B1</w:t>
      </w:r>
      <w:r>
        <w:rPr>
          <w:spacing w:val="-9"/>
        </w:rPr>
        <w:t xml:space="preserve"> 级橡塑海绵，冷水管厚度为 </w:t>
      </w:r>
      <w:r>
        <w:t>20mm</w:t>
      </w:r>
      <w:r>
        <w:rPr>
          <w:spacing w:val="-7"/>
        </w:rPr>
        <w:t xml:space="preserve">，热水管 </w:t>
      </w:r>
      <w:r>
        <w:t>DN≤50</w:t>
      </w:r>
      <w:r>
        <w:rPr>
          <w:spacing w:val="-17"/>
        </w:rPr>
        <w:t xml:space="preserve"> 厚度 </w:t>
      </w:r>
      <w:r>
        <w:t xml:space="preserve">25mm， </w:t>
      </w:r>
      <w:r>
        <w:rPr>
          <w:spacing w:val="-4"/>
        </w:rPr>
        <w:t>DN70-DN150</w:t>
      </w:r>
      <w:r>
        <w:rPr>
          <w:spacing w:val="-13"/>
        </w:rPr>
        <w:t xml:space="preserve"> 厚度 </w:t>
      </w:r>
      <w:r>
        <w:rPr>
          <w:spacing w:val="-4"/>
        </w:rPr>
        <w:t>30mm，管道井内保温管不做保护层，明装管道保温管外缠加</w:t>
      </w:r>
      <w:r>
        <w:rPr>
          <w:spacing w:val="-4"/>
        </w:rPr>
        <w:t>筋铝箔。</w:t>
      </w:r>
    </w:p>
    <w:p>
      <w:pPr>
        <w:pStyle w:val="BodyText"/>
        <w:spacing w:line="358" w:lineRule="exact"/>
        <w:ind w:left="678"/>
        <w:jc w:val="both"/>
      </w:pPr>
      <w:r>
        <w:rPr>
          <w:spacing w:val="-18"/>
        </w:rPr>
        <w:t xml:space="preserve">给水管道安装完毕后，应进行系统水压试验，试验压力为 </w:t>
      </w:r>
      <w:r>
        <w:rPr>
          <w:spacing w:val="-4"/>
        </w:rPr>
        <w:t>1.0MPa</w:t>
      </w:r>
      <w:r>
        <w:rPr>
          <w:spacing w:val="-15"/>
        </w:rPr>
        <w:t xml:space="preserve">，稳压 </w:t>
      </w:r>
      <w:r>
        <w:rPr>
          <w:spacing w:val="-10"/>
        </w:rPr>
        <w:t>1</w:t>
      </w:r>
    </w:p>
    <w:p>
      <w:pPr>
        <w:spacing w:after="0" w:line="358" w:lineRule="exact"/>
        <w:jc w:val="both"/>
        <w:sectPr>
          <w:headerReference w:type="default" r:id="rId32"/>
          <w:footerReference w:type="default" r:id="rId33"/>
          <w:pgSz w:w="11910" w:h="16840"/>
          <w:pgMar w:top="1160" w:right="600" w:bottom="1680" w:left="1300" w:header="906" w:footer="1372"/>
          <w:pgNumType w:start="15"/>
          <w:cols w:space="708"/>
        </w:sectPr>
      </w:pPr>
    </w:p>
    <w:p>
      <w:pPr>
        <w:pStyle w:val="BodyText"/>
        <w:spacing w:before="107" w:line="417" w:lineRule="auto"/>
        <w:ind w:left="678" w:right="392" w:hanging="560"/>
      </w:pPr>
      <w:r>
        <w:rPr>
          <w:spacing w:val="-9"/>
        </w:rPr>
        <w:t xml:space="preserve">小时内压力降不大于 </w:t>
      </w:r>
      <w:r>
        <w:rPr>
          <w:spacing w:val="-2"/>
        </w:rPr>
        <w:t>0.05MPa</w:t>
      </w:r>
      <w:r>
        <w:rPr>
          <w:spacing w:val="-8"/>
        </w:rPr>
        <w:t xml:space="preserve">，再降至工作压力保压 </w:t>
      </w:r>
      <w:r>
        <w:rPr>
          <w:spacing w:val="-2"/>
        </w:rPr>
        <w:t>1h，不漏不渗即为合格。 b.排水系统</w:t>
      </w:r>
    </w:p>
    <w:p>
      <w:pPr>
        <w:pStyle w:val="BodyText"/>
        <w:spacing w:line="417" w:lineRule="auto"/>
        <w:ind w:right="532" w:firstLine="560"/>
      </w:pPr>
      <w:r>
        <w:rPr>
          <w:spacing w:val="-2"/>
        </w:rPr>
        <w:t>本工程图纸设计排水系统埋地部分采用铸铁排水管，地上为双壁中空螺</w:t>
      </w:r>
      <w:r>
        <w:rPr>
          <w:spacing w:val="-2"/>
        </w:rPr>
        <w:t>旋消音塑料管。</w:t>
      </w:r>
    </w:p>
    <w:p>
      <w:pPr>
        <w:pStyle w:val="BodyText"/>
        <w:spacing w:line="417" w:lineRule="auto"/>
        <w:ind w:right="532" w:firstLine="560"/>
      </w:pPr>
      <w:r>
        <w:rPr>
          <w:spacing w:val="-2"/>
        </w:rPr>
        <w:t>铸铁管、塑料管的规格、型号必须符合图纸设计要求，管材必须符合国</w:t>
      </w:r>
      <w:r>
        <w:rPr>
          <w:spacing w:val="-2"/>
        </w:rPr>
        <w:t>家标准要求，并且经检测站测试合格后方可使用。</w:t>
      </w:r>
    </w:p>
    <w:p>
      <w:pPr>
        <w:pStyle w:val="BodyText"/>
        <w:spacing w:line="358" w:lineRule="exact"/>
        <w:ind w:left="678"/>
      </w:pPr>
      <w:r>
        <w:rPr>
          <w:spacing w:val="-1"/>
        </w:rPr>
        <w:t>铸铁管材质安装控制要点如下：</w:t>
      </w:r>
    </w:p>
    <w:p>
      <w:pPr>
        <w:pStyle w:val="BodyText"/>
        <w:spacing w:before="8"/>
        <w:ind w:left="0"/>
        <w:rPr>
          <w:sz w:val="20"/>
        </w:rPr>
      </w:pPr>
    </w:p>
    <w:p>
      <w:pPr>
        <w:pStyle w:val="BodyText"/>
        <w:spacing w:line="417" w:lineRule="auto"/>
        <w:ind w:right="532" w:firstLine="560"/>
      </w:pPr>
      <w:r>
        <w:rPr>
          <w:spacing w:val="-2"/>
        </w:rPr>
        <w:t>①铸铁管安装前应先用磨光机将管道毛刺处理圆滑，外面浮锈清理干净</w:t>
      </w:r>
      <w:r>
        <w:rPr>
          <w:spacing w:val="-2"/>
        </w:rPr>
        <w:t>后刷防锈漆。</w:t>
      </w:r>
    </w:p>
    <w:p>
      <w:pPr>
        <w:pStyle w:val="BodyText"/>
        <w:spacing w:line="417" w:lineRule="auto"/>
        <w:ind w:right="392" w:firstLine="560"/>
      </w:pPr>
      <w:r>
        <w:rPr>
          <w:spacing w:val="-2"/>
        </w:rPr>
        <w:t>②铸铁管的连接，承插口采用水泥捻口，内填油麻必须清洁，填塞密实，</w:t>
      </w:r>
      <w:r>
        <w:rPr>
          <w:spacing w:val="-2"/>
        </w:rPr>
        <w:t xml:space="preserve">水泥应捻入，并密实饱满，其接口面凹入承口边缘的深度不得小于 </w:t>
      </w:r>
      <w:r>
        <w:t>2mm。</w:t>
      </w:r>
    </w:p>
    <w:p>
      <w:pPr>
        <w:pStyle w:val="BodyText"/>
        <w:spacing w:line="417" w:lineRule="auto"/>
        <w:ind w:right="532" w:firstLine="560"/>
        <w:jc w:val="both"/>
      </w:pPr>
      <w:r>
        <w:rPr>
          <w:spacing w:val="-2"/>
        </w:rPr>
        <w:t>③铸铁管安装完毕，在隐蔽前依次进行灌水试验，其灌水高度应不低于</w:t>
      </w:r>
      <w:r>
        <w:rPr>
          <w:spacing w:val="-9"/>
        </w:rPr>
        <w:t xml:space="preserve">底层地面高度。满水 </w:t>
      </w:r>
      <w:r>
        <w:rPr>
          <w:spacing w:val="-6"/>
        </w:rPr>
        <w:t>15min</w:t>
      </w:r>
      <w:r>
        <w:rPr>
          <w:spacing w:val="-13"/>
        </w:rPr>
        <w:t xml:space="preserve"> 水面下降后，再灌满观察 </w:t>
      </w:r>
      <w:r>
        <w:rPr>
          <w:spacing w:val="-6"/>
        </w:rPr>
        <w:t>5min,液面不降，管道及</w:t>
      </w:r>
      <w:r>
        <w:rPr>
          <w:spacing w:val="-2"/>
        </w:rPr>
        <w:t>接口无渗漏为合格。</w:t>
      </w:r>
    </w:p>
    <w:p>
      <w:pPr>
        <w:pStyle w:val="BodyText"/>
        <w:spacing w:line="358" w:lineRule="exact"/>
        <w:ind w:left="678"/>
      </w:pPr>
      <w:r>
        <w:rPr>
          <w:spacing w:val="-1"/>
        </w:rPr>
        <w:t>④塑料管能插粘接接头，每层加伸缩节和阻火圈。</w:t>
      </w:r>
    </w:p>
    <w:p>
      <w:pPr>
        <w:pStyle w:val="BodyText"/>
        <w:spacing w:before="8"/>
        <w:ind w:left="0"/>
        <w:rPr>
          <w:sz w:val="20"/>
        </w:rPr>
      </w:pPr>
    </w:p>
    <w:p>
      <w:pPr>
        <w:pStyle w:val="BodyText"/>
        <w:ind w:left="678"/>
      </w:pPr>
      <w:r>
        <w:t>c</w:t>
      </w:r>
      <w:r>
        <w:rPr>
          <w:spacing w:val="-12"/>
        </w:rPr>
        <w:t xml:space="preserve"> 卫生器具的安装</w:t>
      </w:r>
    </w:p>
    <w:p>
      <w:pPr>
        <w:pStyle w:val="BodyText"/>
        <w:spacing w:before="9"/>
        <w:ind w:left="0"/>
        <w:rPr>
          <w:sz w:val="20"/>
        </w:rPr>
      </w:pPr>
    </w:p>
    <w:p>
      <w:pPr>
        <w:pStyle w:val="BodyText"/>
        <w:spacing w:line="417" w:lineRule="auto"/>
        <w:ind w:right="532" w:firstLine="560"/>
      </w:pPr>
      <w:r>
        <w:rPr>
          <w:spacing w:val="-2"/>
        </w:rPr>
        <w:t>所涉及到的卫生器具有洗涤盆、拖布池、台式脸盆、蹲便器等卫生器具</w:t>
      </w:r>
      <w:r>
        <w:rPr>
          <w:spacing w:val="-2"/>
        </w:rPr>
        <w:t>均采用节水型器具。</w:t>
      </w:r>
    </w:p>
    <w:p>
      <w:pPr>
        <w:pStyle w:val="BodyText"/>
        <w:spacing w:line="417" w:lineRule="auto"/>
        <w:ind w:right="532" w:firstLine="560"/>
      </w:pPr>
      <w:r>
        <w:rPr>
          <w:spacing w:val="-2"/>
        </w:rPr>
        <w:t>卫生器具安装前应对外观质量进行检查，外表要光滑、整洁，不变形，</w:t>
      </w:r>
      <w:r>
        <w:rPr>
          <w:spacing w:val="-2"/>
        </w:rPr>
        <w:t>用钢卷尺量测主要尺寸。</w:t>
      </w:r>
    </w:p>
    <w:p>
      <w:pPr>
        <w:pStyle w:val="BodyText"/>
        <w:spacing w:line="417" w:lineRule="auto"/>
        <w:ind w:right="532" w:firstLine="560"/>
      </w:pPr>
      <w:r>
        <w:rPr>
          <w:spacing w:val="-11"/>
        </w:rPr>
        <w:t xml:space="preserve">洗涤盆上边缘距地面 </w:t>
      </w:r>
      <w:r>
        <w:rPr>
          <w:spacing w:val="-4"/>
        </w:rPr>
        <w:t>800mm，洗涤盆边缘和墙面接触的地方应注意填塞缝</w:t>
      </w:r>
      <w:r>
        <w:rPr>
          <w:spacing w:val="-2"/>
        </w:rPr>
        <w:t>隙，洗涤盆上的溢流孔要打通，支架安装稳固。</w:t>
      </w:r>
    </w:p>
    <w:p>
      <w:pPr>
        <w:spacing w:after="0" w:line="417" w:lineRule="auto"/>
        <w:sectPr>
          <w:headerReference w:type="default" r:id="rId34"/>
          <w:footerReference w:type="default" r:id="rId35"/>
          <w:pgSz w:w="11910" w:h="16840"/>
          <w:pgMar w:top="1160" w:right="600" w:bottom="1680" w:left="1300" w:header="906" w:footer="1372"/>
          <w:pgNumType w:start="16"/>
          <w:cols w:space="708"/>
        </w:sectPr>
      </w:pPr>
    </w:p>
    <w:p>
      <w:pPr>
        <w:pStyle w:val="BodyText"/>
        <w:spacing w:before="107" w:line="417" w:lineRule="auto"/>
        <w:ind w:right="532" w:firstLine="560"/>
        <w:jc w:val="both"/>
      </w:pPr>
      <w:r>
        <w:rPr>
          <w:spacing w:val="-3"/>
        </w:rPr>
        <w:t xml:space="preserve">台式脸盆安装注意距地面高度为 </w:t>
      </w:r>
      <w:r>
        <w:t>780－800mm，水嘴牢固，且左热右冷。</w:t>
      </w:r>
      <w:r>
        <w:rPr>
          <w:spacing w:val="-2"/>
        </w:rPr>
        <w:t>脸盆支架要保证脸盆的牢固，台板与墙面接触部位用玻璃胶密封，下水洁具</w:t>
      </w:r>
      <w:r>
        <w:rPr>
          <w:spacing w:val="-2"/>
        </w:rPr>
        <w:t>要垂直，进排水管口用油灰密封。台盆安装应注意将台盆与台板结合处用玻</w:t>
      </w:r>
      <w:r>
        <w:rPr>
          <w:spacing w:val="-2"/>
        </w:rPr>
        <w:t>璃胶密封，将台板与墙面结合处用玻璃胶密封，台板安装要牢固且平直。</w:t>
      </w:r>
    </w:p>
    <w:p>
      <w:pPr>
        <w:pStyle w:val="BodyText"/>
        <w:spacing w:line="358" w:lineRule="exact"/>
        <w:ind w:left="678"/>
      </w:pPr>
      <w:r>
        <w:rPr>
          <w:spacing w:val="-1"/>
        </w:rPr>
        <w:t>坐便器安装注意下水口插入管道的承口，并密封。</w:t>
      </w:r>
    </w:p>
    <w:p>
      <w:pPr>
        <w:pStyle w:val="BodyText"/>
        <w:spacing w:before="9"/>
        <w:ind w:left="0"/>
        <w:rPr>
          <w:sz w:val="20"/>
        </w:rPr>
      </w:pPr>
    </w:p>
    <w:p>
      <w:pPr>
        <w:pStyle w:val="BodyText"/>
        <w:spacing w:line="417" w:lineRule="auto"/>
        <w:ind w:right="532" w:firstLine="560"/>
        <w:jc w:val="both"/>
      </w:pPr>
      <w:r>
        <w:rPr>
          <w:spacing w:val="8"/>
        </w:rPr>
        <w:t>地漏安装注意原材料一定要选用深水封的地漏，有效水封深度不小于</w:t>
      </w:r>
      <w:r>
        <w:t xml:space="preserve"> </w:t>
      </w:r>
      <w:r>
        <w:rPr>
          <w:spacing w:val="-4"/>
        </w:rPr>
        <w:t>50mm</w:t>
      </w:r>
      <w:r>
        <w:rPr>
          <w:spacing w:val="-6"/>
        </w:rPr>
        <w:t xml:space="preserve">，且严禁高出地面，其篦子顶面应低于设置地面 </w:t>
      </w:r>
      <w:r>
        <w:rPr>
          <w:spacing w:val="-4"/>
        </w:rPr>
        <w:t>5mm，并将瓷砖结合处用</w:t>
      </w:r>
      <w:r>
        <w:rPr>
          <w:spacing w:val="-2"/>
        </w:rPr>
        <w:t>密封胶密封，防止渗漏。</w:t>
      </w:r>
    </w:p>
    <w:p>
      <w:pPr>
        <w:pStyle w:val="ListParagraph"/>
        <w:numPr>
          <w:ilvl w:val="0"/>
          <w:numId w:val="12"/>
        </w:numPr>
        <w:tabs>
          <w:tab w:val="left" w:pos="959"/>
        </w:tabs>
        <w:spacing w:before="0" w:after="0" w:line="358" w:lineRule="exact"/>
        <w:ind w:left="959" w:right="0" w:hanging="281"/>
        <w:jc w:val="left"/>
        <w:rPr>
          <w:sz w:val="28"/>
        </w:rPr>
      </w:pPr>
      <w:r>
        <w:rPr>
          <w:spacing w:val="-2"/>
          <w:sz w:val="28"/>
        </w:rPr>
        <w:t>室内消防系统</w:t>
      </w:r>
    </w:p>
    <w:p>
      <w:pPr>
        <w:pStyle w:val="BodyText"/>
        <w:spacing w:before="9"/>
        <w:ind w:left="0"/>
        <w:rPr>
          <w:sz w:val="20"/>
        </w:rPr>
      </w:pPr>
    </w:p>
    <w:p>
      <w:pPr>
        <w:pStyle w:val="BodyText"/>
        <w:spacing w:line="417" w:lineRule="auto"/>
        <w:ind w:right="532" w:firstLine="560"/>
      </w:pPr>
      <w:r>
        <w:rPr>
          <w:spacing w:val="-2"/>
        </w:rPr>
        <w:t>消防管采用无缝焊接钢管，焊接连接。埋地部分采用给水铸铁管，水泥</w:t>
      </w:r>
      <w:r>
        <w:rPr>
          <w:spacing w:val="-4"/>
        </w:rPr>
        <w:t>捻口。</w:t>
      </w:r>
    </w:p>
    <w:p>
      <w:pPr>
        <w:pStyle w:val="BodyText"/>
        <w:spacing w:line="417" w:lineRule="auto"/>
        <w:ind w:right="392" w:firstLine="560"/>
      </w:pPr>
      <w:r>
        <w:rPr>
          <w:spacing w:val="2"/>
        </w:rPr>
        <w:t>消火栓安装时应注意栓口朝外，并不应安装在门轴侧，栓口中心距地面</w:t>
      </w:r>
      <w:r>
        <w:rPr>
          <w:spacing w:val="35"/>
        </w:rPr>
        <w:t>为</w:t>
      </w:r>
      <w:r>
        <w:t>1.1</w:t>
      </w:r>
      <w:r>
        <w:rPr>
          <w:spacing w:val="-20"/>
        </w:rPr>
        <w:t xml:space="preserve"> 米,允许偏差±</w:t>
      </w:r>
      <w:r>
        <w:t>20mm</w:t>
      </w:r>
      <w:r>
        <w:rPr>
          <w:spacing w:val="-13"/>
        </w:rPr>
        <w:t>，阀门中心距箱侧面为</w:t>
      </w:r>
      <w:r>
        <w:t>140mm,</w:t>
      </w:r>
      <w:r>
        <w:rPr>
          <w:spacing w:val="5"/>
        </w:rPr>
        <w:t>巨箱后内表面为</w:t>
      </w:r>
      <w:r>
        <w:t>100mm,允许偏差±5mm，</w:t>
      </w:r>
      <w:r>
        <w:rPr>
          <w:spacing w:val="-5"/>
        </w:rPr>
        <w:t xml:space="preserve">消火栓箱体安装的垂直度允许偏差为 </w:t>
      </w:r>
      <w:r>
        <w:t>3mm 。</w:t>
      </w:r>
    </w:p>
    <w:p>
      <w:pPr>
        <w:pStyle w:val="BodyText"/>
        <w:spacing w:line="417" w:lineRule="auto"/>
        <w:ind w:right="532" w:firstLine="560"/>
      </w:pPr>
      <w:r>
        <w:rPr>
          <w:spacing w:val="-2"/>
        </w:rPr>
        <w:t>水龙带安装时应与水枪和快速接头绑扎好，并根据箱内构造将水龙带挂</w:t>
      </w:r>
      <w:r>
        <w:rPr>
          <w:spacing w:val="-2"/>
        </w:rPr>
        <w:t>放在箱内的挂钉、托盘或支架上。</w:t>
      </w:r>
    </w:p>
    <w:p>
      <w:pPr>
        <w:pStyle w:val="ListParagraph"/>
        <w:numPr>
          <w:ilvl w:val="0"/>
          <w:numId w:val="12"/>
        </w:numPr>
        <w:tabs>
          <w:tab w:val="left" w:pos="959"/>
        </w:tabs>
        <w:spacing w:before="0" w:after="0" w:line="358" w:lineRule="exact"/>
        <w:ind w:left="959" w:right="0" w:hanging="281"/>
        <w:jc w:val="left"/>
        <w:rPr>
          <w:sz w:val="28"/>
        </w:rPr>
      </w:pPr>
      <w:r>
        <w:rPr>
          <w:spacing w:val="-1"/>
          <w:sz w:val="28"/>
        </w:rPr>
        <w:t>火灾报警及消防联动系统</w:t>
      </w:r>
    </w:p>
    <w:p>
      <w:pPr>
        <w:pStyle w:val="BodyText"/>
        <w:spacing w:before="8"/>
        <w:ind w:left="0"/>
        <w:rPr>
          <w:sz w:val="20"/>
        </w:rPr>
      </w:pPr>
    </w:p>
    <w:p>
      <w:pPr>
        <w:pStyle w:val="BodyText"/>
        <w:spacing w:line="417" w:lineRule="auto"/>
        <w:ind w:right="532" w:firstLine="840"/>
      </w:pPr>
      <w:r>
        <w:rPr>
          <w:spacing w:val="-2"/>
        </w:rPr>
        <w:t>在进行感应探测器安装时应注意吸顶且不得有缝隙，手动报警按钮、</w:t>
      </w:r>
      <w:r>
        <w:rPr>
          <w:spacing w:val="-2"/>
        </w:rPr>
        <w:t>警铃、消防栓按钮安装时应注意其安装高度及规格型号。</w:t>
      </w:r>
    </w:p>
    <w:p>
      <w:pPr>
        <w:pStyle w:val="ListParagraph"/>
        <w:numPr>
          <w:ilvl w:val="0"/>
          <w:numId w:val="12"/>
        </w:numPr>
        <w:tabs>
          <w:tab w:val="left" w:pos="819"/>
        </w:tabs>
        <w:spacing w:before="0" w:after="0" w:line="358" w:lineRule="exact"/>
        <w:ind w:left="819" w:right="0" w:hanging="281"/>
        <w:jc w:val="left"/>
        <w:rPr>
          <w:sz w:val="28"/>
        </w:rPr>
      </w:pPr>
      <w:r>
        <w:rPr>
          <w:spacing w:val="-8"/>
          <w:sz w:val="28"/>
        </w:rPr>
        <w:t>自动喷淋灭火系</w:t>
      </w:r>
      <w:r>
        <w:rPr>
          <w:spacing w:val="-46"/>
          <w:sz w:val="28"/>
        </w:rPr>
        <w:t>统：自动喷淋管均采用热浸镀锌钢管，</w:t>
      </w:r>
      <w:r>
        <w:rPr>
          <w:spacing w:val="18"/>
          <w:sz w:val="28"/>
        </w:rPr>
        <w:t>DN＜100</w:t>
      </w:r>
      <w:r>
        <w:rPr>
          <w:spacing w:val="-49"/>
          <w:sz w:val="28"/>
        </w:rPr>
        <w:t xml:space="preserve"> 丝接，</w:t>
      </w:r>
      <w:r>
        <w:rPr>
          <w:spacing w:val="23"/>
          <w:sz w:val="28"/>
        </w:rPr>
        <w:t>DN＞80</w:t>
      </w:r>
    </w:p>
    <w:p>
      <w:pPr>
        <w:pStyle w:val="BodyText"/>
        <w:spacing w:before="9"/>
        <w:ind w:left="0"/>
        <w:rPr>
          <w:sz w:val="20"/>
        </w:rPr>
      </w:pPr>
    </w:p>
    <w:p>
      <w:pPr>
        <w:pStyle w:val="BodyText"/>
      </w:pPr>
      <w:r>
        <w:rPr>
          <w:spacing w:val="-2"/>
        </w:rPr>
        <w:t>为沟槽管件连接。</w:t>
      </w:r>
    </w:p>
    <w:p>
      <w:pPr>
        <w:pStyle w:val="BodyText"/>
        <w:spacing w:before="9"/>
        <w:ind w:left="0"/>
        <w:rPr>
          <w:sz w:val="20"/>
        </w:rPr>
      </w:pPr>
    </w:p>
    <w:p>
      <w:pPr>
        <w:pStyle w:val="ListParagraph"/>
        <w:numPr>
          <w:ilvl w:val="1"/>
          <w:numId w:val="12"/>
        </w:numPr>
        <w:tabs>
          <w:tab w:val="left" w:pos="1379"/>
        </w:tabs>
        <w:spacing w:before="0" w:after="0" w:line="240" w:lineRule="auto"/>
        <w:ind w:left="1379" w:right="0" w:hanging="701"/>
        <w:jc w:val="left"/>
        <w:rPr>
          <w:sz w:val="28"/>
        </w:rPr>
      </w:pPr>
      <w:r>
        <w:rPr>
          <w:spacing w:val="-14"/>
          <w:sz w:val="28"/>
        </w:rPr>
        <w:t xml:space="preserve">消防水管进入消防箱应“横平竖直”，进箱短管长度大于 </w:t>
      </w:r>
      <w:r>
        <w:rPr>
          <w:spacing w:val="-2"/>
          <w:sz w:val="28"/>
        </w:rPr>
        <w:t>500mm</w:t>
      </w:r>
      <w:r>
        <w:rPr>
          <w:spacing w:val="-6"/>
          <w:sz w:val="28"/>
        </w:rPr>
        <w:t>，成</w:t>
      </w:r>
    </w:p>
    <w:p>
      <w:pPr>
        <w:spacing w:after="0" w:line="240" w:lineRule="auto"/>
        <w:jc w:val="left"/>
        <w:rPr>
          <w:sz w:val="28"/>
        </w:rPr>
        <w:sectPr>
          <w:headerReference w:type="default" r:id="rId36"/>
          <w:footerReference w:type="default" r:id="rId37"/>
          <w:pgSz w:w="11910" w:h="16840"/>
          <w:pgMar w:top="1160" w:right="600" w:bottom="1680" w:left="1300" w:header="906" w:footer="1372"/>
          <w:pgNumType w:start="17"/>
          <w:cols w:space="708"/>
        </w:sectPr>
      </w:pPr>
    </w:p>
    <w:p>
      <w:pPr>
        <w:pStyle w:val="BodyText"/>
        <w:spacing w:before="107"/>
      </w:pPr>
      <w:r>
        <w:rPr>
          <w:spacing w:val="-1"/>
        </w:rPr>
        <w:t>双管进箱的，应支架固定。</w:t>
      </w:r>
    </w:p>
    <w:p>
      <w:pPr>
        <w:pStyle w:val="BodyText"/>
        <w:spacing w:before="9"/>
        <w:ind w:left="0"/>
        <w:rPr>
          <w:sz w:val="20"/>
        </w:rPr>
      </w:pPr>
    </w:p>
    <w:p>
      <w:pPr>
        <w:pStyle w:val="ListParagraph"/>
        <w:numPr>
          <w:ilvl w:val="1"/>
          <w:numId w:val="28"/>
        </w:numPr>
        <w:tabs>
          <w:tab w:val="left" w:pos="1409"/>
        </w:tabs>
        <w:spacing w:before="0" w:after="0" w:line="417" w:lineRule="auto"/>
        <w:ind w:left="118" w:right="602" w:firstLine="560"/>
        <w:jc w:val="left"/>
        <w:rPr>
          <w:sz w:val="28"/>
        </w:rPr>
      </w:pPr>
      <w:r>
        <w:rPr>
          <w:spacing w:val="10"/>
          <w:sz w:val="28"/>
        </w:rPr>
        <w:t xml:space="preserve">室内消火栓，栓口应朝外，阀门中心距地面 </w:t>
      </w:r>
      <w:r>
        <w:rPr>
          <w:sz w:val="28"/>
        </w:rPr>
        <w:t>1.1m</w:t>
      </w:r>
      <w:r>
        <w:rPr>
          <w:spacing w:val="9"/>
          <w:sz w:val="28"/>
        </w:rPr>
        <w:t>，误差不超过</w:t>
      </w:r>
      <w:r>
        <w:rPr>
          <w:sz w:val="28"/>
        </w:rPr>
        <w:t xml:space="preserve"> 20mm，</w:t>
      </w:r>
      <w:r>
        <w:rPr>
          <w:spacing w:val="-3"/>
          <w:sz w:val="28"/>
        </w:rPr>
        <w:t xml:space="preserve">阀门距箱侧面为 </w:t>
      </w:r>
      <w:r>
        <w:rPr>
          <w:sz w:val="28"/>
        </w:rPr>
        <w:t>140mm，</w:t>
      </w:r>
      <w:r>
        <w:rPr>
          <w:spacing w:val="-3"/>
          <w:sz w:val="28"/>
        </w:rPr>
        <w:t xml:space="preserve">距箱后表面为 </w:t>
      </w:r>
      <w:r>
        <w:rPr>
          <w:sz w:val="28"/>
        </w:rPr>
        <w:t>100mm，</w:t>
      </w:r>
      <w:r>
        <w:rPr>
          <w:spacing w:val="-3"/>
          <w:sz w:val="28"/>
        </w:rPr>
        <w:t xml:space="preserve">误差不超过 </w:t>
      </w:r>
      <w:r>
        <w:rPr>
          <w:sz w:val="28"/>
        </w:rPr>
        <w:t>5mm。</w:t>
      </w:r>
    </w:p>
    <w:p>
      <w:pPr>
        <w:pStyle w:val="ListParagraph"/>
        <w:numPr>
          <w:ilvl w:val="1"/>
          <w:numId w:val="28"/>
        </w:numPr>
        <w:tabs>
          <w:tab w:val="left" w:pos="1379"/>
        </w:tabs>
        <w:spacing w:before="0" w:after="0" w:line="417" w:lineRule="auto"/>
        <w:ind w:left="118" w:right="532" w:firstLine="560"/>
        <w:jc w:val="left"/>
        <w:rPr>
          <w:sz w:val="28"/>
        </w:rPr>
      </w:pPr>
      <w:r>
        <w:rPr>
          <w:spacing w:val="-2"/>
          <w:sz w:val="28"/>
        </w:rPr>
        <w:t>消防给水管试压应符合设计要求，当设计无要求时，试验压力为工</w:t>
      </w:r>
      <w:r>
        <w:rPr>
          <w:spacing w:val="-5"/>
          <w:sz w:val="28"/>
        </w:rPr>
        <w:t xml:space="preserve">作压力的 </w:t>
      </w:r>
      <w:r>
        <w:rPr>
          <w:sz w:val="28"/>
        </w:rPr>
        <w:t>1.5</w:t>
      </w:r>
      <w:r>
        <w:rPr>
          <w:spacing w:val="-5"/>
          <w:sz w:val="28"/>
        </w:rPr>
        <w:t xml:space="preserve"> 倍，同时试压调试必须有消防部门参加。</w:t>
      </w:r>
    </w:p>
    <w:p>
      <w:pPr>
        <w:pStyle w:val="ListParagraph"/>
        <w:numPr>
          <w:ilvl w:val="1"/>
          <w:numId w:val="28"/>
        </w:numPr>
        <w:tabs>
          <w:tab w:val="left" w:pos="1379"/>
        </w:tabs>
        <w:spacing w:before="0" w:after="0" w:line="417" w:lineRule="auto"/>
        <w:ind w:left="118" w:right="532" w:firstLine="560"/>
        <w:jc w:val="left"/>
        <w:rPr>
          <w:sz w:val="28"/>
        </w:rPr>
      </w:pPr>
      <w:r>
        <w:rPr>
          <w:spacing w:val="-2"/>
          <w:sz w:val="28"/>
        </w:rPr>
        <w:t>喷头的安装位置，间距及喷头喷射方向必须符合设计要求，喷头安</w:t>
      </w:r>
      <w:r>
        <w:rPr>
          <w:spacing w:val="-2"/>
          <w:sz w:val="28"/>
        </w:rPr>
        <w:t>装必须与装饰配合施工。</w:t>
      </w:r>
    </w:p>
    <w:p>
      <w:pPr>
        <w:pStyle w:val="BodyText"/>
        <w:spacing w:before="15"/>
        <w:ind w:left="673"/>
      </w:pPr>
      <w:r>
        <w:t>h.</w:t>
      </w:r>
      <w:r>
        <w:rPr>
          <w:spacing w:val="-2"/>
        </w:rPr>
        <w:t>通风与排烟系统</w:t>
      </w:r>
    </w:p>
    <w:p>
      <w:pPr>
        <w:pStyle w:val="ListParagraph"/>
        <w:numPr>
          <w:ilvl w:val="0"/>
          <w:numId w:val="11"/>
        </w:numPr>
        <w:tabs>
          <w:tab w:val="left" w:pos="1374"/>
        </w:tabs>
        <w:spacing w:before="151" w:after="0" w:line="340" w:lineRule="auto"/>
        <w:ind w:left="118" w:right="533" w:firstLine="555"/>
        <w:jc w:val="left"/>
        <w:rPr>
          <w:sz w:val="28"/>
        </w:rPr>
      </w:pPr>
      <w:r>
        <w:rPr>
          <w:spacing w:val="-2"/>
          <w:sz w:val="28"/>
        </w:rPr>
        <w:t>机房及设备安装，核实设备基础，风机基础的预埋螺栓生标是否符</w:t>
      </w:r>
      <w:r>
        <w:rPr>
          <w:spacing w:val="-2"/>
          <w:sz w:val="28"/>
        </w:rPr>
        <w:t>合设计（或设备）要求，确认无误后再进行设备安装。</w:t>
      </w:r>
    </w:p>
    <w:p>
      <w:pPr>
        <w:pStyle w:val="ListParagraph"/>
        <w:numPr>
          <w:ilvl w:val="0"/>
          <w:numId w:val="11"/>
        </w:numPr>
        <w:tabs>
          <w:tab w:val="left" w:pos="1374"/>
        </w:tabs>
        <w:spacing w:before="1" w:after="0" w:line="240" w:lineRule="auto"/>
        <w:ind w:left="1374" w:right="0" w:hanging="701"/>
        <w:jc w:val="left"/>
        <w:rPr>
          <w:sz w:val="28"/>
        </w:rPr>
      </w:pPr>
      <w:r>
        <w:rPr>
          <w:spacing w:val="-1"/>
          <w:sz w:val="28"/>
        </w:rPr>
        <w:t>检查电源线管和控制线管是否按设备工艺施工接口到位。</w:t>
      </w:r>
    </w:p>
    <w:p>
      <w:pPr>
        <w:pStyle w:val="ListParagraph"/>
        <w:numPr>
          <w:ilvl w:val="0"/>
          <w:numId w:val="11"/>
        </w:numPr>
        <w:tabs>
          <w:tab w:val="left" w:pos="1374"/>
        </w:tabs>
        <w:spacing w:before="152" w:after="0" w:line="240" w:lineRule="auto"/>
        <w:ind w:left="1374" w:right="0" w:hanging="701"/>
        <w:jc w:val="left"/>
        <w:rPr>
          <w:sz w:val="28"/>
        </w:rPr>
      </w:pPr>
      <w:r>
        <w:rPr>
          <w:spacing w:val="-1"/>
          <w:sz w:val="28"/>
        </w:rPr>
        <w:t>检查、排烟、排风等设备的吊点牢靠性及安装布距合理。</w:t>
      </w:r>
    </w:p>
    <w:p>
      <w:pPr>
        <w:pStyle w:val="ListParagraph"/>
        <w:numPr>
          <w:ilvl w:val="0"/>
          <w:numId w:val="11"/>
        </w:numPr>
        <w:tabs>
          <w:tab w:val="left" w:pos="1374"/>
        </w:tabs>
        <w:spacing w:before="151" w:after="0" w:line="340" w:lineRule="auto"/>
        <w:ind w:left="118" w:right="533" w:firstLine="555"/>
        <w:jc w:val="left"/>
        <w:rPr>
          <w:sz w:val="28"/>
        </w:rPr>
      </w:pPr>
      <w:r>
        <w:rPr>
          <w:spacing w:val="-2"/>
          <w:sz w:val="28"/>
        </w:rPr>
        <w:t>检查并落实预留孔洞预埋铁件，套管的标高，生标位置，以及孔洞</w:t>
      </w:r>
      <w:r>
        <w:rPr>
          <w:spacing w:val="-2"/>
          <w:sz w:val="28"/>
        </w:rPr>
        <w:t>的几何尺寸。</w:t>
      </w:r>
    </w:p>
    <w:p>
      <w:pPr>
        <w:pStyle w:val="ListParagraph"/>
        <w:numPr>
          <w:ilvl w:val="0"/>
          <w:numId w:val="11"/>
        </w:numPr>
        <w:tabs>
          <w:tab w:val="left" w:pos="1374"/>
        </w:tabs>
        <w:spacing w:before="1" w:after="0" w:line="340" w:lineRule="auto"/>
        <w:ind w:left="118" w:right="533" w:firstLine="555"/>
        <w:jc w:val="left"/>
        <w:rPr>
          <w:sz w:val="28"/>
        </w:rPr>
      </w:pPr>
      <w:r>
        <w:rPr>
          <w:spacing w:val="-2"/>
          <w:sz w:val="28"/>
        </w:rPr>
        <w:t>检查管安装以及风管风口的甩口位置，调节阀，放火阀的安装是否</w:t>
      </w:r>
      <w:r>
        <w:rPr>
          <w:spacing w:val="-2"/>
          <w:sz w:val="28"/>
        </w:rPr>
        <w:t>正确合理。</w:t>
      </w:r>
    </w:p>
    <w:p>
      <w:pPr>
        <w:pStyle w:val="ListParagraph"/>
        <w:numPr>
          <w:ilvl w:val="0"/>
          <w:numId w:val="11"/>
        </w:numPr>
        <w:tabs>
          <w:tab w:val="left" w:pos="1374"/>
        </w:tabs>
        <w:spacing w:before="1" w:after="0" w:line="240" w:lineRule="auto"/>
        <w:ind w:left="1374" w:right="0" w:hanging="701"/>
        <w:jc w:val="left"/>
        <w:rPr>
          <w:sz w:val="28"/>
        </w:rPr>
      </w:pPr>
      <w:r>
        <w:rPr>
          <w:spacing w:val="-1"/>
          <w:sz w:val="28"/>
        </w:rPr>
        <w:t>现场确定风管，设备的最佳位置和合理走向。</w:t>
      </w:r>
    </w:p>
    <w:p>
      <w:pPr>
        <w:pStyle w:val="ListParagraph"/>
        <w:numPr>
          <w:ilvl w:val="0"/>
          <w:numId w:val="11"/>
        </w:numPr>
        <w:tabs>
          <w:tab w:val="left" w:pos="1374"/>
        </w:tabs>
        <w:spacing w:before="151" w:after="0" w:line="240" w:lineRule="auto"/>
        <w:ind w:left="1374" w:right="0" w:hanging="701"/>
        <w:jc w:val="left"/>
        <w:rPr>
          <w:sz w:val="28"/>
        </w:rPr>
      </w:pPr>
      <w:r>
        <w:rPr>
          <w:spacing w:val="-1"/>
          <w:sz w:val="28"/>
        </w:rPr>
        <w:t>分段做风管漏光检测及严密性检测，是否符合规范规定。</w:t>
      </w:r>
    </w:p>
    <w:p>
      <w:pPr>
        <w:pStyle w:val="ListParagraph"/>
        <w:numPr>
          <w:ilvl w:val="0"/>
          <w:numId w:val="11"/>
        </w:numPr>
        <w:tabs>
          <w:tab w:val="left" w:pos="1374"/>
        </w:tabs>
        <w:spacing w:before="152" w:after="0" w:line="340" w:lineRule="auto"/>
        <w:ind w:left="118" w:right="533" w:firstLine="555"/>
        <w:jc w:val="both"/>
        <w:rPr>
          <w:sz w:val="28"/>
        </w:rPr>
      </w:pPr>
      <w:r>
        <w:rPr>
          <w:spacing w:val="-2"/>
          <w:sz w:val="28"/>
        </w:rPr>
        <w:t>监督并参与综合系统调试和综合效能的测空与调整。i.地板采暖系</w:t>
      </w:r>
      <w:r>
        <w:rPr>
          <w:sz w:val="28"/>
        </w:rPr>
        <w:t>统</w:t>
      </w:r>
      <w:r>
        <w:rPr>
          <w:spacing w:val="80"/>
          <w:w w:val="150"/>
          <w:sz w:val="28"/>
        </w:rPr>
        <w:t xml:space="preserve">  </w:t>
      </w:r>
      <w:r>
        <w:rPr>
          <w:sz w:val="28"/>
        </w:rPr>
        <w:t>（1）垫层内的管道不允许有任何管件和接头。</w:t>
      </w:r>
      <w:r>
        <w:rPr>
          <w:spacing w:val="80"/>
          <w:w w:val="150"/>
          <w:sz w:val="28"/>
        </w:rPr>
        <w:t xml:space="preserve"> </w:t>
      </w:r>
      <w:r>
        <w:rPr>
          <w:sz w:val="28"/>
        </w:rPr>
        <w:t>（2）加热管穿越伸缩缝处，应设≥200</w:t>
      </w:r>
      <w:r>
        <w:rPr>
          <w:spacing w:val="5"/>
          <w:sz w:val="28"/>
        </w:rPr>
        <w:t xml:space="preserve">㎜的柔性套管。 </w:t>
      </w:r>
      <w:r>
        <w:rPr>
          <w:sz w:val="28"/>
        </w:rPr>
        <w:t>（3）加热管敷设完毕应进行压力试验</w:t>
      </w:r>
    </w:p>
    <w:p>
      <w:pPr>
        <w:pStyle w:val="BodyText"/>
        <w:spacing w:before="1"/>
      </w:pPr>
      <w:r>
        <w:t>（4）加热管隐蔽时应带压，管内压力＞0.4mp</w:t>
      </w:r>
      <w:r>
        <w:rPr>
          <w:spacing w:val="-10"/>
        </w:rPr>
        <w:t>。</w:t>
      </w:r>
    </w:p>
    <w:p>
      <w:pPr>
        <w:pStyle w:val="Heading1"/>
        <w:spacing w:before="199"/>
        <w:ind w:left="118"/>
      </w:pPr>
      <w:bookmarkStart w:id="2" w:name="_TOC_250001"/>
      <w:bookmarkEnd w:id="2"/>
      <w:r>
        <w:rPr>
          <w:spacing w:val="-1"/>
        </w:rPr>
        <w:t>四、监理工作方法及措施</w:t>
      </w:r>
    </w:p>
    <w:p>
      <w:pPr>
        <w:pStyle w:val="BodyText"/>
        <w:tabs>
          <w:tab w:val="left" w:pos="9837"/>
        </w:tabs>
        <w:spacing w:before="96" w:line="620" w:lineRule="atLeast"/>
        <w:ind w:right="167" w:firstLine="560"/>
      </w:pPr>
      <w:r>
        <w:rPr>
          <w:spacing w:val="-2"/>
        </w:rPr>
        <w:t>监</w:t>
      </w:r>
      <w:r>
        <w:rPr>
          <w:spacing w:val="-2"/>
        </w:rPr>
        <w:t>理</w:t>
      </w:r>
      <w:r>
        <w:rPr>
          <w:spacing w:val="-2"/>
        </w:rPr>
        <w:t>工</w:t>
      </w:r>
      <w:r>
        <w:rPr>
          <w:spacing w:val="-2"/>
        </w:rPr>
        <w:t>作</w:t>
      </w:r>
      <w:r>
        <w:rPr>
          <w:spacing w:val="-2"/>
        </w:rPr>
        <w:t>方</w:t>
      </w:r>
      <w:r>
        <w:rPr>
          <w:spacing w:val="-2"/>
        </w:rPr>
        <w:t>法</w:t>
      </w:r>
      <w:r>
        <w:rPr>
          <w:spacing w:val="-2"/>
        </w:rPr>
        <w:t>已</w:t>
      </w:r>
      <w:r>
        <w:rPr>
          <w:spacing w:val="-2"/>
        </w:rPr>
        <w:t>“</w:t>
      </w:r>
      <w:r>
        <w:rPr>
          <w:spacing w:val="-2"/>
        </w:rPr>
        <w:t>严</w:t>
      </w:r>
      <w:r>
        <w:rPr>
          <w:spacing w:val="-2"/>
        </w:rPr>
        <w:t>格</w:t>
      </w:r>
      <w:r>
        <w:rPr>
          <w:spacing w:val="-2"/>
        </w:rPr>
        <w:t>监</w:t>
      </w:r>
      <w:r>
        <w:rPr>
          <w:spacing w:val="-2"/>
        </w:rPr>
        <w:t>理</w:t>
      </w:r>
      <w:r>
        <w:rPr>
          <w:spacing w:val="-2"/>
        </w:rPr>
        <w:t>，</w:t>
      </w:r>
      <w:r>
        <w:rPr>
          <w:spacing w:val="-2"/>
        </w:rPr>
        <w:t>热</w:t>
      </w:r>
      <w:r>
        <w:rPr>
          <w:spacing w:val="-2"/>
        </w:rPr>
        <w:t>情</w:t>
      </w:r>
      <w:r>
        <w:rPr>
          <w:spacing w:val="-2"/>
        </w:rPr>
        <w:t>服</w:t>
      </w:r>
      <w:r>
        <w:rPr>
          <w:spacing w:val="-2"/>
        </w:rPr>
        <w:t>务</w:t>
      </w:r>
      <w:r>
        <w:rPr>
          <w:spacing w:val="-2"/>
        </w:rPr>
        <w:t>”</w:t>
      </w:r>
      <w:r>
        <w:rPr>
          <w:spacing w:val="-2"/>
        </w:rPr>
        <w:t>为</w:t>
      </w:r>
      <w:r>
        <w:rPr>
          <w:spacing w:val="-2"/>
        </w:rPr>
        <w:t>宗</w:t>
      </w:r>
      <w:r>
        <w:rPr>
          <w:spacing w:val="-2"/>
        </w:rPr>
        <w:t>旨</w:t>
      </w:r>
      <w:r>
        <w:rPr>
          <w:spacing w:val="-2"/>
        </w:rPr>
        <w:t>，</w:t>
      </w:r>
      <w:r>
        <w:rPr>
          <w:spacing w:val="-2"/>
        </w:rPr>
        <w:t>以</w:t>
      </w:r>
      <w:r>
        <w:rPr>
          <w:spacing w:val="-2"/>
        </w:rPr>
        <w:t>跟</w:t>
      </w:r>
      <w:r>
        <w:rPr>
          <w:spacing w:val="-2"/>
        </w:rPr>
        <w:t>踪</w:t>
      </w:r>
      <w:r>
        <w:rPr>
          <w:spacing w:val="-2"/>
        </w:rPr>
        <w:t>监</w:t>
      </w:r>
      <w:r>
        <w:rPr>
          <w:spacing w:val="-2"/>
        </w:rPr>
        <w:t>理</w:t>
      </w:r>
      <w:r>
        <w:rPr>
          <w:spacing w:val="-2"/>
        </w:rPr>
        <w:t>、</w:t>
      </w:r>
      <w:r>
        <w:rPr>
          <w:spacing w:val="-2"/>
        </w:rPr>
        <w:t>严</w:t>
      </w:r>
      <w:r>
        <w:rPr>
          <w:spacing w:val="-2"/>
        </w:rPr>
        <w:t>格</w:t>
      </w:r>
      <w:r>
        <w:rPr>
          <w:spacing w:val="-2"/>
        </w:rPr>
        <w:t>执</w:t>
      </w:r>
      <w:r>
        <w:rPr>
          <w:spacing w:val="40"/>
        </w:rPr>
        <w:t xml:space="preserve">  </w:t>
      </w: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8" w:history="1">
        <w:r>
          <w:rPr>
            <w:rFonts w:ascii="SimSun" w:eastAsia="SimSun" w:hAnsi="SimSun" w:cs="SimSun"/>
            <w:b/>
            <w:bCs/>
            <w:color w:val="0000EE"/>
            <w:sz w:val="30"/>
            <w:szCs w:val="30"/>
            <w:u w:val="single" w:color="0000EE"/>
          </w:rPr>
          <w:t>https://d.book118.com/015231114203011120</w:t>
        </w:r>
      </w:hyperlink>
    </w:p>
    <w:p>
      <w:pPr>
        <w:pStyle w:val="BodyText"/>
        <w:tabs>
          <w:tab w:val="left" w:pos="9837"/>
        </w:tabs>
        <w:spacing w:before="96" w:line="620" w:lineRule="atLeast"/>
        <w:ind w:right="167" w:firstLine="560"/>
      </w:pPr>
    </w:p>
    <w:sectPr>
      <w:headerReference w:type="default" r:id="rId39"/>
      <w:footerReference w:type="default" r:id="rId40"/>
      <w:pgSz w:w="11910" w:h="16840"/>
      <w:pgMar w:top="1160" w:right="600" w:bottom="1580" w:left="1300" w:header="906" w:footer="1372"/>
      <w:pgNumType w:start="1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53" style="width:486pt;height:4.55pt;margin-top:757.57pt;margin-left:70.9pt;mso-position-horizontal-relative:page;mso-position-vertical-relative:page;position:absolute;z-index:-251658240" coordorigin="1418,15151" coordsize="9720,91">
          <v:line id="_x0000_s2054" style="position:absolute" from="1418,15161" to="11138,15161" stroked="t" strokecolor="black" strokeweight="1pt">
            <v:stroke dashstyle="solid"/>
          </v:line>
          <v:line id="_x0000_s2055"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56" type="#_x0000_t202" style="width:16pt;height:11pt;margin-top:762.93pt;margin-left:297.25pt;mso-position-horizontal-relative:page;mso-position-vertical-relative:page;position:absolute;z-index:-25165721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w:t>
                </w:r>
                <w:r>
                  <w:rPr>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61" style="width:486pt;height:4.55pt;margin-top:757.57pt;margin-left:70.9pt;mso-position-horizontal-relative:page;mso-position-vertical-relative:page;position:absolute;z-index:-251656192" coordorigin="1418,15151" coordsize="9720,91">
          <v:line id="_x0000_s2062" style="position:absolute" from="1418,15161" to="11138,15161" stroked="t" strokecolor="black" strokeweight="1pt">
            <v:stroke dashstyle="solid"/>
          </v:line>
          <v:line id="_x0000_s2063"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64" type="#_x0000_t202" style="width:16pt;height:11pt;margin-top:762.93pt;margin-left:297.25pt;mso-position-horizontal-relative:page;mso-position-vertical-relative:page;position:absolute;z-index:-25165516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2</w:t>
                </w:r>
                <w:r>
                  <w:rPr>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69" style="width:486pt;height:4.55pt;margin-top:757.57pt;margin-left:70.9pt;mso-position-horizontal-relative:page;mso-position-vertical-relative:page;position:absolute;z-index:-251654144" coordorigin="1418,15151" coordsize="9720,91">
          <v:line id="_x0000_s2070" style="position:absolute" from="1418,15161" to="11138,15161" stroked="t" strokecolor="black" strokeweight="1pt">
            <v:stroke dashstyle="solid"/>
          </v:line>
          <v:line id="_x0000_s2071"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72" type="#_x0000_t202" style="width:16pt;height:11pt;margin-top:762.93pt;margin-left:297.25pt;mso-position-horizontal-relative:page;mso-position-vertical-relative:page;position:absolute;z-index:-25165312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3</w:t>
                </w:r>
                <w:r>
                  <w:rPr>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77" style="width:486pt;height:4.55pt;margin-top:757.57pt;margin-left:70.9pt;mso-position-horizontal-relative:page;mso-position-vertical-relative:page;position:absolute;z-index:-251652096" coordorigin="1418,15151" coordsize="9720,91">
          <v:line id="_x0000_s2078" style="position:absolute" from="1418,15161" to="11138,15161" stroked="t" strokecolor="black" strokeweight="1pt">
            <v:stroke dashstyle="solid"/>
          </v:line>
          <v:line id="_x0000_s2079"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80" type="#_x0000_t202" style="width:16pt;height:11pt;margin-top:762.93pt;margin-left:297.25pt;mso-position-horizontal-relative:page;mso-position-vertical-relative:page;position:absolute;z-index:-25165107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4</w:t>
                </w:r>
                <w:r>
                  <w:rPr>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85" style="width:486pt;height:4.55pt;margin-top:757.57pt;margin-left:70.9pt;mso-position-horizontal-relative:page;mso-position-vertical-relative:page;position:absolute;z-index:-251650048" coordorigin="1418,15151" coordsize="9720,91">
          <v:line id="_x0000_s2086" style="position:absolute" from="1418,15161" to="11138,15161" stroked="t" strokecolor="black" strokeweight="1pt">
            <v:stroke dashstyle="solid"/>
          </v:line>
          <v:line id="_x0000_s2087"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88" type="#_x0000_t202" style="width:16pt;height:11pt;margin-top:762.93pt;margin-left:297.25pt;mso-position-horizontal-relative:page;mso-position-vertical-relative:page;position:absolute;z-index:-25164902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5</w:t>
                </w:r>
                <w:r>
                  <w:rPr>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093" style="width:486pt;height:4.55pt;margin-top:757.57pt;margin-left:70.9pt;mso-position-horizontal-relative:page;mso-position-vertical-relative:page;position:absolute;z-index:-251648000" coordorigin="1418,15151" coordsize="9720,91">
          <v:line id="_x0000_s2094" style="position:absolute" from="1418,15161" to="11138,15161" stroked="t" strokecolor="black" strokeweight="1pt">
            <v:stroke dashstyle="solid"/>
          </v:line>
          <v:line id="_x0000_s2095"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096" type="#_x0000_t202" style="width:16pt;height:11pt;margin-top:762.93pt;margin-left:297.25pt;mso-position-horizontal-relative:page;mso-position-vertical-relative:page;position:absolute;z-index:-25164697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6</w:t>
                </w:r>
                <w:r>
                  <w:rPr>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01" style="width:486pt;height:4.55pt;margin-top:757.57pt;margin-left:70.9pt;mso-position-horizontal-relative:page;mso-position-vertical-relative:page;position:absolute;z-index:-251645952" coordorigin="1418,15151" coordsize="9720,91">
          <v:line id="_x0000_s2102" style="position:absolute" from="1418,15161" to="11138,15161" stroked="t" strokecolor="black" strokeweight="1pt">
            <v:stroke dashstyle="solid"/>
          </v:line>
          <v:line id="_x0000_s2103"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04" type="#_x0000_t202" style="width:16pt;height:11pt;margin-top:762.93pt;margin-left:297.25pt;mso-position-horizontal-relative:page;mso-position-vertical-relative:page;position:absolute;z-index:-25164492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7</w:t>
                </w:r>
                <w:r>
                  <w:rPr>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09" style="width:486pt;height:4.55pt;margin-top:757.57pt;margin-left:70.9pt;mso-position-horizontal-relative:page;mso-position-vertical-relative:page;position:absolute;z-index:-251643904" coordorigin="1418,15151" coordsize="9720,91">
          <v:line id="_x0000_s2110" style="position:absolute" from="1418,15161" to="11138,15161" stroked="t" strokecolor="black" strokeweight="1pt">
            <v:stroke dashstyle="solid"/>
          </v:line>
          <v:line id="_x0000_s2111"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12" type="#_x0000_t202" style="width:16pt;height:11pt;margin-top:762.93pt;margin-left:297.25pt;mso-position-horizontal-relative:page;mso-position-vertical-relative:page;position:absolute;z-index:-25164288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8</w:t>
                </w:r>
                <w:r>
                  <w:rPr>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17" style="width:486pt;height:4.55pt;margin-top:757.57pt;margin-left:70.9pt;mso-position-horizontal-relative:page;mso-position-vertical-relative:page;position:absolute;z-index:-251641856" coordorigin="1418,15151" coordsize="9720,91">
          <v:line id="_x0000_s2118" style="position:absolute" from="1418,15161" to="11138,15161" stroked="t" strokecolor="black" strokeweight="1pt">
            <v:stroke dashstyle="solid"/>
          </v:line>
          <v:line id="_x0000_s2119"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20" type="#_x0000_t202" style="width:16pt;height:11pt;margin-top:762.93pt;margin-left:297.25pt;mso-position-horizontal-relative:page;mso-position-vertical-relative:page;position:absolute;z-index:-25164083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9</w:t>
                </w:r>
                <w:r>
                  <w:rPr>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25" style="width:486pt;height:4.55pt;margin-top:757.57pt;margin-left:70.9pt;mso-position-horizontal-relative:page;mso-position-vertical-relative:page;position:absolute;z-index:-251639808" coordorigin="1418,15151" coordsize="9720,91">
          <v:line id="_x0000_s2126" style="position:absolute" from="1418,15161" to="11138,15161" stroked="t" strokecolor="black" strokeweight="1pt">
            <v:stroke dashstyle="solid"/>
          </v:line>
          <v:line id="_x0000_s2127"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28" type="#_x0000_t202" style="width:16pt;height:11pt;margin-top:762.93pt;margin-left:297.25pt;mso-position-horizontal-relative:page;mso-position-vertical-relative:page;position:absolute;z-index:-25163878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33" style="width:486pt;height:4.55pt;margin-top:757.57pt;margin-left:70.9pt;mso-position-horizontal-relative:page;mso-position-vertical-relative:page;position:absolute;z-index:-251637760" coordorigin="1418,15151" coordsize="9720,91">
          <v:line id="_x0000_s2134" style="position:absolute" from="1418,15161" to="11138,15161" stroked="t" strokecolor="black" strokeweight="1pt">
            <v:stroke dashstyle="solid"/>
          </v:line>
          <v:line id="_x0000_s2135"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36" type="#_x0000_t202" style="width:16pt;height:11pt;margin-top:762.93pt;margin-left:297.25pt;mso-position-horizontal-relative:page;mso-position-vertical-relative:page;position:absolute;z-index:-25163673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11</w:t>
                </w:r>
                <w:r>
                  <w:rPr>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41" style="width:486pt;height:4.55pt;margin-top:757.57pt;margin-left:70.9pt;mso-position-horizontal-relative:page;mso-position-vertical-relative:page;position:absolute;z-index:-251635712" coordorigin="1418,15151" coordsize="9720,91">
          <v:line id="_x0000_s2142" style="position:absolute" from="1418,15161" to="11138,15161" stroked="t" strokecolor="black" strokeweight="1pt">
            <v:stroke dashstyle="solid"/>
          </v:line>
          <v:line id="_x0000_s2143"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44" type="#_x0000_t202" style="width:16pt;height:11pt;margin-top:762.93pt;margin-left:297.25pt;mso-position-horizontal-relative:page;mso-position-vertical-relative:page;position:absolute;z-index:-25163468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12</w:t>
                </w:r>
                <w:r>
                  <w:rPr>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49" style="width:486pt;height:4.55pt;margin-top:757.57pt;margin-left:70.9pt;mso-position-horizontal-relative:page;mso-position-vertical-relative:page;position:absolute;z-index:-251633664" coordorigin="1418,15151" coordsize="9720,91">
          <v:line id="_x0000_s2150" style="position:absolute" from="1418,15161" to="11138,15161" stroked="t" strokecolor="black" strokeweight="1pt">
            <v:stroke dashstyle="solid"/>
          </v:line>
          <v:line id="_x0000_s2151"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52" type="#_x0000_t202" style="width:16pt;height:11pt;margin-top:762.93pt;margin-left:297.25pt;mso-position-horizontal-relative:page;mso-position-vertical-relative:page;position:absolute;z-index:-25163264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13</w:t>
                </w:r>
                <w:r>
                  <w:rPr>
                    <w:spacing w:val="-5"/>
                    <w:sz w:val="18"/>
                  </w:rP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57" style="width:486pt;height:4.55pt;margin-top:757.57pt;margin-left:70.9pt;mso-position-horizontal-relative:page;mso-position-vertical-relative:page;position:absolute;z-index:-251631616" coordorigin="1418,15151" coordsize="9720,91">
          <v:line id="_x0000_s2158" style="position:absolute" from="1418,15161" to="11138,15161" stroked="t" strokecolor="black" strokeweight="1pt">
            <v:stroke dashstyle="solid"/>
          </v:line>
          <v:line id="_x0000_s2159"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60" type="#_x0000_t202" style="width:16pt;height:11pt;margin-top:762.93pt;margin-left:297.25pt;mso-position-horizontal-relative:page;mso-position-vertical-relative:page;position:absolute;z-index:-251630592"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14</w:t>
                </w:r>
                <w:r>
                  <w:rPr>
                    <w:spacing w:val="-5"/>
                    <w:sz w:val="18"/>
                  </w:rPr>
                  <w:fldChar w:fldCharType="end"/>
                </w:r>
              </w:p>
            </w:txbxContent>
          </v:textbox>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65" style="width:486pt;height:4.55pt;margin-top:757.57pt;margin-left:70.9pt;mso-position-horizontal-relative:page;mso-position-vertical-relative:page;position:absolute;z-index:-251629568" coordorigin="1418,15151" coordsize="9720,91">
          <v:line id="_x0000_s2166" style="position:absolute" from="1418,15161" to="11138,15161" stroked="t" strokecolor="black" strokeweight="1pt">
            <v:stroke dashstyle="solid"/>
          </v:line>
          <v:line id="_x0000_s2167"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68" type="#_x0000_t202" style="width:16pt;height:11pt;margin-top:762.93pt;margin-left:297.25pt;mso-position-horizontal-relative:page;mso-position-vertical-relative:page;position:absolute;z-index:-251628544"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15</w:t>
                </w:r>
                <w:r>
                  <w:rPr>
                    <w:spacing w:val="-5"/>
                    <w:sz w:val="18"/>
                  </w:rPr>
                  <w:fldChar w:fldCharType="end"/>
                </w:r>
              </w:p>
            </w:txbxContent>
          </v:textbox>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73" style="width:486pt;height:4.55pt;margin-top:757.57pt;margin-left:70.9pt;mso-position-horizontal-relative:page;mso-position-vertical-relative:page;position:absolute;z-index:-251627520" coordorigin="1418,15151" coordsize="9720,91">
          <v:line id="_x0000_s2174" style="position:absolute" from="1418,15161" to="11138,15161" stroked="t" strokecolor="black" strokeweight="1pt">
            <v:stroke dashstyle="solid"/>
          </v:line>
          <v:line id="_x0000_s2175"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76" type="#_x0000_t202" style="width:16pt;height:11pt;margin-top:762.93pt;margin-left:297.25pt;mso-position-horizontal-relative:page;mso-position-vertical-relative:page;position:absolute;z-index:-251626496"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16</w:t>
                </w:r>
                <w:r>
                  <w:rPr>
                    <w:spacing w:val="-5"/>
                    <w:sz w:val="18"/>
                  </w:rPr>
                  <w:fldChar w:fldCharType="end"/>
                </w:r>
              </w:p>
            </w:txbxContent>
          </v:textbox>
        </v:shape>
      </w:pic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81" style="width:486pt;height:4.55pt;margin-top:757.57pt;margin-left:70.9pt;mso-position-horizontal-relative:page;mso-position-vertical-relative:page;position:absolute;z-index:-251625472" coordorigin="1418,15151" coordsize="9720,91">
          <v:line id="_x0000_s2182" style="position:absolute" from="1418,15161" to="11138,15161" stroked="t" strokecolor="black" strokeweight="1pt">
            <v:stroke dashstyle="solid"/>
          </v:line>
          <v:line id="_x0000_s2183"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84" type="#_x0000_t202" style="width:16pt;height:11pt;margin-top:762.93pt;margin-left:297.25pt;mso-position-horizontal-relative:page;mso-position-vertical-relative:page;position:absolute;z-index:-251624448"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17</w:t>
                </w:r>
                <w:r>
                  <w:rPr>
                    <w:spacing w:val="-5"/>
                    <w:sz w:val="18"/>
                  </w:rPr>
                  <w:fldChar w:fldCharType="end"/>
                </w:r>
              </w:p>
            </w:txbxContent>
          </v:textbox>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19"/>
      </w:rPr>
    </w:pPr>
    <w:r>
      <w:pict>
        <v:group id="_x0000_s2189" style="width:486pt;height:4.55pt;margin-top:757.57pt;margin-left:70.9pt;mso-position-horizontal-relative:page;mso-position-vertical-relative:page;position:absolute;z-index:-251623424" coordorigin="1418,15151" coordsize="9720,91">
          <v:line id="_x0000_s2190" style="position:absolute" from="1418,15161" to="11138,15161" stroked="t" strokecolor="black" strokeweight="1pt">
            <v:stroke dashstyle="solid"/>
          </v:line>
          <v:line id="_x0000_s2191" style="position:absolute" from="1418,15215" to="11138,15215" stroked="t" strokecolor="black" strokeweight="2.7pt">
            <v:stroke dashstyle="solid"/>
          </v:line>
        </v:group>
      </w:pict>
    </w:r>
    <w:r>
      <w:pict>
        <v:shapetype id="_x0000_t202" coordsize="21600,21600" o:spt="202" path="m,l,21600r21600,l21600,xe">
          <v:stroke joinstyle="miter"/>
          <v:path gradientshapeok="t" o:connecttype="rect"/>
        </v:shapetype>
        <v:shape id="_x0000_s2192" type="#_x0000_t202" style="width:16pt;height:11pt;margin-top:762.93pt;margin-left:297.25pt;mso-position-horizontal-relative:page;mso-position-vertical-relative:page;position:absolute;z-index:-251622400" filled="f" stroked="f">
          <v:textbox inset="0,0,0,0">
            <w:txbxContent>
              <w:p>
                <w:pPr>
                  <w:spacing w:before="0" w:line="220" w:lineRule="exact"/>
                  <w:ind w:left="60" w:right="0" w:firstLine="0"/>
                  <w:jc w:val="left"/>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49" style="width:470.7pt;height:5.95pt;margin-top:45.3pt;margin-left:69.55pt;mso-position-horizontal-relative:page;mso-position-vertical-relative:page;position:absolute;z-index:-251658240" coordorigin="1391,906" coordsize="9414,119">
          <v:line id="_x0000_s2050" style="position:absolute" from="1418,933" to="10778,961" stroked="t" strokecolor="black" strokeweight="2.7pt">
            <v:stroke dashstyle="solid"/>
          </v:line>
          <v:line id="_x0000_s2051" style="position:absolute" from="1418,987" to="10778,1015" stroked="t" strokecolor="black" strokeweight="1pt">
            <v:stroke dashstyle="solid"/>
          </v:line>
        </v:group>
      </w:pict>
    </w:r>
    <w:r>
      <w:pict>
        <v:line id="_x0000_s2052" style="mso-position-horizontal-relative:page;mso-position-vertical-relative:page;position:absolute;z-index:-251657216" from="69.45pt,55.6pt" to="540.05pt,55.6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57" style="width:470.7pt;height:5.95pt;margin-top:45.3pt;margin-left:69.55pt;mso-position-horizontal-relative:page;mso-position-vertical-relative:page;position:absolute;z-index:-251656192" coordorigin="1391,906" coordsize="9414,119">
          <v:line id="_x0000_s2058" style="position:absolute" from="1418,933" to="10778,961" stroked="t" strokecolor="black" strokeweight="2.7pt">
            <v:stroke dashstyle="solid"/>
          </v:line>
          <v:line id="_x0000_s2059" style="position:absolute" from="1418,987" to="10778,1015" stroked="t" strokecolor="black" strokeweight="1pt">
            <v:stroke dashstyle="solid"/>
          </v:line>
        </v:group>
      </w:pict>
    </w:r>
    <w:r>
      <w:pict>
        <v:line id="_x0000_s2060" style="mso-position-horizontal-relative:page;mso-position-vertical-relative:page;position:absolute;z-index:-251655168" from="69.45pt,55.6pt" to="540.05pt,55.6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65" style="width:470.7pt;height:5.95pt;margin-top:45.3pt;margin-left:69.55pt;mso-position-horizontal-relative:page;mso-position-vertical-relative:page;position:absolute;z-index:-251654144" coordorigin="1391,906" coordsize="9414,119">
          <v:line id="_x0000_s2066" style="position:absolute" from="1418,933" to="10778,961" stroked="t" strokecolor="black" strokeweight="2.7pt">
            <v:stroke dashstyle="solid"/>
          </v:line>
          <v:line id="_x0000_s2067" style="position:absolute" from="1418,987" to="10778,1015" stroked="t" strokecolor="black" strokeweight="1pt">
            <v:stroke dashstyle="solid"/>
          </v:line>
        </v:group>
      </w:pict>
    </w:r>
    <w:r>
      <w:pict>
        <v:line id="_x0000_s2068" style="mso-position-horizontal-relative:page;mso-position-vertical-relative:page;position:absolute;z-index:-251653120" from="69.45pt,55.6pt" to="540.05pt,55.6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73" style="width:470.7pt;height:5.95pt;margin-top:45.3pt;margin-left:69.55pt;mso-position-horizontal-relative:page;mso-position-vertical-relative:page;position:absolute;z-index:-251652096" coordorigin="1391,906" coordsize="9414,119">
          <v:line id="_x0000_s2074" style="position:absolute" from="1418,933" to="10778,961" stroked="t" strokecolor="black" strokeweight="2.7pt">
            <v:stroke dashstyle="solid"/>
          </v:line>
          <v:line id="_x0000_s2075" style="position:absolute" from="1418,987" to="10778,1015" stroked="t" strokecolor="black" strokeweight="1pt">
            <v:stroke dashstyle="solid"/>
          </v:line>
        </v:group>
      </w:pict>
    </w:r>
    <w:r>
      <w:pict>
        <v:line id="_x0000_s2076" style="mso-position-horizontal-relative:page;mso-position-vertical-relative:page;position:absolute;z-index:-251651072" from="69.45pt,55.6pt" to="540.05pt,55.6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81" style="width:470.7pt;height:5.95pt;margin-top:45.3pt;margin-left:69.55pt;mso-position-horizontal-relative:page;mso-position-vertical-relative:page;position:absolute;z-index:-251650048" coordorigin="1391,906" coordsize="9414,119">
          <v:line id="_x0000_s2082" style="position:absolute" from="1418,933" to="10778,961" stroked="t" strokecolor="black" strokeweight="2.7pt">
            <v:stroke dashstyle="solid"/>
          </v:line>
          <v:line id="_x0000_s2083" style="position:absolute" from="1418,987" to="10778,1015" stroked="t" strokecolor="black" strokeweight="1pt">
            <v:stroke dashstyle="solid"/>
          </v:line>
        </v:group>
      </w:pict>
    </w:r>
    <w:r>
      <w:pict>
        <v:line id="_x0000_s2084" style="mso-position-horizontal-relative:page;mso-position-vertical-relative:page;position:absolute;z-index:-251649024" from="69.45pt,55.6pt" to="540.05pt,55.6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89" style="width:470.7pt;height:5.95pt;margin-top:45.3pt;margin-left:69.55pt;mso-position-horizontal-relative:page;mso-position-vertical-relative:page;position:absolute;z-index:-251648000" coordorigin="1391,906" coordsize="9414,119">
          <v:line id="_x0000_s2090" style="position:absolute" from="1418,933" to="10778,961" stroked="t" strokecolor="black" strokeweight="2.7pt">
            <v:stroke dashstyle="solid"/>
          </v:line>
          <v:line id="_x0000_s2091" style="position:absolute" from="1418,987" to="10778,1015" stroked="t" strokecolor="black" strokeweight="1pt">
            <v:stroke dashstyle="solid"/>
          </v:line>
        </v:group>
      </w:pict>
    </w:r>
    <w:r>
      <w:pict>
        <v:line id="_x0000_s2092" style="mso-position-horizontal-relative:page;mso-position-vertical-relative:page;position:absolute;z-index:-251646976" from="69.45pt,55.6pt" to="540.05pt,55.6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097" style="width:470.7pt;height:5.95pt;margin-top:45.3pt;margin-left:69.55pt;mso-position-horizontal-relative:page;mso-position-vertical-relative:page;position:absolute;z-index:-251645952" coordorigin="1391,906" coordsize="9414,119">
          <v:line id="_x0000_s2098" style="position:absolute" from="1418,933" to="10778,961" stroked="t" strokecolor="black" strokeweight="2.7pt">
            <v:stroke dashstyle="solid"/>
          </v:line>
          <v:line id="_x0000_s2099" style="position:absolute" from="1418,987" to="10778,1015" stroked="t" strokecolor="black" strokeweight="1pt">
            <v:stroke dashstyle="solid"/>
          </v:line>
        </v:group>
      </w:pict>
    </w:r>
    <w:r>
      <w:pict>
        <v:line id="_x0000_s2100" style="mso-position-horizontal-relative:page;mso-position-vertical-relative:page;position:absolute;z-index:-251644928" from="69.45pt,55.6pt" to="540.05pt,55.6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05" style="width:470.7pt;height:5.95pt;margin-top:45.3pt;margin-left:69.55pt;mso-position-horizontal-relative:page;mso-position-vertical-relative:page;position:absolute;z-index:-251643904" coordorigin="1391,906" coordsize="9414,119">
          <v:line id="_x0000_s2106" style="position:absolute" from="1418,933" to="10778,961" stroked="t" strokecolor="black" strokeweight="2.7pt">
            <v:stroke dashstyle="solid"/>
          </v:line>
          <v:line id="_x0000_s2107" style="position:absolute" from="1418,987" to="10778,1015" stroked="t" strokecolor="black" strokeweight="1pt">
            <v:stroke dashstyle="solid"/>
          </v:line>
        </v:group>
      </w:pict>
    </w:r>
    <w:r>
      <w:pict>
        <v:line id="_x0000_s2108" style="mso-position-horizontal-relative:page;mso-position-vertical-relative:page;position:absolute;z-index:-251642880" from="69.45pt,55.6pt" to="540.05pt,55.6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13" style="width:470.7pt;height:5.95pt;margin-top:45.3pt;margin-left:69.55pt;mso-position-horizontal-relative:page;mso-position-vertical-relative:page;position:absolute;z-index:-251641856" coordorigin="1391,906" coordsize="9414,119">
          <v:line id="_x0000_s2114" style="position:absolute" from="1418,933" to="10778,961" stroked="t" strokecolor="black" strokeweight="2.7pt">
            <v:stroke dashstyle="solid"/>
          </v:line>
          <v:line id="_x0000_s2115" style="position:absolute" from="1418,987" to="10778,1015" stroked="t" strokecolor="black" strokeweight="1pt">
            <v:stroke dashstyle="solid"/>
          </v:line>
        </v:group>
      </w:pict>
    </w:r>
    <w:r>
      <w:pict>
        <v:line id="_x0000_s2116" style="mso-position-horizontal-relative:page;mso-position-vertical-relative:page;position:absolute;z-index:-251640832" from="69.45pt,55.6pt" to="540.05pt,55.6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21" style="width:470.7pt;height:5.95pt;margin-top:45.3pt;margin-left:69.55pt;mso-position-horizontal-relative:page;mso-position-vertical-relative:page;position:absolute;z-index:-251639808" coordorigin="1391,906" coordsize="9414,119">
          <v:line id="_x0000_s2122" style="position:absolute" from="1418,933" to="10778,961" stroked="t" strokecolor="black" strokeweight="2.7pt">
            <v:stroke dashstyle="solid"/>
          </v:line>
          <v:line id="_x0000_s2123" style="position:absolute" from="1418,987" to="10778,1015" stroked="t" strokecolor="black" strokeweight="1pt">
            <v:stroke dashstyle="solid"/>
          </v:line>
        </v:group>
      </w:pict>
    </w:r>
    <w:r>
      <w:pict>
        <v:line id="_x0000_s2124" style="mso-position-horizontal-relative:page;mso-position-vertical-relative:page;position:absolute;z-index:-251638784" from="69.45pt,55.6pt" to="540.05pt,55.6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29" style="width:470.7pt;height:5.95pt;margin-top:45.3pt;margin-left:69.55pt;mso-position-horizontal-relative:page;mso-position-vertical-relative:page;position:absolute;z-index:-251637760" coordorigin="1391,906" coordsize="9414,119">
          <v:line id="_x0000_s2130" style="position:absolute" from="1418,933" to="10778,961" stroked="t" strokecolor="black" strokeweight="2.7pt">
            <v:stroke dashstyle="solid"/>
          </v:line>
          <v:line id="_x0000_s2131" style="position:absolute" from="1418,987" to="10778,1015" stroked="t" strokecolor="black" strokeweight="1pt">
            <v:stroke dashstyle="solid"/>
          </v:line>
        </v:group>
      </w:pict>
    </w:r>
    <w:r>
      <w:pict>
        <v:line id="_x0000_s2132" style="mso-position-horizontal-relative:page;mso-position-vertical-relative:page;position:absolute;z-index:-251636736" from="69.45pt,55.6pt" to="540.05pt,55.6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37" style="width:470.7pt;height:5.95pt;margin-top:45.3pt;margin-left:69.55pt;mso-position-horizontal-relative:page;mso-position-vertical-relative:page;position:absolute;z-index:-251635712" coordorigin="1391,906" coordsize="9414,119">
          <v:line id="_x0000_s2138" style="position:absolute" from="1418,933" to="10778,961" stroked="t" strokecolor="black" strokeweight="2.7pt">
            <v:stroke dashstyle="solid"/>
          </v:line>
          <v:line id="_x0000_s2139" style="position:absolute" from="1418,987" to="10778,1015" stroked="t" strokecolor="black" strokeweight="1pt">
            <v:stroke dashstyle="solid"/>
          </v:line>
        </v:group>
      </w:pict>
    </w:r>
    <w:r>
      <w:pict>
        <v:line id="_x0000_s2140" style="mso-position-horizontal-relative:page;mso-position-vertical-relative:page;position:absolute;z-index:-251634688" from="69.45pt,55.6pt" to="540.05pt,55.6pt" stroked="t" strokecolor="black" strokeweight="0.75pt">
          <v:stroke dashstyle="solid"/>
        </v:lin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45" style="width:470.7pt;height:5.95pt;margin-top:45.3pt;margin-left:69.55pt;mso-position-horizontal-relative:page;mso-position-vertical-relative:page;position:absolute;z-index:-251633664" coordorigin="1391,906" coordsize="9414,119">
          <v:line id="_x0000_s2146" style="position:absolute" from="1418,933" to="10778,961" stroked="t" strokecolor="black" strokeweight="2.7pt">
            <v:stroke dashstyle="solid"/>
          </v:line>
          <v:line id="_x0000_s2147" style="position:absolute" from="1418,987" to="10778,1015" stroked="t" strokecolor="black" strokeweight="1pt">
            <v:stroke dashstyle="solid"/>
          </v:line>
        </v:group>
      </w:pict>
    </w:r>
    <w:r>
      <w:pict>
        <v:line id="_x0000_s2148" style="mso-position-horizontal-relative:page;mso-position-vertical-relative:page;position:absolute;z-index:-251632640" from="69.45pt,55.6pt" to="540.05pt,55.6pt" stroked="t" strokecolor="black" strokeweight="0.75pt">
          <v:stroke dashstyle="solid"/>
        </v:lin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53" style="width:470.7pt;height:5.95pt;margin-top:45.3pt;margin-left:69.55pt;mso-position-horizontal-relative:page;mso-position-vertical-relative:page;position:absolute;z-index:-251631616" coordorigin="1391,906" coordsize="9414,119">
          <v:line id="_x0000_s2154" style="position:absolute" from="1418,933" to="10778,961" stroked="t" strokecolor="black" strokeweight="2.7pt">
            <v:stroke dashstyle="solid"/>
          </v:line>
          <v:line id="_x0000_s2155" style="position:absolute" from="1418,987" to="10778,1015" stroked="t" strokecolor="black" strokeweight="1pt">
            <v:stroke dashstyle="solid"/>
          </v:line>
        </v:group>
      </w:pict>
    </w:r>
    <w:r>
      <w:pict>
        <v:line id="_x0000_s2156" style="mso-position-horizontal-relative:page;mso-position-vertical-relative:page;position:absolute;z-index:-251630592" from="69.45pt,55.6pt" to="540.05pt,55.6pt" stroked="t" strokecolor="black" strokeweight="0.75pt">
          <v:stroke dashstyle="solid"/>
        </v:lin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61" style="width:470.7pt;height:5.95pt;margin-top:45.3pt;margin-left:69.55pt;mso-position-horizontal-relative:page;mso-position-vertical-relative:page;position:absolute;z-index:-251629568" coordorigin="1391,906" coordsize="9414,119">
          <v:line id="_x0000_s2162" style="position:absolute" from="1418,933" to="10778,961" stroked="t" strokecolor="black" strokeweight="2.7pt">
            <v:stroke dashstyle="solid"/>
          </v:line>
          <v:line id="_x0000_s2163" style="position:absolute" from="1418,987" to="10778,1015" stroked="t" strokecolor="black" strokeweight="1pt">
            <v:stroke dashstyle="solid"/>
          </v:line>
        </v:group>
      </w:pict>
    </w:r>
    <w:r>
      <w:pict>
        <v:line id="_x0000_s2164" style="mso-position-horizontal-relative:page;mso-position-vertical-relative:page;position:absolute;z-index:-251628544" from="69.45pt,55.6pt" to="540.05pt,55.6pt" stroked="t" strokecolor="black" strokeweight="0.75pt">
          <v:stroke dashstyle="solid"/>
        </v:lin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69" style="width:470.7pt;height:5.95pt;margin-top:45.3pt;margin-left:69.55pt;mso-position-horizontal-relative:page;mso-position-vertical-relative:page;position:absolute;z-index:-251627520" coordorigin="1391,906" coordsize="9414,119">
          <v:line id="_x0000_s2170" style="position:absolute" from="1418,933" to="10778,961" stroked="t" strokecolor="black" strokeweight="2.7pt">
            <v:stroke dashstyle="solid"/>
          </v:line>
          <v:line id="_x0000_s2171" style="position:absolute" from="1418,987" to="10778,1015" stroked="t" strokecolor="black" strokeweight="1pt">
            <v:stroke dashstyle="solid"/>
          </v:line>
        </v:group>
      </w:pict>
    </w:r>
    <w:r>
      <w:pict>
        <v:line id="_x0000_s2172" style="mso-position-horizontal-relative:page;mso-position-vertical-relative:page;position:absolute;z-index:-251626496" from="69.45pt,55.6pt" to="540.05pt,55.6pt" stroked="t" strokecolor="black" strokeweight="0.75pt">
          <v:stroke dashstyle="solid"/>
        </v:lin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77" style="width:470.7pt;height:5.95pt;margin-top:45.3pt;margin-left:69.55pt;mso-position-horizontal-relative:page;mso-position-vertical-relative:page;position:absolute;z-index:-251625472" coordorigin="1391,906" coordsize="9414,119">
          <v:line id="_x0000_s2178" style="position:absolute" from="1418,933" to="10778,961" stroked="t" strokecolor="black" strokeweight="2.7pt">
            <v:stroke dashstyle="solid"/>
          </v:line>
          <v:line id="_x0000_s2179" style="position:absolute" from="1418,987" to="10778,1015" stroked="t" strokecolor="black" strokeweight="1pt">
            <v:stroke dashstyle="solid"/>
          </v:line>
        </v:group>
      </w:pict>
    </w:r>
    <w:r>
      <w:pict>
        <v:line id="_x0000_s2180" style="mso-position-horizontal-relative:page;mso-position-vertical-relative:page;position:absolute;z-index:-251624448" from="69.45pt,55.6pt" to="540.05pt,55.6pt" stroked="t" strokecolor="black" strokeweight="0.75pt">
          <v:stroke dashstyle="solid"/>
        </v:lin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group id="_x0000_s2185" style="width:470.7pt;height:5.95pt;margin-top:45.3pt;margin-left:69.55pt;mso-position-horizontal-relative:page;mso-position-vertical-relative:page;position:absolute;z-index:-251623424" coordorigin="1391,906" coordsize="9414,119">
          <v:line id="_x0000_s2186" style="position:absolute" from="1418,933" to="10778,961" stroked="t" strokecolor="black" strokeweight="2.7pt">
            <v:stroke dashstyle="solid"/>
          </v:line>
          <v:line id="_x0000_s2187" style="position:absolute" from="1418,987" to="10778,1015" stroked="t" strokecolor="black" strokeweight="1pt">
            <v:stroke dashstyle="solid"/>
          </v:line>
        </v:group>
      </w:pict>
    </w:r>
    <w:r>
      <w:pict>
        <v:line id="_x0000_s2188" style="mso-position-horizontal-relative:page;mso-position-vertical-relative:page;position:absolute;z-index:-251622400" from="69.45pt,55.6pt" to="540.05pt,55.6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CFB87"/>
    <w:multiLevelType w:val="hybridMultilevel"/>
    <w:tmpl w:val="00000000"/>
    <w:lvl w:ilvl="0">
      <w:start w:val="1"/>
      <w:numFmt w:val="decimal"/>
      <w:lvlText w:val="（%1）"/>
      <w:lvlJc w:val="left"/>
      <w:pPr>
        <w:ind w:left="1379" w:hanging="701"/>
        <w:jc w:val="left"/>
      </w:pPr>
      <w:rPr>
        <w:rFonts w:ascii="新宋体" w:eastAsia="新宋体" w:hAnsi="新宋体" w:cs="新宋体" w:hint="default"/>
        <w:b w:val="0"/>
        <w:bCs w:val="0"/>
        <w:i w:val="0"/>
        <w:iCs w:val="0"/>
        <w:spacing w:val="-140"/>
        <w:w w:val="100"/>
        <w:sz w:val="26"/>
        <w:szCs w:val="26"/>
        <w:lang w:val="en-US" w:eastAsia="zh-CN" w:bidi="ar-SA"/>
      </w:rPr>
    </w:lvl>
    <w:lvl w:ilvl="1">
      <w:start w:val="0"/>
      <w:numFmt w:val="bullet"/>
      <w:lvlText w:val="•"/>
      <w:lvlJc w:val="left"/>
      <w:pPr>
        <w:ind w:left="2242" w:hanging="701"/>
      </w:pPr>
      <w:rPr>
        <w:rFonts w:hint="default"/>
        <w:lang w:val="en-US" w:eastAsia="zh-CN" w:bidi="ar-SA"/>
      </w:rPr>
    </w:lvl>
    <w:lvl w:ilvl="2">
      <w:start w:val="0"/>
      <w:numFmt w:val="bullet"/>
      <w:lvlText w:val="•"/>
      <w:lvlJc w:val="left"/>
      <w:pPr>
        <w:ind w:left="3105" w:hanging="701"/>
      </w:pPr>
      <w:rPr>
        <w:rFonts w:hint="default"/>
        <w:lang w:val="en-US" w:eastAsia="zh-CN" w:bidi="ar-SA"/>
      </w:rPr>
    </w:lvl>
    <w:lvl w:ilvl="3">
      <w:start w:val="0"/>
      <w:numFmt w:val="bullet"/>
      <w:lvlText w:val="•"/>
      <w:lvlJc w:val="left"/>
      <w:pPr>
        <w:ind w:left="3967" w:hanging="701"/>
      </w:pPr>
      <w:rPr>
        <w:rFonts w:hint="default"/>
        <w:lang w:val="en-US" w:eastAsia="zh-CN" w:bidi="ar-SA"/>
      </w:rPr>
    </w:lvl>
    <w:lvl w:ilvl="4">
      <w:start w:val="0"/>
      <w:numFmt w:val="bullet"/>
      <w:lvlText w:val="•"/>
      <w:lvlJc w:val="left"/>
      <w:pPr>
        <w:ind w:left="4830" w:hanging="701"/>
      </w:pPr>
      <w:rPr>
        <w:rFonts w:hint="default"/>
        <w:lang w:val="en-US" w:eastAsia="zh-CN" w:bidi="ar-SA"/>
      </w:rPr>
    </w:lvl>
    <w:lvl w:ilvl="5">
      <w:start w:val="0"/>
      <w:numFmt w:val="bullet"/>
      <w:lvlText w:val="•"/>
      <w:lvlJc w:val="left"/>
      <w:pPr>
        <w:ind w:left="5693" w:hanging="701"/>
      </w:pPr>
      <w:rPr>
        <w:rFonts w:hint="default"/>
        <w:lang w:val="en-US" w:eastAsia="zh-CN" w:bidi="ar-SA"/>
      </w:rPr>
    </w:lvl>
    <w:lvl w:ilvl="6">
      <w:start w:val="0"/>
      <w:numFmt w:val="bullet"/>
      <w:lvlText w:val="•"/>
      <w:lvlJc w:val="left"/>
      <w:pPr>
        <w:ind w:left="6555" w:hanging="701"/>
      </w:pPr>
      <w:rPr>
        <w:rFonts w:hint="default"/>
        <w:lang w:val="en-US" w:eastAsia="zh-CN" w:bidi="ar-SA"/>
      </w:rPr>
    </w:lvl>
    <w:lvl w:ilvl="7">
      <w:start w:val="0"/>
      <w:numFmt w:val="bullet"/>
      <w:lvlText w:val="•"/>
      <w:lvlJc w:val="left"/>
      <w:pPr>
        <w:ind w:left="7418" w:hanging="701"/>
      </w:pPr>
      <w:rPr>
        <w:rFonts w:hint="default"/>
        <w:lang w:val="en-US" w:eastAsia="zh-CN" w:bidi="ar-SA"/>
      </w:rPr>
    </w:lvl>
    <w:lvl w:ilvl="8">
      <w:start w:val="0"/>
      <w:numFmt w:val="bullet"/>
      <w:lvlText w:val="•"/>
      <w:lvlJc w:val="left"/>
      <w:pPr>
        <w:ind w:left="8280" w:hanging="701"/>
      </w:pPr>
      <w:rPr>
        <w:rFonts w:hint="default"/>
        <w:lang w:val="en-US" w:eastAsia="zh-CN" w:bidi="ar-SA"/>
      </w:rPr>
    </w:lvl>
  </w:abstractNum>
  <w:abstractNum w:abstractNumId="1">
    <w:nsid w:val="02831DFF"/>
    <w:multiLevelType w:val="hybridMultilevel"/>
    <w:tmpl w:val="00000000"/>
    <w:lvl w:ilvl="0">
      <w:start w:val="0"/>
      <w:numFmt w:val="bullet"/>
      <w:lvlText w:val="●"/>
      <w:lvlJc w:val="left"/>
      <w:pPr>
        <w:ind w:left="118" w:hanging="284"/>
      </w:pPr>
      <w:rPr>
        <w:rFonts w:ascii="新宋体" w:eastAsia="新宋体" w:hAnsi="新宋体" w:cs="新宋体" w:hint="default"/>
        <w:b w:val="0"/>
        <w:bCs w:val="0"/>
        <w:i w:val="0"/>
        <w:iCs w:val="0"/>
        <w:spacing w:val="3"/>
        <w:w w:val="100"/>
        <w:sz w:val="26"/>
        <w:szCs w:val="26"/>
        <w:lang w:val="en-US" w:eastAsia="zh-CN" w:bidi="ar-SA"/>
      </w:rPr>
    </w:lvl>
    <w:lvl w:ilvl="1">
      <w:start w:val="0"/>
      <w:numFmt w:val="bullet"/>
      <w:lvlText w:val="•"/>
      <w:lvlJc w:val="left"/>
      <w:pPr>
        <w:ind w:left="1108" w:hanging="284"/>
      </w:pPr>
      <w:rPr>
        <w:rFonts w:hint="default"/>
        <w:lang w:val="en-US" w:eastAsia="zh-CN" w:bidi="ar-SA"/>
      </w:rPr>
    </w:lvl>
    <w:lvl w:ilvl="2">
      <w:start w:val="0"/>
      <w:numFmt w:val="bullet"/>
      <w:lvlText w:val="•"/>
      <w:lvlJc w:val="left"/>
      <w:pPr>
        <w:ind w:left="2097" w:hanging="284"/>
      </w:pPr>
      <w:rPr>
        <w:rFonts w:hint="default"/>
        <w:lang w:val="en-US" w:eastAsia="zh-CN" w:bidi="ar-SA"/>
      </w:rPr>
    </w:lvl>
    <w:lvl w:ilvl="3">
      <w:start w:val="0"/>
      <w:numFmt w:val="bullet"/>
      <w:lvlText w:val="•"/>
      <w:lvlJc w:val="left"/>
      <w:pPr>
        <w:ind w:left="3085" w:hanging="284"/>
      </w:pPr>
      <w:rPr>
        <w:rFonts w:hint="default"/>
        <w:lang w:val="en-US" w:eastAsia="zh-CN" w:bidi="ar-SA"/>
      </w:rPr>
    </w:lvl>
    <w:lvl w:ilvl="4">
      <w:start w:val="0"/>
      <w:numFmt w:val="bullet"/>
      <w:lvlText w:val="•"/>
      <w:lvlJc w:val="left"/>
      <w:pPr>
        <w:ind w:left="4074" w:hanging="284"/>
      </w:pPr>
      <w:rPr>
        <w:rFonts w:hint="default"/>
        <w:lang w:val="en-US" w:eastAsia="zh-CN" w:bidi="ar-SA"/>
      </w:rPr>
    </w:lvl>
    <w:lvl w:ilvl="5">
      <w:start w:val="0"/>
      <w:numFmt w:val="bullet"/>
      <w:lvlText w:val="•"/>
      <w:lvlJc w:val="left"/>
      <w:pPr>
        <w:ind w:left="5063" w:hanging="284"/>
      </w:pPr>
      <w:rPr>
        <w:rFonts w:hint="default"/>
        <w:lang w:val="en-US" w:eastAsia="zh-CN" w:bidi="ar-SA"/>
      </w:rPr>
    </w:lvl>
    <w:lvl w:ilvl="6">
      <w:start w:val="0"/>
      <w:numFmt w:val="bullet"/>
      <w:lvlText w:val="•"/>
      <w:lvlJc w:val="left"/>
      <w:pPr>
        <w:ind w:left="6051" w:hanging="284"/>
      </w:pPr>
      <w:rPr>
        <w:rFonts w:hint="default"/>
        <w:lang w:val="en-US" w:eastAsia="zh-CN" w:bidi="ar-SA"/>
      </w:rPr>
    </w:lvl>
    <w:lvl w:ilvl="7">
      <w:start w:val="0"/>
      <w:numFmt w:val="bullet"/>
      <w:lvlText w:val="•"/>
      <w:lvlJc w:val="left"/>
      <w:pPr>
        <w:ind w:left="7040" w:hanging="284"/>
      </w:pPr>
      <w:rPr>
        <w:rFonts w:hint="default"/>
        <w:lang w:val="en-US" w:eastAsia="zh-CN" w:bidi="ar-SA"/>
      </w:rPr>
    </w:lvl>
    <w:lvl w:ilvl="8">
      <w:start w:val="0"/>
      <w:numFmt w:val="bullet"/>
      <w:lvlText w:val="•"/>
      <w:lvlJc w:val="left"/>
      <w:pPr>
        <w:ind w:left="8028" w:hanging="284"/>
      </w:pPr>
      <w:rPr>
        <w:rFonts w:hint="default"/>
        <w:lang w:val="en-US" w:eastAsia="zh-CN" w:bidi="ar-SA"/>
      </w:rPr>
    </w:lvl>
  </w:abstractNum>
  <w:abstractNum w:abstractNumId="2">
    <w:nsid w:val="0B9EE3EF"/>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3">
    <w:nsid w:val="0F32FD62"/>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4">
    <w:nsid w:val="16061A81"/>
    <w:multiLevelType w:val="hybridMultilevel"/>
    <w:tmpl w:val="00000000"/>
    <w:lvl w:ilvl="0">
      <w:start w:val="5"/>
      <w:numFmt w:val="decimal"/>
      <w:lvlText w:val="%1）"/>
      <w:lvlJc w:val="left"/>
      <w:pPr>
        <w:ind w:left="1099" w:hanging="42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990" w:hanging="421"/>
      </w:pPr>
      <w:rPr>
        <w:rFonts w:hint="default"/>
        <w:lang w:val="en-US" w:eastAsia="zh-CN" w:bidi="ar-SA"/>
      </w:rPr>
    </w:lvl>
    <w:lvl w:ilvl="2">
      <w:start w:val="0"/>
      <w:numFmt w:val="bullet"/>
      <w:lvlText w:val="•"/>
      <w:lvlJc w:val="left"/>
      <w:pPr>
        <w:ind w:left="2881" w:hanging="421"/>
      </w:pPr>
      <w:rPr>
        <w:rFonts w:hint="default"/>
        <w:lang w:val="en-US" w:eastAsia="zh-CN" w:bidi="ar-SA"/>
      </w:rPr>
    </w:lvl>
    <w:lvl w:ilvl="3">
      <w:start w:val="0"/>
      <w:numFmt w:val="bullet"/>
      <w:lvlText w:val="•"/>
      <w:lvlJc w:val="left"/>
      <w:pPr>
        <w:ind w:left="3771" w:hanging="421"/>
      </w:pPr>
      <w:rPr>
        <w:rFonts w:hint="default"/>
        <w:lang w:val="en-US" w:eastAsia="zh-CN" w:bidi="ar-SA"/>
      </w:rPr>
    </w:lvl>
    <w:lvl w:ilvl="4">
      <w:start w:val="0"/>
      <w:numFmt w:val="bullet"/>
      <w:lvlText w:val="•"/>
      <w:lvlJc w:val="left"/>
      <w:pPr>
        <w:ind w:left="4662" w:hanging="421"/>
      </w:pPr>
      <w:rPr>
        <w:rFonts w:hint="default"/>
        <w:lang w:val="en-US" w:eastAsia="zh-CN" w:bidi="ar-SA"/>
      </w:rPr>
    </w:lvl>
    <w:lvl w:ilvl="5">
      <w:start w:val="0"/>
      <w:numFmt w:val="bullet"/>
      <w:lvlText w:val="•"/>
      <w:lvlJc w:val="left"/>
      <w:pPr>
        <w:ind w:left="5553" w:hanging="421"/>
      </w:pPr>
      <w:rPr>
        <w:rFonts w:hint="default"/>
        <w:lang w:val="en-US" w:eastAsia="zh-CN" w:bidi="ar-SA"/>
      </w:rPr>
    </w:lvl>
    <w:lvl w:ilvl="6">
      <w:start w:val="0"/>
      <w:numFmt w:val="bullet"/>
      <w:lvlText w:val="•"/>
      <w:lvlJc w:val="left"/>
      <w:pPr>
        <w:ind w:left="6443" w:hanging="421"/>
      </w:pPr>
      <w:rPr>
        <w:rFonts w:hint="default"/>
        <w:lang w:val="en-US" w:eastAsia="zh-CN" w:bidi="ar-SA"/>
      </w:rPr>
    </w:lvl>
    <w:lvl w:ilvl="7">
      <w:start w:val="0"/>
      <w:numFmt w:val="bullet"/>
      <w:lvlText w:val="•"/>
      <w:lvlJc w:val="left"/>
      <w:pPr>
        <w:ind w:left="7334" w:hanging="421"/>
      </w:pPr>
      <w:rPr>
        <w:rFonts w:hint="default"/>
        <w:lang w:val="en-US" w:eastAsia="zh-CN" w:bidi="ar-SA"/>
      </w:rPr>
    </w:lvl>
    <w:lvl w:ilvl="8">
      <w:start w:val="0"/>
      <w:numFmt w:val="bullet"/>
      <w:lvlText w:val="•"/>
      <w:lvlJc w:val="left"/>
      <w:pPr>
        <w:ind w:left="8224" w:hanging="421"/>
      </w:pPr>
      <w:rPr>
        <w:rFonts w:hint="default"/>
        <w:lang w:val="en-US" w:eastAsia="zh-CN" w:bidi="ar-SA"/>
      </w:rPr>
    </w:lvl>
  </w:abstractNum>
  <w:abstractNum w:abstractNumId="5">
    <w:nsid w:val="1D96CDF0"/>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6">
    <w:nsid w:val="20C7F900"/>
    <w:multiLevelType w:val="hybridMultilevel"/>
    <w:tmpl w:val="00000000"/>
    <w:lvl w:ilvl="0">
      <w:start w:val="4"/>
      <w:numFmt w:val="lowerLetter"/>
      <w:lvlText w:val="%1."/>
      <w:lvlJc w:val="left"/>
      <w:pPr>
        <w:ind w:left="959" w:hanging="281"/>
        <w:jc w:val="right"/>
      </w:pPr>
      <w:rPr>
        <w:rFonts w:ascii="新宋体" w:eastAsia="新宋体" w:hAnsi="新宋体" w:cs="新宋体" w:hint="default"/>
        <w:b w:val="0"/>
        <w:bCs w:val="0"/>
        <w:i w:val="0"/>
        <w:iCs w:val="0"/>
        <w:w w:val="100"/>
        <w:sz w:val="26"/>
        <w:szCs w:val="26"/>
        <w:lang w:val="en-US" w:eastAsia="zh-CN" w:bidi="ar-SA"/>
      </w:rPr>
    </w:lvl>
    <w:lvl w:ilvl="1">
      <w:start w:val="1"/>
      <w:numFmt w:val="decimal"/>
      <w:lvlText w:val="（%2）"/>
      <w:lvlJc w:val="left"/>
      <w:pPr>
        <w:ind w:left="1379" w:hanging="701"/>
        <w:jc w:val="left"/>
      </w:pPr>
      <w:rPr>
        <w:rFonts w:ascii="新宋体" w:eastAsia="新宋体" w:hAnsi="新宋体" w:cs="新宋体" w:hint="default"/>
        <w:b w:val="0"/>
        <w:bCs w:val="0"/>
        <w:i w:val="0"/>
        <w:iCs w:val="0"/>
        <w:spacing w:val="-25"/>
        <w:w w:val="100"/>
        <w:sz w:val="26"/>
        <w:szCs w:val="26"/>
        <w:lang w:val="en-US" w:eastAsia="zh-CN" w:bidi="ar-SA"/>
      </w:rPr>
    </w:lvl>
    <w:lvl w:ilvl="2">
      <w:start w:val="0"/>
      <w:numFmt w:val="bullet"/>
      <w:lvlText w:val="•"/>
      <w:lvlJc w:val="left"/>
      <w:pPr>
        <w:ind w:left="2338" w:hanging="701"/>
      </w:pPr>
      <w:rPr>
        <w:rFonts w:hint="default"/>
        <w:lang w:val="en-US" w:eastAsia="zh-CN" w:bidi="ar-SA"/>
      </w:rPr>
    </w:lvl>
    <w:lvl w:ilvl="3">
      <w:start w:val="0"/>
      <w:numFmt w:val="bullet"/>
      <w:lvlText w:val="•"/>
      <w:lvlJc w:val="left"/>
      <w:pPr>
        <w:ind w:left="3296" w:hanging="701"/>
      </w:pPr>
      <w:rPr>
        <w:rFonts w:hint="default"/>
        <w:lang w:val="en-US" w:eastAsia="zh-CN" w:bidi="ar-SA"/>
      </w:rPr>
    </w:lvl>
    <w:lvl w:ilvl="4">
      <w:start w:val="0"/>
      <w:numFmt w:val="bullet"/>
      <w:lvlText w:val="•"/>
      <w:lvlJc w:val="left"/>
      <w:pPr>
        <w:ind w:left="4255" w:hanging="701"/>
      </w:pPr>
      <w:rPr>
        <w:rFonts w:hint="default"/>
        <w:lang w:val="en-US" w:eastAsia="zh-CN" w:bidi="ar-SA"/>
      </w:rPr>
    </w:lvl>
    <w:lvl w:ilvl="5">
      <w:start w:val="0"/>
      <w:numFmt w:val="bullet"/>
      <w:lvlText w:val="•"/>
      <w:lvlJc w:val="left"/>
      <w:pPr>
        <w:ind w:left="5213" w:hanging="701"/>
      </w:pPr>
      <w:rPr>
        <w:rFonts w:hint="default"/>
        <w:lang w:val="en-US" w:eastAsia="zh-CN" w:bidi="ar-SA"/>
      </w:rPr>
    </w:lvl>
    <w:lvl w:ilvl="6">
      <w:start w:val="0"/>
      <w:numFmt w:val="bullet"/>
      <w:lvlText w:val="•"/>
      <w:lvlJc w:val="left"/>
      <w:pPr>
        <w:ind w:left="6172" w:hanging="701"/>
      </w:pPr>
      <w:rPr>
        <w:rFonts w:hint="default"/>
        <w:lang w:val="en-US" w:eastAsia="zh-CN" w:bidi="ar-SA"/>
      </w:rPr>
    </w:lvl>
    <w:lvl w:ilvl="7">
      <w:start w:val="0"/>
      <w:numFmt w:val="bullet"/>
      <w:lvlText w:val="•"/>
      <w:lvlJc w:val="left"/>
      <w:pPr>
        <w:ind w:left="7130" w:hanging="701"/>
      </w:pPr>
      <w:rPr>
        <w:rFonts w:hint="default"/>
        <w:lang w:val="en-US" w:eastAsia="zh-CN" w:bidi="ar-SA"/>
      </w:rPr>
    </w:lvl>
    <w:lvl w:ilvl="8">
      <w:start w:val="0"/>
      <w:numFmt w:val="bullet"/>
      <w:lvlText w:val="•"/>
      <w:lvlJc w:val="left"/>
      <w:pPr>
        <w:ind w:left="8089" w:hanging="701"/>
      </w:pPr>
      <w:rPr>
        <w:rFonts w:hint="default"/>
        <w:lang w:val="en-US" w:eastAsia="zh-CN" w:bidi="ar-SA"/>
      </w:rPr>
    </w:lvl>
  </w:abstractNum>
  <w:abstractNum w:abstractNumId="7">
    <w:nsid w:val="26A3FF28"/>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8">
    <w:nsid w:val="29746AAD"/>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9">
    <w:nsid w:val="313DB2A7"/>
    <w:multiLevelType w:val="hybridMultilevel"/>
    <w:tmpl w:val="00000000"/>
    <w:lvl w:ilvl="0">
      <w:start w:val="4"/>
      <w:numFmt w:val="lowerLetter"/>
      <w:lvlText w:val="%1."/>
      <w:lvlJc w:val="left"/>
      <w:pPr>
        <w:ind w:left="959" w:hanging="281"/>
        <w:jc w:val="right"/>
      </w:pPr>
      <w:rPr>
        <w:rFonts w:ascii="新宋体" w:eastAsia="新宋体" w:hAnsi="新宋体" w:cs="新宋体" w:hint="default"/>
        <w:b w:val="0"/>
        <w:bCs w:val="0"/>
        <w:i w:val="0"/>
        <w:iCs w:val="0"/>
        <w:w w:val="100"/>
        <w:sz w:val="26"/>
        <w:szCs w:val="26"/>
        <w:lang w:val="en-US" w:eastAsia="zh-CN" w:bidi="ar-SA"/>
      </w:rPr>
    </w:lvl>
    <w:lvl w:ilvl="1">
      <w:start w:val="1"/>
      <w:numFmt w:val="decimal"/>
      <w:lvlText w:val="（%2）"/>
      <w:lvlJc w:val="left"/>
      <w:pPr>
        <w:ind w:left="1379" w:hanging="701"/>
        <w:jc w:val="left"/>
      </w:pPr>
      <w:rPr>
        <w:rFonts w:ascii="新宋体" w:eastAsia="新宋体" w:hAnsi="新宋体" w:cs="新宋体" w:hint="default"/>
        <w:b w:val="0"/>
        <w:bCs w:val="0"/>
        <w:i w:val="0"/>
        <w:iCs w:val="0"/>
        <w:spacing w:val="-25"/>
        <w:w w:val="100"/>
        <w:sz w:val="26"/>
        <w:szCs w:val="26"/>
        <w:lang w:val="en-US" w:eastAsia="zh-CN" w:bidi="ar-SA"/>
      </w:rPr>
    </w:lvl>
    <w:lvl w:ilvl="2">
      <w:start w:val="0"/>
      <w:numFmt w:val="bullet"/>
      <w:lvlText w:val="•"/>
      <w:lvlJc w:val="left"/>
      <w:pPr>
        <w:ind w:left="2338" w:hanging="701"/>
      </w:pPr>
      <w:rPr>
        <w:rFonts w:hint="default"/>
        <w:lang w:val="en-US" w:eastAsia="zh-CN" w:bidi="ar-SA"/>
      </w:rPr>
    </w:lvl>
    <w:lvl w:ilvl="3">
      <w:start w:val="0"/>
      <w:numFmt w:val="bullet"/>
      <w:lvlText w:val="•"/>
      <w:lvlJc w:val="left"/>
      <w:pPr>
        <w:ind w:left="3296" w:hanging="701"/>
      </w:pPr>
      <w:rPr>
        <w:rFonts w:hint="default"/>
        <w:lang w:val="en-US" w:eastAsia="zh-CN" w:bidi="ar-SA"/>
      </w:rPr>
    </w:lvl>
    <w:lvl w:ilvl="4">
      <w:start w:val="0"/>
      <w:numFmt w:val="bullet"/>
      <w:lvlText w:val="•"/>
      <w:lvlJc w:val="left"/>
      <w:pPr>
        <w:ind w:left="4255" w:hanging="701"/>
      </w:pPr>
      <w:rPr>
        <w:rFonts w:hint="default"/>
        <w:lang w:val="en-US" w:eastAsia="zh-CN" w:bidi="ar-SA"/>
      </w:rPr>
    </w:lvl>
    <w:lvl w:ilvl="5">
      <w:start w:val="0"/>
      <w:numFmt w:val="bullet"/>
      <w:lvlText w:val="•"/>
      <w:lvlJc w:val="left"/>
      <w:pPr>
        <w:ind w:left="5213" w:hanging="701"/>
      </w:pPr>
      <w:rPr>
        <w:rFonts w:hint="default"/>
        <w:lang w:val="en-US" w:eastAsia="zh-CN" w:bidi="ar-SA"/>
      </w:rPr>
    </w:lvl>
    <w:lvl w:ilvl="6">
      <w:start w:val="0"/>
      <w:numFmt w:val="bullet"/>
      <w:lvlText w:val="•"/>
      <w:lvlJc w:val="left"/>
      <w:pPr>
        <w:ind w:left="6172" w:hanging="701"/>
      </w:pPr>
      <w:rPr>
        <w:rFonts w:hint="default"/>
        <w:lang w:val="en-US" w:eastAsia="zh-CN" w:bidi="ar-SA"/>
      </w:rPr>
    </w:lvl>
    <w:lvl w:ilvl="7">
      <w:start w:val="0"/>
      <w:numFmt w:val="bullet"/>
      <w:lvlText w:val="•"/>
      <w:lvlJc w:val="left"/>
      <w:pPr>
        <w:ind w:left="7130" w:hanging="701"/>
      </w:pPr>
      <w:rPr>
        <w:rFonts w:hint="default"/>
        <w:lang w:val="en-US" w:eastAsia="zh-CN" w:bidi="ar-SA"/>
      </w:rPr>
    </w:lvl>
    <w:lvl w:ilvl="8">
      <w:start w:val="0"/>
      <w:numFmt w:val="bullet"/>
      <w:lvlText w:val="•"/>
      <w:lvlJc w:val="left"/>
      <w:pPr>
        <w:ind w:left="8089" w:hanging="701"/>
      </w:pPr>
      <w:rPr>
        <w:rFonts w:hint="default"/>
        <w:lang w:val="en-US" w:eastAsia="zh-CN" w:bidi="ar-SA"/>
      </w:rPr>
    </w:lvl>
  </w:abstractNum>
  <w:abstractNum w:abstractNumId="10">
    <w:nsid w:val="34781212"/>
    <w:multiLevelType w:val="hybridMultilevel"/>
    <w:tmpl w:val="00000000"/>
    <w:lvl w:ilvl="0">
      <w:start w:val="1"/>
      <w:numFmt w:val="decimal"/>
      <w:lvlText w:val="%1）"/>
      <w:lvlJc w:val="left"/>
      <w:pPr>
        <w:ind w:left="118" w:hanging="421"/>
        <w:jc w:val="left"/>
      </w:pPr>
      <w:rPr>
        <w:rFonts w:ascii="新宋体" w:eastAsia="新宋体" w:hAnsi="新宋体" w:cs="新宋体" w:hint="default"/>
        <w:b w:val="0"/>
        <w:bCs w:val="0"/>
        <w:i w:val="0"/>
        <w:iCs w:val="0"/>
        <w:spacing w:val="-7"/>
        <w:w w:val="100"/>
        <w:sz w:val="26"/>
        <w:szCs w:val="26"/>
        <w:lang w:val="en-US" w:eastAsia="zh-CN" w:bidi="ar-SA"/>
      </w:rPr>
    </w:lvl>
    <w:lvl w:ilvl="1">
      <w:start w:val="0"/>
      <w:numFmt w:val="bullet"/>
      <w:lvlText w:val="•"/>
      <w:lvlJc w:val="left"/>
      <w:pPr>
        <w:ind w:left="1108" w:hanging="421"/>
      </w:pPr>
      <w:rPr>
        <w:rFonts w:hint="default"/>
        <w:lang w:val="en-US" w:eastAsia="zh-CN" w:bidi="ar-SA"/>
      </w:rPr>
    </w:lvl>
    <w:lvl w:ilvl="2">
      <w:start w:val="0"/>
      <w:numFmt w:val="bullet"/>
      <w:lvlText w:val="•"/>
      <w:lvlJc w:val="left"/>
      <w:pPr>
        <w:ind w:left="2097" w:hanging="421"/>
      </w:pPr>
      <w:rPr>
        <w:rFonts w:hint="default"/>
        <w:lang w:val="en-US" w:eastAsia="zh-CN" w:bidi="ar-SA"/>
      </w:rPr>
    </w:lvl>
    <w:lvl w:ilvl="3">
      <w:start w:val="0"/>
      <w:numFmt w:val="bullet"/>
      <w:lvlText w:val="•"/>
      <w:lvlJc w:val="left"/>
      <w:pPr>
        <w:ind w:left="3085" w:hanging="421"/>
      </w:pPr>
      <w:rPr>
        <w:rFonts w:hint="default"/>
        <w:lang w:val="en-US" w:eastAsia="zh-CN" w:bidi="ar-SA"/>
      </w:rPr>
    </w:lvl>
    <w:lvl w:ilvl="4">
      <w:start w:val="0"/>
      <w:numFmt w:val="bullet"/>
      <w:lvlText w:val="•"/>
      <w:lvlJc w:val="left"/>
      <w:pPr>
        <w:ind w:left="4074" w:hanging="421"/>
      </w:pPr>
      <w:rPr>
        <w:rFonts w:hint="default"/>
        <w:lang w:val="en-US" w:eastAsia="zh-CN" w:bidi="ar-SA"/>
      </w:rPr>
    </w:lvl>
    <w:lvl w:ilvl="5">
      <w:start w:val="0"/>
      <w:numFmt w:val="bullet"/>
      <w:lvlText w:val="•"/>
      <w:lvlJc w:val="left"/>
      <w:pPr>
        <w:ind w:left="5063" w:hanging="421"/>
      </w:pPr>
      <w:rPr>
        <w:rFonts w:hint="default"/>
        <w:lang w:val="en-US" w:eastAsia="zh-CN" w:bidi="ar-SA"/>
      </w:rPr>
    </w:lvl>
    <w:lvl w:ilvl="6">
      <w:start w:val="0"/>
      <w:numFmt w:val="bullet"/>
      <w:lvlText w:val="•"/>
      <w:lvlJc w:val="left"/>
      <w:pPr>
        <w:ind w:left="6051" w:hanging="421"/>
      </w:pPr>
      <w:rPr>
        <w:rFonts w:hint="default"/>
        <w:lang w:val="en-US" w:eastAsia="zh-CN" w:bidi="ar-SA"/>
      </w:rPr>
    </w:lvl>
    <w:lvl w:ilvl="7">
      <w:start w:val="0"/>
      <w:numFmt w:val="bullet"/>
      <w:lvlText w:val="•"/>
      <w:lvlJc w:val="left"/>
      <w:pPr>
        <w:ind w:left="7040" w:hanging="421"/>
      </w:pPr>
      <w:rPr>
        <w:rFonts w:hint="default"/>
        <w:lang w:val="en-US" w:eastAsia="zh-CN" w:bidi="ar-SA"/>
      </w:rPr>
    </w:lvl>
    <w:lvl w:ilvl="8">
      <w:start w:val="0"/>
      <w:numFmt w:val="bullet"/>
      <w:lvlText w:val="•"/>
      <w:lvlJc w:val="left"/>
      <w:pPr>
        <w:ind w:left="8028" w:hanging="421"/>
      </w:pPr>
      <w:rPr>
        <w:rFonts w:hint="default"/>
        <w:lang w:val="en-US" w:eastAsia="zh-CN" w:bidi="ar-SA"/>
      </w:rPr>
    </w:lvl>
  </w:abstractNum>
  <w:abstractNum w:abstractNumId="11">
    <w:nsid w:val="3B0C702C"/>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12">
    <w:nsid w:val="3D02D9BB"/>
    <w:multiLevelType w:val="hybridMultilevel"/>
    <w:tmpl w:val="00000000"/>
    <w:lvl w:ilvl="0">
      <w:start w:val="1"/>
      <w:numFmt w:val="decimal"/>
      <w:lvlText w:val="%1."/>
      <w:lvlJc w:val="left"/>
      <w:pPr>
        <w:ind w:left="959" w:hanging="281"/>
        <w:jc w:val="left"/>
      </w:pPr>
      <w:rPr>
        <w:rFonts w:ascii="新宋体" w:eastAsia="新宋体" w:hAnsi="新宋体" w:cs="新宋体" w:hint="default"/>
        <w:b w:val="0"/>
        <w:bCs w:val="0"/>
        <w:i w:val="0"/>
        <w:iCs w:val="0"/>
        <w:w w:val="100"/>
        <w:sz w:val="26"/>
        <w:szCs w:val="26"/>
        <w:lang w:val="en-US" w:eastAsia="zh-CN" w:bidi="ar-SA"/>
      </w:rPr>
    </w:lvl>
    <w:lvl w:ilvl="1">
      <w:start w:val="1"/>
      <w:numFmt w:val="decimal"/>
      <w:lvlText w:val="%1.%2"/>
      <w:lvlJc w:val="left"/>
      <w:pPr>
        <w:ind w:left="1168" w:hanging="490"/>
        <w:jc w:val="left"/>
      </w:pPr>
      <w:rPr>
        <w:rFonts w:ascii="新宋体" w:eastAsia="新宋体" w:hAnsi="新宋体" w:cs="新宋体" w:hint="default"/>
        <w:b w:val="0"/>
        <w:bCs w:val="0"/>
        <w:i w:val="0"/>
        <w:iCs w:val="0"/>
        <w:w w:val="100"/>
        <w:sz w:val="28"/>
        <w:szCs w:val="28"/>
        <w:lang w:val="en-US" w:eastAsia="zh-CN" w:bidi="ar-SA"/>
      </w:rPr>
    </w:lvl>
    <w:lvl w:ilvl="2">
      <w:start w:val="0"/>
      <w:numFmt w:val="bullet"/>
      <w:lvlText w:val="•"/>
      <w:lvlJc w:val="left"/>
      <w:pPr>
        <w:ind w:left="2142" w:hanging="490"/>
      </w:pPr>
      <w:rPr>
        <w:rFonts w:hint="default"/>
        <w:lang w:val="en-US" w:eastAsia="zh-CN" w:bidi="ar-SA"/>
      </w:rPr>
    </w:lvl>
    <w:lvl w:ilvl="3">
      <w:start w:val="0"/>
      <w:numFmt w:val="bullet"/>
      <w:lvlText w:val="•"/>
      <w:lvlJc w:val="left"/>
      <w:pPr>
        <w:ind w:left="3125" w:hanging="490"/>
      </w:pPr>
      <w:rPr>
        <w:rFonts w:hint="default"/>
        <w:lang w:val="en-US" w:eastAsia="zh-CN" w:bidi="ar-SA"/>
      </w:rPr>
    </w:lvl>
    <w:lvl w:ilvl="4">
      <w:start w:val="0"/>
      <w:numFmt w:val="bullet"/>
      <w:lvlText w:val="•"/>
      <w:lvlJc w:val="left"/>
      <w:pPr>
        <w:ind w:left="4108" w:hanging="490"/>
      </w:pPr>
      <w:rPr>
        <w:rFonts w:hint="default"/>
        <w:lang w:val="en-US" w:eastAsia="zh-CN" w:bidi="ar-SA"/>
      </w:rPr>
    </w:lvl>
    <w:lvl w:ilvl="5">
      <w:start w:val="0"/>
      <w:numFmt w:val="bullet"/>
      <w:lvlText w:val="•"/>
      <w:lvlJc w:val="left"/>
      <w:pPr>
        <w:ind w:left="5091" w:hanging="490"/>
      </w:pPr>
      <w:rPr>
        <w:rFonts w:hint="default"/>
        <w:lang w:val="en-US" w:eastAsia="zh-CN" w:bidi="ar-SA"/>
      </w:rPr>
    </w:lvl>
    <w:lvl w:ilvl="6">
      <w:start w:val="0"/>
      <w:numFmt w:val="bullet"/>
      <w:lvlText w:val="•"/>
      <w:lvlJc w:val="left"/>
      <w:pPr>
        <w:ind w:left="6074" w:hanging="490"/>
      </w:pPr>
      <w:rPr>
        <w:rFonts w:hint="default"/>
        <w:lang w:val="en-US" w:eastAsia="zh-CN" w:bidi="ar-SA"/>
      </w:rPr>
    </w:lvl>
    <w:lvl w:ilvl="7">
      <w:start w:val="0"/>
      <w:numFmt w:val="bullet"/>
      <w:lvlText w:val="•"/>
      <w:lvlJc w:val="left"/>
      <w:pPr>
        <w:ind w:left="7057" w:hanging="490"/>
      </w:pPr>
      <w:rPr>
        <w:rFonts w:hint="default"/>
        <w:lang w:val="en-US" w:eastAsia="zh-CN" w:bidi="ar-SA"/>
      </w:rPr>
    </w:lvl>
    <w:lvl w:ilvl="8">
      <w:start w:val="0"/>
      <w:numFmt w:val="bullet"/>
      <w:lvlText w:val="•"/>
      <w:lvlJc w:val="left"/>
      <w:pPr>
        <w:ind w:left="8040" w:hanging="490"/>
      </w:pPr>
      <w:rPr>
        <w:rFonts w:hint="default"/>
        <w:lang w:val="en-US" w:eastAsia="zh-CN" w:bidi="ar-SA"/>
      </w:rPr>
    </w:lvl>
  </w:abstractNum>
  <w:abstractNum w:abstractNumId="13">
    <w:nsid w:val="43FDAE10"/>
    <w:multiLevelType w:val="hybridMultilevel"/>
    <w:tmpl w:val="00000000"/>
    <w:lvl w:ilvl="0">
      <w:start w:val="1"/>
      <w:numFmt w:val="decimal"/>
      <w:lvlText w:val="（%1）"/>
      <w:lvlJc w:val="left"/>
      <w:pPr>
        <w:ind w:left="1379" w:hanging="701"/>
        <w:jc w:val="left"/>
      </w:pPr>
      <w:rPr>
        <w:rFonts w:ascii="新宋体" w:eastAsia="新宋体" w:hAnsi="新宋体" w:cs="新宋体" w:hint="default"/>
        <w:b w:val="0"/>
        <w:bCs w:val="0"/>
        <w:i w:val="0"/>
        <w:iCs w:val="0"/>
        <w:spacing w:val="-140"/>
        <w:w w:val="100"/>
        <w:sz w:val="26"/>
        <w:szCs w:val="26"/>
        <w:lang w:val="en-US" w:eastAsia="zh-CN" w:bidi="ar-SA"/>
      </w:rPr>
    </w:lvl>
    <w:lvl w:ilvl="1">
      <w:start w:val="0"/>
      <w:numFmt w:val="bullet"/>
      <w:lvlText w:val="•"/>
      <w:lvlJc w:val="left"/>
      <w:pPr>
        <w:ind w:left="2242" w:hanging="701"/>
      </w:pPr>
      <w:rPr>
        <w:rFonts w:hint="default"/>
        <w:lang w:val="en-US" w:eastAsia="zh-CN" w:bidi="ar-SA"/>
      </w:rPr>
    </w:lvl>
    <w:lvl w:ilvl="2">
      <w:start w:val="0"/>
      <w:numFmt w:val="bullet"/>
      <w:lvlText w:val="•"/>
      <w:lvlJc w:val="left"/>
      <w:pPr>
        <w:ind w:left="3105" w:hanging="701"/>
      </w:pPr>
      <w:rPr>
        <w:rFonts w:hint="default"/>
        <w:lang w:val="en-US" w:eastAsia="zh-CN" w:bidi="ar-SA"/>
      </w:rPr>
    </w:lvl>
    <w:lvl w:ilvl="3">
      <w:start w:val="0"/>
      <w:numFmt w:val="bullet"/>
      <w:lvlText w:val="•"/>
      <w:lvlJc w:val="left"/>
      <w:pPr>
        <w:ind w:left="3967" w:hanging="701"/>
      </w:pPr>
      <w:rPr>
        <w:rFonts w:hint="default"/>
        <w:lang w:val="en-US" w:eastAsia="zh-CN" w:bidi="ar-SA"/>
      </w:rPr>
    </w:lvl>
    <w:lvl w:ilvl="4">
      <w:start w:val="0"/>
      <w:numFmt w:val="bullet"/>
      <w:lvlText w:val="•"/>
      <w:lvlJc w:val="left"/>
      <w:pPr>
        <w:ind w:left="4830" w:hanging="701"/>
      </w:pPr>
      <w:rPr>
        <w:rFonts w:hint="default"/>
        <w:lang w:val="en-US" w:eastAsia="zh-CN" w:bidi="ar-SA"/>
      </w:rPr>
    </w:lvl>
    <w:lvl w:ilvl="5">
      <w:start w:val="0"/>
      <w:numFmt w:val="bullet"/>
      <w:lvlText w:val="•"/>
      <w:lvlJc w:val="left"/>
      <w:pPr>
        <w:ind w:left="5693" w:hanging="701"/>
      </w:pPr>
      <w:rPr>
        <w:rFonts w:hint="default"/>
        <w:lang w:val="en-US" w:eastAsia="zh-CN" w:bidi="ar-SA"/>
      </w:rPr>
    </w:lvl>
    <w:lvl w:ilvl="6">
      <w:start w:val="0"/>
      <w:numFmt w:val="bullet"/>
      <w:lvlText w:val="•"/>
      <w:lvlJc w:val="left"/>
      <w:pPr>
        <w:ind w:left="6555" w:hanging="701"/>
      </w:pPr>
      <w:rPr>
        <w:rFonts w:hint="default"/>
        <w:lang w:val="en-US" w:eastAsia="zh-CN" w:bidi="ar-SA"/>
      </w:rPr>
    </w:lvl>
    <w:lvl w:ilvl="7">
      <w:start w:val="0"/>
      <w:numFmt w:val="bullet"/>
      <w:lvlText w:val="•"/>
      <w:lvlJc w:val="left"/>
      <w:pPr>
        <w:ind w:left="7418" w:hanging="701"/>
      </w:pPr>
      <w:rPr>
        <w:rFonts w:hint="default"/>
        <w:lang w:val="en-US" w:eastAsia="zh-CN" w:bidi="ar-SA"/>
      </w:rPr>
    </w:lvl>
    <w:lvl w:ilvl="8">
      <w:start w:val="0"/>
      <w:numFmt w:val="bullet"/>
      <w:lvlText w:val="•"/>
      <w:lvlJc w:val="left"/>
      <w:pPr>
        <w:ind w:left="8280" w:hanging="701"/>
      </w:pPr>
      <w:rPr>
        <w:rFonts w:hint="default"/>
        <w:lang w:val="en-US" w:eastAsia="zh-CN" w:bidi="ar-SA"/>
      </w:rPr>
    </w:lvl>
  </w:abstractNum>
  <w:abstractNum w:abstractNumId="14">
    <w:nsid w:val="480894BC"/>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15">
    <w:nsid w:val="4E190A7B"/>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16">
    <w:nsid w:val="502ABA88"/>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17">
    <w:nsid w:val="52910681"/>
    <w:multiLevelType w:val="hybridMultilevel"/>
    <w:tmpl w:val="00000000"/>
    <w:lvl w:ilvl="0">
      <w:start w:val="4"/>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18">
    <w:nsid w:val="5A3867CD"/>
    <w:multiLevelType w:val="hybridMultilevel"/>
    <w:tmpl w:val="00000000"/>
    <w:lvl w:ilvl="0">
      <w:start w:val="1"/>
      <w:numFmt w:val="decimal"/>
      <w:lvlText w:val="%1."/>
      <w:lvlJc w:val="left"/>
      <w:pPr>
        <w:ind w:left="959"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864" w:hanging="281"/>
      </w:pPr>
      <w:rPr>
        <w:rFonts w:hint="default"/>
        <w:lang w:val="en-US" w:eastAsia="zh-CN" w:bidi="ar-SA"/>
      </w:rPr>
    </w:lvl>
    <w:lvl w:ilvl="2">
      <w:start w:val="0"/>
      <w:numFmt w:val="bullet"/>
      <w:lvlText w:val="•"/>
      <w:lvlJc w:val="left"/>
      <w:pPr>
        <w:ind w:left="2769" w:hanging="281"/>
      </w:pPr>
      <w:rPr>
        <w:rFonts w:hint="default"/>
        <w:lang w:val="en-US" w:eastAsia="zh-CN" w:bidi="ar-SA"/>
      </w:rPr>
    </w:lvl>
    <w:lvl w:ilvl="3">
      <w:start w:val="0"/>
      <w:numFmt w:val="bullet"/>
      <w:lvlText w:val="•"/>
      <w:lvlJc w:val="left"/>
      <w:pPr>
        <w:ind w:left="3673" w:hanging="281"/>
      </w:pPr>
      <w:rPr>
        <w:rFonts w:hint="default"/>
        <w:lang w:val="en-US" w:eastAsia="zh-CN" w:bidi="ar-SA"/>
      </w:rPr>
    </w:lvl>
    <w:lvl w:ilvl="4">
      <w:start w:val="0"/>
      <w:numFmt w:val="bullet"/>
      <w:lvlText w:val="•"/>
      <w:lvlJc w:val="left"/>
      <w:pPr>
        <w:ind w:left="4578" w:hanging="281"/>
      </w:pPr>
      <w:rPr>
        <w:rFonts w:hint="default"/>
        <w:lang w:val="en-US" w:eastAsia="zh-CN" w:bidi="ar-SA"/>
      </w:rPr>
    </w:lvl>
    <w:lvl w:ilvl="5">
      <w:start w:val="0"/>
      <w:numFmt w:val="bullet"/>
      <w:lvlText w:val="•"/>
      <w:lvlJc w:val="left"/>
      <w:pPr>
        <w:ind w:left="5483" w:hanging="281"/>
      </w:pPr>
      <w:rPr>
        <w:rFonts w:hint="default"/>
        <w:lang w:val="en-US" w:eastAsia="zh-CN" w:bidi="ar-SA"/>
      </w:rPr>
    </w:lvl>
    <w:lvl w:ilvl="6">
      <w:start w:val="0"/>
      <w:numFmt w:val="bullet"/>
      <w:lvlText w:val="•"/>
      <w:lvlJc w:val="left"/>
      <w:pPr>
        <w:ind w:left="6387" w:hanging="281"/>
      </w:pPr>
      <w:rPr>
        <w:rFonts w:hint="default"/>
        <w:lang w:val="en-US" w:eastAsia="zh-CN" w:bidi="ar-SA"/>
      </w:rPr>
    </w:lvl>
    <w:lvl w:ilvl="7">
      <w:start w:val="0"/>
      <w:numFmt w:val="bullet"/>
      <w:lvlText w:val="•"/>
      <w:lvlJc w:val="left"/>
      <w:pPr>
        <w:ind w:left="7292" w:hanging="281"/>
      </w:pPr>
      <w:rPr>
        <w:rFonts w:hint="default"/>
        <w:lang w:val="en-US" w:eastAsia="zh-CN" w:bidi="ar-SA"/>
      </w:rPr>
    </w:lvl>
    <w:lvl w:ilvl="8">
      <w:start w:val="0"/>
      <w:numFmt w:val="bullet"/>
      <w:lvlText w:val="•"/>
      <w:lvlJc w:val="left"/>
      <w:pPr>
        <w:ind w:left="8196" w:hanging="281"/>
      </w:pPr>
      <w:rPr>
        <w:rFonts w:hint="default"/>
        <w:lang w:val="en-US" w:eastAsia="zh-CN" w:bidi="ar-SA"/>
      </w:rPr>
    </w:lvl>
  </w:abstractNum>
  <w:abstractNum w:abstractNumId="19">
    <w:nsid w:val="5B39F525"/>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20">
    <w:nsid w:val="5BB740B0"/>
    <w:multiLevelType w:val="hybridMultilevel"/>
    <w:tmpl w:val="00000000"/>
    <w:lvl w:ilvl="0">
      <w:start w:val="1"/>
      <w:numFmt w:val="decimal"/>
      <w:lvlText w:val="（%1）"/>
      <w:lvlJc w:val="left"/>
      <w:pPr>
        <w:ind w:left="118" w:hanging="701"/>
        <w:jc w:val="left"/>
      </w:pPr>
      <w:rPr>
        <w:rFonts w:ascii="新宋体" w:eastAsia="新宋体" w:hAnsi="新宋体" w:cs="新宋体" w:hint="default"/>
        <w:b w:val="0"/>
        <w:bCs w:val="0"/>
        <w:i w:val="0"/>
        <w:iCs w:val="0"/>
        <w:spacing w:val="-7"/>
        <w:w w:val="100"/>
        <w:sz w:val="26"/>
        <w:szCs w:val="26"/>
        <w:lang w:val="en-US" w:eastAsia="zh-CN" w:bidi="ar-SA"/>
      </w:rPr>
    </w:lvl>
    <w:lvl w:ilvl="1">
      <w:start w:val="0"/>
      <w:numFmt w:val="bullet"/>
      <w:lvlText w:val="•"/>
      <w:lvlJc w:val="left"/>
      <w:pPr>
        <w:ind w:left="1108" w:hanging="701"/>
      </w:pPr>
      <w:rPr>
        <w:rFonts w:hint="default"/>
        <w:lang w:val="en-US" w:eastAsia="zh-CN" w:bidi="ar-SA"/>
      </w:rPr>
    </w:lvl>
    <w:lvl w:ilvl="2">
      <w:start w:val="0"/>
      <w:numFmt w:val="bullet"/>
      <w:lvlText w:val="•"/>
      <w:lvlJc w:val="left"/>
      <w:pPr>
        <w:ind w:left="2097" w:hanging="701"/>
      </w:pPr>
      <w:rPr>
        <w:rFonts w:hint="default"/>
        <w:lang w:val="en-US" w:eastAsia="zh-CN" w:bidi="ar-SA"/>
      </w:rPr>
    </w:lvl>
    <w:lvl w:ilvl="3">
      <w:start w:val="0"/>
      <w:numFmt w:val="bullet"/>
      <w:lvlText w:val="•"/>
      <w:lvlJc w:val="left"/>
      <w:pPr>
        <w:ind w:left="3085" w:hanging="701"/>
      </w:pPr>
      <w:rPr>
        <w:rFonts w:hint="default"/>
        <w:lang w:val="en-US" w:eastAsia="zh-CN" w:bidi="ar-SA"/>
      </w:rPr>
    </w:lvl>
    <w:lvl w:ilvl="4">
      <w:start w:val="0"/>
      <w:numFmt w:val="bullet"/>
      <w:lvlText w:val="•"/>
      <w:lvlJc w:val="left"/>
      <w:pPr>
        <w:ind w:left="4074" w:hanging="701"/>
      </w:pPr>
      <w:rPr>
        <w:rFonts w:hint="default"/>
        <w:lang w:val="en-US" w:eastAsia="zh-CN" w:bidi="ar-SA"/>
      </w:rPr>
    </w:lvl>
    <w:lvl w:ilvl="5">
      <w:start w:val="0"/>
      <w:numFmt w:val="bullet"/>
      <w:lvlText w:val="•"/>
      <w:lvlJc w:val="left"/>
      <w:pPr>
        <w:ind w:left="5063" w:hanging="701"/>
      </w:pPr>
      <w:rPr>
        <w:rFonts w:hint="default"/>
        <w:lang w:val="en-US" w:eastAsia="zh-CN" w:bidi="ar-SA"/>
      </w:rPr>
    </w:lvl>
    <w:lvl w:ilvl="6">
      <w:start w:val="0"/>
      <w:numFmt w:val="bullet"/>
      <w:lvlText w:val="•"/>
      <w:lvlJc w:val="left"/>
      <w:pPr>
        <w:ind w:left="6051" w:hanging="701"/>
      </w:pPr>
      <w:rPr>
        <w:rFonts w:hint="default"/>
        <w:lang w:val="en-US" w:eastAsia="zh-CN" w:bidi="ar-SA"/>
      </w:rPr>
    </w:lvl>
    <w:lvl w:ilvl="7">
      <w:start w:val="0"/>
      <w:numFmt w:val="bullet"/>
      <w:lvlText w:val="•"/>
      <w:lvlJc w:val="left"/>
      <w:pPr>
        <w:ind w:left="7040" w:hanging="701"/>
      </w:pPr>
      <w:rPr>
        <w:rFonts w:hint="default"/>
        <w:lang w:val="en-US" w:eastAsia="zh-CN" w:bidi="ar-SA"/>
      </w:rPr>
    </w:lvl>
    <w:lvl w:ilvl="8">
      <w:start w:val="0"/>
      <w:numFmt w:val="bullet"/>
      <w:lvlText w:val="•"/>
      <w:lvlJc w:val="left"/>
      <w:pPr>
        <w:ind w:left="8028" w:hanging="701"/>
      </w:pPr>
      <w:rPr>
        <w:rFonts w:hint="default"/>
        <w:lang w:val="en-US" w:eastAsia="zh-CN" w:bidi="ar-SA"/>
      </w:rPr>
    </w:lvl>
  </w:abstractNum>
  <w:abstractNum w:abstractNumId="21">
    <w:nsid w:val="5D16D8AF"/>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22">
    <w:nsid w:val="5D39C48C"/>
    <w:multiLevelType w:val="hybridMultilevel"/>
    <w:tmpl w:val="00000000"/>
    <w:lvl w:ilvl="0">
      <w:start w:val="1"/>
      <w:numFmt w:val="decimal"/>
      <w:lvlText w:val="（%1）"/>
      <w:lvlJc w:val="left"/>
      <w:pPr>
        <w:ind w:left="118" w:hanging="701"/>
        <w:jc w:val="right"/>
      </w:pPr>
      <w:rPr>
        <w:rFonts w:ascii="新宋体" w:eastAsia="新宋体" w:hAnsi="新宋体" w:cs="新宋体" w:hint="default"/>
        <w:b w:val="0"/>
        <w:bCs w:val="0"/>
        <w:i w:val="0"/>
        <w:iCs w:val="0"/>
        <w:spacing w:val="-9"/>
        <w:w w:val="100"/>
        <w:sz w:val="26"/>
        <w:szCs w:val="26"/>
        <w:lang w:val="en-US" w:eastAsia="zh-CN" w:bidi="ar-SA"/>
      </w:rPr>
    </w:lvl>
    <w:lvl w:ilvl="1">
      <w:start w:val="0"/>
      <w:numFmt w:val="bullet"/>
      <w:lvlText w:val="•"/>
      <w:lvlJc w:val="left"/>
      <w:pPr>
        <w:ind w:left="1108" w:hanging="701"/>
      </w:pPr>
      <w:rPr>
        <w:rFonts w:hint="default"/>
        <w:lang w:val="en-US" w:eastAsia="zh-CN" w:bidi="ar-SA"/>
      </w:rPr>
    </w:lvl>
    <w:lvl w:ilvl="2">
      <w:start w:val="0"/>
      <w:numFmt w:val="bullet"/>
      <w:lvlText w:val="•"/>
      <w:lvlJc w:val="left"/>
      <w:pPr>
        <w:ind w:left="2097" w:hanging="701"/>
      </w:pPr>
      <w:rPr>
        <w:rFonts w:hint="default"/>
        <w:lang w:val="en-US" w:eastAsia="zh-CN" w:bidi="ar-SA"/>
      </w:rPr>
    </w:lvl>
    <w:lvl w:ilvl="3">
      <w:start w:val="0"/>
      <w:numFmt w:val="bullet"/>
      <w:lvlText w:val="•"/>
      <w:lvlJc w:val="left"/>
      <w:pPr>
        <w:ind w:left="3085" w:hanging="701"/>
      </w:pPr>
      <w:rPr>
        <w:rFonts w:hint="default"/>
        <w:lang w:val="en-US" w:eastAsia="zh-CN" w:bidi="ar-SA"/>
      </w:rPr>
    </w:lvl>
    <w:lvl w:ilvl="4">
      <w:start w:val="0"/>
      <w:numFmt w:val="bullet"/>
      <w:lvlText w:val="•"/>
      <w:lvlJc w:val="left"/>
      <w:pPr>
        <w:ind w:left="4074" w:hanging="701"/>
      </w:pPr>
      <w:rPr>
        <w:rFonts w:hint="default"/>
        <w:lang w:val="en-US" w:eastAsia="zh-CN" w:bidi="ar-SA"/>
      </w:rPr>
    </w:lvl>
    <w:lvl w:ilvl="5">
      <w:start w:val="0"/>
      <w:numFmt w:val="bullet"/>
      <w:lvlText w:val="•"/>
      <w:lvlJc w:val="left"/>
      <w:pPr>
        <w:ind w:left="5063" w:hanging="701"/>
      </w:pPr>
      <w:rPr>
        <w:rFonts w:hint="default"/>
        <w:lang w:val="en-US" w:eastAsia="zh-CN" w:bidi="ar-SA"/>
      </w:rPr>
    </w:lvl>
    <w:lvl w:ilvl="6">
      <w:start w:val="0"/>
      <w:numFmt w:val="bullet"/>
      <w:lvlText w:val="•"/>
      <w:lvlJc w:val="left"/>
      <w:pPr>
        <w:ind w:left="6051" w:hanging="701"/>
      </w:pPr>
      <w:rPr>
        <w:rFonts w:hint="default"/>
        <w:lang w:val="en-US" w:eastAsia="zh-CN" w:bidi="ar-SA"/>
      </w:rPr>
    </w:lvl>
    <w:lvl w:ilvl="7">
      <w:start w:val="0"/>
      <w:numFmt w:val="bullet"/>
      <w:lvlText w:val="•"/>
      <w:lvlJc w:val="left"/>
      <w:pPr>
        <w:ind w:left="7040" w:hanging="701"/>
      </w:pPr>
      <w:rPr>
        <w:rFonts w:hint="default"/>
        <w:lang w:val="en-US" w:eastAsia="zh-CN" w:bidi="ar-SA"/>
      </w:rPr>
    </w:lvl>
    <w:lvl w:ilvl="8">
      <w:start w:val="0"/>
      <w:numFmt w:val="bullet"/>
      <w:lvlText w:val="•"/>
      <w:lvlJc w:val="left"/>
      <w:pPr>
        <w:ind w:left="8028" w:hanging="701"/>
      </w:pPr>
      <w:rPr>
        <w:rFonts w:hint="default"/>
        <w:lang w:val="en-US" w:eastAsia="zh-CN" w:bidi="ar-SA"/>
      </w:rPr>
    </w:lvl>
  </w:abstractNum>
  <w:abstractNum w:abstractNumId="23">
    <w:nsid w:val="62B0B26B"/>
    <w:multiLevelType w:val="hybridMultilevel"/>
    <w:tmpl w:val="00000000"/>
    <w:lvl w:ilvl="0">
      <w:start w:val="1"/>
      <w:numFmt w:val="decimal"/>
      <w:lvlText w:val="%1."/>
      <w:lvlJc w:val="left"/>
      <w:pPr>
        <w:ind w:left="959" w:hanging="281"/>
        <w:jc w:val="left"/>
      </w:pPr>
      <w:rPr>
        <w:rFonts w:ascii="新宋体" w:eastAsia="新宋体" w:hAnsi="新宋体" w:cs="新宋体" w:hint="default"/>
        <w:b w:val="0"/>
        <w:bCs w:val="0"/>
        <w:i w:val="0"/>
        <w:iCs w:val="0"/>
        <w:w w:val="100"/>
        <w:sz w:val="26"/>
        <w:szCs w:val="26"/>
        <w:lang w:val="en-US" w:eastAsia="zh-CN" w:bidi="ar-SA"/>
      </w:rPr>
    </w:lvl>
    <w:lvl w:ilvl="1">
      <w:start w:val="1"/>
      <w:numFmt w:val="decimal"/>
      <w:lvlText w:val="%1.%2"/>
      <w:lvlJc w:val="left"/>
      <w:pPr>
        <w:ind w:left="1168" w:hanging="490"/>
        <w:jc w:val="left"/>
      </w:pPr>
      <w:rPr>
        <w:rFonts w:ascii="新宋体" w:eastAsia="新宋体" w:hAnsi="新宋体" w:cs="新宋体" w:hint="default"/>
        <w:b w:val="0"/>
        <w:bCs w:val="0"/>
        <w:i w:val="0"/>
        <w:iCs w:val="0"/>
        <w:w w:val="100"/>
        <w:sz w:val="28"/>
        <w:szCs w:val="28"/>
        <w:lang w:val="en-US" w:eastAsia="zh-CN" w:bidi="ar-SA"/>
      </w:rPr>
    </w:lvl>
    <w:lvl w:ilvl="2">
      <w:start w:val="0"/>
      <w:numFmt w:val="bullet"/>
      <w:lvlText w:val="•"/>
      <w:lvlJc w:val="left"/>
      <w:pPr>
        <w:ind w:left="2142" w:hanging="490"/>
      </w:pPr>
      <w:rPr>
        <w:rFonts w:hint="default"/>
        <w:lang w:val="en-US" w:eastAsia="zh-CN" w:bidi="ar-SA"/>
      </w:rPr>
    </w:lvl>
    <w:lvl w:ilvl="3">
      <w:start w:val="0"/>
      <w:numFmt w:val="bullet"/>
      <w:lvlText w:val="•"/>
      <w:lvlJc w:val="left"/>
      <w:pPr>
        <w:ind w:left="3125" w:hanging="490"/>
      </w:pPr>
      <w:rPr>
        <w:rFonts w:hint="default"/>
        <w:lang w:val="en-US" w:eastAsia="zh-CN" w:bidi="ar-SA"/>
      </w:rPr>
    </w:lvl>
    <w:lvl w:ilvl="4">
      <w:start w:val="0"/>
      <w:numFmt w:val="bullet"/>
      <w:lvlText w:val="•"/>
      <w:lvlJc w:val="left"/>
      <w:pPr>
        <w:ind w:left="4108" w:hanging="490"/>
      </w:pPr>
      <w:rPr>
        <w:rFonts w:hint="default"/>
        <w:lang w:val="en-US" w:eastAsia="zh-CN" w:bidi="ar-SA"/>
      </w:rPr>
    </w:lvl>
    <w:lvl w:ilvl="5">
      <w:start w:val="0"/>
      <w:numFmt w:val="bullet"/>
      <w:lvlText w:val="•"/>
      <w:lvlJc w:val="left"/>
      <w:pPr>
        <w:ind w:left="5091" w:hanging="490"/>
      </w:pPr>
      <w:rPr>
        <w:rFonts w:hint="default"/>
        <w:lang w:val="en-US" w:eastAsia="zh-CN" w:bidi="ar-SA"/>
      </w:rPr>
    </w:lvl>
    <w:lvl w:ilvl="6">
      <w:start w:val="0"/>
      <w:numFmt w:val="bullet"/>
      <w:lvlText w:val="•"/>
      <w:lvlJc w:val="left"/>
      <w:pPr>
        <w:ind w:left="6074" w:hanging="490"/>
      </w:pPr>
      <w:rPr>
        <w:rFonts w:hint="default"/>
        <w:lang w:val="en-US" w:eastAsia="zh-CN" w:bidi="ar-SA"/>
      </w:rPr>
    </w:lvl>
    <w:lvl w:ilvl="7">
      <w:start w:val="0"/>
      <w:numFmt w:val="bullet"/>
      <w:lvlText w:val="•"/>
      <w:lvlJc w:val="left"/>
      <w:pPr>
        <w:ind w:left="7057" w:hanging="490"/>
      </w:pPr>
      <w:rPr>
        <w:rFonts w:hint="default"/>
        <w:lang w:val="en-US" w:eastAsia="zh-CN" w:bidi="ar-SA"/>
      </w:rPr>
    </w:lvl>
    <w:lvl w:ilvl="8">
      <w:start w:val="0"/>
      <w:numFmt w:val="bullet"/>
      <w:lvlText w:val="•"/>
      <w:lvlJc w:val="left"/>
      <w:pPr>
        <w:ind w:left="8040" w:hanging="490"/>
      </w:pPr>
      <w:rPr>
        <w:rFonts w:hint="default"/>
        <w:lang w:val="en-US" w:eastAsia="zh-CN" w:bidi="ar-SA"/>
      </w:rPr>
    </w:lvl>
  </w:abstractNum>
  <w:abstractNum w:abstractNumId="24">
    <w:nsid w:val="641B8E58"/>
    <w:multiLevelType w:val="hybridMultilevel"/>
    <w:tmpl w:val="00000000"/>
    <w:lvl w:ilvl="0">
      <w:start w:val="4"/>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25">
    <w:nsid w:val="6653C4E5"/>
    <w:multiLevelType w:val="hybridMultilevel"/>
    <w:tmpl w:val="00000000"/>
    <w:lvl w:ilvl="0">
      <w:start w:val="1"/>
      <w:numFmt w:val="lowerLetter"/>
      <w:lvlText w:val="%1."/>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1">
      <w:start w:val="0"/>
      <w:numFmt w:val="bullet"/>
      <w:lvlText w:val="•"/>
      <w:lvlJc w:val="left"/>
      <w:pPr>
        <w:ind w:left="1108" w:hanging="281"/>
      </w:pPr>
      <w:rPr>
        <w:rFonts w:hint="default"/>
        <w:lang w:val="en-US" w:eastAsia="zh-CN" w:bidi="ar-SA"/>
      </w:rPr>
    </w:lvl>
    <w:lvl w:ilvl="2">
      <w:start w:val="0"/>
      <w:numFmt w:val="bullet"/>
      <w:lvlText w:val="•"/>
      <w:lvlJc w:val="left"/>
      <w:pPr>
        <w:ind w:left="2097" w:hanging="281"/>
      </w:pPr>
      <w:rPr>
        <w:rFonts w:hint="default"/>
        <w:lang w:val="en-US" w:eastAsia="zh-CN" w:bidi="ar-SA"/>
      </w:rPr>
    </w:lvl>
    <w:lvl w:ilvl="3">
      <w:start w:val="0"/>
      <w:numFmt w:val="bullet"/>
      <w:lvlText w:val="•"/>
      <w:lvlJc w:val="left"/>
      <w:pPr>
        <w:ind w:left="3085" w:hanging="281"/>
      </w:pPr>
      <w:rPr>
        <w:rFonts w:hint="default"/>
        <w:lang w:val="en-US" w:eastAsia="zh-CN" w:bidi="ar-SA"/>
      </w:rPr>
    </w:lvl>
    <w:lvl w:ilvl="4">
      <w:start w:val="0"/>
      <w:numFmt w:val="bullet"/>
      <w:lvlText w:val="•"/>
      <w:lvlJc w:val="left"/>
      <w:pPr>
        <w:ind w:left="4074" w:hanging="281"/>
      </w:pPr>
      <w:rPr>
        <w:rFonts w:hint="default"/>
        <w:lang w:val="en-US" w:eastAsia="zh-CN" w:bidi="ar-SA"/>
      </w:rPr>
    </w:lvl>
    <w:lvl w:ilvl="5">
      <w:start w:val="0"/>
      <w:numFmt w:val="bullet"/>
      <w:lvlText w:val="•"/>
      <w:lvlJc w:val="left"/>
      <w:pPr>
        <w:ind w:left="5063" w:hanging="281"/>
      </w:pPr>
      <w:rPr>
        <w:rFonts w:hint="default"/>
        <w:lang w:val="en-US" w:eastAsia="zh-CN" w:bidi="ar-SA"/>
      </w:rPr>
    </w:lvl>
    <w:lvl w:ilvl="6">
      <w:start w:val="0"/>
      <w:numFmt w:val="bullet"/>
      <w:lvlText w:val="•"/>
      <w:lvlJc w:val="left"/>
      <w:pPr>
        <w:ind w:left="6051" w:hanging="281"/>
      </w:pPr>
      <w:rPr>
        <w:rFonts w:hint="default"/>
        <w:lang w:val="en-US" w:eastAsia="zh-CN" w:bidi="ar-SA"/>
      </w:rPr>
    </w:lvl>
    <w:lvl w:ilvl="7">
      <w:start w:val="0"/>
      <w:numFmt w:val="bullet"/>
      <w:lvlText w:val="•"/>
      <w:lvlJc w:val="left"/>
      <w:pPr>
        <w:ind w:left="7040" w:hanging="281"/>
      </w:pPr>
      <w:rPr>
        <w:rFonts w:hint="default"/>
        <w:lang w:val="en-US" w:eastAsia="zh-CN" w:bidi="ar-SA"/>
      </w:rPr>
    </w:lvl>
    <w:lvl w:ilvl="8">
      <w:start w:val="0"/>
      <w:numFmt w:val="bullet"/>
      <w:lvlText w:val="•"/>
      <w:lvlJc w:val="left"/>
      <w:pPr>
        <w:ind w:left="8028" w:hanging="281"/>
      </w:pPr>
      <w:rPr>
        <w:rFonts w:hint="default"/>
        <w:lang w:val="en-US" w:eastAsia="zh-CN" w:bidi="ar-SA"/>
      </w:rPr>
    </w:lvl>
  </w:abstractNum>
  <w:abstractNum w:abstractNumId="26">
    <w:nsid w:val="678C7E03"/>
    <w:multiLevelType w:val="hybridMultilevel"/>
    <w:tmpl w:val="00000000"/>
    <w:lvl w:ilvl="0">
      <w:start w:val="1"/>
      <w:numFmt w:val="upperLetter"/>
      <w:lvlText w:val="%1."/>
      <w:lvlJc w:val="left"/>
      <w:pPr>
        <w:ind w:left="118" w:hanging="421"/>
        <w:jc w:val="left"/>
      </w:pPr>
      <w:rPr>
        <w:rFonts w:ascii="新宋体" w:eastAsia="新宋体" w:hAnsi="新宋体" w:cs="新宋体" w:hint="default"/>
        <w:b w:val="0"/>
        <w:bCs w:val="0"/>
        <w:i w:val="0"/>
        <w:iCs w:val="0"/>
        <w:spacing w:val="-7"/>
        <w:w w:val="100"/>
        <w:sz w:val="26"/>
        <w:szCs w:val="26"/>
        <w:lang w:val="en-US" w:eastAsia="zh-CN" w:bidi="ar-SA"/>
      </w:rPr>
    </w:lvl>
    <w:lvl w:ilvl="1">
      <w:start w:val="1"/>
      <w:numFmt w:val="decimal"/>
      <w:lvlText w:val="%2."/>
      <w:lvlJc w:val="left"/>
      <w:pPr>
        <w:ind w:left="959" w:hanging="281"/>
        <w:jc w:val="left"/>
      </w:pPr>
      <w:rPr>
        <w:rFonts w:ascii="新宋体" w:eastAsia="新宋体" w:hAnsi="新宋体" w:cs="新宋体" w:hint="default"/>
        <w:b w:val="0"/>
        <w:bCs w:val="0"/>
        <w:i w:val="0"/>
        <w:iCs w:val="0"/>
        <w:w w:val="100"/>
        <w:sz w:val="26"/>
        <w:szCs w:val="26"/>
        <w:lang w:val="en-US" w:eastAsia="zh-CN" w:bidi="ar-SA"/>
      </w:rPr>
    </w:lvl>
    <w:lvl w:ilvl="2">
      <w:start w:val="1"/>
      <w:numFmt w:val="lowerLetter"/>
      <w:lvlText w:val="%3."/>
      <w:lvlJc w:val="left"/>
      <w:pPr>
        <w:ind w:left="118" w:hanging="281"/>
        <w:jc w:val="left"/>
      </w:pPr>
      <w:rPr>
        <w:rFonts w:ascii="新宋体" w:eastAsia="新宋体" w:hAnsi="新宋体" w:cs="新宋体" w:hint="default"/>
        <w:b w:val="0"/>
        <w:bCs w:val="0"/>
        <w:i w:val="0"/>
        <w:iCs w:val="0"/>
        <w:w w:val="100"/>
        <w:sz w:val="26"/>
        <w:szCs w:val="26"/>
        <w:lang w:val="en-US" w:eastAsia="zh-CN" w:bidi="ar-SA"/>
      </w:rPr>
    </w:lvl>
    <w:lvl w:ilvl="3">
      <w:start w:val="0"/>
      <w:numFmt w:val="bullet"/>
      <w:lvlText w:val="•"/>
      <w:lvlJc w:val="left"/>
      <w:pPr>
        <w:ind w:left="2970" w:hanging="281"/>
      </w:pPr>
      <w:rPr>
        <w:rFonts w:hint="default"/>
        <w:lang w:val="en-US" w:eastAsia="zh-CN" w:bidi="ar-SA"/>
      </w:rPr>
    </w:lvl>
    <w:lvl w:ilvl="4">
      <w:start w:val="0"/>
      <w:numFmt w:val="bullet"/>
      <w:lvlText w:val="•"/>
      <w:lvlJc w:val="left"/>
      <w:pPr>
        <w:ind w:left="3975" w:hanging="281"/>
      </w:pPr>
      <w:rPr>
        <w:rFonts w:hint="default"/>
        <w:lang w:val="en-US" w:eastAsia="zh-CN" w:bidi="ar-SA"/>
      </w:rPr>
    </w:lvl>
    <w:lvl w:ilvl="5">
      <w:start w:val="0"/>
      <w:numFmt w:val="bullet"/>
      <w:lvlText w:val="•"/>
      <w:lvlJc w:val="left"/>
      <w:pPr>
        <w:ind w:left="4980" w:hanging="281"/>
      </w:pPr>
      <w:rPr>
        <w:rFonts w:hint="default"/>
        <w:lang w:val="en-US" w:eastAsia="zh-CN" w:bidi="ar-SA"/>
      </w:rPr>
    </w:lvl>
    <w:lvl w:ilvl="6">
      <w:start w:val="0"/>
      <w:numFmt w:val="bullet"/>
      <w:lvlText w:val="•"/>
      <w:lvlJc w:val="left"/>
      <w:pPr>
        <w:ind w:left="5985" w:hanging="281"/>
      </w:pPr>
      <w:rPr>
        <w:rFonts w:hint="default"/>
        <w:lang w:val="en-US" w:eastAsia="zh-CN" w:bidi="ar-SA"/>
      </w:rPr>
    </w:lvl>
    <w:lvl w:ilvl="7">
      <w:start w:val="0"/>
      <w:numFmt w:val="bullet"/>
      <w:lvlText w:val="•"/>
      <w:lvlJc w:val="left"/>
      <w:pPr>
        <w:ind w:left="6990" w:hanging="281"/>
      </w:pPr>
      <w:rPr>
        <w:rFonts w:hint="default"/>
        <w:lang w:val="en-US" w:eastAsia="zh-CN" w:bidi="ar-SA"/>
      </w:rPr>
    </w:lvl>
    <w:lvl w:ilvl="8">
      <w:start w:val="0"/>
      <w:numFmt w:val="bullet"/>
      <w:lvlText w:val="•"/>
      <w:lvlJc w:val="left"/>
      <w:pPr>
        <w:ind w:left="7995" w:hanging="281"/>
      </w:pPr>
      <w:rPr>
        <w:rFonts w:hint="default"/>
        <w:lang w:val="en-US" w:eastAsia="zh-CN" w:bidi="ar-SA"/>
      </w:rPr>
    </w:lvl>
  </w:abstractNum>
  <w:abstractNum w:abstractNumId="27">
    <w:nsid w:val="692196AD"/>
    <w:multiLevelType w:val="hybridMultilevel"/>
    <w:tmpl w:val="00000000"/>
    <w:lvl w:ilvl="0">
      <w:start w:val="1"/>
      <w:numFmt w:val="decimal"/>
      <w:lvlText w:val="（%1）"/>
      <w:lvlJc w:val="left"/>
      <w:pPr>
        <w:ind w:left="1379" w:hanging="701"/>
        <w:jc w:val="left"/>
      </w:pPr>
      <w:rPr>
        <w:rFonts w:ascii="新宋体" w:eastAsia="新宋体" w:hAnsi="新宋体" w:cs="新宋体" w:hint="default"/>
        <w:b w:val="0"/>
        <w:bCs w:val="0"/>
        <w:i w:val="0"/>
        <w:iCs w:val="0"/>
        <w:spacing w:val="-13"/>
        <w:w w:val="100"/>
        <w:sz w:val="26"/>
        <w:szCs w:val="26"/>
        <w:lang w:val="en-US" w:eastAsia="zh-CN" w:bidi="ar-SA"/>
      </w:rPr>
    </w:lvl>
    <w:lvl w:ilvl="1">
      <w:start w:val="0"/>
      <w:numFmt w:val="bullet"/>
      <w:lvlText w:val="•"/>
      <w:lvlJc w:val="left"/>
      <w:pPr>
        <w:ind w:left="2242" w:hanging="701"/>
      </w:pPr>
      <w:rPr>
        <w:rFonts w:hint="default"/>
        <w:lang w:val="en-US" w:eastAsia="zh-CN" w:bidi="ar-SA"/>
      </w:rPr>
    </w:lvl>
    <w:lvl w:ilvl="2">
      <w:start w:val="0"/>
      <w:numFmt w:val="bullet"/>
      <w:lvlText w:val="•"/>
      <w:lvlJc w:val="left"/>
      <w:pPr>
        <w:ind w:left="3105" w:hanging="701"/>
      </w:pPr>
      <w:rPr>
        <w:rFonts w:hint="default"/>
        <w:lang w:val="en-US" w:eastAsia="zh-CN" w:bidi="ar-SA"/>
      </w:rPr>
    </w:lvl>
    <w:lvl w:ilvl="3">
      <w:start w:val="0"/>
      <w:numFmt w:val="bullet"/>
      <w:lvlText w:val="•"/>
      <w:lvlJc w:val="left"/>
      <w:pPr>
        <w:ind w:left="3967" w:hanging="701"/>
      </w:pPr>
      <w:rPr>
        <w:rFonts w:hint="default"/>
        <w:lang w:val="en-US" w:eastAsia="zh-CN" w:bidi="ar-SA"/>
      </w:rPr>
    </w:lvl>
    <w:lvl w:ilvl="4">
      <w:start w:val="0"/>
      <w:numFmt w:val="bullet"/>
      <w:lvlText w:val="•"/>
      <w:lvlJc w:val="left"/>
      <w:pPr>
        <w:ind w:left="4830" w:hanging="701"/>
      </w:pPr>
      <w:rPr>
        <w:rFonts w:hint="default"/>
        <w:lang w:val="en-US" w:eastAsia="zh-CN" w:bidi="ar-SA"/>
      </w:rPr>
    </w:lvl>
    <w:lvl w:ilvl="5">
      <w:start w:val="0"/>
      <w:numFmt w:val="bullet"/>
      <w:lvlText w:val="•"/>
      <w:lvlJc w:val="left"/>
      <w:pPr>
        <w:ind w:left="5693" w:hanging="701"/>
      </w:pPr>
      <w:rPr>
        <w:rFonts w:hint="default"/>
        <w:lang w:val="en-US" w:eastAsia="zh-CN" w:bidi="ar-SA"/>
      </w:rPr>
    </w:lvl>
    <w:lvl w:ilvl="6">
      <w:start w:val="0"/>
      <w:numFmt w:val="bullet"/>
      <w:lvlText w:val="•"/>
      <w:lvlJc w:val="left"/>
      <w:pPr>
        <w:ind w:left="6555" w:hanging="701"/>
      </w:pPr>
      <w:rPr>
        <w:rFonts w:hint="default"/>
        <w:lang w:val="en-US" w:eastAsia="zh-CN" w:bidi="ar-SA"/>
      </w:rPr>
    </w:lvl>
    <w:lvl w:ilvl="7">
      <w:start w:val="0"/>
      <w:numFmt w:val="bullet"/>
      <w:lvlText w:val="•"/>
      <w:lvlJc w:val="left"/>
      <w:pPr>
        <w:ind w:left="7418" w:hanging="701"/>
      </w:pPr>
      <w:rPr>
        <w:rFonts w:hint="default"/>
        <w:lang w:val="en-US" w:eastAsia="zh-CN" w:bidi="ar-SA"/>
      </w:rPr>
    </w:lvl>
    <w:lvl w:ilvl="8">
      <w:start w:val="0"/>
      <w:numFmt w:val="bullet"/>
      <w:lvlText w:val="•"/>
      <w:lvlJc w:val="left"/>
      <w:pPr>
        <w:ind w:left="8280" w:hanging="701"/>
      </w:pPr>
      <w:rPr>
        <w:rFonts w:hint="default"/>
        <w:lang w:val="en-US" w:eastAsia="zh-CN" w:bidi="ar-SA"/>
      </w:rPr>
    </w:lvl>
  </w:abstractNum>
  <w:num w:numId="1">
    <w:abstractNumId w:val="22"/>
  </w:num>
  <w:num w:numId="2">
    <w:abstractNumId w:val="4"/>
  </w:num>
  <w:num w:numId="3">
    <w:abstractNumId w:val="27"/>
  </w:num>
  <w:num w:numId="4">
    <w:abstractNumId w:val="2"/>
  </w:num>
  <w:num w:numId="5">
    <w:abstractNumId w:val="14"/>
  </w:num>
  <w:num w:numId="6">
    <w:abstractNumId w:val="16"/>
  </w:num>
  <w:num w:numId="7">
    <w:abstractNumId w:val="7"/>
  </w:num>
  <w:num w:numId="8">
    <w:abstractNumId w:val="1"/>
  </w:num>
  <w:num w:numId="9">
    <w:abstractNumId w:val="8"/>
  </w:num>
  <w:num w:numId="10">
    <w:abstractNumId w:val="23"/>
  </w:num>
  <w:num w:numId="11">
    <w:abstractNumId w:val="20"/>
  </w:num>
  <w:num w:numId="12">
    <w:abstractNumId w:val="6"/>
  </w:num>
  <w:num w:numId="13">
    <w:abstractNumId w:val="26"/>
  </w:num>
  <w:num w:numId="14">
    <w:abstractNumId w:val="10"/>
  </w:num>
  <w:num w:numId="15">
    <w:abstractNumId w:val="13"/>
  </w:num>
  <w:num w:numId="16">
    <w:abstractNumId w:val="25"/>
  </w:num>
  <w:num w:numId="17">
    <w:abstractNumId w:val="15"/>
  </w:num>
  <w:num w:numId="18">
    <w:abstractNumId w:val="21"/>
  </w:num>
  <w:num w:numId="19">
    <w:abstractNumId w:val="3"/>
  </w:num>
  <w:num w:numId="20">
    <w:abstractNumId w:val="24"/>
  </w:num>
  <w:num w:numId="21">
    <w:abstractNumId w:val="11"/>
  </w:num>
  <w:num w:numId="22">
    <w:abstractNumId w:val="19"/>
  </w:num>
  <w:num w:numId="23">
    <w:abstractNumId w:val="5"/>
  </w:num>
  <w:num w:numId="24">
    <w:abstractNumId w:val="12"/>
  </w:num>
  <w:num w:numId="25">
    <w:abstractNumId w:val="18"/>
  </w:num>
  <w:num w:numId="26">
    <w:abstractNumId w:val="17"/>
  </w:num>
  <w:num w:numId="27">
    <w:abstractNumId w:val="0"/>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lang w:val="en-US" w:eastAsia="zh-CN" w:bidi="ar-SA"/>
    </w:rPr>
  </w:style>
  <w:style w:type="paragraph" w:styleId="Heading1">
    <w:name w:val="heading 1"/>
    <w:basedOn w:val="Normal"/>
    <w:uiPriority w:val="1"/>
    <w:qFormat/>
    <w:pPr>
      <w:ind w:left="739"/>
      <w:outlineLvl w:val="0"/>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552"/>
      <w:ind w:left="118"/>
    </w:pPr>
    <w:rPr>
      <w:rFonts w:ascii="楷体" w:eastAsia="楷体" w:hAnsi="楷体" w:cs="楷体"/>
      <w:sz w:val="30"/>
      <w:szCs w:val="30"/>
      <w:lang w:val="en-US" w:eastAsia="zh-CN" w:bidi="ar-SA"/>
    </w:rPr>
  </w:style>
  <w:style w:type="paragraph" w:styleId="BodyText">
    <w:name w:val="Body Text"/>
    <w:basedOn w:val="Normal"/>
    <w:uiPriority w:val="1"/>
    <w:qFormat/>
    <w:pPr>
      <w:ind w:left="118"/>
    </w:pPr>
    <w:rPr>
      <w:rFonts w:ascii="新宋体" w:eastAsia="新宋体" w:hAnsi="新宋体" w:cs="新宋体"/>
      <w:sz w:val="28"/>
      <w:szCs w:val="28"/>
      <w:lang w:val="en-US" w:eastAsia="zh-CN" w:bidi="ar-SA"/>
    </w:rPr>
  </w:style>
  <w:style w:type="paragraph" w:styleId="Title">
    <w:name w:val="Title"/>
    <w:basedOn w:val="Normal"/>
    <w:uiPriority w:val="1"/>
    <w:qFormat/>
    <w:pPr>
      <w:spacing w:line="1751" w:lineRule="exact"/>
      <w:ind w:left="704" w:right="1121"/>
      <w:jc w:val="center"/>
    </w:pPr>
    <w:rPr>
      <w:rFonts w:ascii="Microsoft JhengHei" w:eastAsia="Microsoft JhengHei" w:hAnsi="Microsoft JhengHei" w:cs="Microsoft JhengHei"/>
      <w:b/>
      <w:bCs/>
      <w:sz w:val="96"/>
      <w:szCs w:val="96"/>
      <w:lang w:val="en-US" w:eastAsia="zh-CN" w:bidi="ar-SA"/>
    </w:rPr>
  </w:style>
  <w:style w:type="paragraph" w:styleId="ListParagraph">
    <w:name w:val="List Paragraph"/>
    <w:basedOn w:val="Normal"/>
    <w:uiPriority w:val="1"/>
    <w:qFormat/>
    <w:pPr>
      <w:ind w:left="118" w:firstLine="560"/>
    </w:pPr>
    <w:rPr>
      <w:rFonts w:ascii="新宋体" w:eastAsia="新宋体" w:hAnsi="新宋体" w:cs="新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yperlink" Target="https://d.book118.com/015231114203011120" TargetMode="Externa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2024-03-04T13:55:52Z</dcterms:created>
  <dcterms:modified xsi:type="dcterms:W3CDTF">2024-03-04T13:55:52Z</dcterms:modified>
</cp:coreProperties>
</file>