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223" w:lineRule="exact"/>
        <w:ind w:firstLine="223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3428136</wp:posOffset>
            </wp:positionH>
            <wp:positionV relativeFrom="page">
              <wp:posOffset>1231200</wp:posOffset>
            </wp:positionV>
            <wp:extent cx="75829" cy="85466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829" cy="854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4"/>
        </w:rPr>
        <w:pict>
          <v:group id="_x0000_i1025" style="width:35.3pt;height:61.25pt;mso-position-horizontal-relative:char;mso-position-vertical-relative:line" coordorigin="0,0" coordsize="705,1225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705;height:1225;position:absolute" filled="f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45;height:126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59" w:line="173" w:lineRule="auto"/>
                      <w:ind w:left="108" w:right="74"/>
                      <w:rPr>
                        <w:rFonts w:ascii="Microsoft YaHei" w:eastAsia="Microsoft YaHei" w:hAnsi="Microsoft YaHei" w:cs="Microsoft YaHei"/>
                        <w:sz w:val="28"/>
                        <w:szCs w:val="28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EFEFE"/>
                        <w:spacing w:val="1"/>
                        <w:sz w:val="28"/>
                        <w:szCs w:val="28"/>
                      </w:rPr>
                      <w:t>新书</w:t>
                    </w:r>
                    <w:r>
                      <w:rPr>
                        <w:rFonts w:ascii="Microsoft YaHei" w:eastAsia="Microsoft YaHei" w:hAnsi="Microsoft YaHei" w:cs="Microsoft YaHei"/>
                        <w:color w:val="FEFEFE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color w:val="FEFEFE"/>
                        <w:spacing w:val="-1"/>
                        <w:sz w:val="28"/>
                        <w:szCs w:val="28"/>
                      </w:rPr>
                      <w:t>预告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line="285" w:lineRule="exact"/>
        <w:ind w:firstLine="46"/>
      </w:pPr>
      <w:r>
        <w:rPr>
          <w:position w:val="-5"/>
        </w:rPr>
        <w:drawing>
          <wp:inline distT="0" distB="0" distL="0" distR="0">
            <wp:extent cx="431990" cy="180961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990" cy="180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7" w:line="420" w:lineRule="exact"/>
      </w:pPr>
      <w:r>
        <w:rPr>
          <w:position w:val="-8"/>
        </w:rPr>
        <w:drawing>
          <wp:inline distT="0" distB="0" distL="0" distR="0">
            <wp:extent cx="488949" cy="26670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8949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spacing w:before="77" w:line="230" w:lineRule="auto"/>
        <w:ind w:left="80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231815"/>
          <w:spacing w:val="-2"/>
          <w:sz w:val="18"/>
          <w:szCs w:val="18"/>
        </w:rPr>
        <w:t>瑞士有机农业研究所（</w:t>
      </w:r>
      <w:r>
        <w:rPr>
          <w:rFonts w:ascii="Calibri" w:eastAsia="Calibri" w:hAnsi="Calibri" w:cs="Calibri"/>
          <w:b/>
          <w:bCs/>
          <w:color w:val="231815"/>
          <w:spacing w:val="-2"/>
          <w:sz w:val="20"/>
          <w:szCs w:val="20"/>
        </w:rPr>
        <w:t>FiBL</w:t>
      </w:r>
      <w:r>
        <w:rPr>
          <w:rFonts w:ascii="Microsoft YaHei" w:eastAsia="Microsoft YaHei" w:hAnsi="Microsoft YaHei" w:cs="Microsoft YaHei"/>
          <w:color w:val="231815"/>
          <w:spacing w:val="-2"/>
          <w:sz w:val="18"/>
          <w:szCs w:val="18"/>
        </w:rPr>
        <w:t>)</w:t>
      </w:r>
    </w:p>
    <w:p>
      <w:pPr>
        <w:spacing w:before="133" w:line="168" w:lineRule="auto"/>
        <w:ind w:left="97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Calibri" w:eastAsia="Calibri" w:hAnsi="Calibri" w:cs="Calibri"/>
          <w:b/>
          <w:bCs/>
          <w:color w:val="231815"/>
          <w:spacing w:val="-1"/>
          <w:sz w:val="18"/>
          <w:szCs w:val="18"/>
        </w:rPr>
        <w:t>IFOAM</w:t>
      </w:r>
      <w:r>
        <w:rPr>
          <w:rFonts w:ascii="Calibri" w:eastAsia="Calibri" w:hAnsi="Calibri" w:cs="Calibri"/>
          <w:b/>
          <w:bCs/>
          <w:color w:val="231815"/>
          <w:spacing w:val="26"/>
          <w:w w:val="102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color w:val="231815"/>
          <w:spacing w:val="-1"/>
          <w:sz w:val="18"/>
          <w:szCs w:val="18"/>
        </w:rPr>
        <w:t>国际有机联盟</w:t>
      </w:r>
    </w:p>
    <w:p>
      <w:pPr>
        <w:spacing w:line="192" w:lineRule="auto"/>
        <w:jc w:val="right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color w:val="231815"/>
          <w:spacing w:val="18"/>
          <w:sz w:val="16"/>
          <w:szCs w:val="16"/>
        </w:rPr>
        <w:t>（</w:t>
      </w:r>
      <w:r>
        <w:rPr>
          <w:rFonts w:ascii="Calibri" w:eastAsia="Calibri" w:hAnsi="Calibri" w:cs="Calibri"/>
          <w:b/>
          <w:bCs/>
          <w:color w:val="231815"/>
          <w:sz w:val="18"/>
          <w:szCs w:val="18"/>
        </w:rPr>
        <w:t>IFOAM</w:t>
      </w:r>
      <w:r>
        <w:rPr>
          <w:rFonts w:ascii="Calibri" w:eastAsia="Calibri" w:hAnsi="Calibri" w:cs="Calibri"/>
          <w:b/>
          <w:bCs/>
          <w:color w:val="231815"/>
          <w:spacing w:val="18"/>
          <w:sz w:val="18"/>
          <w:szCs w:val="18"/>
        </w:rPr>
        <w:t xml:space="preserve"> - </w:t>
      </w:r>
      <w:r>
        <w:rPr>
          <w:rFonts w:ascii="Calibri" w:eastAsia="Calibri" w:hAnsi="Calibri" w:cs="Calibri"/>
          <w:b/>
          <w:bCs/>
          <w:color w:val="231815"/>
          <w:sz w:val="18"/>
          <w:szCs w:val="18"/>
        </w:rPr>
        <w:t>Organics</w:t>
      </w:r>
      <w:r>
        <w:rPr>
          <w:rFonts w:ascii="Calibri" w:eastAsia="Calibri" w:hAnsi="Calibri" w:cs="Calibri"/>
          <w:b/>
          <w:bCs/>
          <w:color w:val="231815"/>
          <w:spacing w:val="18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color w:val="231815"/>
          <w:sz w:val="18"/>
          <w:szCs w:val="18"/>
        </w:rPr>
        <w:t>International</w:t>
      </w:r>
      <w:r>
        <w:rPr>
          <w:rFonts w:ascii="Microsoft YaHei" w:eastAsia="Microsoft YaHei" w:hAnsi="Microsoft YaHei" w:cs="Microsoft YaHei"/>
          <w:color w:val="231815"/>
          <w:spacing w:val="18"/>
          <w:sz w:val="16"/>
          <w:szCs w:val="16"/>
        </w:rPr>
        <w:t>)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77" w:line="177" w:lineRule="auto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231815"/>
          <w:spacing w:val="-2"/>
          <w:sz w:val="18"/>
          <w:szCs w:val="18"/>
        </w:rPr>
        <w:t>编著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before="43" w:line="196" w:lineRule="auto"/>
        <w:ind w:left="444"/>
        <w:rPr>
          <w:sz w:val="15"/>
          <w:szCs w:val="1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18468</wp:posOffset>
            </wp:positionV>
            <wp:extent cx="297637" cy="30038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7637" cy="300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2AB23"/>
          <w:spacing w:val="11"/>
          <w:sz w:val="15"/>
          <w:szCs w:val="15"/>
        </w:rPr>
        <w:t>organic</w:t>
      </w:r>
    </w:p>
    <w:p>
      <w:pPr>
        <w:pStyle w:val="BodyText"/>
        <w:spacing w:line="177" w:lineRule="auto"/>
        <w:ind w:left="509"/>
        <w:rPr>
          <w:sz w:val="14"/>
          <w:szCs w:val="14"/>
        </w:rPr>
      </w:pPr>
      <w:r>
        <w:rPr>
          <w:color w:val="92AB23"/>
          <w:spacing w:val="5"/>
          <w:sz w:val="14"/>
          <w:szCs w:val="14"/>
        </w:rPr>
        <w:t>and</w:t>
      </w:r>
    </w:p>
    <w:p>
      <w:pPr>
        <w:pStyle w:val="BodyText"/>
        <w:spacing w:before="25" w:line="210" w:lineRule="auto"/>
        <w:ind w:left="496"/>
        <w:rPr>
          <w:sz w:val="15"/>
          <w:szCs w:val="15"/>
        </w:rPr>
      </w:pPr>
      <w:r>
        <w:rPr>
          <w:color w:val="92AB23"/>
          <w:spacing w:val="5"/>
          <w:sz w:val="15"/>
          <w:szCs w:val="15"/>
        </w:rPr>
        <w:t>Beyond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77" w:line="176" w:lineRule="auto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color w:val="231815"/>
          <w:spacing w:val="-7"/>
          <w:sz w:val="18"/>
          <w:szCs w:val="18"/>
        </w:rPr>
        <w:t>正谷（北京）农业发展有限公司</w:t>
      </w:r>
      <w:r>
        <w:rPr>
          <w:rFonts w:ascii="Microsoft YaHei" w:eastAsia="Microsoft YaHei" w:hAnsi="Microsoft YaHei" w:cs="Microsoft YaHei"/>
          <w:color w:val="231815"/>
          <w:spacing w:val="14"/>
          <w:w w:val="101"/>
          <w:sz w:val="18"/>
          <w:szCs w:val="18"/>
        </w:rPr>
        <w:t xml:space="preserve">  </w:t>
      </w:r>
      <w:r>
        <w:rPr>
          <w:rFonts w:ascii="Microsoft YaHei" w:eastAsia="Microsoft YaHei" w:hAnsi="Microsoft YaHei" w:cs="Microsoft YaHei"/>
          <w:color w:val="231815"/>
          <w:spacing w:val="-7"/>
          <w:sz w:val="18"/>
          <w:szCs w:val="18"/>
        </w:rPr>
        <w:t>译</w:t>
      </w:r>
    </w:p>
    <w:p>
      <w:pPr>
        <w:spacing w:line="176" w:lineRule="auto"/>
        <w:rPr>
          <w:rFonts w:ascii="Microsoft YaHei" w:eastAsia="Microsoft YaHei" w:hAnsi="Microsoft YaHei" w:cs="Microsoft YaHei"/>
          <w:sz w:val="18"/>
          <w:szCs w:val="18"/>
        </w:rPr>
        <w:sectPr>
          <w:headerReference w:type="default" r:id="rId9"/>
          <w:pgSz w:w="10205" w:h="14741"/>
          <w:pgMar w:top="1" w:right="947" w:bottom="0" w:left="0" w:header="0" w:footer="0" w:gutter="0"/>
          <w:cols w:num="6" w:space="708" w:equalWidth="0">
            <w:col w:w="930" w:space="62"/>
            <w:col w:w="770" w:space="30"/>
            <w:col w:w="2647" w:space="40"/>
            <w:col w:w="721" w:space="46"/>
            <w:col w:w="1143" w:space="100"/>
            <w:col w:w="2768" w:space="0"/>
          </w:cols>
        </w:sectPr>
      </w:pPr>
    </w:p>
    <w:p>
      <w:pPr>
        <w:spacing w:before="474" w:line="176" w:lineRule="auto"/>
        <w:ind w:right="23"/>
        <w:jc w:val="right"/>
        <w:rPr>
          <w:rFonts w:ascii="Microsoft YaHei" w:eastAsia="Microsoft YaHei" w:hAnsi="Microsoft YaHei" w:cs="Microsoft YaHei"/>
          <w:sz w:val="82"/>
          <w:szCs w:val="82"/>
        </w:rPr>
      </w:pPr>
      <w:r>
        <w:rPr>
          <w:rFonts w:ascii="Calibri" w:eastAsia="Calibri" w:hAnsi="Calibri" w:cs="Calibri"/>
          <w:color w:val="72A233"/>
          <w:spacing w:val="-22"/>
          <w:sz w:val="92"/>
          <w:szCs w:val="92"/>
        </w:rPr>
        <w:t>2024</w:t>
      </w:r>
      <w:r>
        <w:rPr>
          <w:rFonts w:ascii="Microsoft YaHei" w:eastAsia="Microsoft YaHei" w:hAnsi="Microsoft YaHei" w:cs="Microsoft YaHei"/>
          <w:color w:val="72A233"/>
          <w:spacing w:val="-22"/>
          <w:sz w:val="82"/>
          <w:szCs w:val="82"/>
        </w:rPr>
        <w:t>年</w:t>
      </w:r>
    </w:p>
    <w:p>
      <w:pPr>
        <w:spacing w:before="6" w:line="176" w:lineRule="auto"/>
        <w:jc w:val="right"/>
        <w:rPr>
          <w:rFonts w:ascii="Microsoft YaHei" w:eastAsia="Microsoft YaHei" w:hAnsi="Microsoft YaHei" w:cs="Microsoft YaHei"/>
          <w:sz w:val="66"/>
          <w:szCs w:val="66"/>
        </w:rPr>
        <w:sectPr>
          <w:headerReference w:type="default" r:id="rId10"/>
          <w:type w:val="continuous"/>
          <w:pgSz w:w="10205" w:h="14741"/>
          <w:pgMar w:top="1" w:right="947" w:bottom="0" w:left="0" w:header="0" w:footer="0" w:gutter="0"/>
          <w:pgNumType w:start="2"/>
          <w:cols w:num="1" w:space="708" w:equalWidth="0">
            <w:col w:w="9258" w:space="0"/>
          </w:cols>
        </w:sectPr>
      </w:pPr>
      <w:r>
        <w:rPr>
          <w:rFonts w:ascii="Microsoft YaHei" w:eastAsia="Microsoft YaHei" w:hAnsi="Microsoft YaHei" w:cs="Microsoft YaHei"/>
          <w:color w:val="231815"/>
          <w:spacing w:val="-16"/>
          <w:w w:val="99"/>
          <w:sz w:val="66"/>
          <w:szCs w:val="66"/>
        </w:rPr>
        <w:t>世界有机农业概况与趋势预测</w:t>
      </w:r>
    </w:p>
    <w:p>
      <w:pPr>
        <w:spacing w:before="140" w:line="8702" w:lineRule="exact"/>
      </w:pPr>
      <w:r>
        <w:rPr>
          <w:position w:val="-174"/>
        </w:rPr>
        <w:drawing>
          <wp:inline distT="0" distB="0" distL="0" distR="0">
            <wp:extent cx="5877013" cy="552627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77013" cy="5526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702" w:lineRule="exact"/>
        <w:sectPr>
          <w:headerReference w:type="default" r:id="rId12"/>
          <w:type w:val="nextPage"/>
          <w:pgSz w:w="10205" w:h="14741"/>
          <w:pgMar w:top="1" w:right="947" w:bottom="0" w:left="0" w:header="0" w:footer="0" w:gutter="0"/>
          <w:pgNumType w:start="3"/>
          <w:cols w:num="1" w:space="708" w:equalWidth="0">
            <w:col w:w="9258" w:space="0"/>
          </w:cols>
          <w:titlePg w:val="0"/>
        </w:sectPr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line="2014" w:lineRule="exact"/>
        <w:ind w:firstLine="2004"/>
      </w:pPr>
      <w:r>
        <w:rPr>
          <w:position w:val="-40"/>
        </w:rPr>
        <w:drawing>
          <wp:inline distT="0" distB="0" distL="0" distR="0">
            <wp:extent cx="1988461" cy="1278783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88461" cy="1278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  <w:sectPr>
          <w:headerReference w:type="default" r:id="rId14"/>
          <w:pgSz w:w="10205" w:h="14741"/>
          <w:pgMar w:top="400" w:right="1530" w:bottom="0" w:left="1530" w:header="0" w:footer="0" w:gutter="0"/>
          <w:pgNumType w:start="4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85" w:line="194" w:lineRule="auto"/>
        <w:ind w:left="1597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92AB23"/>
          <w:spacing w:val="1"/>
          <w:sz w:val="20"/>
          <w:szCs w:val="20"/>
        </w:rPr>
        <w:t>《 2024 年世界有机农业概况与趋势预测》由</w:t>
      </w:r>
    </w:p>
    <w:p>
      <w:pPr>
        <w:spacing w:line="175" w:lineRule="auto"/>
        <w:ind w:left="1600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92AB23"/>
          <w:spacing w:val="-6"/>
          <w:sz w:val="20"/>
          <w:szCs w:val="20"/>
        </w:rPr>
        <w:t>瑞士有机农业研究所（FiBL）和 IFOAM 国际有</w:t>
      </w:r>
    </w:p>
    <w:p>
      <w:pPr>
        <w:spacing w:before="28" w:line="185" w:lineRule="auto"/>
        <w:ind w:left="1599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92AB23"/>
          <w:spacing w:val="-7"/>
          <w:sz w:val="20"/>
          <w:szCs w:val="20"/>
        </w:rPr>
        <w:t>机联盟（IFOAM</w:t>
      </w:r>
      <w:r>
        <w:rPr>
          <w:rFonts w:ascii="Microsoft YaHei" w:eastAsia="Microsoft YaHei" w:hAnsi="Microsoft YaHei" w:cs="Microsoft YaHei"/>
          <w:color w:val="92AB23"/>
          <w:spacing w:val="-13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92AB23"/>
          <w:spacing w:val="-7"/>
          <w:sz w:val="20"/>
          <w:szCs w:val="20"/>
        </w:rPr>
        <w:t>- Organics Internation</w:t>
      </w:r>
      <w:r>
        <w:rPr>
          <w:rFonts w:ascii="Microsoft YaHei" w:eastAsia="Microsoft YaHei" w:hAnsi="Microsoft YaHei" w:cs="Microsoft YaHei"/>
          <w:color w:val="92AB23"/>
          <w:spacing w:val="-8"/>
          <w:sz w:val="20"/>
          <w:szCs w:val="20"/>
        </w:rPr>
        <w:t>al</w:t>
      </w:r>
      <w:r>
        <w:rPr>
          <w:rFonts w:ascii="Microsoft YaHei" w:eastAsia="Microsoft YaHei" w:hAnsi="Microsoft YaHei" w:cs="Microsoft YaHei"/>
          <w:color w:val="92AB23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92AB23"/>
          <w:spacing w:val="-8"/>
          <w:sz w:val="20"/>
          <w:szCs w:val="20"/>
        </w:rPr>
        <w:t>） 授</w:t>
      </w:r>
    </w:p>
    <w:p>
      <w:pPr>
        <w:spacing w:before="15" w:line="176" w:lineRule="auto"/>
        <w:ind w:left="1596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92AB23"/>
          <w:spacing w:val="-1"/>
          <w:sz w:val="20"/>
          <w:szCs w:val="20"/>
        </w:rPr>
        <w:t>权正谷（北京）</w:t>
      </w:r>
      <w:r>
        <w:rPr>
          <w:rFonts w:ascii="Microsoft YaHei" w:eastAsia="Microsoft YaHei" w:hAnsi="Microsoft YaHei" w:cs="Microsoft YaHei"/>
          <w:color w:val="92AB23"/>
          <w:spacing w:val="-1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color w:val="92AB23"/>
          <w:spacing w:val="-1"/>
          <w:sz w:val="20"/>
          <w:szCs w:val="20"/>
        </w:rPr>
        <w:t>农业发展有限公司翻译出版。</w:t>
      </w:r>
    </w:p>
    <w:p>
      <w:pPr>
        <w:spacing w:before="31" w:line="182" w:lineRule="auto"/>
        <w:ind w:left="1598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92AB23"/>
          <w:spacing w:val="1"/>
          <w:sz w:val="20"/>
          <w:szCs w:val="20"/>
        </w:rPr>
        <w:t>未经出版者预先书面许可，不得使用任何方式</w:t>
      </w:r>
    </w:p>
    <w:p>
      <w:pPr>
        <w:spacing w:before="20" w:line="177" w:lineRule="auto"/>
        <w:ind w:left="1599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Microsoft YaHei" w:eastAsia="Microsoft YaHei" w:hAnsi="Microsoft YaHei" w:cs="Microsoft YaHei"/>
          <w:color w:val="92AB23"/>
          <w:sz w:val="20"/>
          <w:szCs w:val="20"/>
        </w:rPr>
        <w:t>复制或抄袭本书的任何内容。</w:t>
      </w:r>
    </w:p>
    <w:p>
      <w:pPr>
        <w:spacing w:before="307" w:line="176" w:lineRule="auto"/>
        <w:ind w:left="1600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92AB23"/>
          <w:spacing w:val="-6"/>
          <w:sz w:val="22"/>
          <w:szCs w:val="22"/>
        </w:rPr>
        <w:t>本</w:t>
      </w:r>
      <w:r>
        <w:rPr>
          <w:rFonts w:ascii="Microsoft YaHei" w:eastAsia="Microsoft YaHei" w:hAnsi="Microsoft YaHei" w:cs="Microsoft YaHei"/>
          <w:color w:val="92AB23"/>
          <w:spacing w:val="-2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92AB23"/>
          <w:spacing w:val="-6"/>
          <w:sz w:val="22"/>
          <w:szCs w:val="22"/>
        </w:rPr>
        <w:t>翻</w:t>
      </w:r>
      <w:r>
        <w:rPr>
          <w:rFonts w:ascii="Microsoft YaHei" w:eastAsia="Microsoft YaHei" w:hAnsi="Microsoft YaHei" w:cs="Microsoft YaHei"/>
          <w:color w:val="92AB23"/>
          <w:spacing w:val="-2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92AB23"/>
          <w:spacing w:val="-6"/>
          <w:sz w:val="22"/>
          <w:szCs w:val="22"/>
        </w:rPr>
        <w:t>译</w:t>
      </w:r>
      <w:r>
        <w:rPr>
          <w:rFonts w:ascii="Microsoft YaHei" w:eastAsia="Microsoft YaHei" w:hAnsi="Microsoft YaHei" w:cs="Microsoft YaHei"/>
          <w:color w:val="92AB23"/>
          <w:spacing w:val="-2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92AB23"/>
          <w:spacing w:val="-6"/>
          <w:sz w:val="22"/>
          <w:szCs w:val="22"/>
        </w:rPr>
        <w:t>项 目</w:t>
      </w:r>
      <w:r>
        <w:rPr>
          <w:rFonts w:ascii="Microsoft YaHei" w:eastAsia="Microsoft YaHei" w:hAnsi="Microsoft YaHei" w:cs="Microsoft YaHei"/>
          <w:color w:val="92AB23"/>
          <w:spacing w:val="-1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92AB23"/>
          <w:spacing w:val="-6"/>
          <w:sz w:val="22"/>
          <w:szCs w:val="22"/>
        </w:rPr>
        <w:t>由正</w:t>
      </w:r>
      <w:r>
        <w:rPr>
          <w:rFonts w:ascii="Microsoft YaHei" w:eastAsia="Microsoft YaHei" w:hAnsi="Microsoft YaHei" w:cs="Microsoft YaHei"/>
          <w:color w:val="92AB23"/>
          <w:spacing w:val="-30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92AB23"/>
          <w:spacing w:val="-6"/>
          <w:sz w:val="22"/>
          <w:szCs w:val="22"/>
        </w:rPr>
        <w:t>谷</w:t>
      </w:r>
      <w:r>
        <w:rPr>
          <w:rFonts w:ascii="Microsoft YaHei" w:eastAsia="Microsoft YaHei" w:hAnsi="Microsoft YaHei" w:cs="Microsoft YaHei"/>
          <w:color w:val="92AB23"/>
          <w:spacing w:val="-1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92AB23"/>
          <w:spacing w:val="-6"/>
          <w:sz w:val="22"/>
          <w:szCs w:val="22"/>
        </w:rPr>
        <w:t>有</w:t>
      </w:r>
      <w:r>
        <w:rPr>
          <w:rFonts w:ascii="Microsoft YaHei" w:eastAsia="Microsoft YaHei" w:hAnsi="Microsoft YaHei" w:cs="Microsoft YaHei"/>
          <w:color w:val="92AB23"/>
          <w:spacing w:val="-2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92AB23"/>
          <w:spacing w:val="-6"/>
          <w:sz w:val="22"/>
          <w:szCs w:val="22"/>
        </w:rPr>
        <w:t>机</w:t>
      </w:r>
      <w:r>
        <w:rPr>
          <w:rFonts w:ascii="Microsoft YaHei" w:eastAsia="Microsoft YaHei" w:hAnsi="Microsoft YaHei" w:cs="Microsoft YaHei"/>
          <w:color w:val="92AB23"/>
          <w:spacing w:val="-28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92AB23"/>
          <w:spacing w:val="-6"/>
          <w:sz w:val="22"/>
          <w:szCs w:val="22"/>
        </w:rPr>
        <w:t>农</w:t>
      </w:r>
      <w:r>
        <w:rPr>
          <w:rFonts w:ascii="Microsoft YaHei" w:eastAsia="Microsoft YaHei" w:hAnsi="Microsoft YaHei" w:cs="Microsoft YaHei"/>
          <w:color w:val="92AB23"/>
          <w:spacing w:val="-16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92AB23"/>
          <w:spacing w:val="-6"/>
          <w:sz w:val="22"/>
          <w:szCs w:val="22"/>
        </w:rPr>
        <w:t>业</w:t>
      </w:r>
      <w:r>
        <w:rPr>
          <w:rFonts w:ascii="Microsoft YaHei" w:eastAsia="Microsoft YaHei" w:hAnsi="Microsoft YaHei" w:cs="Microsoft YaHei"/>
          <w:color w:val="92AB23"/>
          <w:spacing w:val="-27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92AB23"/>
          <w:spacing w:val="-6"/>
          <w:sz w:val="22"/>
          <w:szCs w:val="22"/>
        </w:rPr>
        <w:t>基金</w:t>
      </w:r>
      <w:r>
        <w:rPr>
          <w:rFonts w:ascii="Microsoft YaHei" w:eastAsia="Microsoft YaHei" w:hAnsi="Microsoft YaHei" w:cs="Microsoft YaHei"/>
          <w:color w:val="92AB23"/>
          <w:spacing w:val="-22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92AB23"/>
          <w:spacing w:val="-6"/>
          <w:sz w:val="22"/>
          <w:szCs w:val="22"/>
        </w:rPr>
        <w:t>支</w:t>
      </w:r>
      <w:r>
        <w:rPr>
          <w:rFonts w:ascii="Microsoft YaHei" w:eastAsia="Microsoft YaHei" w:hAnsi="Microsoft YaHei" w:cs="Microsoft YaHei"/>
          <w:color w:val="92AB23"/>
          <w:spacing w:val="-2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92AB23"/>
          <w:spacing w:val="-6"/>
          <w:sz w:val="22"/>
          <w:szCs w:val="22"/>
        </w:rPr>
        <w:t>持</w:t>
      </w:r>
    </w:p>
    <w:p>
      <w:pPr>
        <w:spacing w:line="176" w:lineRule="auto"/>
        <w:rPr>
          <w:rFonts w:ascii="Microsoft YaHei" w:eastAsia="Microsoft YaHei" w:hAnsi="Microsoft YaHei" w:cs="Microsoft YaHei"/>
          <w:sz w:val="22"/>
          <w:szCs w:val="22"/>
        </w:rPr>
        <w:sectPr>
          <w:headerReference w:type="default" r:id="rId15"/>
          <w:type w:val="nextPage"/>
          <w:pgSz w:w="10205" w:h="14741"/>
          <w:pgMar w:top="400" w:right="1530" w:bottom="0" w:left="1530" w:header="0" w:footer="0" w:gutter="0"/>
          <w:pgNumType w:start="5"/>
          <w:cols w:space="708"/>
          <w:titlePg w:val="0"/>
        </w:sectPr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206" w:line="178" w:lineRule="auto"/>
        <w:jc w:val="right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Calibri" w:eastAsia="Calibri" w:hAnsi="Calibri" w:cs="Calibri"/>
          <w:color w:val="92AB23"/>
          <w:spacing w:val="-7"/>
          <w:sz w:val="54"/>
          <w:szCs w:val="54"/>
        </w:rPr>
        <w:t>2024</w:t>
      </w:r>
      <w:r>
        <w:rPr>
          <w:rFonts w:ascii="Microsoft YaHei" w:eastAsia="Microsoft YaHei" w:hAnsi="Microsoft YaHei" w:cs="Microsoft YaHei"/>
          <w:color w:val="92AB23"/>
          <w:spacing w:val="-7"/>
          <w:sz w:val="48"/>
          <w:szCs w:val="48"/>
        </w:rPr>
        <w:t>年</w:t>
      </w:r>
    </w:p>
    <w:p>
      <w:pPr>
        <w:spacing w:before="67" w:line="168" w:lineRule="auto"/>
        <w:ind w:left="2765"/>
        <w:jc w:val="right"/>
        <w:rPr>
          <w:rFonts w:ascii="Microsoft YaHei" w:eastAsia="Microsoft YaHei" w:hAnsi="Microsoft YaHei" w:cs="Microsoft YaHei"/>
          <w:sz w:val="66"/>
          <w:szCs w:val="66"/>
        </w:rPr>
      </w:pPr>
      <w:r>
        <w:rPr>
          <w:rFonts w:ascii="Microsoft YaHei" w:eastAsia="Microsoft YaHei" w:hAnsi="Microsoft YaHei" w:cs="Microsoft YaHei"/>
          <w:color w:val="92AB23"/>
          <w:spacing w:val="-16"/>
          <w:sz w:val="66"/>
          <w:szCs w:val="66"/>
        </w:rPr>
        <w:t>世界有机</w:t>
      </w:r>
      <w:r>
        <w:rPr>
          <w:rFonts w:ascii="Microsoft YaHei" w:eastAsia="Microsoft YaHei" w:hAnsi="Microsoft YaHei" w:cs="Microsoft YaHei"/>
          <w:color w:val="92AB23"/>
          <w:spacing w:val="-15"/>
          <w:sz w:val="66"/>
          <w:szCs w:val="66"/>
        </w:rPr>
        <w:t>农业概</w:t>
      </w:r>
      <w:r>
        <w:rPr>
          <w:rFonts w:ascii="Microsoft YaHei" w:eastAsia="Microsoft YaHei" w:hAnsi="Microsoft YaHei" w:cs="Microsoft YaHei"/>
          <w:color w:val="92AB23"/>
          <w:spacing w:val="-11"/>
          <w:sz w:val="66"/>
          <w:szCs w:val="66"/>
        </w:rPr>
        <w:t>况</w:t>
      </w:r>
      <w:r>
        <w:rPr>
          <w:rFonts w:ascii="Microsoft YaHei" w:eastAsia="Microsoft YaHei" w:hAnsi="Microsoft YaHei" w:cs="Microsoft YaHei"/>
          <w:color w:val="92AB23"/>
          <w:spacing w:val="4"/>
          <w:sz w:val="66"/>
          <w:szCs w:val="66"/>
        </w:rPr>
        <w:t xml:space="preserve"> </w:t>
      </w:r>
      <w:r>
        <w:rPr>
          <w:rFonts w:ascii="Microsoft YaHei" w:eastAsia="Microsoft YaHei" w:hAnsi="Microsoft YaHei" w:cs="Microsoft YaHei"/>
          <w:color w:val="92AB23"/>
          <w:spacing w:val="-11"/>
          <w:sz w:val="66"/>
          <w:szCs w:val="66"/>
        </w:rPr>
        <w:t>与趋势预测</w:t>
      </w:r>
    </w:p>
    <w:p>
      <w:pPr>
        <w:spacing w:before="6" w:line="191" w:lineRule="auto"/>
        <w:ind w:left="3325" w:right="1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92AB23"/>
          <w:spacing w:val="-9"/>
          <w:sz w:val="22"/>
          <w:szCs w:val="22"/>
        </w:rPr>
        <w:t>瑞士有机农</w:t>
      </w:r>
      <w:r>
        <w:rPr>
          <w:rFonts w:ascii="Microsoft YaHei" w:eastAsia="Microsoft YaHei" w:hAnsi="Microsoft YaHei" w:cs="Microsoft YaHei"/>
          <w:color w:val="92AB23"/>
          <w:spacing w:val="-8"/>
          <w:sz w:val="22"/>
          <w:szCs w:val="22"/>
        </w:rPr>
        <w:t>业研究所（FiBL）和 IFOAM 国际有</w:t>
      </w:r>
      <w:r>
        <w:rPr>
          <w:rFonts w:ascii="Microsoft YaHei" w:eastAsia="Microsoft YaHei" w:hAnsi="Microsoft YaHei" w:cs="Microsoft YaHei"/>
          <w:color w:val="92AB23"/>
          <w:spacing w:val="-3"/>
          <w:sz w:val="22"/>
          <w:szCs w:val="22"/>
        </w:rPr>
        <w:t>机</w:t>
      </w:r>
      <w:r>
        <w:rPr>
          <w:rFonts w:ascii="Microsoft YaHei" w:eastAsia="Microsoft YaHei" w:hAnsi="Microsoft YaHei" w:cs="Microsoft YaHei"/>
          <w:color w:val="92AB23"/>
          <w:spacing w:val="1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92AB23"/>
          <w:spacing w:val="-2"/>
          <w:sz w:val="22"/>
          <w:szCs w:val="22"/>
        </w:rPr>
        <w:t>联盟（IFOAM - Organics International</w:t>
      </w:r>
      <w:r>
        <w:rPr>
          <w:rFonts w:ascii="Microsoft YaHei" w:eastAsia="Microsoft YaHei" w:hAnsi="Microsoft YaHei" w:cs="Microsoft YaHei"/>
          <w:color w:val="92AB23"/>
          <w:spacing w:val="-14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92AB23"/>
          <w:spacing w:val="-2"/>
          <w:sz w:val="22"/>
          <w:szCs w:val="22"/>
        </w:rPr>
        <w:t>）授权</w:t>
      </w:r>
    </w:p>
    <w:p>
      <w:pPr>
        <w:pStyle w:val="BodyText"/>
        <w:spacing w:line="377" w:lineRule="auto"/>
      </w:pPr>
    </w:p>
    <w:p>
      <w:pPr>
        <w:spacing w:line="2014" w:lineRule="exact"/>
        <w:ind w:firstLine="2395"/>
      </w:pPr>
      <w:r>
        <w:rPr>
          <w:position w:val="-40"/>
        </w:rPr>
        <w:drawing>
          <wp:inline distT="0" distB="0" distL="0" distR="0">
            <wp:extent cx="1988461" cy="1278783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88461" cy="1278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https://d.book118.com/015323204311011112</w:t>
        </w:r>
      </w:hyperlink>
    </w:p>
    <w:p>
      <w:pPr>
        <w:pStyle w:val="BodyText"/>
        <w:spacing w:line="242" w:lineRule="auto"/>
      </w:pPr>
    </w:p>
    <w:sectPr>
      <w:headerReference w:type="default" r:id="rId17"/>
      <w:pgSz w:w="10205" w:h="14741"/>
      <w:pgMar w:top="400" w:right="1133" w:bottom="0" w:left="1139" w:header="0" w:footer="0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5"/>
      <w:szCs w:val="15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image" Target="media/image6.png" /><Relationship Id="rId12" Type="http://schemas.openxmlformats.org/officeDocument/2006/relationships/header" Target="header3.xml" /><Relationship Id="rId13" Type="http://schemas.openxmlformats.org/officeDocument/2006/relationships/image" Target="media/image7.png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hyperlink" Target="https://d.book118.com/015323204311011112" TargetMode="External" /><Relationship Id="rId17" Type="http://schemas.openxmlformats.org/officeDocument/2006/relationships/header" Target="header6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jpe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2024-02-27T18:50:46Z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2024-02-27T18:54:29Z</vt:filetime>
  </property>
  <property fmtid="{D5CDD505-2E9C-101B-9397-08002B2CF9AE}" pid="3" name="CRO">
    <vt:lpwstr>wqlLaW5nc29mdCBQREYgdG8gV1BTIDkw</vt:lpwstr>
  </property>
</Properties>
</file>