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64" w:lineRule="auto"/>
      </w:pPr>
      <w:r>
        <w:pict>
          <v:rect id="_x0000_s1025" style="width:0.25pt;height:9in;margin-top:0;margin-left:575.85pt;mso-position-horizontal-relative:page;mso-position-vertical-relative:page;position:absolute;z-index:251659264" o:allowincell="f" filled="t" fillcolor="#6d6e71" stroked="f"/>
        </w:pict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4470400</wp:posOffset>
            </wp:positionH>
            <wp:positionV relativeFrom="page">
              <wp:posOffset>4099560</wp:posOffset>
            </wp:positionV>
            <wp:extent cx="2369819" cy="413003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69819" cy="4130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64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pStyle w:val="BodyText"/>
        <w:spacing w:line="265" w:lineRule="auto"/>
      </w:pPr>
    </w:p>
    <w:p>
      <w:pPr>
        <w:spacing w:before="202" w:line="220" w:lineRule="auto"/>
        <w:ind w:left="745"/>
        <w:outlineLvl w:val="0"/>
        <w:rPr>
          <w:rFonts w:ascii="SimSun" w:eastAsia="SimSun" w:hAnsi="SimSun" w:cs="SimSun"/>
          <w:sz w:val="62"/>
          <w:szCs w:val="62"/>
        </w:rPr>
      </w:pPr>
      <w:r>
        <w:rPr>
          <w:rFonts w:ascii="SimSun" w:eastAsia="SimSun" w:hAnsi="SimSun" w:cs="SimSun"/>
          <w:color w:val="FFFFFF"/>
          <w:spacing w:val="11"/>
          <w:sz w:val="62"/>
          <w:szCs w:val="62"/>
        </w:rPr>
        <w:t>加强医疗保健组织的三个步骤</w:t>
      </w: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  <w:sectPr>
          <w:headerReference w:type="default" r:id="rId5"/>
          <w:pgSz w:w="23040" w:h="12960"/>
          <w:pgMar w:top="400" w:right="0" w:bottom="0" w:left="0" w:header="0" w:footer="0" w:gutter="0"/>
          <w:cols w:space="708"/>
        </w:sectPr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pStyle w:val="BodyText"/>
        <w:spacing w:line="247" w:lineRule="auto"/>
      </w:pPr>
    </w:p>
    <w:p>
      <w:pPr>
        <w:spacing w:before="33" w:line="145" w:lineRule="exact"/>
        <w:ind w:left="309"/>
        <w:rPr>
          <w:rFonts w:ascii="Tahoma" w:eastAsia="Tahoma" w:hAnsi="Tahoma" w:cs="Tahoma"/>
          <w:sz w:val="10"/>
          <w:szCs w:val="10"/>
        </w:rPr>
      </w:pPr>
      <w:r>
        <w:pict>
          <v:group id="_x0000_s1026" style="width:265.1pt;height:266pt;margin-top:-200.12pt;margin-left:46pt;position:absolute;z-index:-251655168" coordorigin="0,0" coordsize="5302,5320" filled="f" stroked="f">
            <v:shape id="_x0000_s1027" style="width:2200;height:728;left:1428;position:absolute;top:4592" coordorigin="0,0" coordsize="2200,728" path="m2189,l16,l,727l2199,727l2189,xe" filled="t" fillcolor="#00548b" stroked="f"/>
            <v:shape id="_x0000_s1028" style="width:2443;height:4522;left:1386;position:absolute;top:76" coordorigin="0,0" coordsize="2443,4522" path="m1687,l757,l745,10l665,87l532,218l373,376l215,534l85,666l38,714l,756l,4522l2442,4522l2442,756l2438,679l2427,604l2408,531l2383,462l2352,396l2313,333l2271,275l2222,221l2167,173l2110,129l2047,91l1981,59l1912,34l1838,15l1763,4l1687,xe" filled="t" fillcolor="white" stroked="f"/>
            <v:shape id="_x0000_s1029" style="width:2498;height:4577;left:1359;position:absolute;top:49" coordorigin="0,0" coordsize="2498,4577" path="m1714,l784,l778,l775,l774,1l770,2l769,3l768,3l765,5l764,6l764,6l759,10l754,15l746,22l719,50l634,131l314,450l65,701l31,737l22,746l17,751l13,756l8,761l7,762l6,765l5,767l3,770l1,772l1,773l,776l,778l,4577l2498,4577l2498,4549l2443,4549l2443,4522l55,4522l55,797l50,797l37,790l30,783l30,783l27,782l63,782l90,755l170,671l541,300l709,133l754,91l775,70l789,56l793,53l784,53l784,26l1918,26l1863,13l1789,2l1714,xm1920,27l784,27l784,30l789,38l799,48l793,53l1714,53l1799,58l1880,72l1959,96l2034,127l2104,167l2169,213l2229,267l2283,326l2329,391l2369,462l2400,536l2424,615l2438,697l2443,782l2443,4549l2469,4549l2469,4522l2498,4522l2497,778l2494,707l2483,633l2465,562l2443,495l2413,430l2378,367l2338,308l2293,255l2241,205l2188,158l2129,118l2068,83l2001,55l1934,30l1920,27xm2498,4522l2469,4522l2469,4549l2498,4549l2498,4522xm38,790l50,797l50,796l38,790xm55,782l55,788l52,790l52,792l51,795l50,796l50,796l50,797l50,795l55,792l55,782xm55,792l50,795l50,797l55,797l55,792xm45,790l37,790l50,796l50,796l51,795l52,792l45,790xm63,782l55,782l55,792l55,790l63,782xm30,783l30,783l52,792l30,783xm55,782l27,782l52,792l52,790l55,788l55,782xm30,783l38,790l37,790l45,790l30,783xm784,26l784,53l786,53l790,52l784,26xm799,48l798,50l794,51l790,52l786,53l784,53l793,53l799,48xm1918,26l784,26l790,52l784,27l1920,27l1918,26xm784,27l790,52l794,51l784,27xm784,30l794,51l798,50l784,30xm789,38l798,50l799,48l789,38xm789,37l789,37l789,38l789,37xm784,30l784,30l784,30l784,30xe" filled="t" fillcolor="#00548b" stroked="f"/>
            <v:shape id="_x0000_s1030" style="width:2421;height:303;left:1403;position:absolute;top:4289" coordorigin="0,0" coordsize="2421,303" path="m,l2421,l2421,303l,303l,xe" filled="t" fillcolor="white" stroked="f"/>
            <v:shape id="_x0000_s1031" style="width:2476;height:357;left:1377;position:absolute;top:4260" coordorigin="0,0" coordsize="2476,357" path="m2476,l2422,l2422,53l2422,301l55,301l55,53l2422,53l2422,l,l,53l,301l,330l,357l2476,357l2476,330l2476,302l2449,302l2449,301l2476,301l2476,53l2476,xe" filled="t" fillcolor="#00548b" stroked="f"/>
            <v:shape id="_x0000_s1032" style="width:2243;height:5290;position:absolute;top:28" coordorigin="0,0" coordsize="2243,5290" path="m2242,1872l1232,1872l1233,2227l1227,3111l1200,4250l1143,5290l2242,5290l2242,1872xm2242,l2030,117l1558,383l1080,668l851,840l745,1112l502,1748l234,2473l54,3015l,3266l25,3535l169,3988l471,4790l1033,4481l988,4340l888,4004l773,3603l688,3268l656,3053l702,2835l877,2487l1232,1872l2242,1872l2242,xe" filled="t" fillcolor="white" stroked="f"/>
            <v:shape id="_x0000_s1033" style="width:2258;height:5320;left:13;position:absolute" coordorigin="0,0" coordsize="2258,5320" path="m1246,1920l1241,1920l1231,1940l1215,1980l1203,2000l1193,2016l1193,2100l1193,2300l1193,2420l1193,2480l1193,2620l1191,2760l1191,2820l1191,2900l1190,2980l1188,3060l1188,3140l1186,3220l1186,3300l1183,3400l1183,3480l1181,3560l1178,3660l1176,3740l1175,3820l1173,3920l1170,4000l1166,4100l1163,4200l1161,4280l1158,4380l1155,4460l1151,4560l1146,4640l1143,4740l1138,4820l1133,4900l1128,5000l1123,5080l1118,5160l1111,5240l1106,5320l1160,5320l1166,5240l1171,5160l1178,5080l1183,5000l1188,4900l1191,4820l1196,4740l1201,4640l1205,4560l1208,4460l1211,4380l1216,4280l1218,4200l1221,4100l1223,4020l1226,3920l1228,3840l1231,3740l1233,3660l1235,3560l1236,3480l1238,3400l1240,3300l1241,3220l1241,3140l1243,3060l1243,2980l1245,2900l1246,2760l1246,2620l1248,2480l1248,2420l1248,2300l1248,2100l1248,2000l1246,1940l1246,1920xm2258,40l2230,40l2244,60l2217,80l2204,85l2204,5320l2258,5320l2258,40xm813,860l785,940l763,1000l738,1060l708,1140l673,1240l636,1320l596,1440l553,1540l510,1660l463,1780l436,1860l408,1920l353,2080l325,2140l299,2220l272,2300l245,2360l220,2440l195,2500l162,2600l130,2680l101,2780l75,2860l51,2920l31,3000l15,3040l9,3080l4,3120l,3160l,3200l1,3260l9,3340l19,3420l32,3500l49,3580l67,3660l94,3780l122,3880l152,4000l185,4100l250,4300l280,4400l311,4500l340,4580l366,4660l388,4720l406,4760l421,4800l430,4840l433,4840l445,4860l471,4860l458,4820l446,4800l471,4785l468,4780l451,4740l431,4680l406,4600l378,4520l348,4440l315,4340l282,4240l249,4120l227,4060l205,3980l185,3900l165,3840l147,3760l130,3700l114,3620l94,3520l76,3440l65,3340l56,3260l54,3200l55,3160l57,3120l61,3080l67,3060l84,3000l104,2940l126,2880l152,2800l181,2700l214,2620l246,2520l274,2440l300,2380l328,2300l358,2220l386,2140l416,2060l505,1820l535,1740l563,1660l591,1600l620,1520l646,1460l683,1360l716,1260l748,1180l776,1120l865,880l813,880l816,861l813,860xm471,4785l446,4800l458,4820l471,4860l545,4820l483,4820l480,4800l471,4785xm986,4510l471,4785l480,4800l483,4820l545,4820l1053,4540l1048,4520l988,4520l986,4510xm1006,4500l986,4510l988,4520l1021,4520l1006,4500xm1041,4500l1006,4500l1021,4520l1048,4520l1041,4500xm1246,1820l1196,1900l1188,1920l1166,1960l1131,2020l1086,2100l1036,2200l978,2300l921,2420l886,2500l851,2560l818,2640l788,2720l758,2780l731,2860l711,2920l695,2960l680,3020l668,3060l656,3120l650,3160l645,3200l643,3240l643,3260l645,3280l646,3300l650,3320l661,3360l676,3440l693,3500l713,3580l733,3640l756,3720l778,3800l803,3900l826,3980l848,4060l886,4180l921,4300l951,4380l973,4460l986,4510l1006,4500l1041,4500l1035,4480l1021,4440l1003,4380l981,4300l956,4220l930,4140l901,4040l871,3940l846,3840l821,3760l796,3680l773,3580l751,3500l733,3440l716,3360l703,3300l701,3280l698,3280l698,3260l698,3240l698,3200l703,3160l711,3120l720,3080l738,3020l760,2940l786,2860l813,2800l846,2720l878,2640l913,2560l948,2480l985,2420l1021,2340l1063,2260l1105,2180l1143,2100l1176,2040l1191,2020l1193,2016l1193,1980l1193,1940l1193,1920l1246,1920l1246,1820xm1241,1920l1193,1920l1193,1940l1193,1980l1193,2016l1203,2000l1215,1980l1231,1940l1241,1920xm816,861l813,880l838,880l816,861xm885,860l816,860l816,861l838,880l876,880l885,860xm2258,l2208,20l2180,40l2135,60l2075,100l2004,140l1921,180l1831,220l1735,280l1635,340l1531,400l1384,480l1313,520l1243,560l1176,600l1113,640l1053,680l1006,720l963,740l923,780l891,800l876,800l863,820l851,820l841,840l828,840l825,860l906,860l948,820l1003,780l1066,740l1140,700l1218,640l1281,600l1348,560l1414,540l1690,380l1758,340l1823,300l1885,260l1960,220l2029,180l2089,140l2165,100l2204,85l2204,40l2258,40l2258,xm2230,40l2204,40l2204,85l2217,80l2244,60l2244,60l2230,40xe" filled="t" fillcolor="#00548b" stroked="f"/>
            <v:shape id="_x0000_s1034" style="width:2276;height:5290;left:3025;position:absolute;top:28" coordorigin="0,0" coordsize="2276,5290" path="m,l,5290l1105,5290l1107,4711l1082,4699l1108,4620l1111,4150l1100,3023l1083,2195l1076,1872l1790,1872l1533,1212l1420,927l1185,742l700,427l217,130l,xm1790,1872l1076,1872l1373,2630l1518,3049l1547,3271l1500,3450l1385,3788l1248,4201l1108,4620l1107,4711l1595,4953l2011,4110l2219,3644l2275,3389l2243,3179l2068,2623l1790,1872xm1108,4620l1082,4699l1107,4711l1108,4620xe" filled="t" fillcolor="white" stroked="f"/>
          </v:group>
        </w:pict>
      </w:r>
      <w:r>
        <w:drawing>
          <wp:anchor distT="0" distB="0" distL="0" distR="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-4513229</wp:posOffset>
            </wp:positionV>
            <wp:extent cx="13130528" cy="5349874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130528" cy="5349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822959</wp:posOffset>
            </wp:positionH>
            <wp:positionV relativeFrom="paragraph">
              <wp:posOffset>-4514498</wp:posOffset>
            </wp:positionV>
            <wp:extent cx="13807439" cy="5351144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07439" cy="5351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1</w:t>
      </w:r>
      <w:r>
        <w:rPr>
          <w:rFonts w:ascii="Tahoma" w:eastAsia="Tahoma" w:hAnsi="Tahoma" w:cs="Tahoma"/>
          <w:b/>
          <w:bCs/>
          <w:color w:val="6D6E71"/>
          <w:spacing w:val="23"/>
          <w:position w:val="1"/>
          <w:sz w:val="10"/>
          <w:szCs w:val="10"/>
        </w:rPr>
        <w:t xml:space="preserve">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 xml:space="preserve">| </w:t>
      </w:r>
      <w:r>
        <w:rPr>
          <w:rFonts w:ascii="SimSun" w:eastAsia="SimSun" w:hAnsi="SimSun" w:cs="SimSun"/>
          <w:color w:val="6D6E71"/>
          <w:spacing w:val="3"/>
          <w:position w:val="1"/>
          <w:sz w:val="10"/>
          <w:szCs w:val="10"/>
        </w:rPr>
        <w:t xml:space="preserve">迈向更强大的三个步骤他迈向更强大的医疗保健组织的三个步骤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>|</w:t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2</w:t>
      </w:r>
    </w:p>
    <w:p>
      <w:pPr>
        <w:spacing w:line="145" w:lineRule="exact"/>
        <w:rPr>
          <w:rFonts w:ascii="Tahoma" w:eastAsia="Tahoma" w:hAnsi="Tahoma" w:cs="Tahoma"/>
          <w:sz w:val="10"/>
          <w:szCs w:val="10"/>
        </w:rPr>
        <w:sectPr>
          <w:headerReference w:type="default" r:id="rId8"/>
          <w:type w:val="nextPage"/>
          <w:pgSz w:w="23040" w:h="12960"/>
          <w:pgMar w:top="400" w:right="0" w:bottom="0" w:left="0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2" w:lineRule="auto"/>
      </w:pPr>
      <w:r>
        <w:pict>
          <v:rect id="_x0000_s1035" style="width:0.25pt;height:9in;margin-top:0;margin-left:575.88pt;mso-position-horizontal-relative:page;mso-position-vertical-relative:page;position:absolute;z-index:251666432" o:allowincell="f" filled="t" fillcolor="#6d6e71" stroked="f"/>
        </w:pict>
      </w:r>
      <w:r>
        <w:pict>
          <v:shape id="_x0000_s1036" style="width:366.6pt;height:0.25pt;margin-top:229.46pt;margin-left:770.4pt;mso-position-horizontal-relative:page;mso-position-vertical-relative:page;position:absolute;z-index:251663360" coordorigin="0,0" coordsize="7332,5" o:allowincell="f" path="m,2l7331,2e" filled="f" strokecolor="#6d6e71" strokeweight="0.25pt"/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width:12.75pt;height:7.95pt;margin-top:279.63pt;margin-left:373.09pt;mso-position-horizontal-relative:page;mso-position-vertical-relative:page;position:absolute;z-index:251665408" o:allowincell="f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color w:val="6D6E71"/>
                      <w:spacing w:val="7"/>
                      <w:sz w:val="10"/>
                      <w:szCs w:val="10"/>
                      <w14:textOutline w14:w="1814">
                        <w14:solidFill>
                          <w14:srgbClr w14:val="6D6E71"/>
                        </w14:solidFill>
                        <w14:prstDash w14:val="solid"/>
                        <w14:miter w14:lim="10"/>
                      </w14:textOutline>
                    </w:rPr>
                    <w:t>图像</w:t>
                  </w:r>
                </w:p>
              </w:txbxContent>
            </v:textbox>
          </v:shape>
        </w:pic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33" w:line="145" w:lineRule="exact"/>
        <w:ind w:left="305"/>
        <w:rPr>
          <w:rFonts w:ascii="SimSun" w:eastAsia="SimSun" w:hAnsi="SimSun" w:cs="SimSun"/>
          <w:sz w:val="10"/>
          <w:szCs w:val="10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-7292170</wp:posOffset>
            </wp:positionV>
            <wp:extent cx="9632950" cy="82296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3295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3</w:t>
      </w:r>
      <w:r>
        <w:rPr>
          <w:rFonts w:ascii="Tahoma" w:eastAsia="Tahoma" w:hAnsi="Tahoma" w:cs="Tahoma"/>
          <w:b/>
          <w:bCs/>
          <w:color w:val="6D6E71"/>
          <w:spacing w:val="10"/>
          <w:position w:val="1"/>
          <w:sz w:val="10"/>
          <w:szCs w:val="10"/>
        </w:rPr>
        <w:t xml:space="preserve"> 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 xml:space="preserve">| </w:t>
      </w:r>
      <w:r>
        <w:rPr>
          <w:rFonts w:ascii="SimSun" w:eastAsia="SimSun" w:hAnsi="SimSun" w:cs="SimSun"/>
          <w:color w:val="6D6E71"/>
          <w:spacing w:val="3"/>
          <w:position w:val="1"/>
          <w:sz w:val="10"/>
          <w:szCs w:val="10"/>
        </w:rPr>
        <w:t>加强医疗保健组织的三个步骤</w:t>
      </w:r>
    </w:p>
    <w:p>
      <w:pPr>
        <w:pStyle w:val="BodyText"/>
        <w:spacing w:line="14" w:lineRule="auto"/>
        <w:rPr>
          <w:sz w:val="2"/>
        </w:rPr>
        <w:sectPr>
          <w:headerReference w:type="default" r:id="rId10"/>
          <w:footerReference w:type="default" r:id="rId11"/>
          <w:pgSz w:w="23040" w:h="12960"/>
          <w:pgMar w:top="1" w:right="297" w:bottom="1" w:left="0" w:header="0" w:footer="0" w:gutter="0"/>
          <w:pgNumType w:start="3"/>
          <w:cols w:num="2" w:space="708" w:equalWidth="0">
            <w:col w:w="15309" w:space="100"/>
            <w:col w:w="7335" w:space="0"/>
          </w:cols>
        </w:sect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46" w:line="277" w:lineRule="auto"/>
        <w:ind w:left="483" w:right="69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6D6E71"/>
          <w:spacing w:val="13"/>
          <w:sz w:val="14"/>
          <w:szCs w:val="14"/>
        </w:rPr>
        <w:t>这是一个激动人心的时刻，新的医疗创新彻底改变了行业，使提供者能够提供更好的护理。</w:t>
      </w:r>
      <w:r>
        <w:rPr>
          <w:rFonts w:ascii="SimSun" w:eastAsia="SimSun" w:hAnsi="SimSun" w:cs="SimSun"/>
          <w:color w:val="6D6E71"/>
          <w:spacing w:val="3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3"/>
          <w:sz w:val="14"/>
          <w:szCs w:val="14"/>
        </w:rPr>
        <w:t>然而，也有新的挑战。患者现在期望更多的价值和个性化的体验</w:t>
      </w:r>
      <w:r>
        <w:rPr>
          <w:rFonts w:ascii="SimSun" w:eastAsia="SimSun" w:hAnsi="SimSun" w:cs="SimSun"/>
          <w:color w:val="6D6E71"/>
          <w:spacing w:val="-7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6D6E71"/>
          <w:spacing w:val="13"/>
          <w:sz w:val="14"/>
          <w:szCs w:val="14"/>
        </w:rPr>
        <w:t xml:space="preserve">- </w:t>
      </w:r>
      <w:r>
        <w:rPr>
          <w:rFonts w:ascii="SimSun" w:eastAsia="SimSun" w:hAnsi="SimSun" w:cs="SimSun"/>
          <w:color w:val="6D6E71"/>
          <w:spacing w:val="13"/>
          <w:sz w:val="14"/>
          <w:szCs w:val="14"/>
        </w:rPr>
        <w:t>类似于他们在生活的其他</w:t>
      </w:r>
      <w:r>
        <w:rPr>
          <w:rFonts w:ascii="SimSun" w:eastAsia="SimSun" w:hAnsi="SimSun" w:cs="SimSun"/>
          <w:color w:val="6D6E7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4"/>
          <w:sz w:val="14"/>
          <w:szCs w:val="14"/>
        </w:rPr>
        <w:t>领域获得的体验。不断变化的监管环境和向基于价值的报销的转变给医疗</w:t>
      </w:r>
      <w:r>
        <w:rPr>
          <w:rFonts w:ascii="SimSun" w:eastAsia="SimSun" w:hAnsi="SimSun" w:cs="SimSun"/>
          <w:color w:val="6D6E71"/>
          <w:spacing w:val="13"/>
          <w:sz w:val="14"/>
          <w:szCs w:val="14"/>
        </w:rPr>
        <w:t>保健提供者带来了</w:t>
      </w:r>
      <w:r>
        <w:rPr>
          <w:rFonts w:ascii="SimSun" w:eastAsia="SimSun" w:hAnsi="SimSun" w:cs="SimSun"/>
          <w:color w:val="6D6E7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8"/>
          <w:sz w:val="14"/>
          <w:szCs w:val="14"/>
        </w:rPr>
        <w:t>额外的压力。</w:t>
      </w:r>
    </w:p>
    <w:p>
      <w:pPr>
        <w:spacing w:before="182" w:line="270" w:lineRule="auto"/>
        <w:ind w:left="483" w:right="480" w:firstLine="7"/>
        <w:jc w:val="both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6D6E71"/>
          <w:spacing w:val="14"/>
          <w:sz w:val="14"/>
          <w:szCs w:val="14"/>
        </w:rPr>
        <w:t>医护人员站在这些挑战的前线 ， 提供护理 ， 保持组织运转 ， 并最终定义患者体验。为了</w:t>
      </w:r>
      <w:r>
        <w:rPr>
          <w:rFonts w:ascii="SimSun" w:eastAsia="SimSun" w:hAnsi="SimSun" w:cs="SimSun"/>
          <w:color w:val="6D6E71"/>
          <w:spacing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8"/>
          <w:sz w:val="14"/>
          <w:szCs w:val="14"/>
        </w:rPr>
        <w:t>适应这些变化并随着变化而发展 ， 他们必须学习如何在不牺牲护理质量的情</w:t>
      </w:r>
      <w:r>
        <w:rPr>
          <w:rFonts w:ascii="SimSun" w:eastAsia="SimSun" w:hAnsi="SimSun" w:cs="SimSun"/>
          <w:color w:val="6D6E71"/>
          <w:spacing w:val="17"/>
          <w:sz w:val="14"/>
          <w:szCs w:val="14"/>
        </w:rPr>
        <w:t>况下提高效率</w:t>
      </w:r>
      <w:r>
        <w:rPr>
          <w:rFonts w:ascii="SimSun" w:eastAsia="SimSun" w:hAnsi="SimSun" w:cs="SimSun"/>
          <w:color w:val="6D6E7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5"/>
          <w:sz w:val="14"/>
          <w:szCs w:val="14"/>
        </w:rPr>
        <w:t>和降低成本。</w:t>
      </w:r>
    </w:p>
    <w:p>
      <w:pPr>
        <w:pStyle w:val="BodyText"/>
        <w:spacing w:line="280" w:lineRule="auto"/>
      </w:pPr>
    </w:p>
    <w:p>
      <w:pPr>
        <w:pStyle w:val="BodyText"/>
        <w:spacing w:line="281" w:lineRule="auto"/>
      </w:pPr>
    </w:p>
    <w:p>
      <w:pPr>
        <w:pStyle w:val="BodyText"/>
        <w:spacing w:line="281" w:lineRule="auto"/>
      </w:pPr>
    </w:p>
    <w:p>
      <w:pPr>
        <w:spacing w:before="40" w:line="200" w:lineRule="auto"/>
        <w:ind w:left="488"/>
        <w:rPr>
          <w:rFonts w:ascii="Trebuchet MS" w:eastAsia="Trebuchet MS" w:hAnsi="Trebuchet MS" w:cs="Trebuchet MS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2"/>
          <w:sz w:val="14"/>
          <w:szCs w:val="14"/>
        </w:rPr>
        <w:t>Introduction</w:t>
      </w:r>
    </w:p>
    <w:p>
      <w:pPr>
        <w:spacing w:before="196" w:line="225" w:lineRule="exact"/>
        <w:ind w:left="48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6D6E71"/>
          <w:spacing w:val="2"/>
          <w:position w:val="6"/>
          <w:sz w:val="14"/>
          <w:szCs w:val="14"/>
        </w:rPr>
        <w:t>1</w:t>
      </w:r>
      <w:r>
        <w:rPr>
          <w:rFonts w:ascii="Trebuchet MS" w:eastAsia="Trebuchet MS" w:hAnsi="Trebuchet MS" w:cs="Trebuchet MS"/>
          <w:b/>
          <w:bCs/>
          <w:color w:val="6D6E71"/>
          <w:spacing w:val="19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章加强组织的核心</w:t>
      </w:r>
    </w:p>
    <w:p>
      <w:pPr>
        <w:spacing w:line="209" w:lineRule="auto"/>
        <w:ind w:left="589"/>
        <w:rPr>
          <w:rFonts w:ascii="Tahoma" w:eastAsia="Tahoma" w:hAnsi="Tahoma" w:cs="Tahoma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7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7"/>
          <w:sz w:val="14"/>
          <w:szCs w:val="14"/>
        </w:rPr>
        <w:t>员工敬业度的</w:t>
      </w:r>
      <w:r>
        <w:rPr>
          <w:rFonts w:ascii="SimSun" w:eastAsia="SimSun" w:hAnsi="SimSun" w:cs="SimSun"/>
          <w:color w:val="6D6E71"/>
          <w:spacing w:val="-11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6D6E71"/>
          <w:sz w:val="14"/>
          <w:szCs w:val="14"/>
        </w:rPr>
        <w:t>ROI</w:t>
      </w:r>
    </w:p>
    <w:p>
      <w:pPr>
        <w:spacing w:before="60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10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10"/>
          <w:sz w:val="14"/>
          <w:szCs w:val="14"/>
        </w:rPr>
        <w:t>如何在医疗保健领域实现可持续参与</w:t>
      </w:r>
    </w:p>
    <w:p>
      <w:pPr>
        <w:spacing w:before="59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9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9"/>
          <w:sz w:val="14"/>
          <w:szCs w:val="14"/>
        </w:rPr>
        <w:t>寻找和激励最好的医疗保健工作者</w:t>
      </w:r>
    </w:p>
    <w:p>
      <w:pPr>
        <w:spacing w:before="189" w:line="218" w:lineRule="auto"/>
        <w:ind w:left="48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6D6E71"/>
          <w:spacing w:val="5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6D6E71"/>
          <w:spacing w:val="-12"/>
          <w:sz w:val="14"/>
          <w:szCs w:val="14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6D6E71"/>
          <w:spacing w:val="5"/>
          <w:sz w:val="14"/>
          <w:szCs w:val="14"/>
        </w:rPr>
        <w:t>2</w:t>
      </w:r>
      <w:r>
        <w:rPr>
          <w:rFonts w:ascii="Trebuchet MS" w:eastAsia="Trebuchet MS" w:hAnsi="Trebuchet MS" w:cs="Trebuchet MS"/>
          <w:b/>
          <w:bCs/>
          <w:color w:val="6D6E71"/>
          <w:spacing w:val="13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5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章提供更多价值和战略见解</w:t>
      </w:r>
    </w:p>
    <w:p>
      <w:pPr>
        <w:spacing w:before="62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6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6"/>
          <w:sz w:val="14"/>
          <w:szCs w:val="14"/>
        </w:rPr>
        <w:t>未来的金融功能</w:t>
      </w:r>
    </w:p>
    <w:p>
      <w:pPr>
        <w:spacing w:before="59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10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10"/>
          <w:sz w:val="14"/>
          <w:szCs w:val="14"/>
        </w:rPr>
        <w:t>医疗保健首席财务官聚焦 ： 来自</w:t>
      </w:r>
      <w:r>
        <w:rPr>
          <w:rFonts w:ascii="SimSun" w:eastAsia="SimSun" w:hAnsi="SimSun" w:cs="SimSun"/>
          <w:color w:val="6D6E71"/>
          <w:spacing w:val="-17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6D6E71"/>
          <w:sz w:val="14"/>
          <w:szCs w:val="14"/>
        </w:rPr>
        <w:t>Christiana</w:t>
      </w:r>
      <w:r>
        <w:rPr>
          <w:rFonts w:ascii="Tahoma" w:eastAsia="Tahoma" w:hAnsi="Tahoma" w:cs="Tahoma"/>
          <w:color w:val="6D6E71"/>
          <w:spacing w:val="10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6D6E71"/>
          <w:sz w:val="14"/>
          <w:szCs w:val="14"/>
        </w:rPr>
        <w:t>Care</w:t>
      </w:r>
      <w:r>
        <w:rPr>
          <w:rFonts w:ascii="Tahoma" w:eastAsia="Tahoma" w:hAnsi="Tahoma" w:cs="Tahoma"/>
          <w:color w:val="6D6E71"/>
          <w:spacing w:val="23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0"/>
          <w:sz w:val="14"/>
          <w:szCs w:val="14"/>
        </w:rPr>
        <w:t>的见解</w:t>
      </w:r>
    </w:p>
    <w:p>
      <w:pPr>
        <w:spacing w:before="59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5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5"/>
          <w:sz w:val="14"/>
          <w:szCs w:val="14"/>
        </w:rPr>
        <w:t>焦点领域 ： 改善供应链管理</w:t>
      </w:r>
    </w:p>
    <w:p>
      <w:pPr>
        <w:spacing w:before="61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7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7"/>
          <w:sz w:val="14"/>
          <w:szCs w:val="14"/>
        </w:rPr>
        <w:t xml:space="preserve">医疗保健首席财务官聚焦 ： 管理约翰 </w:t>
      </w:r>
      <w:r>
        <w:rPr>
          <w:rFonts w:ascii="Tahoma" w:eastAsia="Tahoma" w:hAnsi="Tahoma" w:cs="Tahoma"/>
          <w:color w:val="6D6E71"/>
          <w:spacing w:val="7"/>
          <w:sz w:val="14"/>
          <w:szCs w:val="14"/>
        </w:rPr>
        <w:t xml:space="preserve">· </w:t>
      </w:r>
      <w:r>
        <w:rPr>
          <w:rFonts w:ascii="SimSun" w:eastAsia="SimSun" w:hAnsi="SimSun" w:cs="SimSun"/>
          <w:color w:val="6D6E71"/>
          <w:spacing w:val="7"/>
          <w:sz w:val="14"/>
          <w:szCs w:val="14"/>
        </w:rPr>
        <w:t>缪尔健康的变革</w:t>
      </w:r>
    </w:p>
    <w:p>
      <w:pPr>
        <w:spacing w:before="189" w:line="225" w:lineRule="exact"/>
        <w:ind w:left="48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第</w:t>
      </w:r>
      <w:r>
        <w:rPr>
          <w:rFonts w:ascii="SimSun" w:eastAsia="SimSun" w:hAnsi="SimSun" w:cs="SimSun"/>
          <w:color w:val="6D6E71"/>
          <w:spacing w:val="-4"/>
          <w:position w:val="6"/>
          <w:sz w:val="14"/>
          <w:szCs w:val="14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6D6E71"/>
          <w:spacing w:val="2"/>
          <w:position w:val="6"/>
          <w:sz w:val="14"/>
          <w:szCs w:val="14"/>
        </w:rPr>
        <w:t>3</w:t>
      </w:r>
      <w:r>
        <w:rPr>
          <w:rFonts w:ascii="Trebuchet MS" w:eastAsia="Trebuchet MS" w:hAnsi="Trebuchet MS" w:cs="Trebuchet MS"/>
          <w:b/>
          <w:bCs/>
          <w:color w:val="6D6E71"/>
          <w:spacing w:val="13"/>
          <w:w w:val="101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章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：</w:t>
      </w:r>
      <w:r>
        <w:rPr>
          <w:rFonts w:ascii="SimSun" w:eastAsia="SimSun" w:hAnsi="SimSun" w:cs="SimSun"/>
          <w:color w:val="6D6E71"/>
          <w:spacing w:val="-14"/>
          <w:position w:val="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2"/>
          <w:position w:val="6"/>
          <w:sz w:val="14"/>
          <w:szCs w:val="14"/>
          <w14:textOutline w14:w="2540">
            <w14:solidFill>
              <w14:srgbClr w14:val="6D6E71"/>
            </w14:solidFill>
            <w14:prstDash w14:val="solid"/>
            <w14:miter w14:lim="10"/>
          </w14:textOutline>
        </w:rPr>
        <w:t>利用技术提供更好的体验</w:t>
      </w:r>
    </w:p>
    <w:p>
      <w:pPr>
        <w:spacing w:before="1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11"/>
          <w:sz w:val="16"/>
          <w:szCs w:val="16"/>
        </w:rPr>
        <w:t>•</w:t>
      </w:r>
      <w:r>
        <w:rPr>
          <w:rFonts w:ascii="Trebuchet MS" w:eastAsia="Trebuchet MS" w:hAnsi="Trebuchet MS" w:cs="Trebuchet MS"/>
          <w:b/>
          <w:bCs/>
          <w:color w:val="6D6E71"/>
          <w:spacing w:val="2"/>
          <w:sz w:val="16"/>
          <w:szCs w:val="16"/>
        </w:rPr>
        <w:t xml:space="preserve">  </w:t>
      </w:r>
      <w:r>
        <w:rPr>
          <w:rFonts w:ascii="Tahoma" w:eastAsia="Tahoma" w:hAnsi="Tahoma" w:cs="Tahoma"/>
          <w:color w:val="6D6E71"/>
          <w:sz w:val="14"/>
          <w:szCs w:val="14"/>
        </w:rPr>
        <w:t>CIO</w:t>
      </w:r>
      <w:r>
        <w:rPr>
          <w:rFonts w:ascii="Tahoma" w:eastAsia="Tahoma" w:hAnsi="Tahoma" w:cs="Tahoma"/>
          <w:color w:val="6D6E71"/>
          <w:spacing w:val="1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11"/>
          <w:sz w:val="14"/>
          <w:szCs w:val="14"/>
        </w:rPr>
        <w:t>如何引领云优先技术战略</w:t>
      </w:r>
    </w:p>
    <w:p>
      <w:pPr>
        <w:spacing w:before="60" w:line="208" w:lineRule="auto"/>
        <w:ind w:left="589"/>
        <w:rPr>
          <w:rFonts w:ascii="SimSun" w:eastAsia="SimSun" w:hAnsi="SimSun" w:cs="SimSun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8"/>
          <w:sz w:val="16"/>
          <w:szCs w:val="16"/>
        </w:rPr>
        <w:t xml:space="preserve">•  </w:t>
      </w:r>
      <w:r>
        <w:rPr>
          <w:rFonts w:ascii="SimSun" w:eastAsia="SimSun" w:hAnsi="SimSun" w:cs="SimSun"/>
          <w:color w:val="6D6E71"/>
          <w:spacing w:val="8"/>
          <w:sz w:val="14"/>
          <w:szCs w:val="14"/>
        </w:rPr>
        <w:t>医疗保健</w:t>
      </w:r>
      <w:r>
        <w:rPr>
          <w:rFonts w:ascii="SimSun" w:eastAsia="SimSun" w:hAnsi="SimSun" w:cs="SimSun"/>
          <w:color w:val="6D6E71"/>
          <w:spacing w:val="-8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6D6E71"/>
          <w:sz w:val="14"/>
          <w:szCs w:val="14"/>
        </w:rPr>
        <w:t>CIO</w:t>
      </w:r>
      <w:r>
        <w:rPr>
          <w:rFonts w:ascii="Tahoma" w:eastAsia="Tahoma" w:hAnsi="Tahoma" w:cs="Tahoma"/>
          <w:color w:val="6D6E71"/>
          <w:spacing w:val="16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6D6E71"/>
          <w:spacing w:val="8"/>
          <w:sz w:val="14"/>
          <w:szCs w:val="14"/>
        </w:rPr>
        <w:t>聚焦 ： 桑福德健康如何在工作日创新</w:t>
      </w:r>
    </w:p>
    <w:p>
      <w:pPr>
        <w:spacing w:before="194" w:line="200" w:lineRule="auto"/>
        <w:ind w:left="482"/>
        <w:rPr>
          <w:rFonts w:ascii="Trebuchet MS" w:eastAsia="Trebuchet MS" w:hAnsi="Trebuchet MS" w:cs="Trebuchet MS"/>
          <w:sz w:val="14"/>
          <w:szCs w:val="14"/>
        </w:rPr>
      </w:pPr>
      <w:r>
        <w:rPr>
          <w:rFonts w:ascii="Trebuchet MS" w:eastAsia="Trebuchet MS" w:hAnsi="Trebuchet MS" w:cs="Trebuchet MS"/>
          <w:b/>
          <w:bCs/>
          <w:color w:val="6D6E71"/>
          <w:spacing w:val="2"/>
          <w:sz w:val="14"/>
          <w:szCs w:val="14"/>
        </w:rPr>
        <w:t>Conclusion</w:t>
      </w: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spacing w:before="33" w:line="146" w:lineRule="exact"/>
        <w:jc w:val="right"/>
        <w:rPr>
          <w:rFonts w:ascii="Tahoma" w:eastAsia="Tahoma" w:hAnsi="Tahoma" w:cs="Tahoma"/>
          <w:sz w:val="10"/>
          <w:szCs w:val="10"/>
        </w:rPr>
      </w:pPr>
      <w:r>
        <w:rPr>
          <w:rFonts w:ascii="SimSun" w:eastAsia="SimSun" w:hAnsi="SimSun" w:cs="SimSun"/>
          <w:color w:val="6D6E71"/>
          <w:spacing w:val="3"/>
          <w:position w:val="1"/>
          <w:sz w:val="10"/>
          <w:szCs w:val="10"/>
        </w:rPr>
        <w:t xml:space="preserve">加强医疗保健组织的三个步骤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>|</w:t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4</w:t>
      </w:r>
    </w:p>
    <w:p>
      <w:pPr>
        <w:spacing w:line="146" w:lineRule="exact"/>
        <w:rPr>
          <w:rFonts w:ascii="Tahoma" w:eastAsia="Tahoma" w:hAnsi="Tahoma" w:cs="Tahoma"/>
          <w:sz w:val="10"/>
          <w:szCs w:val="10"/>
        </w:rPr>
        <w:sectPr>
          <w:headerReference w:type="default" r:id="rId12"/>
          <w:footerReference w:type="default" r:id="rId13"/>
          <w:type w:val="nextPage"/>
          <w:pgSz w:w="23040" w:h="12960"/>
          <w:pgMar w:top="1" w:right="297" w:bottom="1" w:left="0" w:header="0" w:footer="0" w:gutter="0"/>
          <w:pgNumType w:start="4"/>
          <w:cols w:num="2" w:space="708" w:equalWidth="0">
            <w:col w:w="15309" w:space="100"/>
            <w:col w:w="7335" w:space="0"/>
          </w:cols>
          <w:titlePg w:val="0"/>
        </w:sectPr>
      </w:pPr>
    </w:p>
    <w:p>
      <w:pPr>
        <w:pStyle w:val="BodyText"/>
        <w:spacing w:line="243" w:lineRule="auto"/>
      </w:pPr>
      <w:r>
        <w:pict>
          <v:shape id="_x0000_s1038" style="width:0.25pt;height:9in;margin-top:0;margin-left:575.85pt;mso-position-horizontal-relative:page;mso-position-vertical-relative:page;position:absolute;z-index:251669504" coordorigin="0,0" coordsize="5,12960" o:allowincell="f" path="m,l5,l5,12960l,12960l,xe" filled="t" fillcolor="#6d6e71" stroked="f"/>
        </w:pict>
      </w:r>
      <w:r>
        <w:drawing>
          <wp:anchor distT="0" distB="0" distL="0" distR="0" simplePos="0" relativeHeight="251667456" behindDoc="1" locked="0" layoutInCell="0" allowOverlap="1">
            <wp:simplePos x="0" y="0"/>
            <wp:positionH relativeFrom="page">
              <wp:posOffset>4234814</wp:posOffset>
            </wp:positionH>
            <wp:positionV relativeFrom="page">
              <wp:posOffset>2190114</wp:posOffset>
            </wp:positionV>
            <wp:extent cx="2157730" cy="6039485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039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spacing w:before="133" w:line="212" w:lineRule="auto"/>
        <w:ind w:left="12436"/>
        <w:rPr>
          <w:rFonts w:ascii="SimSun" w:eastAsia="SimSun" w:hAnsi="SimSun" w:cs="SimSun"/>
          <w:sz w:val="41"/>
          <w:szCs w:val="41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103567</wp:posOffset>
            </wp:positionV>
            <wp:extent cx="14630398" cy="6629399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30398" cy="6629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eastAsia="Trebuchet MS" w:hAnsi="Trebuchet MS" w:cs="Trebuchet MS"/>
          <w:b/>
          <w:bCs/>
          <w:color w:val="FFFFFF"/>
          <w:sz w:val="41"/>
          <w:szCs w:val="41"/>
        </w:rPr>
        <w:t>Chapter</w:t>
      </w:r>
      <w:r>
        <w:rPr>
          <w:rFonts w:ascii="Trebuchet MS" w:eastAsia="Trebuchet MS" w:hAnsi="Trebuchet MS" w:cs="Trebuchet MS"/>
          <w:b/>
          <w:bCs/>
          <w:color w:val="FFFFFF"/>
          <w:spacing w:val="65"/>
          <w:sz w:val="41"/>
          <w:szCs w:val="41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FFFFFF"/>
          <w:spacing w:val="18"/>
          <w:sz w:val="41"/>
          <w:szCs w:val="41"/>
        </w:rPr>
        <w:t>1:</w:t>
      </w:r>
      <w:r>
        <w:rPr>
          <w:rFonts w:ascii="SimSun" w:eastAsia="SimSun" w:hAnsi="SimSun" w:cs="SimSun"/>
          <w:color w:val="FFFFFF"/>
          <w:spacing w:val="18"/>
          <w:sz w:val="41"/>
          <w:szCs w:val="41"/>
        </w:rPr>
        <w:t>加强组织的核心</w:t>
      </w:r>
    </w:p>
    <w:p>
      <w:pPr>
        <w:spacing w:before="280" w:line="257" w:lineRule="auto"/>
        <w:ind w:left="12426" w:right="855" w:hanging="39"/>
        <w:rPr>
          <w:rFonts w:ascii="SimSun" w:eastAsia="SimSun" w:hAnsi="SimSun" w:cs="SimSun"/>
          <w:sz w:val="14"/>
          <w:szCs w:val="14"/>
        </w:rPr>
      </w:pPr>
      <w:r>
        <w:rPr>
          <w:rFonts w:ascii="Tahoma" w:eastAsia="Tahoma" w:hAnsi="Tahoma" w:cs="Tahoma"/>
          <w:color w:val="FFFFFF"/>
          <w:spacing w:val="13"/>
          <w:sz w:val="14"/>
          <w:szCs w:val="14"/>
        </w:rPr>
        <w:t>“</w:t>
      </w:r>
      <w:r>
        <w:rPr>
          <w:rFonts w:ascii="Tahoma" w:eastAsia="Tahoma" w:hAnsi="Tahoma" w:cs="Tahoma"/>
          <w:color w:val="FFFFFF"/>
          <w:spacing w:val="-3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医疗保健消费主义</w:t>
      </w:r>
      <w:r>
        <w:rPr>
          <w:rFonts w:ascii="SimSun" w:eastAsia="SimSun" w:hAnsi="SimSun" w:cs="SimSun"/>
          <w:color w:val="FFFFFF"/>
          <w:spacing w:val="-13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3"/>
          <w:sz w:val="14"/>
          <w:szCs w:val="14"/>
        </w:rPr>
        <w:t>”</w:t>
      </w:r>
      <w:r>
        <w:rPr>
          <w:rFonts w:ascii="Tahoma" w:eastAsia="Tahoma" w:hAnsi="Tahoma" w:cs="Tahoma"/>
          <w:color w:val="FFFFFF"/>
          <w:spacing w:val="17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的概念是一个快速增长的趋势。有了丰富的在线信息</w:t>
      </w:r>
      <w:r>
        <w:rPr>
          <w:rFonts w:ascii="SimSun" w:eastAsia="SimSun" w:hAnsi="SimSun" w:cs="SimSun"/>
          <w:color w:val="FFFFFF"/>
          <w:spacing w:val="-15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3"/>
          <w:sz w:val="14"/>
          <w:szCs w:val="14"/>
        </w:rPr>
        <w:t xml:space="preserve">- </w:t>
      </w: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包括对医生的评价和阅读评论的能力</w:t>
      </w:r>
      <w:r>
        <w:rPr>
          <w:rFonts w:ascii="SimSun" w:eastAsia="SimSun" w:hAnsi="SimSun" w:cs="SimSun"/>
          <w:color w:val="FFFFFF"/>
          <w:spacing w:val="-15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3"/>
          <w:sz w:val="14"/>
          <w:szCs w:val="14"/>
        </w:rPr>
        <w:t>-</w:t>
      </w:r>
      <w:r>
        <w:rPr>
          <w:rFonts w:ascii="Tahoma" w:eastAsia="Tahoma" w:hAnsi="Tahoma" w:cs="Tahoma"/>
          <w:color w:val="FFFFFF"/>
          <w:spacing w:val="17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患者有更</w:t>
      </w:r>
      <w:r>
        <w:rPr>
          <w:rFonts w:ascii="SimSun" w:eastAsia="SimSun" w:hAnsi="SimSun" w:cs="SimSun"/>
          <w:color w:val="FFFFFF"/>
          <w:spacing w:val="12"/>
          <w:sz w:val="14"/>
          <w:szCs w:val="14"/>
        </w:rPr>
        <w:t>多的途径来找到持续</w:t>
      </w:r>
      <w:r>
        <w:rPr>
          <w:rFonts w:ascii="SimSun" w:eastAsia="SimSun" w:hAnsi="SimSun" w:cs="SimSun"/>
          <w:color w:val="FFFFF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3"/>
          <w:sz w:val="14"/>
          <w:szCs w:val="14"/>
        </w:rPr>
        <w:t>提供良好体验的提供者。不断增加的自付费用，例如共同支付和免赔额，增加了以最佳价格寻找最佳提供商的重要性。</w:t>
      </w:r>
    </w:p>
    <w:p>
      <w:pPr>
        <w:spacing w:before="180" w:line="220" w:lineRule="auto"/>
        <w:ind w:left="12434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随着您自己的医疗保健组织转向以消费者为中心</w:t>
      </w: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>的模式 ， 您应该将最大的重点放在哪里 ？ 首先 ， 它应该是提高员工敬业度。您的员</w:t>
      </w:r>
    </w:p>
    <w:p>
      <w:pPr>
        <w:spacing w:before="58" w:line="220" w:lineRule="auto"/>
        <w:ind w:left="12427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>工是组织的核心 ， 他们的成功将使您的组</w:t>
      </w:r>
      <w:r>
        <w:rPr>
          <w:rFonts w:ascii="SimSun" w:eastAsia="SimSun" w:hAnsi="SimSun" w:cs="SimSun"/>
          <w:color w:val="FFFFFF"/>
          <w:spacing w:val="9"/>
          <w:sz w:val="14"/>
          <w:szCs w:val="14"/>
        </w:rPr>
        <w:t>织蓬勃发展。</w:t>
      </w:r>
    </w:p>
    <w:p>
      <w:pPr>
        <w:pStyle w:val="BodyText"/>
        <w:spacing w:line="366" w:lineRule="auto"/>
      </w:pPr>
    </w:p>
    <w:p>
      <w:pPr>
        <w:spacing w:before="134" w:line="220" w:lineRule="auto"/>
        <w:ind w:left="12455"/>
        <w:rPr>
          <w:rFonts w:ascii="Tahoma" w:eastAsia="Tahoma" w:hAnsi="Tahoma" w:cs="Tahoma"/>
          <w:sz w:val="41"/>
          <w:szCs w:val="41"/>
        </w:rPr>
      </w:pPr>
      <w:r>
        <w:rPr>
          <w:rFonts w:ascii="SimSun" w:eastAsia="SimSun" w:hAnsi="SimSun" w:cs="SimSun"/>
          <w:color w:val="FFFFFF"/>
          <w:spacing w:val="41"/>
          <w:sz w:val="41"/>
          <w:szCs w:val="41"/>
        </w:rPr>
        <w:t>员工敬业度的</w:t>
      </w:r>
      <w:r>
        <w:rPr>
          <w:rFonts w:ascii="SimSun" w:eastAsia="SimSun" w:hAnsi="SimSun" w:cs="SimSun"/>
          <w:color w:val="FFFFFF"/>
          <w:spacing w:val="-31"/>
          <w:sz w:val="41"/>
          <w:szCs w:val="41"/>
        </w:rPr>
        <w:t xml:space="preserve"> </w:t>
      </w:r>
      <w:r>
        <w:rPr>
          <w:rFonts w:ascii="Tahoma" w:eastAsia="Tahoma" w:hAnsi="Tahoma" w:cs="Tahoma"/>
          <w:color w:val="FFFFFF"/>
          <w:sz w:val="41"/>
          <w:szCs w:val="41"/>
        </w:rPr>
        <w:t>ROI</w:t>
      </w:r>
    </w:p>
    <w:p>
      <w:pPr>
        <w:spacing w:before="221" w:line="258" w:lineRule="auto"/>
        <w:ind w:left="12427" w:right="1368" w:hanging="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病人关系直接影响收入 ， 最终影响你的底线。然而</w:t>
      </w:r>
      <w:r>
        <w:rPr>
          <w:rFonts w:ascii="SimSun" w:eastAsia="SimSun" w:hAnsi="SimSun" w:cs="SimSun"/>
          <w:color w:val="F18B21"/>
          <w:spacing w:val="14"/>
          <w:sz w:val="14"/>
          <w:szCs w:val="14"/>
        </w:rPr>
        <w:t>一项调查</w:t>
      </w:r>
      <w:r>
        <w:rPr>
          <w:rFonts w:ascii="Tahoma" w:eastAsia="Tahoma" w:hAnsi="Tahoma" w:cs="Tahoma"/>
          <w:color w:val="FFFFFF"/>
          <w:sz w:val="14"/>
          <w:szCs w:val="14"/>
        </w:rPr>
        <w:t>Kaufman</w:t>
      </w:r>
      <w:r>
        <w:rPr>
          <w:rFonts w:ascii="Tahoma" w:eastAsia="Tahoma" w:hAnsi="Tahoma" w:cs="Tahoma"/>
          <w:color w:val="FFFFFF"/>
          <w:spacing w:val="25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Hall</w:t>
      </w:r>
      <w:r>
        <w:rPr>
          <w:rFonts w:ascii="Tahoma" w:eastAsia="Tahoma" w:hAnsi="Tahoma" w:cs="Tahoma"/>
          <w:color w:val="FFFFFF"/>
          <w:spacing w:val="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和</w:t>
      </w:r>
      <w:r>
        <w:rPr>
          <w:rFonts w:ascii="SimSun" w:eastAsia="SimSun" w:hAnsi="SimSun" w:cs="SimSun"/>
          <w:color w:val="FFFFFF"/>
          <w:spacing w:val="-17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Cadent</w:t>
      </w:r>
      <w:r>
        <w:rPr>
          <w:rFonts w:ascii="Tahoma" w:eastAsia="Tahoma" w:hAnsi="Tahoma" w:cs="Tahoma"/>
          <w:color w:val="FFFFFF"/>
          <w:spacing w:val="14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Consulting</w:t>
      </w:r>
      <w:r>
        <w:rPr>
          <w:rFonts w:ascii="Tahoma" w:eastAsia="Tahoma" w:hAnsi="Tahoma" w:cs="Tahoma"/>
          <w:color w:val="FFFFFF"/>
          <w:spacing w:val="14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Group</w:t>
      </w:r>
      <w:r>
        <w:rPr>
          <w:rFonts w:ascii="Tahoma" w:eastAsia="Tahoma" w:hAnsi="Tahoma" w:cs="Tahoma"/>
          <w:color w:val="FFFFFF"/>
          <w:spacing w:val="23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的研究表明 ， 培养这些关系并不</w:t>
      </w:r>
      <w:r>
        <w:rPr>
          <w:rFonts w:ascii="SimSun" w:eastAsia="SimSun" w:hAnsi="SimSun" w:cs="SimSun"/>
          <w:color w:val="FFFFF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0"/>
          <w:sz w:val="14"/>
          <w:szCs w:val="14"/>
        </w:rPr>
        <w:t xml:space="preserve">容易。超过四分之三的受访者表示 ， 理解患者经验很重要 ， 但不到六分之一的受访者表示 ， </w:t>
      </w:r>
      <w:r>
        <w:rPr>
          <w:rFonts w:ascii="SimSun" w:eastAsia="SimSun" w:hAnsi="SimSun" w:cs="SimSun"/>
          <w:color w:val="FFFFFF"/>
          <w:spacing w:val="9"/>
          <w:sz w:val="14"/>
          <w:szCs w:val="14"/>
        </w:rPr>
        <w:t>他们目前有能力实现这种理解。</w:t>
      </w:r>
    </w:p>
    <w:p>
      <w:pPr>
        <w:spacing w:before="177" w:line="271" w:lineRule="auto"/>
        <w:ind w:left="12428" w:right="1475" w:hanging="3"/>
        <w:jc w:val="both"/>
        <w:rPr>
          <w:rFonts w:ascii="Tahoma" w:eastAsia="Tahoma" w:hAnsi="Tahoma" w:cs="Tahoma"/>
          <w:sz w:val="14"/>
          <w:szCs w:val="14"/>
        </w:rPr>
      </w:pPr>
      <w:r>
        <w:rPr>
          <w:rFonts w:ascii="SimSun" w:eastAsia="SimSun" w:hAnsi="SimSun" w:cs="SimSun"/>
          <w:color w:val="FFFFFF"/>
          <w:spacing w:val="12"/>
          <w:sz w:val="14"/>
          <w:szCs w:val="14"/>
        </w:rPr>
        <w:t>输入员工敬业度的重要性。</w:t>
      </w:r>
      <w:r>
        <w:rPr>
          <w:rFonts w:ascii="SimSun" w:eastAsia="SimSun" w:hAnsi="SimSun" w:cs="SimSun"/>
          <w:color w:val="FFFFFF"/>
          <w:spacing w:val="4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18B21"/>
          <w:spacing w:val="12"/>
          <w:sz w:val="14"/>
          <w:szCs w:val="14"/>
        </w:rPr>
        <w:t>德勤的报告</w:t>
      </w:r>
      <w:r>
        <w:rPr>
          <w:rFonts w:ascii="SimSun" w:eastAsia="SimSun" w:hAnsi="SimSun" w:cs="SimSun"/>
          <w:color w:val="FFFFFF"/>
          <w:spacing w:val="12"/>
          <w:sz w:val="14"/>
          <w:szCs w:val="14"/>
        </w:rPr>
        <w:t>发现高度敬业的员工可能会提高患者体验，而更高的患者体验评分与盈利能力的提高有关。根据</w:t>
      </w:r>
      <w:r>
        <w:rPr>
          <w:rFonts w:ascii="SimSun" w:eastAsia="SimSun" w:hAnsi="SimSun" w:cs="SimSun"/>
          <w:color w:val="FFFFFF"/>
          <w:sz w:val="14"/>
          <w:szCs w:val="14"/>
        </w:rPr>
        <w:t xml:space="preserve"> 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该报告，</w:t>
      </w:r>
      <w:r>
        <w:rPr>
          <w:rFonts w:ascii="SimSun" w:eastAsia="SimSun" w:hAnsi="SimSun" w:cs="SimSun"/>
          <w:color w:val="FFFFFF"/>
          <w:spacing w:val="47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1"/>
          <w:sz w:val="14"/>
          <w:szCs w:val="14"/>
        </w:rPr>
        <w:t>“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专注于医院工作人员</w:t>
      </w:r>
      <w:r>
        <w:rPr>
          <w:rFonts w:ascii="SimSun" w:eastAsia="SimSun" w:hAnsi="SimSun" w:cs="SimSun"/>
          <w:color w:val="FFFFFF"/>
          <w:spacing w:val="-15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1"/>
          <w:sz w:val="14"/>
          <w:szCs w:val="14"/>
        </w:rPr>
        <w:t xml:space="preserve">-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特别是护士</w:t>
      </w:r>
      <w:r>
        <w:rPr>
          <w:rFonts w:ascii="SimSun" w:eastAsia="SimSun" w:hAnsi="SimSun" w:cs="SimSun"/>
          <w:color w:val="FFFFFF"/>
          <w:spacing w:val="-15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11"/>
          <w:sz w:val="14"/>
          <w:szCs w:val="14"/>
        </w:rPr>
        <w:t xml:space="preserve">- </w:t>
      </w:r>
      <w:r>
        <w:rPr>
          <w:rFonts w:ascii="SimSun" w:eastAsia="SimSun" w:hAnsi="SimSun" w:cs="SimSun"/>
          <w:color w:val="FFFFFF"/>
          <w:spacing w:val="11"/>
          <w:sz w:val="14"/>
          <w:szCs w:val="14"/>
        </w:rPr>
        <w:t>与患者和护理人员持续和富有成效的参与的承诺，可以帮助医院过渡到真正的以患者为中</w:t>
      </w:r>
      <w:r>
        <w:rPr>
          <w:rFonts w:ascii="SimSun" w:eastAsia="SimSun" w:hAnsi="SimSun" w:cs="SimSun"/>
          <w:color w:val="FFFFF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8"/>
          <w:sz w:val="14"/>
          <w:szCs w:val="14"/>
        </w:rPr>
        <w:t>心的文化，同时也有可能提高质量和财务绩效</w:t>
      </w:r>
      <w:r>
        <w:rPr>
          <w:rFonts w:ascii="SimSun" w:eastAsia="SimSun" w:hAnsi="SimSun" w:cs="SimSun"/>
          <w:color w:val="FFFFFF"/>
          <w:spacing w:val="7"/>
          <w:sz w:val="14"/>
          <w:szCs w:val="14"/>
        </w:rPr>
        <w:t>。</w:t>
      </w:r>
      <w:r>
        <w:rPr>
          <w:rFonts w:ascii="SimSun" w:eastAsia="SimSun" w:hAnsi="SimSun" w:cs="SimSun"/>
          <w:color w:val="FFFFFF"/>
          <w:spacing w:val="43"/>
          <w:w w:val="101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pacing w:val="7"/>
          <w:sz w:val="14"/>
          <w:szCs w:val="14"/>
        </w:rPr>
        <w:t>. "</w:t>
      </w:r>
    </w:p>
    <w:p>
      <w:pPr>
        <w:spacing w:before="178" w:line="258" w:lineRule="auto"/>
        <w:ind w:left="12425" w:right="1286" w:hanging="1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但是 ， 许多提供商没有正确的策略和基础来有效地吸引员工。请继续阅读医疗保健咨询公司</w:t>
      </w:r>
      <w:r>
        <w:rPr>
          <w:rFonts w:ascii="SimSun" w:eastAsia="SimSun" w:hAnsi="SimSun" w:cs="SimSun"/>
          <w:color w:val="FFFFFF"/>
          <w:spacing w:val="-13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Studer</w:t>
      </w:r>
      <w:r>
        <w:rPr>
          <w:rFonts w:ascii="Tahoma" w:eastAsia="Tahoma" w:hAnsi="Tahoma" w:cs="Tahoma"/>
          <w:color w:val="FFFFFF"/>
          <w:spacing w:val="14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Group</w:t>
      </w:r>
      <w:r>
        <w:rPr>
          <w:rFonts w:ascii="Tahoma" w:eastAsia="Tahoma" w:hAnsi="Tahoma" w:cs="Tahoma"/>
          <w:color w:val="FFFFFF"/>
          <w:spacing w:val="23"/>
          <w:w w:val="101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的高级领导人</w:t>
      </w:r>
      <w:r>
        <w:rPr>
          <w:rFonts w:ascii="SimSun" w:eastAsia="SimSun" w:hAnsi="SimSun" w:cs="SimSun"/>
          <w:color w:val="FFFFFF"/>
          <w:spacing w:val="-17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Craig</w:t>
      </w:r>
      <w:r>
        <w:rPr>
          <w:rFonts w:ascii="Tahoma" w:eastAsia="Tahoma" w:hAnsi="Tahoma" w:cs="Tahoma"/>
          <w:color w:val="FFFFFF"/>
          <w:spacing w:val="16"/>
          <w:sz w:val="14"/>
          <w:szCs w:val="14"/>
        </w:rPr>
        <w:t xml:space="preserve"> </w:t>
      </w:r>
      <w:r>
        <w:rPr>
          <w:rFonts w:ascii="Tahoma" w:eastAsia="Tahoma" w:hAnsi="Tahoma" w:cs="Tahoma"/>
          <w:color w:val="FFFFFF"/>
          <w:sz w:val="14"/>
          <w:szCs w:val="14"/>
        </w:rPr>
        <w:t>Deao</w:t>
      </w:r>
      <w:r>
        <w:rPr>
          <w:rFonts w:ascii="Tahoma" w:eastAsia="Tahoma" w:hAnsi="Tahoma" w:cs="Tahoma"/>
          <w:color w:val="FFFFFF"/>
          <w:spacing w:val="14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4"/>
          <w:sz w:val="14"/>
          <w:szCs w:val="14"/>
        </w:rPr>
        <w:t>和休</w:t>
      </w:r>
      <w:r>
        <w:rPr>
          <w:rFonts w:ascii="SimSun" w:eastAsia="SimSun" w:hAnsi="SimSun" w:cs="SimSun"/>
          <w:color w:val="FFFFFF"/>
          <w:sz w:val="14"/>
          <w:szCs w:val="14"/>
        </w:rPr>
        <w:t xml:space="preserve"> </w:t>
      </w:r>
      <w:r>
        <w:rPr>
          <w:rFonts w:ascii="SimSun" w:eastAsia="SimSun" w:hAnsi="SimSun" w:cs="SimSun"/>
          <w:color w:val="FFFFFF"/>
          <w:spacing w:val="12"/>
          <w:sz w:val="14"/>
          <w:szCs w:val="14"/>
        </w:rPr>
        <w:t>伦公司董事总经理关于此主题的专家建议。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  <w:sectPr>
          <w:headerReference w:type="default" r:id="rId16"/>
          <w:footerReference w:type="default" r:id="rId17"/>
          <w:pgSz w:w="23040" w:h="12960"/>
          <w:pgMar w:top="400" w:right="0" w:bottom="400" w:left="0" w:header="0" w:footer="0" w:gutter="0"/>
          <w:pgNumType w:start="5"/>
          <w:cols w:space="708"/>
        </w:sectPr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spacing w:before="33" w:line="146" w:lineRule="exact"/>
        <w:ind w:left="306"/>
        <w:rPr>
          <w:rFonts w:ascii="Tahoma" w:eastAsia="Tahoma" w:hAnsi="Tahoma" w:cs="Tahoma"/>
          <w:sz w:val="10"/>
          <w:szCs w:val="10"/>
        </w:rPr>
      </w:pPr>
      <w:r>
        <w:pict>
          <v:group id="_x0000_s1039" style="width:96.5pt;height:203.25pt;margin-top:-47.78pt;margin-left:136.35pt;position:absolute;z-index:-251645952" coordorigin="0,0" coordsize="1930,4065" filled="f" stroked="f">
            <v:shape id="_x0000_s1040" style="width:1930;height:4065;position:absolute" coordorigin="0,0" coordsize="1930,4065" path="m1870,l70,l,2959l100,4065l820,4065l816,3940l1011,870l1217,3770l1225,4065l1923,4065l1930,3920l1870,xe" filled="t" fillcolor="#00548c" stroked="f"/>
            <v:shape id="_x0000_s1041" style="width:195;height:3136;left:817;position:absolute;top:870" coordorigin="0,0" coordsize="195,3136" path="m5,2994m5,2994l,3070l2,3135l3,3100l3,3065l3,3030l5,2994l5,2994xm195,m195,l173,347l178,262l185,175l190,87l195,xe" filled="t" fillcolor="#cfe3f5" stroked="f"/>
          </v:group>
        </w:pict>
      </w:r>
      <w:r>
        <w:rPr>
          <w:rFonts w:ascii="Tahoma" w:eastAsia="Tahoma" w:hAnsi="Tahoma" w:cs="Tahoma"/>
          <w:b/>
          <w:bCs/>
          <w:color w:val="6D6E71"/>
          <w:spacing w:val="4"/>
          <w:position w:val="1"/>
          <w:sz w:val="10"/>
          <w:szCs w:val="10"/>
        </w:rPr>
        <w:t>5</w:t>
      </w:r>
      <w:r>
        <w:rPr>
          <w:rFonts w:ascii="Tahoma" w:eastAsia="Tahoma" w:hAnsi="Tahoma" w:cs="Tahoma"/>
          <w:b/>
          <w:bCs/>
          <w:color w:val="6D6E71"/>
          <w:spacing w:val="9"/>
          <w:w w:val="102"/>
          <w:position w:val="1"/>
          <w:sz w:val="10"/>
          <w:szCs w:val="10"/>
        </w:rPr>
        <w:t xml:space="preserve">  </w:t>
      </w:r>
      <w:r>
        <w:rPr>
          <w:rFonts w:ascii="Tahoma" w:eastAsia="Tahoma" w:hAnsi="Tahoma" w:cs="Tahoma"/>
          <w:color w:val="6D6E71"/>
          <w:spacing w:val="4"/>
          <w:position w:val="1"/>
          <w:sz w:val="10"/>
          <w:szCs w:val="10"/>
        </w:rPr>
        <w:t xml:space="preserve">| </w:t>
      </w:r>
      <w:r>
        <w:rPr>
          <w:rFonts w:ascii="SimSun" w:eastAsia="SimSun" w:hAnsi="SimSun" w:cs="SimSun"/>
          <w:color w:val="6D6E71"/>
          <w:spacing w:val="4"/>
          <w:position w:val="1"/>
          <w:sz w:val="10"/>
          <w:szCs w:val="10"/>
        </w:rPr>
        <w:t>迈向更强大的医疗保健组织的三个步骤迈</w:t>
      </w:r>
      <w:r>
        <w:rPr>
          <w:rFonts w:ascii="SimSun" w:eastAsia="SimSun" w:hAnsi="SimSun" w:cs="SimSun"/>
          <w:color w:val="6D6E71"/>
          <w:spacing w:val="3"/>
          <w:position w:val="1"/>
          <w:sz w:val="10"/>
          <w:szCs w:val="10"/>
        </w:rPr>
        <w:t xml:space="preserve">向更强大的医疗保健组织的三个步骤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>|</w:t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6</w:t>
      </w:r>
    </w:p>
    <w:p>
      <w:pPr>
        <w:spacing w:line="146" w:lineRule="exact"/>
        <w:rPr>
          <w:rFonts w:ascii="Tahoma" w:eastAsia="Tahoma" w:hAnsi="Tahoma" w:cs="Tahoma"/>
          <w:sz w:val="10"/>
          <w:szCs w:val="10"/>
        </w:rPr>
        <w:sectPr>
          <w:headerReference w:type="default" r:id="rId18"/>
          <w:footerReference w:type="default" r:id="rId19"/>
          <w:type w:val="nextPage"/>
          <w:pgSz w:w="23040" w:h="12960"/>
          <w:pgMar w:top="400" w:right="0" w:bottom="400" w:left="0" w:header="0" w:footer="0" w:gutter="0"/>
          <w:pgNumType w:start="6"/>
          <w:cols w:space="708"/>
          <w:titlePg w:val="0"/>
        </w:sectPr>
      </w:pPr>
    </w:p>
    <w:p>
      <w:pPr>
        <w:pStyle w:val="BodyText"/>
      </w:pPr>
      <w:r>
        <w:pict>
          <v:rect id="_x0000_s1042" style="width:0.25pt;height:9in;margin-top:0;margin-left:575.85pt;mso-position-horizontal-relative:page;mso-position-vertical-relative:page;position:absolute;z-index:251673600" o:allowincell="f" filled="t" fillcolor="#6d6e71" stroked="f"/>
        </w:pict>
      </w:r>
      <w:r>
        <w:pict>
          <v:shape id="_x0000_s1043" type="#_x0000_t202" style="width:12.75pt;height:7.95pt;margin-top:320.48pt;margin-left:273.39pt;mso-position-horizontal-relative:page;mso-position-vertical-relative:page;position:absolute;z-index:251672576" o:allowincell="f" filled="f" stroked="f">
            <o:lock v:ext="edit" aspectratio="f"/>
            <v:textbox inset="0,0,0,0">
              <w:txbxContent>
                <w:p>
                  <w:pPr>
                    <w:spacing w:before="19" w:line="220" w:lineRule="auto"/>
                    <w:ind w:left="20"/>
                    <w:rPr>
                      <w:rFonts w:ascii="SimSun" w:eastAsia="SimSun" w:hAnsi="SimSun" w:cs="SimSun"/>
                      <w:sz w:val="10"/>
                      <w:szCs w:val="10"/>
                    </w:rPr>
                  </w:pPr>
                  <w:r>
                    <w:rPr>
                      <w:rFonts w:ascii="SimSun" w:eastAsia="SimSun" w:hAnsi="SimSun" w:cs="SimSun"/>
                      <w:color w:val="6D6E71"/>
                      <w:spacing w:val="7"/>
                      <w:sz w:val="10"/>
                      <w:szCs w:val="10"/>
                      <w14:textOutline w14:w="1814">
                        <w14:solidFill>
                          <w14:srgbClr w14:val="6D6E71"/>
                        </w14:solidFill>
                        <w14:prstDash w14:val="solid"/>
                        <w14:miter w14:lim="10"/>
                      </w14:textOutline>
                    </w:rPr>
                    <w:t>图像</w:t>
                  </w:r>
                </w:p>
              </w:txbxContent>
            </v:textbox>
          </v:shape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pStyle w:val="BodyText"/>
        <w:spacing w:line="241" w:lineRule="auto"/>
      </w:pPr>
    </w:p>
    <w:p>
      <w:pPr>
        <w:spacing w:before="32" w:line="146" w:lineRule="exact"/>
        <w:ind w:left="305"/>
        <w:rPr>
          <w:rFonts w:ascii="SimSun" w:eastAsia="SimSun" w:hAnsi="SimSun" w:cs="SimSun"/>
          <w:sz w:val="10"/>
          <w:szCs w:val="10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-5829053</wp:posOffset>
            </wp:positionV>
            <wp:extent cx="7315199" cy="8229599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15199" cy="8229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eastAsia="Tahoma" w:hAnsi="Tahoma" w:cs="Tahoma"/>
          <w:b/>
          <w:bCs/>
          <w:color w:val="6D6E71"/>
          <w:spacing w:val="3"/>
          <w:position w:val="1"/>
          <w:sz w:val="10"/>
          <w:szCs w:val="10"/>
        </w:rPr>
        <w:t>7</w:t>
      </w:r>
      <w:r>
        <w:rPr>
          <w:rFonts w:ascii="Tahoma" w:eastAsia="Tahoma" w:hAnsi="Tahoma" w:cs="Tahoma"/>
          <w:b/>
          <w:bCs/>
          <w:color w:val="6D6E71"/>
          <w:spacing w:val="9"/>
          <w:w w:val="102"/>
          <w:position w:val="1"/>
          <w:sz w:val="10"/>
          <w:szCs w:val="10"/>
        </w:rPr>
        <w:t xml:space="preserve">  </w:t>
      </w:r>
      <w:r>
        <w:rPr>
          <w:rFonts w:ascii="Tahoma" w:eastAsia="Tahoma" w:hAnsi="Tahoma" w:cs="Tahoma"/>
          <w:color w:val="6D6E71"/>
          <w:spacing w:val="3"/>
          <w:position w:val="1"/>
          <w:sz w:val="10"/>
          <w:szCs w:val="10"/>
        </w:rPr>
        <w:t xml:space="preserve">| </w:t>
      </w:r>
      <w:r>
        <w:rPr>
          <w:rFonts w:ascii="SimSun" w:eastAsia="SimSun" w:hAnsi="SimSun" w:cs="SimSun"/>
          <w:color w:val="6D6E71"/>
          <w:spacing w:val="3"/>
          <w:position w:val="1"/>
          <w:sz w:val="10"/>
          <w:szCs w:val="10"/>
        </w:rPr>
        <w:t>加强医疗保健组织的三个步骤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  <w:r>
        <w:rPr>
          <w:sz w:val="2"/>
        </w:rPr>
        <w:br/>
      </w:r>
      <w:r>
        <w:rPr>
          <w:sz w:val="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https://d.book118.com/015342110331011034</w:t>
        </w:r>
      </w:hyperlink>
    </w:p>
    <w:p>
      <w:pPr>
        <w:pStyle w:val="BodyText"/>
        <w:spacing w:line="14" w:lineRule="auto"/>
        <w:rPr>
          <w:sz w:val="2"/>
        </w:rPr>
      </w:pPr>
    </w:p>
    <w:sectPr>
      <w:headerReference w:type="default" r:id="rId22"/>
      <w:footerReference w:type="default" r:id="rId23"/>
      <w:pgSz w:w="23040" w:h="12960"/>
      <w:pgMar w:top="1" w:right="297" w:bottom="1" w:left="0" w:header="0" w:footer="0" w:gutter="0"/>
      <w:pgNumType w:start="7"/>
      <w:cols w:num="2" w:space="708" w:equalWidth="0">
        <w:col w:w="12326" w:space="100"/>
        <w:col w:w="1031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4630400" cy="8229600"/>
              <wp:effectExtent l="0" t="0" r="0" b="0"/>
              <wp:wrapNone/>
              <wp:docPr id="2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30400" cy="8229600"/>
                      </a:xfrm>
                      <a:prstGeom prst="rect">
                        <a:avLst/>
                      </a:prstGeom>
                      <a:solidFill>
                        <a:srgbClr val="0063A7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49" style="width:16in;height:9in;margin-top:0;margin-left:0;mso-position-horizontal-relative:page;mso-position-vertical-relative:page;mso-wrap-distance-bottom:0;mso-wrap-distance-left:0;mso-wrap-distance-right:0;mso-wrap-distance-top:0;position:absolute;v-text-anchor:top;z-index:-251658240" o:allowincell="f" fillcolor="#0063a7" stroked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4630400" cy="8229600"/>
              <wp:effectExtent l="0" t="0" r="0" b="0"/>
              <wp:wrapNone/>
              <wp:docPr id="1938569166" name="Rect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30400" cy="8229600"/>
                      </a:xfrm>
                      <a:prstGeom prst="rect">
                        <a:avLst/>
                      </a:prstGeom>
                      <a:solidFill>
                        <a:srgbClr val="0063A7"/>
                      </a:solidFill>
                      <a:ln w="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</wps:wsp>
                </a:graphicData>
              </a:graphic>
            </wp:anchor>
          </w:drawing>
        </mc:Choice>
        <mc:Fallback>
          <w:pict>
            <v:rect id="Rect 2" o:spid="_x0000_s2050" style="width:16in;height:9in;margin-top:0;margin-left:0;mso-position-horizontal-relative:page;mso-position-vertical-relative:page;mso-wrap-distance-bottom:0;mso-wrap-distance-left:0;mso-wrap-distance-right:0;mso-wrap-distance-top:0;position:absolute;v-text-anchor:top;z-index:-251656192" o:allowincell="f" fillcolor="#0063a7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1" style="width:16in;height:9in;margin-top:0;margin-left:0;mso-position-horizontal-relative:page;mso-position-vertical-relative:page;position:absolute;z-index:251662336" o:allowincell="f" filled="t" fillcolor="#0063a7" stroked="f"/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  <w:r>
      <w:pict>
        <v:rect id="_x0000_s2052" style="width:16in;height:9in;margin-top:0;margin-left:0;mso-position-horizontal-relative:page;mso-position-vertical-relative:page;position:absolute;z-index:251663360" o:allowincell="f" filled="t" fillcolor="#0063a7" stroked="f"/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4"/>
      <w:szCs w:val="1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header" Target="header4.xml" /><Relationship Id="rId13" Type="http://schemas.openxmlformats.org/officeDocument/2006/relationships/footer" Target="footer2.xml" /><Relationship Id="rId14" Type="http://schemas.openxmlformats.org/officeDocument/2006/relationships/image" Target="media/image5.png" /><Relationship Id="rId15" Type="http://schemas.openxmlformats.org/officeDocument/2006/relationships/image" Target="media/image6.png" /><Relationship Id="rId16" Type="http://schemas.openxmlformats.org/officeDocument/2006/relationships/header" Target="header5.xml" /><Relationship Id="rId17" Type="http://schemas.openxmlformats.org/officeDocument/2006/relationships/footer" Target="footer3.xml" /><Relationship Id="rId18" Type="http://schemas.openxmlformats.org/officeDocument/2006/relationships/header" Target="header6.xml" /><Relationship Id="rId19" Type="http://schemas.openxmlformats.org/officeDocument/2006/relationships/footer" Target="footer4.xml" /><Relationship Id="rId2" Type="http://schemas.openxmlformats.org/officeDocument/2006/relationships/webSettings" Target="webSettings.xml" /><Relationship Id="rId20" Type="http://schemas.openxmlformats.org/officeDocument/2006/relationships/image" Target="media/image7.jpeg" /><Relationship Id="rId21" Type="http://schemas.openxmlformats.org/officeDocument/2006/relationships/hyperlink" Target="https://d.book118.com/015342110331011034" TargetMode="External" /><Relationship Id="rId22" Type="http://schemas.openxmlformats.org/officeDocument/2006/relationships/header" Target="header7.xml" /><Relationship Id="rId23" Type="http://schemas.openxmlformats.org/officeDocument/2006/relationships/footer" Target="footer5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2.xml" /><Relationship Id="rId9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2024-01-06T11:36:52Z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2024-01-06T13:34:44Z</vt:filetime>
  </property>
  <property fmtid="{D5CDD505-2E9C-101B-9397-08002B2CF9AE}" pid="3" name="CRO">
    <vt:lpwstr>wqlLaW5nc29mdCBQREYgdG8gV1BTIDkw</vt:lpwstr>
  </property>
</Properties>
</file>