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航天器及其运载工具、零件相关行业公司成立方案及可行性研究报告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_Toc13097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_Toc15133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3" w:history="1">
        <w:r>
          <w:rPr>
            <w:rFonts w:ascii="仿宋" w:eastAsia="仿宋" w:hAnsi="仿宋" w:cs="仿宋" w:hint="eastAsia"/>
            <w:lang w:eastAsia="zh-CN"/>
          </w:rPr>
          <w:t>(一)、航天器及其运载工具、零件项目选址原则</w:t>
        </w:r>
        <w:r>
          <w:tab/>
        </w:r>
        <w:r>
          <w:fldChar w:fldCharType="begin"/>
        </w:r>
        <w:r>
          <w:instrText xml:space="preserve"> PAGEREF _Toc16093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_Toc30995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(五)、航天器及其运载工具、零件项目选址综合评价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(七)、航天器及其运载工具、零件项目建设必要性分析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3" w:history="1">
        <w:r>
          <w:rPr>
            <w:rFonts w:ascii="仿宋" w:eastAsia="仿宋" w:hAnsi="仿宋" w:cs="仿宋" w:hint="eastAsia"/>
            <w:lang w:eastAsia="zh-CN"/>
          </w:rPr>
          <w:t>五、航天器及其运载工具、零件项目概况</w:t>
        </w:r>
        <w:r>
          <w:tab/>
        </w:r>
        <w:r>
          <w:fldChar w:fldCharType="begin"/>
        </w:r>
        <w:r>
          <w:instrText xml:space="preserve"> PAGEREF _Toc3713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_Toc23123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(二)、航天器及其运载工具、零件项目提出的理由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(三)、航天器及其运载工具、零件项目选址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_Toc18671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(六)、航天器及其运载工具、零件项目投资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(七)、航天器及其运载工具、零件项目进度规划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(九)、航天器及其运载工具、零件项目综合评价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_Toc4138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_Toc6894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_Toc31620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_Toc5463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_Toc3422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_Toc32578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(五)、航天器及其运载工具、零件项目总投资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_Toc31638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(一)、航天器及其运载工具、零件项目背景分析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(二)、航天器及其运载工具、零件项目建设必要性分析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_Toc19374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十、航天器及其运载工具、零件项目经济效益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6" w:history="1">
        <w:r>
          <w:rPr>
            <w:rFonts w:ascii="仿宋" w:eastAsia="仿宋" w:hAnsi="仿宋" w:cs="仿宋" w:hint="eastAsia"/>
            <w:lang w:eastAsia="zh-CN"/>
          </w:rPr>
          <w:t>(三)、航天器及其运载工具、零件项目盈利能力分析</w:t>
        </w:r>
        <w:r>
          <w:tab/>
        </w:r>
        <w:r>
          <w:fldChar w:fldCharType="begin"/>
        </w:r>
        <w:r>
          <w:instrText xml:space="preserve"> PAGEREF _Toc10716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4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4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https://d.book118.com/016052124224010050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航天器及其运载工具、零件相关行业公司成立方案及可行性研究报告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6052124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2024-02-03T13:15:00Z</dcterms:created>
  <dcterms:modified xsi:type="dcterms:W3CDTF">2024-02-03T13:15:37Z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ED997C2086804E7089AAB63FA35A71B3_11</vt:lpwstr>
  </property>
  <property fmtid="{D5CDD505-2E9C-101B-9397-08002B2CF9AE}" pid="3" name="KSOProductBuildVer">
    <vt:lpwstr>2052-12.1.0.16250</vt:lpwstr>
  </property>
</Properties>
</file>