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240" w:lineRule="auto"/>
        <w:rPr>
          <w:kern w:val="21"/>
          <w:sz w:val="28"/>
        </w:rPr>
      </w:pPr>
      <w:r>
        <w:rPr>
          <w:rFonts w:hAnsi="宋体"/>
          <w:b/>
          <w:kern w:val="21"/>
          <w:sz w:val="32"/>
        </w:rPr>
        <w:t>建设项目基本情况</w:t>
      </w: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1392"/>
        <w:gridCol w:w="154"/>
        <w:gridCol w:w="211"/>
        <w:gridCol w:w="1256"/>
        <w:gridCol w:w="285"/>
        <w:gridCol w:w="1427"/>
        <w:gridCol w:w="1383"/>
        <w:gridCol w:w="39"/>
        <w:gridCol w:w="24"/>
        <w:gridCol w:w="1407"/>
        <w:gridCol w:w="1563"/>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cantSplit/>
          <w:trHeight w:hRule="exact" w:val="384"/>
        </w:trPr>
        <w:tc>
          <w:tcPr>
            <w:tcW w:w="1392" w:type="dxa"/>
            <w:tcBorders>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项目名称</w:t>
            </w:r>
          </w:p>
        </w:tc>
        <w:tc>
          <w:tcPr>
            <w:tcW w:w="7749" w:type="dxa"/>
            <w:gridSpan w:val="10"/>
            <w:tcBorders>
              <w:left w:val="single" w:sz="8" w:space="0" w:color="auto"/>
              <w:bottom w:val="single" w:sz="8" w:space="0" w:color="auto"/>
            </w:tcBorders>
            <w:vAlign w:val="center"/>
          </w:tcPr>
          <w:p>
            <w:pPr>
              <w:snapToGrid w:val="0"/>
              <w:spacing w:line="240" w:lineRule="auto"/>
              <w:jc w:val="center"/>
              <w:rPr>
                <w:snapToGrid w:val="0"/>
                <w:spacing w:val="10"/>
                <w:sz w:val="24"/>
                <w:szCs w:val="24"/>
              </w:rPr>
            </w:pPr>
            <w:r>
              <w:rPr>
                <w:rFonts w:hint="eastAsia"/>
                <w:snapToGrid w:val="0"/>
                <w:spacing w:val="10"/>
                <w:sz w:val="24"/>
                <w:szCs w:val="24"/>
              </w:rPr>
              <w:t>抚州市旅游集散中心建设项目</w:t>
            </w:r>
          </w:p>
        </w:tc>
      </w:tr>
      <w:tr>
        <w:tblPrEx>
          <w:tblW w:w="9141" w:type="dxa"/>
          <w:tblInd w:w="91" w:type="dxa"/>
          <w:tblLayout w:type="fixed"/>
          <w:tblCellMar>
            <w:top w:w="0" w:type="dxa"/>
            <w:left w:w="108" w:type="dxa"/>
            <w:bottom w:w="0" w:type="dxa"/>
            <w:right w:w="108" w:type="dxa"/>
          </w:tblCellMar>
        </w:tblPrEx>
        <w:trPr>
          <w:cantSplit/>
          <w:trHeight w:hRule="exact" w:val="380"/>
        </w:trPr>
        <w:tc>
          <w:tcPr>
            <w:tcW w:w="1392" w:type="dxa"/>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u w:val="single"/>
              </w:rPr>
            </w:pPr>
            <w:r>
              <w:rPr>
                <w:rFonts w:ascii="宋体" w:hAnsi="宋体" w:cs="宋体" w:hint="eastAsia"/>
                <w:b/>
                <w:kern w:val="21"/>
                <w:sz w:val="24"/>
                <w:szCs w:val="24"/>
              </w:rPr>
              <w:t>建设单位</w:t>
            </w:r>
          </w:p>
        </w:tc>
        <w:tc>
          <w:tcPr>
            <w:tcW w:w="7749" w:type="dxa"/>
            <w:gridSpan w:val="10"/>
            <w:tcBorders>
              <w:top w:val="single" w:sz="8" w:space="0" w:color="auto"/>
              <w:left w:val="single" w:sz="8" w:space="0" w:color="auto"/>
              <w:bottom w:val="single" w:sz="8" w:space="0" w:color="auto"/>
            </w:tcBorders>
            <w:vAlign w:val="center"/>
          </w:tcPr>
          <w:p>
            <w:pPr>
              <w:snapToGrid w:val="0"/>
              <w:spacing w:line="240" w:lineRule="auto"/>
              <w:jc w:val="center"/>
              <w:rPr>
                <w:snapToGrid w:val="0"/>
                <w:spacing w:val="10"/>
                <w:sz w:val="24"/>
                <w:szCs w:val="24"/>
              </w:rPr>
            </w:pPr>
            <w:r>
              <w:rPr>
                <w:rFonts w:hint="eastAsia"/>
                <w:snapToGrid w:val="0"/>
                <w:spacing w:val="10"/>
                <w:sz w:val="24"/>
                <w:szCs w:val="24"/>
              </w:rPr>
              <w:t>抚州市文化旅游投资发展有限责任公司</w:t>
            </w:r>
          </w:p>
        </w:tc>
      </w:tr>
      <w:tr>
        <w:tblPrEx>
          <w:tblW w:w="9141" w:type="dxa"/>
          <w:tblInd w:w="91" w:type="dxa"/>
          <w:tblLayout w:type="fixed"/>
          <w:tblCellMar>
            <w:top w:w="0" w:type="dxa"/>
            <w:left w:w="108" w:type="dxa"/>
            <w:bottom w:w="0" w:type="dxa"/>
            <w:right w:w="108" w:type="dxa"/>
          </w:tblCellMar>
        </w:tblPrEx>
        <w:trPr>
          <w:cantSplit/>
          <w:trHeight w:hRule="exact" w:val="357"/>
        </w:trPr>
        <w:tc>
          <w:tcPr>
            <w:tcW w:w="1392" w:type="dxa"/>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u w:val="single"/>
              </w:rPr>
            </w:pPr>
            <w:r>
              <w:rPr>
                <w:rFonts w:ascii="宋体" w:hAnsi="宋体" w:cs="宋体" w:hint="eastAsia"/>
                <w:b/>
                <w:kern w:val="21"/>
                <w:sz w:val="24"/>
                <w:szCs w:val="24"/>
              </w:rPr>
              <w:t>法人代表</w:t>
            </w:r>
          </w:p>
        </w:tc>
        <w:tc>
          <w:tcPr>
            <w:tcW w:w="3333" w:type="dxa"/>
            <w:gridSpan w:val="5"/>
            <w:tcBorders>
              <w:top w:val="single" w:sz="8" w:space="0" w:color="auto"/>
              <w:left w:val="single" w:sz="8" w:space="0" w:color="auto"/>
              <w:bottom w:val="single" w:sz="8" w:space="0" w:color="auto"/>
              <w:right w:val="single" w:sz="8" w:space="0" w:color="auto"/>
            </w:tcBorders>
            <w:vAlign w:val="center"/>
          </w:tcPr>
          <w:p>
            <w:pPr>
              <w:pStyle w:val="211"/>
              <w:snapToGrid w:val="0"/>
              <w:rPr>
                <w:snapToGrid w:val="0"/>
                <w:spacing w:val="10"/>
                <w:kern w:val="0"/>
                <w:szCs w:val="24"/>
              </w:rPr>
            </w:pPr>
          </w:p>
        </w:tc>
        <w:tc>
          <w:tcPr>
            <w:tcW w:w="1422" w:type="dxa"/>
            <w:gridSpan w:val="2"/>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b/>
                <w:kern w:val="21"/>
                <w:sz w:val="24"/>
                <w:szCs w:val="24"/>
                <w:u w:val="single"/>
              </w:rPr>
            </w:pPr>
            <w:r>
              <w:rPr>
                <w:b/>
                <w:kern w:val="21"/>
                <w:sz w:val="24"/>
                <w:szCs w:val="24"/>
              </w:rPr>
              <w:t>联系人</w:t>
            </w:r>
          </w:p>
        </w:tc>
        <w:tc>
          <w:tcPr>
            <w:tcW w:w="2994" w:type="dxa"/>
            <w:gridSpan w:val="3"/>
            <w:tcBorders>
              <w:top w:val="single" w:sz="8" w:space="0" w:color="auto"/>
              <w:left w:val="single" w:sz="8" w:space="0" w:color="auto"/>
              <w:bottom w:val="single" w:sz="8" w:space="0" w:color="auto"/>
            </w:tcBorders>
            <w:vAlign w:val="center"/>
          </w:tcPr>
          <w:p>
            <w:pPr>
              <w:pStyle w:val="211"/>
              <w:snapToGrid w:val="0"/>
              <w:rPr>
                <w:snapToGrid w:val="0"/>
                <w:spacing w:val="10"/>
                <w:kern w:val="0"/>
                <w:szCs w:val="24"/>
              </w:rPr>
            </w:pPr>
            <w:bookmarkStart w:id="0" w:name="_GoBack"/>
            <w:bookmarkEnd w:id="0"/>
          </w:p>
        </w:tc>
      </w:tr>
      <w:tr>
        <w:tblPrEx>
          <w:tblW w:w="9141" w:type="dxa"/>
          <w:tblInd w:w="91" w:type="dxa"/>
          <w:tblLayout w:type="fixed"/>
          <w:tblCellMar>
            <w:top w:w="0" w:type="dxa"/>
            <w:left w:w="108" w:type="dxa"/>
            <w:bottom w:w="0" w:type="dxa"/>
            <w:right w:w="108" w:type="dxa"/>
          </w:tblCellMar>
        </w:tblPrEx>
        <w:trPr>
          <w:cantSplit/>
          <w:trHeight w:hRule="exact" w:val="384"/>
        </w:trPr>
        <w:tc>
          <w:tcPr>
            <w:tcW w:w="1392" w:type="dxa"/>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通讯地址</w:t>
            </w:r>
          </w:p>
        </w:tc>
        <w:tc>
          <w:tcPr>
            <w:tcW w:w="7749" w:type="dxa"/>
            <w:gridSpan w:val="10"/>
            <w:tcBorders>
              <w:top w:val="single" w:sz="8" w:space="0" w:color="auto"/>
              <w:left w:val="single" w:sz="8" w:space="0" w:color="auto"/>
              <w:bottom w:val="single" w:sz="8" w:space="0" w:color="auto"/>
            </w:tcBorders>
            <w:vAlign w:val="center"/>
          </w:tcPr>
          <w:p>
            <w:pPr>
              <w:snapToGrid w:val="0"/>
              <w:spacing w:line="240" w:lineRule="auto"/>
              <w:jc w:val="center"/>
              <w:rPr>
                <w:kern w:val="21"/>
                <w:sz w:val="24"/>
                <w:szCs w:val="24"/>
                <w:u w:val="single"/>
              </w:rPr>
            </w:pPr>
            <w:r>
              <w:rPr>
                <w:snapToGrid w:val="0"/>
                <w:spacing w:val="10"/>
                <w:sz w:val="24"/>
                <w:szCs w:val="24"/>
              </w:rPr>
              <w:t>江西省抚州市高新区市城市规划艺术展示中心5楼</w:t>
            </w:r>
          </w:p>
        </w:tc>
      </w:tr>
      <w:tr>
        <w:tblPrEx>
          <w:tblW w:w="9141" w:type="dxa"/>
          <w:tblInd w:w="91" w:type="dxa"/>
          <w:tblLayout w:type="fixed"/>
          <w:tblCellMar>
            <w:top w:w="0" w:type="dxa"/>
            <w:left w:w="108" w:type="dxa"/>
            <w:bottom w:w="0" w:type="dxa"/>
            <w:right w:w="108" w:type="dxa"/>
          </w:tblCellMar>
        </w:tblPrEx>
        <w:trPr>
          <w:trHeight w:hRule="exact" w:val="386"/>
        </w:trPr>
        <w:tc>
          <w:tcPr>
            <w:tcW w:w="1392" w:type="dxa"/>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u w:val="single"/>
              </w:rPr>
            </w:pPr>
            <w:r>
              <w:rPr>
                <w:rFonts w:ascii="宋体" w:hAnsi="宋体" w:cs="宋体" w:hint="eastAsia"/>
                <w:b/>
                <w:kern w:val="21"/>
                <w:sz w:val="24"/>
                <w:szCs w:val="24"/>
              </w:rPr>
              <w:t>联系电话</w:t>
            </w:r>
          </w:p>
        </w:tc>
        <w:tc>
          <w:tcPr>
            <w:tcW w:w="1906" w:type="dxa"/>
            <w:gridSpan w:val="4"/>
            <w:tcBorders>
              <w:top w:val="single" w:sz="8" w:space="0" w:color="auto"/>
              <w:left w:val="single" w:sz="8" w:space="0" w:color="auto"/>
              <w:bottom w:val="single" w:sz="8" w:space="0" w:color="auto"/>
              <w:right w:val="single" w:sz="8" w:space="0" w:color="auto"/>
            </w:tcBorders>
            <w:vAlign w:val="center"/>
          </w:tcPr>
          <w:p>
            <w:pPr>
              <w:pStyle w:val="211"/>
              <w:snapToGrid w:val="0"/>
              <w:rPr>
                <w:szCs w:val="24"/>
              </w:rPr>
            </w:pPr>
          </w:p>
        </w:tc>
        <w:tc>
          <w:tcPr>
            <w:tcW w:w="1427" w:type="dxa"/>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b/>
                <w:kern w:val="21"/>
                <w:sz w:val="24"/>
                <w:szCs w:val="24"/>
                <w:u w:val="single"/>
              </w:rPr>
            </w:pPr>
            <w:r>
              <w:rPr>
                <w:b/>
                <w:kern w:val="21"/>
                <w:sz w:val="24"/>
                <w:szCs w:val="24"/>
              </w:rPr>
              <w:t>传  真</w:t>
            </w:r>
          </w:p>
        </w:tc>
        <w:tc>
          <w:tcPr>
            <w:tcW w:w="1446" w:type="dxa"/>
            <w:gridSpan w:val="3"/>
            <w:tcBorders>
              <w:top w:val="single" w:sz="8" w:space="0" w:color="auto"/>
              <w:left w:val="single" w:sz="8" w:space="0" w:color="auto"/>
              <w:bottom w:val="single" w:sz="8" w:space="0" w:color="auto"/>
              <w:right w:val="single" w:sz="8" w:space="0" w:color="auto"/>
            </w:tcBorders>
            <w:vAlign w:val="center"/>
          </w:tcPr>
          <w:p>
            <w:pPr>
              <w:pStyle w:val="211"/>
              <w:snapToGrid w:val="0"/>
              <w:rPr>
                <w:kern w:val="21"/>
                <w:szCs w:val="24"/>
              </w:rPr>
            </w:pPr>
          </w:p>
        </w:tc>
        <w:tc>
          <w:tcPr>
            <w:tcW w:w="1407" w:type="dxa"/>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b/>
                <w:kern w:val="21"/>
                <w:sz w:val="24"/>
                <w:szCs w:val="24"/>
              </w:rPr>
            </w:pPr>
            <w:r>
              <w:rPr>
                <w:b/>
                <w:kern w:val="21"/>
                <w:sz w:val="24"/>
                <w:szCs w:val="24"/>
              </w:rPr>
              <w:t>邮政编码</w:t>
            </w:r>
          </w:p>
        </w:tc>
        <w:tc>
          <w:tcPr>
            <w:tcW w:w="1563" w:type="dxa"/>
            <w:tcBorders>
              <w:top w:val="single" w:sz="8" w:space="0" w:color="auto"/>
              <w:left w:val="single" w:sz="8" w:space="0" w:color="auto"/>
              <w:bottom w:val="single" w:sz="8" w:space="0" w:color="auto"/>
            </w:tcBorders>
            <w:vAlign w:val="center"/>
          </w:tcPr>
          <w:p>
            <w:pPr>
              <w:snapToGrid w:val="0"/>
              <w:spacing w:line="240" w:lineRule="auto"/>
              <w:jc w:val="center"/>
              <w:rPr>
                <w:kern w:val="21"/>
                <w:sz w:val="24"/>
                <w:szCs w:val="24"/>
              </w:rPr>
            </w:pPr>
          </w:p>
        </w:tc>
      </w:tr>
      <w:tr>
        <w:tblPrEx>
          <w:tblW w:w="9141" w:type="dxa"/>
          <w:tblInd w:w="91" w:type="dxa"/>
          <w:tblLayout w:type="fixed"/>
          <w:tblCellMar>
            <w:top w:w="0" w:type="dxa"/>
            <w:left w:w="108" w:type="dxa"/>
            <w:bottom w:w="0" w:type="dxa"/>
            <w:right w:w="108" w:type="dxa"/>
          </w:tblCellMar>
        </w:tblPrEx>
        <w:trPr>
          <w:cantSplit/>
          <w:trHeight w:hRule="exact" w:val="620"/>
        </w:trPr>
        <w:tc>
          <w:tcPr>
            <w:tcW w:w="1392" w:type="dxa"/>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建设地点</w:t>
            </w:r>
          </w:p>
        </w:tc>
        <w:tc>
          <w:tcPr>
            <w:tcW w:w="7749" w:type="dxa"/>
            <w:gridSpan w:val="10"/>
            <w:tcBorders>
              <w:top w:val="single" w:sz="8" w:space="0" w:color="auto"/>
              <w:left w:val="single" w:sz="8" w:space="0" w:color="auto"/>
              <w:bottom w:val="single" w:sz="8" w:space="0" w:color="auto"/>
            </w:tcBorders>
            <w:vAlign w:val="center"/>
          </w:tcPr>
          <w:p>
            <w:pPr>
              <w:jc w:val="center"/>
              <w:rPr>
                <w:kern w:val="21"/>
                <w:sz w:val="24"/>
                <w:szCs w:val="24"/>
                <w:u w:val="single"/>
              </w:rPr>
            </w:pPr>
            <w:r>
              <w:rPr>
                <w:rFonts w:hint="eastAsia"/>
                <w:snapToGrid w:val="0"/>
                <w:spacing w:val="10"/>
                <w:sz w:val="24"/>
                <w:szCs w:val="24"/>
              </w:rPr>
              <w:t>王安石大道以南，玉茗大道以西</w:t>
            </w:r>
          </w:p>
        </w:tc>
      </w:tr>
      <w:tr>
        <w:tblPrEx>
          <w:tblW w:w="9141" w:type="dxa"/>
          <w:tblInd w:w="91" w:type="dxa"/>
          <w:tblLayout w:type="fixed"/>
          <w:tblCellMar>
            <w:top w:w="0" w:type="dxa"/>
            <w:left w:w="108" w:type="dxa"/>
            <w:bottom w:w="0" w:type="dxa"/>
            <w:right w:w="108" w:type="dxa"/>
          </w:tblCellMar>
        </w:tblPrEx>
        <w:trPr>
          <w:cantSplit/>
          <w:trHeight w:hRule="exact" w:val="749"/>
        </w:trPr>
        <w:tc>
          <w:tcPr>
            <w:tcW w:w="1757" w:type="dxa"/>
            <w:gridSpan w:val="3"/>
            <w:tcBorders>
              <w:top w:val="single" w:sz="8" w:space="0" w:color="auto"/>
              <w:bottom w:val="single" w:sz="8" w:space="0" w:color="auto"/>
              <w:right w:val="single" w:sz="8" w:space="0" w:color="auto"/>
            </w:tcBorders>
            <w:vAlign w:val="center"/>
          </w:tcPr>
          <w:p>
            <w:pPr>
              <w:snapToGrid w:val="0"/>
              <w:spacing w:line="240" w:lineRule="auto"/>
              <w:ind w:left="-105" w:right="-105" w:leftChars="-50" w:rightChars="-50"/>
              <w:jc w:val="center"/>
              <w:rPr>
                <w:b/>
                <w:kern w:val="21"/>
                <w:sz w:val="24"/>
                <w:szCs w:val="24"/>
              </w:rPr>
            </w:pPr>
            <w:r>
              <w:rPr>
                <w:b/>
                <w:kern w:val="21"/>
                <w:sz w:val="24"/>
                <w:szCs w:val="24"/>
              </w:rPr>
              <w:t>立项审批部门</w:t>
            </w:r>
          </w:p>
        </w:tc>
        <w:tc>
          <w:tcPr>
            <w:tcW w:w="2968" w:type="dxa"/>
            <w:gridSpan w:val="3"/>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kern w:val="21"/>
                <w:sz w:val="24"/>
                <w:szCs w:val="24"/>
              </w:rPr>
            </w:pPr>
            <w:r>
              <w:rPr>
                <w:rFonts w:hint="eastAsia"/>
                <w:kern w:val="21"/>
                <w:sz w:val="24"/>
                <w:szCs w:val="24"/>
              </w:rPr>
              <w:t>抚州市发展和改革委员会</w:t>
            </w:r>
          </w:p>
        </w:tc>
        <w:tc>
          <w:tcPr>
            <w:tcW w:w="1383" w:type="dxa"/>
            <w:tcBorders>
              <w:top w:val="single" w:sz="8" w:space="0" w:color="auto"/>
              <w:left w:val="single" w:sz="8" w:space="0" w:color="auto"/>
              <w:bottom w:val="single" w:sz="8" w:space="0" w:color="auto"/>
              <w:right w:val="single" w:sz="8" w:space="0" w:color="auto"/>
            </w:tcBorders>
            <w:vAlign w:val="center"/>
          </w:tcPr>
          <w:p>
            <w:pPr>
              <w:snapToGrid w:val="0"/>
              <w:spacing w:line="240" w:lineRule="auto"/>
              <w:ind w:left="-105" w:right="-105" w:leftChars="-50" w:rightChars="-50"/>
              <w:jc w:val="center"/>
              <w:rPr>
                <w:b/>
                <w:kern w:val="21"/>
                <w:sz w:val="24"/>
                <w:szCs w:val="24"/>
              </w:rPr>
            </w:pPr>
            <w:r>
              <w:rPr>
                <w:b/>
                <w:kern w:val="21"/>
                <w:sz w:val="24"/>
                <w:szCs w:val="24"/>
              </w:rPr>
              <w:t>批准文号</w:t>
            </w:r>
          </w:p>
        </w:tc>
        <w:tc>
          <w:tcPr>
            <w:tcW w:w="3033" w:type="dxa"/>
            <w:gridSpan w:val="4"/>
            <w:tcBorders>
              <w:top w:val="single" w:sz="8" w:space="0" w:color="auto"/>
              <w:left w:val="single" w:sz="8" w:space="0" w:color="auto"/>
              <w:bottom w:val="single" w:sz="8" w:space="0" w:color="auto"/>
            </w:tcBorders>
            <w:vAlign w:val="center"/>
          </w:tcPr>
          <w:p>
            <w:pPr>
              <w:snapToGrid w:val="0"/>
              <w:spacing w:line="240" w:lineRule="auto"/>
              <w:jc w:val="center"/>
              <w:rPr>
                <w:kern w:val="21"/>
                <w:sz w:val="24"/>
                <w:szCs w:val="24"/>
              </w:rPr>
            </w:pPr>
            <w:r>
              <w:rPr>
                <w:rFonts w:hint="eastAsia"/>
                <w:kern w:val="21"/>
                <w:sz w:val="24"/>
                <w:szCs w:val="24"/>
              </w:rPr>
              <w:t>抚发改社会字[2017]11号</w:t>
            </w:r>
          </w:p>
        </w:tc>
      </w:tr>
      <w:tr>
        <w:tblPrEx>
          <w:tblW w:w="9141" w:type="dxa"/>
          <w:tblInd w:w="91" w:type="dxa"/>
          <w:tblLayout w:type="fixed"/>
          <w:tblCellMar>
            <w:top w:w="0" w:type="dxa"/>
            <w:left w:w="108" w:type="dxa"/>
            <w:bottom w:w="0" w:type="dxa"/>
            <w:right w:w="108" w:type="dxa"/>
          </w:tblCellMar>
        </w:tblPrEx>
        <w:trPr>
          <w:cantSplit/>
          <w:trHeight w:val="639"/>
        </w:trPr>
        <w:tc>
          <w:tcPr>
            <w:tcW w:w="1546" w:type="dxa"/>
            <w:gridSpan w:val="2"/>
            <w:tcBorders>
              <w:top w:val="single" w:sz="8" w:space="0" w:color="auto"/>
              <w:bottom w:val="single" w:sz="8" w:space="0" w:color="auto"/>
              <w:right w:val="single" w:sz="8" w:space="0" w:color="auto"/>
            </w:tcBorders>
            <w:vAlign w:val="center"/>
          </w:tcPr>
          <w:p>
            <w:pPr>
              <w:snapToGrid w:val="0"/>
              <w:spacing w:line="240" w:lineRule="auto"/>
              <w:jc w:val="center"/>
              <w:rPr>
                <w:b/>
                <w:kern w:val="21"/>
                <w:sz w:val="24"/>
                <w:szCs w:val="24"/>
              </w:rPr>
            </w:pPr>
            <w:r>
              <w:rPr>
                <w:b/>
                <w:kern w:val="21"/>
                <w:sz w:val="24"/>
                <w:szCs w:val="24"/>
              </w:rPr>
              <w:t>建设性质</w:t>
            </w:r>
          </w:p>
        </w:tc>
        <w:tc>
          <w:tcPr>
            <w:tcW w:w="3179" w:type="dxa"/>
            <w:gridSpan w:val="4"/>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snapToGrid w:val="0"/>
                <w:spacing w:val="10"/>
                <w:sz w:val="24"/>
                <w:szCs w:val="24"/>
              </w:rPr>
            </w:pPr>
            <w:r>
              <w:rPr>
                <w:snapToGrid w:val="0"/>
                <w:spacing w:val="10"/>
                <w:sz w:val="24"/>
                <w:szCs w:val="24"/>
              </w:rPr>
              <w:t>新建</w:t>
            </w:r>
          </w:p>
        </w:tc>
        <w:tc>
          <w:tcPr>
            <w:tcW w:w="1383" w:type="dxa"/>
            <w:tcBorders>
              <w:top w:val="single" w:sz="8" w:space="0" w:color="auto"/>
              <w:left w:val="single" w:sz="8" w:space="0" w:color="auto"/>
              <w:bottom w:val="single" w:sz="8" w:space="0" w:color="auto"/>
              <w:right w:val="single" w:sz="8" w:space="0" w:color="auto"/>
            </w:tcBorders>
            <w:vAlign w:val="center"/>
          </w:tcPr>
          <w:p>
            <w:pPr>
              <w:snapToGrid w:val="0"/>
              <w:spacing w:line="240" w:lineRule="auto"/>
              <w:ind w:left="-105" w:right="-105" w:leftChars="-50" w:rightChars="-50"/>
              <w:jc w:val="center"/>
              <w:rPr>
                <w:b/>
                <w:kern w:val="21"/>
                <w:sz w:val="24"/>
                <w:szCs w:val="24"/>
              </w:rPr>
            </w:pPr>
            <w:r>
              <w:rPr>
                <w:b/>
                <w:kern w:val="21"/>
                <w:sz w:val="24"/>
                <w:szCs w:val="24"/>
              </w:rPr>
              <w:t>行业类别及代码</w:t>
            </w:r>
          </w:p>
        </w:tc>
        <w:tc>
          <w:tcPr>
            <w:tcW w:w="3033" w:type="dxa"/>
            <w:gridSpan w:val="4"/>
            <w:tcBorders>
              <w:top w:val="single" w:sz="8" w:space="0" w:color="auto"/>
              <w:left w:val="single" w:sz="8" w:space="0" w:color="auto"/>
              <w:bottom w:val="single" w:sz="8" w:space="0" w:color="auto"/>
            </w:tcBorders>
            <w:vAlign w:val="center"/>
          </w:tcPr>
          <w:p>
            <w:pPr>
              <w:snapToGrid w:val="0"/>
              <w:spacing w:line="240" w:lineRule="auto"/>
              <w:jc w:val="center"/>
              <w:rPr>
                <w:sz w:val="24"/>
                <w:szCs w:val="24"/>
              </w:rPr>
            </w:pPr>
            <w:r>
              <w:rPr>
                <w:rFonts w:hint="eastAsia"/>
                <w:sz w:val="24"/>
                <w:szCs w:val="24"/>
              </w:rPr>
              <w:t>其他综合管理服务</w:t>
            </w:r>
          </w:p>
          <w:p>
            <w:pPr>
              <w:snapToGrid w:val="0"/>
              <w:spacing w:line="240" w:lineRule="auto"/>
              <w:jc w:val="center"/>
              <w:rPr>
                <w:kern w:val="21"/>
                <w:sz w:val="24"/>
                <w:szCs w:val="24"/>
              </w:rPr>
            </w:pPr>
            <w:r>
              <w:rPr>
                <w:rFonts w:hint="eastAsia"/>
                <w:sz w:val="24"/>
                <w:szCs w:val="24"/>
              </w:rPr>
              <w:t>L</w:t>
            </w:r>
            <w:r>
              <w:rPr>
                <w:sz w:val="24"/>
                <w:szCs w:val="24"/>
              </w:rPr>
              <w:t>7</w:t>
            </w:r>
            <w:r>
              <w:rPr>
                <w:rFonts w:hint="eastAsia"/>
                <w:sz w:val="24"/>
                <w:szCs w:val="24"/>
              </w:rPr>
              <w:t>229</w:t>
            </w:r>
          </w:p>
        </w:tc>
      </w:tr>
      <w:tr>
        <w:tblPrEx>
          <w:tblW w:w="9141" w:type="dxa"/>
          <w:tblInd w:w="91" w:type="dxa"/>
          <w:tblLayout w:type="fixed"/>
          <w:tblCellMar>
            <w:top w:w="0" w:type="dxa"/>
            <w:left w:w="108" w:type="dxa"/>
            <w:bottom w:w="0" w:type="dxa"/>
            <w:right w:w="108" w:type="dxa"/>
          </w:tblCellMar>
        </w:tblPrEx>
        <w:trPr>
          <w:cantSplit/>
          <w:trHeight w:val="749"/>
        </w:trPr>
        <w:tc>
          <w:tcPr>
            <w:tcW w:w="1546" w:type="dxa"/>
            <w:gridSpan w:val="2"/>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占地面积</w:t>
            </w:r>
          </w:p>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（平方米）</w:t>
            </w:r>
          </w:p>
        </w:tc>
        <w:tc>
          <w:tcPr>
            <w:tcW w:w="3179" w:type="dxa"/>
            <w:gridSpan w:val="4"/>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kern w:val="21"/>
                <w:sz w:val="24"/>
                <w:szCs w:val="24"/>
              </w:rPr>
            </w:pPr>
            <w:r>
              <w:rPr>
                <w:rFonts w:hint="eastAsia"/>
                <w:kern w:val="21"/>
                <w:sz w:val="24"/>
                <w:szCs w:val="24"/>
              </w:rPr>
              <w:t>60000</w:t>
            </w:r>
          </w:p>
        </w:tc>
        <w:tc>
          <w:tcPr>
            <w:tcW w:w="1383" w:type="dxa"/>
            <w:tcBorders>
              <w:top w:val="single" w:sz="8" w:space="0" w:color="auto"/>
              <w:left w:val="single" w:sz="8" w:space="0" w:color="auto"/>
              <w:bottom w:val="single" w:sz="8" w:space="0" w:color="auto"/>
              <w:right w:val="single" w:sz="8" w:space="0" w:color="auto"/>
            </w:tcBorders>
            <w:vAlign w:val="center"/>
          </w:tcPr>
          <w:p>
            <w:pPr>
              <w:snapToGrid w:val="0"/>
              <w:spacing w:line="240" w:lineRule="auto"/>
              <w:ind w:left="-105" w:right="-105" w:leftChars="-50" w:rightChars="-50"/>
              <w:jc w:val="center"/>
              <w:rPr>
                <w:rFonts w:ascii="宋体" w:hAnsi="宋体" w:cs="宋体"/>
                <w:b/>
                <w:kern w:val="21"/>
                <w:sz w:val="24"/>
                <w:szCs w:val="24"/>
              </w:rPr>
            </w:pPr>
            <w:r>
              <w:rPr>
                <w:rFonts w:ascii="宋体" w:hAnsi="宋体" w:cs="宋体" w:hint="eastAsia"/>
                <w:b/>
                <w:kern w:val="21"/>
                <w:sz w:val="24"/>
                <w:szCs w:val="24"/>
              </w:rPr>
              <w:t>绿化面积</w:t>
            </w:r>
          </w:p>
          <w:p>
            <w:pPr>
              <w:snapToGrid w:val="0"/>
              <w:spacing w:line="240" w:lineRule="auto"/>
              <w:ind w:left="-105" w:right="-105" w:leftChars="-50" w:rightChars="-50"/>
              <w:jc w:val="center"/>
              <w:rPr>
                <w:rFonts w:ascii="宋体" w:hAnsi="宋体" w:cs="宋体"/>
                <w:b/>
                <w:kern w:val="21"/>
                <w:sz w:val="24"/>
                <w:szCs w:val="24"/>
              </w:rPr>
            </w:pPr>
            <w:r>
              <w:rPr>
                <w:rFonts w:ascii="宋体" w:hAnsi="宋体" w:cs="宋体" w:hint="eastAsia"/>
                <w:b/>
                <w:kern w:val="21"/>
                <w:sz w:val="24"/>
                <w:szCs w:val="24"/>
              </w:rPr>
              <w:t>（平方米）</w:t>
            </w:r>
          </w:p>
        </w:tc>
        <w:tc>
          <w:tcPr>
            <w:tcW w:w="3033" w:type="dxa"/>
            <w:gridSpan w:val="4"/>
            <w:tcBorders>
              <w:top w:val="single" w:sz="8" w:space="0" w:color="auto"/>
              <w:left w:val="single" w:sz="8" w:space="0" w:color="auto"/>
              <w:bottom w:val="single" w:sz="8" w:space="0" w:color="auto"/>
            </w:tcBorders>
            <w:vAlign w:val="center"/>
          </w:tcPr>
          <w:p>
            <w:pPr>
              <w:pStyle w:val="211"/>
              <w:snapToGrid w:val="0"/>
              <w:rPr>
                <w:rFonts w:ascii="宋体" w:hAnsi="宋体" w:cs="宋体"/>
                <w:kern w:val="21"/>
                <w:szCs w:val="24"/>
              </w:rPr>
            </w:pPr>
            <w:r>
              <w:rPr>
                <w:rFonts w:hint="eastAsia"/>
                <w:kern w:val="21"/>
                <w:szCs w:val="24"/>
              </w:rPr>
              <w:t>21858</w:t>
            </w:r>
          </w:p>
        </w:tc>
      </w:tr>
      <w:tr>
        <w:tblPrEx>
          <w:tblW w:w="9141" w:type="dxa"/>
          <w:tblInd w:w="91" w:type="dxa"/>
          <w:tblLayout w:type="fixed"/>
          <w:tblCellMar>
            <w:top w:w="0" w:type="dxa"/>
            <w:left w:w="108" w:type="dxa"/>
            <w:bottom w:w="0" w:type="dxa"/>
            <w:right w:w="108" w:type="dxa"/>
          </w:tblCellMar>
        </w:tblPrEx>
        <w:trPr>
          <w:trHeight w:val="90"/>
        </w:trPr>
        <w:tc>
          <w:tcPr>
            <w:tcW w:w="1546" w:type="dxa"/>
            <w:gridSpan w:val="2"/>
            <w:tcBorders>
              <w:top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总投资</w:t>
            </w:r>
          </w:p>
          <w:p>
            <w:pPr>
              <w:snapToGrid w:val="0"/>
              <w:spacing w:line="240" w:lineRule="auto"/>
              <w:jc w:val="center"/>
              <w:rPr>
                <w:rFonts w:ascii="宋体" w:hAnsi="宋体" w:cs="宋体"/>
                <w:b/>
                <w:color w:val="FF0000"/>
                <w:kern w:val="21"/>
                <w:sz w:val="24"/>
                <w:szCs w:val="24"/>
              </w:rPr>
            </w:pPr>
            <w:r>
              <w:rPr>
                <w:rFonts w:ascii="宋体" w:hAnsi="宋体" w:cs="宋体" w:hint="eastAsia"/>
                <w:b/>
                <w:kern w:val="21"/>
                <w:sz w:val="24"/>
                <w:szCs w:val="24"/>
              </w:rPr>
              <w:t>（万元）</w:t>
            </w:r>
          </w:p>
        </w:tc>
        <w:tc>
          <w:tcPr>
            <w:tcW w:w="1467" w:type="dxa"/>
            <w:gridSpan w:val="2"/>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kern w:val="21"/>
                <w:sz w:val="24"/>
                <w:szCs w:val="24"/>
              </w:rPr>
            </w:pPr>
            <w:r>
              <w:rPr>
                <w:rFonts w:hint="eastAsia"/>
                <w:kern w:val="21"/>
                <w:sz w:val="24"/>
                <w:szCs w:val="24"/>
              </w:rPr>
              <w:t>50000</w:t>
            </w:r>
          </w:p>
        </w:tc>
        <w:tc>
          <w:tcPr>
            <w:tcW w:w="1712" w:type="dxa"/>
            <w:gridSpan w:val="2"/>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其中环保投资（万元）</w:t>
            </w:r>
          </w:p>
        </w:tc>
        <w:tc>
          <w:tcPr>
            <w:tcW w:w="1383" w:type="dxa"/>
            <w:tcBorders>
              <w:top w:val="single" w:sz="8" w:space="0" w:color="auto"/>
              <w:left w:val="single" w:sz="8" w:space="0" w:color="auto"/>
              <w:bottom w:val="single" w:sz="8" w:space="0" w:color="auto"/>
              <w:right w:val="single" w:sz="8" w:space="0" w:color="auto"/>
            </w:tcBorders>
            <w:vAlign w:val="center"/>
          </w:tcPr>
          <w:p>
            <w:pPr>
              <w:pStyle w:val="211"/>
              <w:snapToGrid w:val="0"/>
              <w:rPr>
                <w:snapToGrid w:val="0"/>
                <w:spacing w:val="10"/>
                <w:kern w:val="0"/>
                <w:szCs w:val="24"/>
              </w:rPr>
            </w:pPr>
            <w:r>
              <w:rPr>
                <w:rFonts w:hint="eastAsia"/>
                <w:snapToGrid w:val="0"/>
                <w:spacing w:val="10"/>
                <w:kern w:val="0"/>
                <w:szCs w:val="24"/>
              </w:rPr>
              <w:t>343</w:t>
            </w:r>
          </w:p>
        </w:tc>
        <w:tc>
          <w:tcPr>
            <w:tcW w:w="1470" w:type="dxa"/>
            <w:gridSpan w:val="3"/>
            <w:tcBorders>
              <w:top w:val="single" w:sz="8" w:space="0" w:color="auto"/>
              <w:left w:val="single" w:sz="8" w:space="0" w:color="auto"/>
              <w:bottom w:val="single" w:sz="8" w:space="0" w:color="auto"/>
              <w:right w:val="single" w:sz="8" w:space="0" w:color="auto"/>
            </w:tcBorders>
            <w:vAlign w:val="center"/>
          </w:tcPr>
          <w:p>
            <w:pPr>
              <w:snapToGrid w:val="0"/>
              <w:spacing w:line="240" w:lineRule="auto"/>
              <w:jc w:val="center"/>
              <w:rPr>
                <w:b/>
                <w:kern w:val="21"/>
                <w:sz w:val="24"/>
                <w:szCs w:val="24"/>
              </w:rPr>
            </w:pPr>
            <w:r>
              <w:rPr>
                <w:b/>
                <w:kern w:val="21"/>
                <w:sz w:val="24"/>
                <w:szCs w:val="24"/>
              </w:rPr>
              <w:t>环保投资</w:t>
            </w:r>
          </w:p>
          <w:p>
            <w:pPr>
              <w:snapToGrid w:val="0"/>
              <w:spacing w:line="240" w:lineRule="auto"/>
              <w:jc w:val="center"/>
              <w:rPr>
                <w:b/>
                <w:kern w:val="21"/>
                <w:sz w:val="24"/>
                <w:szCs w:val="24"/>
              </w:rPr>
            </w:pPr>
            <w:r>
              <w:rPr>
                <w:b/>
                <w:kern w:val="21"/>
                <w:sz w:val="24"/>
                <w:szCs w:val="24"/>
              </w:rPr>
              <w:t>占总投资比例</w:t>
            </w:r>
          </w:p>
        </w:tc>
        <w:tc>
          <w:tcPr>
            <w:tcW w:w="1563" w:type="dxa"/>
            <w:tcBorders>
              <w:top w:val="single" w:sz="8" w:space="0" w:color="auto"/>
              <w:left w:val="single" w:sz="8" w:space="0" w:color="auto"/>
              <w:bottom w:val="single" w:sz="8" w:space="0" w:color="auto"/>
            </w:tcBorders>
            <w:vAlign w:val="center"/>
          </w:tcPr>
          <w:p>
            <w:pPr>
              <w:pStyle w:val="211"/>
              <w:snapToGrid w:val="0"/>
              <w:rPr>
                <w:kern w:val="21"/>
                <w:szCs w:val="24"/>
              </w:rPr>
            </w:pPr>
            <w:r>
              <w:rPr>
                <w:kern w:val="21"/>
                <w:szCs w:val="24"/>
              </w:rPr>
              <w:t>0.</w:t>
            </w:r>
            <w:r>
              <w:rPr>
                <w:rFonts w:hint="eastAsia"/>
                <w:kern w:val="21"/>
                <w:szCs w:val="24"/>
              </w:rPr>
              <w:t>69</w:t>
            </w:r>
            <w:r>
              <w:rPr>
                <w:kern w:val="21"/>
                <w:szCs w:val="24"/>
              </w:rPr>
              <w:t>%</w:t>
            </w:r>
          </w:p>
        </w:tc>
      </w:tr>
      <w:tr>
        <w:tblPrEx>
          <w:tblW w:w="9141" w:type="dxa"/>
          <w:tblInd w:w="91" w:type="dxa"/>
          <w:tblLayout w:type="fixed"/>
          <w:tblCellMar>
            <w:top w:w="0" w:type="dxa"/>
            <w:left w:w="108" w:type="dxa"/>
            <w:bottom w:w="0" w:type="dxa"/>
            <w:right w:w="108" w:type="dxa"/>
          </w:tblCellMar>
        </w:tblPrEx>
        <w:trPr>
          <w:cantSplit/>
          <w:trHeight w:val="584"/>
        </w:trPr>
        <w:tc>
          <w:tcPr>
            <w:tcW w:w="1546" w:type="dxa"/>
            <w:gridSpan w:val="2"/>
            <w:tcBorders>
              <w:top w:val="single" w:sz="8" w:space="0" w:color="auto"/>
              <w:right w:val="single" w:sz="8" w:space="0" w:color="auto"/>
            </w:tcBorders>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评价经费</w:t>
            </w:r>
          </w:p>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（万元）</w:t>
            </w:r>
          </w:p>
        </w:tc>
        <w:tc>
          <w:tcPr>
            <w:tcW w:w="1467" w:type="dxa"/>
            <w:gridSpan w:val="2"/>
            <w:tcBorders>
              <w:top w:val="single" w:sz="8" w:space="0" w:color="auto"/>
              <w:left w:val="single" w:sz="8" w:space="0" w:color="auto"/>
              <w:right w:val="single" w:sz="8" w:space="0" w:color="auto"/>
            </w:tcBorders>
            <w:vAlign w:val="center"/>
          </w:tcPr>
          <w:p>
            <w:pPr>
              <w:snapToGrid w:val="0"/>
              <w:spacing w:line="240" w:lineRule="auto"/>
              <w:jc w:val="center"/>
              <w:rPr>
                <w:rFonts w:ascii="宋体" w:hAnsi="宋体" w:cs="宋体"/>
                <w:kern w:val="21"/>
                <w:sz w:val="24"/>
                <w:szCs w:val="24"/>
              </w:rPr>
            </w:pPr>
          </w:p>
        </w:tc>
        <w:tc>
          <w:tcPr>
            <w:tcW w:w="1712" w:type="dxa"/>
            <w:gridSpan w:val="2"/>
            <w:tcBorders>
              <w:top w:val="single" w:sz="8" w:space="0" w:color="auto"/>
              <w:left w:val="single" w:sz="8" w:space="0" w:color="auto"/>
              <w:right w:val="single" w:sz="8" w:space="0" w:color="auto"/>
            </w:tcBorders>
            <w:vAlign w:val="center"/>
          </w:tcPr>
          <w:p>
            <w:pPr>
              <w:snapToGrid w:val="0"/>
              <w:spacing w:line="240" w:lineRule="auto"/>
              <w:jc w:val="center"/>
              <w:rPr>
                <w:rFonts w:ascii="宋体" w:hAnsi="宋体" w:cs="宋体"/>
                <w:b/>
                <w:kern w:val="21"/>
                <w:sz w:val="24"/>
                <w:szCs w:val="24"/>
              </w:rPr>
            </w:pPr>
            <w:r>
              <w:rPr>
                <w:rFonts w:ascii="宋体" w:hAnsi="宋体" w:cs="宋体" w:hint="eastAsia"/>
                <w:b/>
                <w:kern w:val="21"/>
                <w:sz w:val="24"/>
                <w:szCs w:val="24"/>
              </w:rPr>
              <w:t>预期投产日期</w:t>
            </w:r>
          </w:p>
        </w:tc>
        <w:tc>
          <w:tcPr>
            <w:tcW w:w="4416" w:type="dxa"/>
            <w:gridSpan w:val="5"/>
            <w:tcBorders>
              <w:top w:val="single" w:sz="8" w:space="0" w:color="auto"/>
              <w:left w:val="single" w:sz="8" w:space="0" w:color="auto"/>
            </w:tcBorders>
            <w:vAlign w:val="center"/>
          </w:tcPr>
          <w:p>
            <w:pPr>
              <w:pStyle w:val="211"/>
              <w:snapToGrid w:val="0"/>
              <w:rPr>
                <w:rFonts w:ascii="宋体" w:hAnsi="宋体" w:cs="宋体"/>
                <w:kern w:val="21"/>
                <w:szCs w:val="24"/>
              </w:rPr>
            </w:pPr>
            <w:r>
              <w:rPr>
                <w:kern w:val="21"/>
                <w:szCs w:val="24"/>
              </w:rPr>
              <w:t>20</w:t>
            </w:r>
            <w:r>
              <w:rPr>
                <w:rFonts w:hint="eastAsia"/>
                <w:kern w:val="21"/>
                <w:szCs w:val="24"/>
              </w:rPr>
              <w:t>20</w:t>
            </w:r>
            <w:r>
              <w:rPr>
                <w:kern w:val="21"/>
                <w:szCs w:val="24"/>
              </w:rPr>
              <w:t>年</w:t>
            </w:r>
            <w:r>
              <w:rPr>
                <w:rFonts w:hint="eastAsia"/>
                <w:kern w:val="21"/>
                <w:szCs w:val="24"/>
              </w:rPr>
              <w:t>3</w:t>
            </w:r>
            <w:r>
              <w:rPr>
                <w:kern w:val="21"/>
                <w:szCs w:val="24"/>
              </w:rPr>
              <w:t>月</w:t>
            </w:r>
          </w:p>
        </w:tc>
      </w:tr>
      <w:tr>
        <w:tblPrEx>
          <w:tblW w:w="9141" w:type="dxa"/>
          <w:tblInd w:w="91" w:type="dxa"/>
          <w:tblLayout w:type="fixed"/>
          <w:tblCellMar>
            <w:top w:w="0" w:type="dxa"/>
            <w:left w:w="108" w:type="dxa"/>
            <w:bottom w:w="0" w:type="dxa"/>
            <w:right w:w="108" w:type="dxa"/>
          </w:tblCellMar>
        </w:tblPrEx>
        <w:trPr>
          <w:trHeight w:val="974"/>
        </w:trPr>
        <w:tc>
          <w:tcPr>
            <w:tcW w:w="9141" w:type="dxa"/>
            <w:gridSpan w:val="11"/>
            <w:vAlign w:val="center"/>
          </w:tcPr>
          <w:p>
            <w:pPr>
              <w:spacing w:line="360" w:lineRule="auto"/>
              <w:rPr>
                <w:kern w:val="21"/>
                <w:sz w:val="24"/>
              </w:rPr>
            </w:pPr>
            <w:r>
              <w:rPr>
                <w:rFonts w:hAnsi="宋体"/>
                <w:b/>
                <w:kern w:val="21"/>
                <w:sz w:val="28"/>
              </w:rPr>
              <w:t>工程内容及规模：</w:t>
            </w:r>
          </w:p>
          <w:p>
            <w:pPr>
              <w:tabs>
                <w:tab w:val="left" w:pos="0"/>
              </w:tabs>
              <w:spacing w:line="360" w:lineRule="auto"/>
              <w:rPr>
                <w:rFonts w:ascii="宋体" w:hAnsi="宋体" w:cs="宋体"/>
                <w:b/>
                <w:sz w:val="28"/>
                <w:szCs w:val="28"/>
              </w:rPr>
            </w:pPr>
            <w:r>
              <w:rPr>
                <w:rFonts w:ascii="宋体" w:hAnsi="宋体" w:cs="宋体" w:hint="eastAsia"/>
                <w:b/>
                <w:sz w:val="28"/>
                <w:szCs w:val="28"/>
              </w:rPr>
              <w:t>一、建设项目由来</w:t>
            </w:r>
          </w:p>
          <w:p>
            <w:pPr>
              <w:tabs>
                <w:tab w:val="left" w:pos="0"/>
              </w:tabs>
              <w:spacing w:line="360" w:lineRule="auto"/>
              <w:ind w:firstLine="480" w:firstLineChars="200"/>
              <w:rPr>
                <w:kern w:val="21"/>
                <w:sz w:val="24"/>
              </w:rPr>
            </w:pPr>
            <w:r>
              <w:rPr>
                <w:rFonts w:hint="eastAsia"/>
                <w:kern w:val="21"/>
                <w:sz w:val="24"/>
              </w:rPr>
              <w:t>省旅游发委将以“十三五”全省旅游规划编制为契机，将抚州旅游、昌抚旅游一体化作为全省“十三五”旅游规划的重点，全面打造以临川、金溪、黎川为主的文化旅游板块。抚州市旅游集散中心建设项目的建设是全面推广抚州旅游的品牌形象，提升抚州中心城区旅游接待水平和能力，进而在新常态下实现城市发展动能的切换，建设赣、浙、闽、皖四省十市区域城市旅游综合体的新标杆。</w:t>
            </w:r>
          </w:p>
          <w:p>
            <w:pPr>
              <w:tabs>
                <w:tab w:val="left" w:pos="0"/>
              </w:tabs>
              <w:spacing w:line="360" w:lineRule="auto"/>
              <w:ind w:firstLine="480" w:firstLineChars="200"/>
              <w:rPr>
                <w:kern w:val="21"/>
                <w:sz w:val="24"/>
              </w:rPr>
            </w:pPr>
            <w:r>
              <w:rPr>
                <w:rFonts w:hint="eastAsia"/>
                <w:kern w:val="21"/>
                <w:sz w:val="24"/>
              </w:rPr>
              <w:t>因此</w:t>
            </w:r>
            <w:r>
              <w:rPr>
                <w:kern w:val="21"/>
                <w:sz w:val="24"/>
              </w:rPr>
              <w:t>，</w:t>
            </w:r>
            <w:r>
              <w:rPr>
                <w:rFonts w:hint="eastAsia"/>
                <w:snapToGrid w:val="0"/>
                <w:spacing w:val="10"/>
                <w:sz w:val="24"/>
                <w:szCs w:val="24"/>
              </w:rPr>
              <w:t>抚州市文化旅游投资发展有限责任公司</w:t>
            </w:r>
            <w:r>
              <w:rPr>
                <w:kern w:val="21"/>
                <w:sz w:val="24"/>
              </w:rPr>
              <w:t>拟投资</w:t>
            </w:r>
            <w:r>
              <w:rPr>
                <w:rFonts w:hint="eastAsia"/>
                <w:snapToGrid w:val="0"/>
                <w:spacing w:val="10"/>
                <w:sz w:val="24"/>
                <w:szCs w:val="24"/>
              </w:rPr>
              <w:t>50000</w:t>
            </w:r>
            <w:r>
              <w:rPr>
                <w:kern w:val="21"/>
                <w:sz w:val="24"/>
              </w:rPr>
              <w:t>万元建设</w:t>
            </w:r>
            <w:r>
              <w:rPr>
                <w:rFonts w:hint="eastAsia"/>
                <w:snapToGrid w:val="0"/>
                <w:spacing w:val="10"/>
                <w:sz w:val="24"/>
                <w:szCs w:val="24"/>
              </w:rPr>
              <w:t>抚州市旅游集散中心建设项目</w:t>
            </w:r>
            <w:r>
              <w:rPr>
                <w:kern w:val="21"/>
                <w:sz w:val="24"/>
              </w:rPr>
              <w:t>。本项目建设性质为新建，</w:t>
            </w:r>
            <w:r>
              <w:rPr>
                <w:rFonts w:hint="eastAsia"/>
                <w:kern w:val="21"/>
                <w:sz w:val="24"/>
              </w:rPr>
              <w:t>项目</w:t>
            </w:r>
            <w:r>
              <w:rPr>
                <w:kern w:val="21"/>
                <w:sz w:val="24"/>
              </w:rPr>
              <w:t>位于</w:t>
            </w:r>
            <w:r>
              <w:rPr>
                <w:rFonts w:hint="eastAsia"/>
                <w:snapToGrid w:val="0"/>
                <w:spacing w:val="10"/>
                <w:sz w:val="24"/>
                <w:szCs w:val="24"/>
              </w:rPr>
              <w:t>王安石大道以南，玉茗大道以西</w:t>
            </w:r>
            <w:r>
              <w:rPr>
                <w:kern w:val="21"/>
                <w:sz w:val="24"/>
              </w:rPr>
              <w:t>，总用地面积为</w:t>
            </w:r>
            <w:r>
              <w:rPr>
                <w:rFonts w:hint="eastAsia"/>
                <w:kern w:val="21"/>
                <w:sz w:val="24"/>
              </w:rPr>
              <w:t>90亩， 约</w:t>
            </w:r>
            <w:r>
              <w:rPr>
                <w:rFonts w:hint="eastAsia"/>
                <w:kern w:val="21"/>
                <w:sz w:val="24"/>
                <w:szCs w:val="24"/>
              </w:rPr>
              <w:t>60000</w:t>
            </w:r>
            <w:r>
              <w:rPr>
                <w:kern w:val="21"/>
                <w:sz w:val="24"/>
              </w:rPr>
              <w:t>m</w:t>
            </w:r>
            <w:r>
              <w:rPr>
                <w:kern w:val="21"/>
                <w:sz w:val="24"/>
                <w:vertAlign w:val="superscript"/>
              </w:rPr>
              <w:t>2</w:t>
            </w:r>
            <w:r>
              <w:rPr>
                <w:kern w:val="21"/>
                <w:sz w:val="24"/>
              </w:rPr>
              <w:t>，</w:t>
            </w:r>
            <w:r>
              <w:rPr>
                <w:rFonts w:hint="eastAsia"/>
                <w:kern w:val="21"/>
                <w:sz w:val="24"/>
              </w:rPr>
              <w:t>总建筑面积为113620m</w:t>
            </w:r>
            <w:r>
              <w:rPr>
                <w:rFonts w:hint="eastAsia"/>
                <w:kern w:val="21"/>
                <w:sz w:val="24"/>
                <w:vertAlign w:val="superscript"/>
              </w:rPr>
              <w:t>2</w:t>
            </w:r>
            <w:r>
              <w:rPr>
                <w:rFonts w:hint="eastAsia"/>
                <w:kern w:val="21"/>
                <w:sz w:val="24"/>
              </w:rPr>
              <w:t>，容积率约≤2.0，绿地率约为36.43%。项目功能定位以城市旅游集散服务中心为主，包含旅游集散、旅游中介、餐饮、休闲娱乐和停车场等旅游综合服务功能。</w:t>
            </w:r>
          </w:p>
          <w:p>
            <w:pPr>
              <w:tabs>
                <w:tab w:val="left" w:pos="0"/>
              </w:tabs>
              <w:spacing w:after="0" w:line="360" w:lineRule="auto"/>
              <w:ind w:firstLine="480" w:firstLineChars="200"/>
              <w:rPr>
                <w:rFonts w:ascii="宋体" w:hAnsi="宋体" w:cs="宋体"/>
                <w:kern w:val="21"/>
                <w:sz w:val="24"/>
              </w:rPr>
            </w:pPr>
          </w:p>
        </w:tc>
      </w:tr>
    </w:tbl>
    <w:p>
      <w:pPr>
        <w:sectPr>
          <w:footerReference w:type="default" r:id="rId5"/>
          <w:pgSz w:w="11907" w:h="16840"/>
          <w:pgMar w:top="1418" w:right="1418" w:bottom="1418" w:left="1418" w:header="851" w:footer="992" w:gutter="113"/>
          <w:cols w:num="1" w:space="72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p>
            <w:pPr>
              <w:tabs>
                <w:tab w:val="left" w:pos="0"/>
              </w:tabs>
              <w:spacing w:before="0" w:line="360" w:lineRule="auto"/>
              <w:ind w:firstLine="480" w:firstLineChars="200"/>
              <w:rPr>
                <w:rFonts w:ascii="宋体" w:hAnsi="宋体" w:cs="宋体"/>
                <w:kern w:val="21"/>
                <w:sz w:val="24"/>
              </w:rPr>
            </w:pPr>
            <w:r>
              <w:rPr>
                <w:rFonts w:ascii="宋体" w:hAnsi="宋体" w:cs="宋体" w:hint="eastAsia"/>
                <w:kern w:val="21"/>
                <w:sz w:val="24"/>
              </w:rPr>
              <w:t>根据《中华人民共和国环境保护法》、《中华人民共和国环境影响评价法》、《建设项目环境保护管理条例》、《建设项目环境影响评价分类管理名录》、《江西省建设项目环境保护条例》的有关规定以及抚州市环保局的具体要求，该项目建设应提交环境影响报告表。抚州市文化旅游投资发展有限责任公司委托江西南大融汇环境技术有限公司承担该项目环境影响评价工作，自接受委托之日起，我公司即组织有关工程技术人员进行现场踏勘，在调查和收集有关资料的基础上编制完成本报告表，现呈报抚州市环保局审查。</w:t>
            </w:r>
          </w:p>
          <w:p>
            <w:pPr>
              <w:spacing w:line="360" w:lineRule="auto"/>
              <w:rPr>
                <w:b/>
                <w:sz w:val="28"/>
                <w:szCs w:val="28"/>
                <w:lang w:val="zh-CN"/>
              </w:rPr>
            </w:pPr>
            <w:r>
              <w:rPr>
                <w:rFonts w:hAnsi="宋体"/>
                <w:b/>
                <w:sz w:val="28"/>
                <w:szCs w:val="28"/>
                <w:lang w:val="zh-CN"/>
              </w:rPr>
              <w:t>二、项目产业政策符合性</w:t>
            </w:r>
          </w:p>
          <w:p>
            <w:pPr>
              <w:spacing w:line="360" w:lineRule="auto"/>
              <w:ind w:firstLine="480" w:firstLineChars="200"/>
              <w:rPr>
                <w:sz w:val="24"/>
              </w:rPr>
            </w:pPr>
            <w:r>
              <w:rPr>
                <w:rFonts w:hAnsi="宋体"/>
                <w:sz w:val="24"/>
              </w:rPr>
              <w:t>本项目</w:t>
            </w:r>
            <w:r>
              <w:rPr>
                <w:rFonts w:hint="eastAsia"/>
                <w:sz w:val="24"/>
                <w:szCs w:val="24"/>
              </w:rPr>
              <w:t>商业综合体管理服务</w:t>
            </w:r>
            <w:r>
              <w:rPr>
                <w:rFonts w:hAnsi="宋体"/>
                <w:sz w:val="24"/>
              </w:rPr>
              <w:t>产业，不属于</w:t>
            </w:r>
            <w:r>
              <w:rPr>
                <w:rFonts w:hAnsi="宋体" w:hint="eastAsia"/>
                <w:sz w:val="24"/>
              </w:rPr>
              <w:t>中华人民共和国</w:t>
            </w:r>
            <w:r>
              <w:rPr>
                <w:rFonts w:hAnsi="宋体"/>
                <w:sz w:val="24"/>
              </w:rPr>
              <w:t>国家发展和改革委员会《产业结构调整指导目录（</w:t>
            </w:r>
            <w:r>
              <w:rPr>
                <w:sz w:val="24"/>
              </w:rPr>
              <w:t>2011</w:t>
            </w:r>
            <w:r>
              <w:rPr>
                <w:rFonts w:hAnsi="宋体"/>
                <w:sz w:val="24"/>
              </w:rPr>
              <w:t>年本）》（修订）中限制和淘汰类产业，</w:t>
            </w:r>
            <w:r>
              <w:rPr>
                <w:rFonts w:hAnsi="宋体" w:hint="eastAsia"/>
                <w:sz w:val="24"/>
              </w:rPr>
              <w:t>为</w:t>
            </w:r>
            <w:r>
              <w:rPr>
                <w:rFonts w:hint="eastAsia"/>
                <w:sz w:val="24"/>
              </w:rPr>
              <w:t>“</w:t>
            </w:r>
            <w:r>
              <w:rPr>
                <w:rFonts w:hAnsi="宋体"/>
                <w:sz w:val="24"/>
              </w:rPr>
              <w:t>允许类</w:t>
            </w:r>
            <w:r>
              <w:rPr>
                <w:rFonts w:hint="eastAsia"/>
                <w:sz w:val="24"/>
              </w:rPr>
              <w:t>”</w:t>
            </w:r>
            <w:r>
              <w:rPr>
                <w:rFonts w:hAnsi="宋体"/>
                <w:sz w:val="24"/>
              </w:rPr>
              <w:t>，符合国家产业政策。</w:t>
            </w:r>
            <w:r>
              <w:rPr>
                <w:rFonts w:hAnsi="宋体" w:hint="eastAsia"/>
                <w:sz w:val="24"/>
              </w:rPr>
              <w:t>且抚州市发展和改革委员会以</w:t>
            </w:r>
            <w:r>
              <w:rPr>
                <w:rFonts w:hint="eastAsia"/>
                <w:kern w:val="21"/>
                <w:sz w:val="24"/>
                <w:szCs w:val="24"/>
              </w:rPr>
              <w:t>抚发改社会字[2017]11号文对本项目立项进行了批复，因此，本项目符合地方的产业政策。</w:t>
            </w:r>
          </w:p>
          <w:p>
            <w:pPr>
              <w:spacing w:line="360" w:lineRule="auto"/>
              <w:rPr>
                <w:b/>
                <w:sz w:val="28"/>
                <w:szCs w:val="28"/>
                <w:lang w:val="zh-CN"/>
              </w:rPr>
            </w:pPr>
            <w:r>
              <w:rPr>
                <w:rFonts w:hAnsi="宋体"/>
                <w:b/>
                <w:sz w:val="28"/>
                <w:szCs w:val="28"/>
                <w:lang w:val="zh-CN"/>
              </w:rPr>
              <w:t>三、建设项目概况</w:t>
            </w:r>
          </w:p>
          <w:p>
            <w:pPr>
              <w:snapToGrid w:val="0"/>
              <w:spacing w:line="360" w:lineRule="auto"/>
              <w:ind w:firstLine="480" w:firstLineChars="200"/>
              <w:rPr>
                <w:b/>
                <w:sz w:val="24"/>
              </w:rPr>
            </w:pPr>
            <w:r>
              <w:rPr>
                <w:b/>
                <w:sz w:val="24"/>
              </w:rPr>
              <w:t>1</w:t>
            </w:r>
            <w:r>
              <w:rPr>
                <w:rFonts w:hint="eastAsia"/>
                <w:b/>
                <w:sz w:val="24"/>
                <w:lang w:val="zh-CN"/>
              </w:rPr>
              <w:t>、</w:t>
            </w:r>
            <w:r>
              <w:rPr>
                <w:rFonts w:hAnsi="宋体"/>
                <w:b/>
                <w:sz w:val="24"/>
              </w:rPr>
              <w:t>项目名称、地点、建设性质</w:t>
            </w:r>
          </w:p>
          <w:p>
            <w:pPr>
              <w:snapToGrid w:val="0"/>
              <w:spacing w:line="360" w:lineRule="auto"/>
              <w:ind w:firstLine="480" w:firstLineChars="200"/>
              <w:rPr>
                <w:sz w:val="24"/>
              </w:rPr>
            </w:pPr>
            <w:r>
              <w:rPr>
                <w:rFonts w:hAnsi="宋体"/>
                <w:sz w:val="24"/>
              </w:rPr>
              <w:t>项目名称：</w:t>
            </w:r>
            <w:r>
              <w:rPr>
                <w:rFonts w:hint="eastAsia"/>
                <w:snapToGrid w:val="0"/>
                <w:spacing w:val="10"/>
                <w:sz w:val="24"/>
                <w:szCs w:val="24"/>
              </w:rPr>
              <w:t>抚州市旅游集散中心建设项目</w:t>
            </w:r>
            <w:r>
              <w:rPr>
                <w:snapToGrid w:val="0"/>
                <w:spacing w:val="10"/>
                <w:sz w:val="24"/>
                <w:szCs w:val="24"/>
              </w:rPr>
              <w:t>；</w:t>
            </w:r>
          </w:p>
          <w:p>
            <w:pPr>
              <w:tabs>
                <w:tab w:val="left" w:pos="0"/>
              </w:tabs>
              <w:spacing w:line="360" w:lineRule="auto"/>
              <w:ind w:firstLine="480" w:firstLineChars="200"/>
              <w:rPr>
                <w:sz w:val="24"/>
              </w:rPr>
            </w:pPr>
            <w:r>
              <w:rPr>
                <w:sz w:val="24"/>
              </w:rPr>
              <w:t>建设地点：</w:t>
            </w:r>
            <w:r>
              <w:rPr>
                <w:rFonts w:hint="eastAsia"/>
                <w:sz w:val="24"/>
              </w:rPr>
              <w:t>王安石大道以南、玉茗大道以西；</w:t>
            </w:r>
          </w:p>
          <w:p>
            <w:pPr>
              <w:snapToGrid w:val="0"/>
              <w:spacing w:line="360" w:lineRule="auto"/>
              <w:ind w:firstLine="480" w:firstLineChars="200"/>
              <w:rPr>
                <w:sz w:val="24"/>
              </w:rPr>
            </w:pPr>
            <w:r>
              <w:rPr>
                <w:sz w:val="24"/>
              </w:rPr>
              <w:t>建设单位：</w:t>
            </w:r>
            <w:r>
              <w:rPr>
                <w:rFonts w:hint="eastAsia"/>
                <w:snapToGrid w:val="0"/>
                <w:spacing w:val="10"/>
                <w:sz w:val="24"/>
                <w:szCs w:val="24"/>
              </w:rPr>
              <w:t>抚州市文化旅游投资发展有限责任公司</w:t>
            </w:r>
            <w:r>
              <w:rPr>
                <w:snapToGrid w:val="0"/>
                <w:spacing w:val="10"/>
                <w:sz w:val="24"/>
                <w:szCs w:val="24"/>
              </w:rPr>
              <w:t>；</w:t>
            </w:r>
          </w:p>
          <w:p>
            <w:pPr>
              <w:snapToGrid w:val="0"/>
              <w:spacing w:line="360" w:lineRule="auto"/>
              <w:ind w:firstLine="480" w:firstLineChars="200"/>
              <w:rPr>
                <w:sz w:val="24"/>
              </w:rPr>
            </w:pPr>
            <w:r>
              <w:rPr>
                <w:rFonts w:hAnsi="宋体"/>
                <w:sz w:val="24"/>
              </w:rPr>
              <w:t>建设性质：新建</w:t>
            </w:r>
            <w:r>
              <w:rPr>
                <w:rFonts w:hAnsi="宋体" w:hint="eastAsia"/>
                <w:sz w:val="24"/>
              </w:rPr>
              <w:t>；</w:t>
            </w:r>
          </w:p>
          <w:p>
            <w:pPr>
              <w:snapToGrid w:val="0"/>
              <w:spacing w:line="360" w:lineRule="auto"/>
              <w:ind w:firstLine="480" w:firstLineChars="200"/>
              <w:rPr>
                <w:rFonts w:hAnsi="宋体"/>
                <w:sz w:val="24"/>
              </w:rPr>
            </w:pPr>
            <w:r>
              <w:rPr>
                <w:rFonts w:hAnsi="宋体" w:hint="eastAsia"/>
                <w:sz w:val="24"/>
              </w:rPr>
              <w:t>经纬度：</w:t>
            </w:r>
            <w:r>
              <w:rPr>
                <w:sz w:val="24"/>
              </w:rPr>
              <w:t>E116°21′12.44″，N27°55′1.01″</w:t>
            </w:r>
            <w:r>
              <w:rPr>
                <w:rFonts w:hint="eastAsia"/>
                <w:sz w:val="24"/>
              </w:rPr>
              <w:t>；</w:t>
            </w:r>
          </w:p>
          <w:p>
            <w:pPr>
              <w:snapToGrid w:val="0"/>
              <w:spacing w:line="360" w:lineRule="auto"/>
              <w:ind w:firstLine="480" w:firstLineChars="200"/>
            </w:pPr>
            <w:r>
              <w:rPr>
                <w:rFonts w:hAnsi="宋体"/>
                <w:sz w:val="24"/>
              </w:rPr>
              <w:t>四至情况：</w:t>
            </w:r>
            <w:r>
              <w:rPr>
                <w:rFonts w:hAnsi="宋体" w:hint="eastAsia"/>
                <w:sz w:val="24"/>
              </w:rPr>
              <w:t>项目现状周边地区处于规划建设阶段，</w:t>
            </w:r>
            <w:r>
              <w:rPr>
                <w:rFonts w:hAnsi="宋体"/>
                <w:sz w:val="24"/>
              </w:rPr>
              <w:t>项目</w:t>
            </w:r>
            <w:r>
              <w:rPr>
                <w:rFonts w:hAnsi="宋体" w:hint="eastAsia"/>
                <w:sz w:val="24"/>
              </w:rPr>
              <w:t>地块西北侧为花语梦园公园（规划），南面为儿童医院（规划），西面紧邻凤岗河，东侧为商业用地与城市居住区</w:t>
            </w:r>
            <w:r>
              <w:rPr>
                <w:rFonts w:hAnsi="宋体"/>
                <w:sz w:val="24"/>
              </w:rPr>
              <w:t>。</w:t>
            </w:r>
            <w:r>
              <w:rPr>
                <w:rFonts w:hAnsi="宋体" w:hint="eastAsia"/>
                <w:sz w:val="24"/>
              </w:rPr>
              <w:t>项目四至图见附图七、规划图见附图四。</w:t>
            </w:r>
          </w:p>
          <w:p>
            <w:pPr>
              <w:tabs>
                <w:tab w:val="left" w:pos="0"/>
              </w:tabs>
              <w:spacing w:line="360" w:lineRule="auto"/>
              <w:ind w:firstLine="480" w:firstLineChars="200"/>
              <w:rPr>
                <w:rFonts w:ascii="宋体" w:hAnsi="宋体" w:cs="宋体"/>
                <w:b/>
                <w:sz w:val="24"/>
              </w:rPr>
            </w:pPr>
            <w:r>
              <w:rPr>
                <w:rFonts w:ascii="宋体" w:hAnsi="宋体" w:cs="宋体" w:hint="eastAsia"/>
                <w:b/>
                <w:sz w:val="24"/>
              </w:rPr>
              <w:t>2、</w:t>
            </w:r>
            <w:r>
              <w:rPr>
                <w:rFonts w:hAnsi="宋体"/>
                <w:b/>
                <w:sz w:val="24"/>
                <w:lang w:val="zh-CN"/>
              </w:rPr>
              <w:t>项目内容</w:t>
            </w:r>
          </w:p>
          <w:p>
            <w:pPr>
              <w:tabs>
                <w:tab w:val="left" w:pos="0"/>
              </w:tabs>
              <w:spacing w:line="360" w:lineRule="auto"/>
              <w:ind w:firstLine="480" w:firstLineChars="200"/>
              <w:rPr>
                <w:rFonts w:ascii="宋体" w:hAnsi="宋体" w:cs="宋体"/>
                <w:color w:val="FF0000"/>
                <w:kern w:val="21"/>
                <w:sz w:val="24"/>
                <w:szCs w:val="24"/>
              </w:rPr>
            </w:pPr>
            <w:r>
              <w:rPr>
                <w:rFonts w:ascii="宋体" w:hAnsi="宋体" w:cs="宋体" w:hint="eastAsia"/>
                <w:kern w:val="21"/>
                <w:sz w:val="24"/>
              </w:rPr>
              <w:t>本项目建设性质为新建，</w:t>
            </w:r>
            <w:r>
              <w:rPr>
                <w:kern w:val="21"/>
                <w:sz w:val="24"/>
              </w:rPr>
              <w:t>位于</w:t>
            </w:r>
            <w:r>
              <w:rPr>
                <w:rFonts w:hint="eastAsia"/>
                <w:sz w:val="24"/>
              </w:rPr>
              <w:t>王安石大道以南、玉茗大道以西</w:t>
            </w:r>
            <w:r>
              <w:rPr>
                <w:kern w:val="21"/>
                <w:sz w:val="24"/>
              </w:rPr>
              <w:t>，总用地面积为</w:t>
            </w:r>
            <w:r>
              <w:rPr>
                <w:rFonts w:hint="eastAsia"/>
                <w:kern w:val="21"/>
                <w:sz w:val="24"/>
                <w:szCs w:val="24"/>
              </w:rPr>
              <w:t>60000</w:t>
            </w:r>
            <w:r>
              <w:rPr>
                <w:kern w:val="21"/>
                <w:sz w:val="24"/>
              </w:rPr>
              <w:t>m</w:t>
            </w:r>
            <w:r>
              <w:rPr>
                <w:kern w:val="21"/>
                <w:sz w:val="24"/>
                <w:vertAlign w:val="superscript"/>
              </w:rPr>
              <w:t>2</w:t>
            </w:r>
            <w:r>
              <w:rPr>
                <w:rFonts w:hint="eastAsia"/>
                <w:kern w:val="21"/>
                <w:sz w:val="24"/>
              </w:rPr>
              <w:t>（90亩）</w:t>
            </w:r>
            <w:r>
              <w:rPr>
                <w:kern w:val="21"/>
                <w:sz w:val="24"/>
              </w:rPr>
              <w:t>，总建筑面积为</w:t>
            </w:r>
            <w:r>
              <w:rPr>
                <w:rFonts w:hint="eastAsia"/>
                <w:kern w:val="21"/>
                <w:sz w:val="24"/>
              </w:rPr>
              <w:t>113620</w:t>
            </w:r>
            <w:r>
              <w:rPr>
                <w:kern w:val="21"/>
                <w:sz w:val="24"/>
              </w:rPr>
              <w:t>m</w:t>
            </w:r>
            <w:r>
              <w:rPr>
                <w:kern w:val="21"/>
                <w:sz w:val="24"/>
                <w:vertAlign w:val="superscript"/>
              </w:rPr>
              <w:t>2</w:t>
            </w:r>
            <w:r>
              <w:rPr>
                <w:kern w:val="21"/>
                <w:sz w:val="24"/>
              </w:rPr>
              <w:t>，其中：</w:t>
            </w:r>
            <w:r>
              <w:rPr>
                <w:rFonts w:hint="eastAsia"/>
                <w:kern w:val="21"/>
                <w:sz w:val="24"/>
              </w:rPr>
              <w:t>地上建筑</w:t>
            </w:r>
            <w:r>
              <w:rPr>
                <w:kern w:val="21"/>
                <w:sz w:val="24"/>
              </w:rPr>
              <w:t>面积为</w:t>
            </w:r>
            <w:r>
              <w:rPr>
                <w:rFonts w:hint="eastAsia"/>
                <w:kern w:val="21"/>
                <w:sz w:val="24"/>
              </w:rPr>
              <w:t>83937</w:t>
            </w:r>
            <w:r>
              <w:rPr>
                <w:kern w:val="21"/>
                <w:sz w:val="24"/>
              </w:rPr>
              <w:t>m</w:t>
            </w:r>
            <w:r>
              <w:rPr>
                <w:kern w:val="21"/>
                <w:sz w:val="24"/>
                <w:vertAlign w:val="superscript"/>
              </w:rPr>
              <w:t>2</w:t>
            </w:r>
            <w:r>
              <w:rPr>
                <w:kern w:val="21"/>
                <w:sz w:val="24"/>
              </w:rPr>
              <w:t>，</w:t>
            </w:r>
            <w:r>
              <w:rPr>
                <w:rFonts w:hint="eastAsia"/>
                <w:kern w:val="21"/>
                <w:sz w:val="24"/>
              </w:rPr>
              <w:t>地下</w:t>
            </w:r>
            <w:r>
              <w:rPr>
                <w:kern w:val="21"/>
                <w:sz w:val="24"/>
              </w:rPr>
              <w:t>建筑面积为</w:t>
            </w:r>
            <w:r>
              <w:rPr>
                <w:rFonts w:hint="eastAsia"/>
                <w:kern w:val="21"/>
                <w:sz w:val="24"/>
              </w:rPr>
              <w:t>29683</w:t>
            </w:r>
            <w:r>
              <w:rPr>
                <w:kern w:val="21"/>
                <w:sz w:val="24"/>
              </w:rPr>
              <w:t>m</w:t>
            </w:r>
            <w:r>
              <w:rPr>
                <w:kern w:val="21"/>
                <w:sz w:val="24"/>
                <w:vertAlign w:val="superscript"/>
              </w:rPr>
              <w:t>2</w:t>
            </w:r>
            <w:r>
              <w:rPr>
                <w:kern w:val="21"/>
                <w:sz w:val="24"/>
              </w:rPr>
              <w:t>。</w:t>
            </w:r>
            <w:r>
              <w:rPr>
                <w:rFonts w:hint="eastAsia"/>
                <w:kern w:val="21"/>
                <w:sz w:val="24"/>
              </w:rPr>
              <w:t>项目主要建设内容为商业楼、旅游集散服务中心、酒店（含餐厅）以及办公楼等。</w:t>
            </w:r>
          </w:p>
          <w:p>
            <w:pPr>
              <w:tabs>
                <w:tab w:val="left" w:pos="0"/>
              </w:tabs>
              <w:spacing w:line="360" w:lineRule="auto"/>
              <w:ind w:firstLine="480" w:firstLineChars="200"/>
              <w:rPr>
                <w:rFonts w:ascii="宋体" w:hAnsi="宋体" w:cs="宋体"/>
                <w:b/>
                <w:sz w:val="24"/>
              </w:rPr>
            </w:pPr>
            <w:r>
              <w:rPr>
                <w:rFonts w:ascii="宋体" w:hAnsi="宋体" w:cs="宋体" w:hint="eastAsia"/>
                <w:b/>
                <w:sz w:val="24"/>
              </w:rPr>
              <w:t>3、工程建设规模及组成</w:t>
            </w:r>
          </w:p>
          <w:p>
            <w:pPr>
              <w:tabs>
                <w:tab w:val="left" w:pos="0"/>
              </w:tabs>
              <w:spacing w:line="360" w:lineRule="auto"/>
              <w:ind w:firstLine="360" w:firstLineChars="150"/>
              <w:rPr>
                <w:rFonts w:ascii="宋体" w:hAnsi="宋体" w:cs="宋体"/>
                <w:b/>
                <w:bCs/>
                <w:kern w:val="21"/>
                <w:sz w:val="24"/>
              </w:rPr>
            </w:pPr>
            <w:r>
              <w:rPr>
                <w:rFonts w:ascii="宋体" w:hAnsi="宋体" w:cs="宋体" w:hint="eastAsia"/>
                <w:kern w:val="21"/>
                <w:sz w:val="24"/>
              </w:rPr>
              <w:t>项目经济技术指标见下表。</w:t>
            </w:r>
          </w:p>
          <w:p>
            <w:pPr>
              <w:tabs>
                <w:tab w:val="left" w:pos="0"/>
              </w:tabs>
              <w:spacing w:line="360" w:lineRule="auto"/>
              <w:jc w:val="center"/>
              <w:rPr>
                <w:rFonts w:ascii="宋体" w:hAnsi="宋体" w:cs="宋体"/>
                <w:b/>
                <w:bCs/>
                <w:kern w:val="21"/>
                <w:sz w:val="24"/>
              </w:rPr>
            </w:pPr>
            <w:r>
              <w:rPr>
                <w:rFonts w:ascii="宋体" w:hAnsi="宋体" w:cs="宋体" w:hint="eastAsia"/>
                <w:b/>
                <w:bCs/>
                <w:kern w:val="21"/>
                <w:sz w:val="24"/>
              </w:rPr>
              <w:t>表1  项目建筑经济技术指标一览表</w:t>
            </w:r>
          </w:p>
          <w:tbl>
            <w:tblPr>
              <w:tblStyle w:val="TableNormal"/>
              <w:tblW w:w="8915" w:type="dxa"/>
              <w:tblInd w:w="6"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15" w:type="dxa"/>
                <w:left w:w="108" w:type="dxa"/>
                <w:bottom w:w="15" w:type="dxa"/>
                <w:right w:w="108" w:type="dxa"/>
              </w:tblCellMar>
            </w:tblPr>
            <w:tblGrid>
              <w:gridCol w:w="3932"/>
              <w:gridCol w:w="1173"/>
              <w:gridCol w:w="764"/>
              <w:gridCol w:w="3046"/>
            </w:tblGrid>
            <w:tr>
              <w:tblPrEx>
                <w:tblW w:w="8915" w:type="dxa"/>
                <w:tblInd w:w="6"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15" w:type="dxa"/>
                  <w:left w:w="108" w:type="dxa"/>
                  <w:bottom w:w="15" w:type="dxa"/>
                  <w:right w:w="108" w:type="dxa"/>
                </w:tblCellMar>
              </w:tblPrEx>
              <w:trPr>
                <w:trHeight w:val="285"/>
              </w:trPr>
              <w:tc>
                <w:tcPr>
                  <w:tcW w:w="8915" w:type="dxa"/>
                  <w:gridSpan w:val="4"/>
                  <w:tcBorders>
                    <w:tl2br w:val="nil"/>
                    <w:tr2bl w:val="nil"/>
                  </w:tcBorders>
                  <w:shd w:val="clear" w:color="auto" w:fill="auto"/>
                  <w:vAlign w:val="center"/>
                </w:tcPr>
                <w:p>
                  <w:pPr>
                    <w:widowControl/>
                    <w:spacing w:line="25" w:lineRule="atLeast"/>
                    <w:jc w:val="center"/>
                    <w:rPr>
                      <w:rFonts w:ascii="宋体" w:hAnsi="宋体" w:cs="宋体"/>
                      <w:bCs/>
                      <w:szCs w:val="21"/>
                    </w:rPr>
                  </w:pPr>
                  <w:bookmarkStart w:id="1" w:name="OLE_LINK18"/>
                  <w:r>
                    <w:rPr>
                      <w:b/>
                      <w:szCs w:val="21"/>
                    </w:rPr>
                    <w:t>A02地块主要经济技术指标</w:t>
                  </w:r>
                </w:p>
              </w:tc>
            </w:tr>
            <w:tr>
              <w:tblPrEx>
                <w:tblW w:w="8915" w:type="dxa"/>
                <w:tblInd w:w="6" w:type="dxa"/>
                <w:tblLayout w:type="fixed"/>
                <w:tblCellMar>
                  <w:top w:w="15" w:type="dxa"/>
                  <w:left w:w="108" w:type="dxa"/>
                  <w:bottom w:w="15" w:type="dxa"/>
                  <w:right w:w="108" w:type="dxa"/>
                </w:tblCellMar>
              </w:tblPrEx>
              <w:trPr>
                <w:trHeight w:val="285"/>
              </w:trPr>
              <w:tc>
                <w:tcPr>
                  <w:tcW w:w="3932" w:type="dxa"/>
                  <w:tcBorders>
                    <w:tl2br w:val="nil"/>
                    <w:tr2bl w:val="nil"/>
                  </w:tcBorders>
                  <w:shd w:val="clear" w:color="auto" w:fill="auto"/>
                  <w:vAlign w:val="center"/>
                </w:tcPr>
                <w:p>
                  <w:pPr>
                    <w:widowControl/>
                    <w:spacing w:line="25" w:lineRule="atLeast"/>
                    <w:jc w:val="center"/>
                    <w:rPr>
                      <w:rFonts w:ascii="宋体" w:hAnsi="宋体" w:cs="宋体"/>
                      <w:b/>
                      <w:szCs w:val="21"/>
                    </w:rPr>
                  </w:pPr>
                  <w:r>
                    <w:rPr>
                      <w:rFonts w:ascii="宋体" w:hAnsi="宋体" w:cs="宋体" w:hint="eastAsia"/>
                      <w:b/>
                      <w:szCs w:val="21"/>
                    </w:rPr>
                    <w:t>项目</w:t>
                  </w:r>
                </w:p>
              </w:tc>
              <w:tc>
                <w:tcPr>
                  <w:tcW w:w="1173" w:type="dxa"/>
                  <w:tcBorders>
                    <w:tl2br w:val="nil"/>
                    <w:tr2bl w:val="nil"/>
                  </w:tcBorders>
                  <w:shd w:val="clear" w:color="auto" w:fill="auto"/>
                  <w:vAlign w:val="center"/>
                </w:tcPr>
                <w:p>
                  <w:pPr>
                    <w:widowControl/>
                    <w:spacing w:line="25" w:lineRule="atLeast"/>
                    <w:jc w:val="center"/>
                    <w:rPr>
                      <w:rFonts w:ascii="宋体" w:hAnsi="宋体" w:cs="宋体"/>
                      <w:b/>
                      <w:szCs w:val="21"/>
                    </w:rPr>
                  </w:pPr>
                  <w:r>
                    <w:rPr>
                      <w:rFonts w:ascii="宋体" w:hAnsi="宋体" w:cs="宋体" w:hint="eastAsia"/>
                      <w:b/>
                      <w:szCs w:val="21"/>
                    </w:rPr>
                    <w:t>数量</w:t>
                  </w:r>
                </w:p>
              </w:tc>
              <w:tc>
                <w:tcPr>
                  <w:tcW w:w="764" w:type="dxa"/>
                  <w:tcBorders>
                    <w:tl2br w:val="nil"/>
                    <w:tr2bl w:val="nil"/>
                  </w:tcBorders>
                  <w:shd w:val="clear" w:color="auto" w:fill="auto"/>
                  <w:vAlign w:val="center"/>
                </w:tcPr>
                <w:p>
                  <w:pPr>
                    <w:widowControl/>
                    <w:spacing w:line="25" w:lineRule="atLeast"/>
                    <w:jc w:val="center"/>
                    <w:rPr>
                      <w:rFonts w:ascii="宋体" w:hAnsi="宋体" w:cs="宋体"/>
                      <w:b/>
                      <w:szCs w:val="21"/>
                    </w:rPr>
                  </w:pPr>
                  <w:r>
                    <w:rPr>
                      <w:rFonts w:ascii="宋体" w:hAnsi="宋体" w:cs="宋体" w:hint="eastAsia"/>
                      <w:b/>
                      <w:szCs w:val="21"/>
                    </w:rPr>
                    <w:t>单位</w:t>
                  </w:r>
                </w:p>
              </w:tc>
              <w:tc>
                <w:tcPr>
                  <w:tcW w:w="3046" w:type="dxa"/>
                  <w:tcBorders>
                    <w:tl2br w:val="nil"/>
                    <w:tr2bl w:val="nil"/>
                  </w:tcBorders>
                  <w:shd w:val="clear" w:color="auto" w:fill="auto"/>
                  <w:vAlign w:val="center"/>
                </w:tcPr>
                <w:p>
                  <w:pPr>
                    <w:widowControl/>
                    <w:spacing w:line="25" w:lineRule="atLeast"/>
                    <w:jc w:val="center"/>
                    <w:rPr>
                      <w:rFonts w:ascii="宋体" w:hAnsi="宋体" w:cs="宋体"/>
                      <w:b/>
                      <w:szCs w:val="21"/>
                    </w:rPr>
                  </w:pPr>
                  <w:r>
                    <w:rPr>
                      <w:rFonts w:ascii="宋体" w:hAnsi="宋体" w:cs="宋体" w:hint="eastAsia"/>
                      <w:b/>
                      <w:szCs w:val="21"/>
                    </w:rPr>
                    <w:t>备注</w:t>
                  </w:r>
                </w:p>
              </w:tc>
            </w:tr>
            <w:tr>
              <w:tblPrEx>
                <w:tblW w:w="8915" w:type="dxa"/>
                <w:tblInd w:w="6" w:type="dxa"/>
                <w:tblLayout w:type="fixed"/>
                <w:tblCellMar>
                  <w:top w:w="15" w:type="dxa"/>
                  <w:left w:w="108" w:type="dxa"/>
                  <w:bottom w:w="15" w:type="dxa"/>
                  <w:right w:w="108" w:type="dxa"/>
                </w:tblCellMar>
              </w:tblPrEx>
              <w:trPr>
                <w:trHeight w:val="285"/>
              </w:trPr>
              <w:tc>
                <w:tcPr>
                  <w:tcW w:w="3932" w:type="dxa"/>
                  <w:tcBorders>
                    <w:tl2br w:val="nil"/>
                    <w:tr2bl w:val="nil"/>
                  </w:tcBorders>
                  <w:shd w:val="clear" w:color="auto" w:fill="auto"/>
                  <w:vAlign w:val="center"/>
                </w:tcPr>
                <w:p>
                  <w:pPr>
                    <w:widowControl/>
                    <w:spacing w:line="25" w:lineRule="atLeast"/>
                    <w:jc w:val="center"/>
                    <w:rPr>
                      <w:bCs/>
                      <w:szCs w:val="21"/>
                    </w:rPr>
                  </w:pPr>
                  <w:r>
                    <w:rPr>
                      <w:bCs/>
                      <w:szCs w:val="21"/>
                    </w:rPr>
                    <w:t>总用地面积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60000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bl>
          <w:p/>
        </w:tc>
      </w:tr>
    </w:tbl>
    <w:p>
      <w:pPr>
        <w:sectPr>
          <w:footerReference w:type="default" r:id="rId6"/>
          <w:type w:val="nextPage"/>
          <w:pgSz w:w="11907" w:h="16840"/>
          <w:pgMar w:top="1418" w:right="1418" w:bottom="1418" w:left="1418" w:header="851" w:footer="992" w:gutter="113"/>
          <w:pgNumType w:start="2"/>
          <w:cols w:num="1" w:space="720"/>
          <w:titlePg w:val="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tbl>
            <w:tblPr>
              <w:tblStyle w:val="TableNormal"/>
              <w:tblW w:w="8915" w:type="dxa"/>
              <w:tblInd w:w="6"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15" w:type="dxa"/>
                <w:left w:w="108" w:type="dxa"/>
                <w:bottom w:w="15" w:type="dxa"/>
                <w:right w:w="108" w:type="dxa"/>
              </w:tblCellMar>
            </w:tblPr>
            <w:tblGrid>
              <w:gridCol w:w="518"/>
              <w:gridCol w:w="496"/>
              <w:gridCol w:w="406"/>
              <w:gridCol w:w="2515"/>
              <w:gridCol w:w="1172"/>
              <w:gridCol w:w="764"/>
              <w:gridCol w:w="3044"/>
            </w:tblGrid>
            <w:tr>
              <w:tblPrEx>
                <w:tblW w:w="8915" w:type="dxa"/>
                <w:tblInd w:w="6"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15" w:type="dxa"/>
                  <w:left w:w="108" w:type="dxa"/>
                  <w:bottom w:w="15" w:type="dxa"/>
                  <w:right w:w="108" w:type="dxa"/>
                </w:tblCellMar>
              </w:tblPrEx>
              <w:trPr>
                <w:trHeight w:val="285"/>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bCs/>
                      <w:szCs w:val="21"/>
                    </w:rPr>
                    <w:t>总建筑面积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113620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315"/>
              </w:trPr>
              <w:tc>
                <w:tcPr>
                  <w:tcW w:w="518" w:type="dxa"/>
                  <w:vMerge w:val="restart"/>
                  <w:tcBorders>
                    <w:tl2br w:val="nil"/>
                    <w:tr2bl w:val="nil"/>
                  </w:tcBorders>
                  <w:shd w:val="clear" w:color="auto" w:fill="auto"/>
                  <w:vAlign w:val="center"/>
                </w:tcPr>
                <w:p>
                  <w:pPr>
                    <w:widowControl/>
                    <w:spacing w:line="25" w:lineRule="atLeast"/>
                    <w:jc w:val="center"/>
                    <w:rPr>
                      <w:bCs/>
                      <w:szCs w:val="21"/>
                    </w:rPr>
                  </w:pPr>
                  <w:r>
                    <w:rPr>
                      <w:bCs/>
                      <w:szCs w:val="21"/>
                    </w:rPr>
                    <w:t>其中</w:t>
                  </w:r>
                </w:p>
              </w:tc>
              <w:tc>
                <w:tcPr>
                  <w:tcW w:w="3414" w:type="dxa"/>
                  <w:gridSpan w:val="3"/>
                  <w:tcBorders>
                    <w:tl2br w:val="nil"/>
                    <w:tr2bl w:val="nil"/>
                  </w:tcBorders>
                  <w:shd w:val="clear" w:color="auto" w:fill="auto"/>
                  <w:vAlign w:val="center"/>
                </w:tcPr>
                <w:p>
                  <w:pPr>
                    <w:widowControl/>
                    <w:spacing w:line="25" w:lineRule="atLeast"/>
                    <w:jc w:val="center"/>
                    <w:rPr>
                      <w:szCs w:val="21"/>
                    </w:rPr>
                  </w:pPr>
                  <w:r>
                    <w:rPr>
                      <w:rFonts w:hint="eastAsia"/>
                      <w:bCs/>
                      <w:szCs w:val="21"/>
                    </w:rPr>
                    <w:t>地上</w:t>
                  </w:r>
                  <w:r>
                    <w:rPr>
                      <w:bCs/>
                      <w:szCs w:val="21"/>
                    </w:rPr>
                    <w:t>建筑面积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83937</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val="restart"/>
                  <w:tcBorders>
                    <w:left w:val="single" w:sz="4" w:space="0" w:color="auto"/>
                    <w:tl2br w:val="nil"/>
                    <w:tr2bl w:val="nil"/>
                  </w:tcBorders>
                  <w:shd w:val="clear" w:color="auto" w:fill="auto"/>
                  <w:vAlign w:val="center"/>
                </w:tcPr>
                <w:p>
                  <w:pPr>
                    <w:widowControl/>
                    <w:spacing w:line="25" w:lineRule="atLeast"/>
                    <w:jc w:val="center"/>
                    <w:rPr>
                      <w:szCs w:val="21"/>
                    </w:rPr>
                  </w:pPr>
                  <w:r>
                    <w:rPr>
                      <w:szCs w:val="21"/>
                    </w:rPr>
                    <w:t>其中</w:t>
                  </w:r>
                </w:p>
              </w:tc>
              <w:tc>
                <w:tcPr>
                  <w:tcW w:w="2922" w:type="dxa"/>
                  <w:gridSpan w:val="2"/>
                  <w:tcBorders>
                    <w:tl2br w:val="nil"/>
                    <w:tr2bl w:val="nil"/>
                  </w:tcBorders>
                  <w:shd w:val="clear" w:color="auto" w:fill="auto"/>
                  <w:vAlign w:val="center"/>
                </w:tcPr>
                <w:p>
                  <w:pPr>
                    <w:widowControl/>
                    <w:spacing w:line="25" w:lineRule="atLeast"/>
                    <w:jc w:val="center"/>
                    <w:rPr>
                      <w:szCs w:val="21"/>
                    </w:rPr>
                  </w:pPr>
                  <w:r>
                    <w:rPr>
                      <w:rFonts w:hint="eastAsia"/>
                      <w:szCs w:val="21"/>
                    </w:rPr>
                    <w:t>商业</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7250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2922" w:type="dxa"/>
                  <w:gridSpan w:val="2"/>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旅游集散服务中心</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33927</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val="restart"/>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r>
                    <w:rPr>
                      <w:szCs w:val="21"/>
                    </w:rPr>
                    <w:t>其中</w:t>
                  </w: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运营中心</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5880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游客服务中心</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5715</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341"/>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旅游信息展示</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5236</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多媒体会议室</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4432</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监测调度中心</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2713</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产业联盟商会</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2319</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设备</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2347</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商业</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2217</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后勤办公（含会议室）</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1315</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406"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szCs w:val="21"/>
                    </w:rPr>
                  </w:pPr>
                </w:p>
              </w:tc>
              <w:tc>
                <w:tcPr>
                  <w:tcW w:w="2516" w:type="dxa"/>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文旅投办室</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1753</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2922" w:type="dxa"/>
                  <w:gridSpan w:val="2"/>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四星级酒店</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28417</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2" w:type="dxa"/>
                  <w:vMerge/>
                  <w:tcBorders>
                    <w:left w:val="single" w:sz="4" w:space="0" w:color="auto"/>
                    <w:tl2br w:val="nil"/>
                    <w:tr2bl w:val="nil"/>
                  </w:tcBorders>
                  <w:shd w:val="clear" w:color="auto" w:fill="auto"/>
                  <w:vAlign w:val="center"/>
                </w:tcPr>
                <w:p>
                  <w:pPr>
                    <w:widowControl/>
                    <w:spacing w:line="25" w:lineRule="atLeast"/>
                    <w:jc w:val="center"/>
                    <w:rPr>
                      <w:szCs w:val="21"/>
                    </w:rPr>
                  </w:pPr>
                </w:p>
              </w:tc>
              <w:tc>
                <w:tcPr>
                  <w:tcW w:w="2922" w:type="dxa"/>
                  <w:gridSpan w:val="2"/>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办公</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14343</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center"/>
                    <w:rPr>
                      <w:bCs/>
                      <w:szCs w:val="21"/>
                    </w:rPr>
                  </w:pPr>
                </w:p>
              </w:tc>
              <w:tc>
                <w:tcPr>
                  <w:tcW w:w="3414" w:type="dxa"/>
                  <w:gridSpan w:val="3"/>
                  <w:tcBorders>
                    <w:lef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地下建筑面积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29683</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center"/>
                    <w:rPr>
                      <w:bCs/>
                      <w:szCs w:val="21"/>
                    </w:rPr>
                  </w:pPr>
                </w:p>
              </w:tc>
              <w:tc>
                <w:tcPr>
                  <w:tcW w:w="496" w:type="dxa"/>
                  <w:vMerge w:val="restart"/>
                  <w:tcBorders>
                    <w:right w:val="single" w:sz="4" w:space="0" w:color="auto"/>
                    <w:tl2br w:val="nil"/>
                    <w:tr2bl w:val="nil"/>
                  </w:tcBorders>
                  <w:shd w:val="clear" w:color="auto" w:fill="auto"/>
                  <w:vAlign w:val="center"/>
                </w:tcPr>
                <w:p>
                  <w:pPr>
                    <w:widowControl/>
                    <w:spacing w:line="25" w:lineRule="atLeast"/>
                    <w:jc w:val="center"/>
                    <w:rPr>
                      <w:szCs w:val="21"/>
                    </w:rPr>
                  </w:pPr>
                  <w:r>
                    <w:rPr>
                      <w:szCs w:val="21"/>
                    </w:rPr>
                    <w:t>其中</w:t>
                  </w:r>
                </w:p>
              </w:tc>
              <w:tc>
                <w:tcPr>
                  <w:tcW w:w="2918" w:type="dxa"/>
                  <w:gridSpan w:val="2"/>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服务中心停车面积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7511</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center"/>
                    <w:rPr>
                      <w:bCs/>
                      <w:szCs w:val="21"/>
                    </w:rPr>
                  </w:pPr>
                </w:p>
              </w:tc>
              <w:tc>
                <w:tcPr>
                  <w:tcW w:w="496" w:type="dxa"/>
                  <w:vMerge/>
                  <w:tcBorders>
                    <w:right w:val="single" w:sz="4" w:space="0" w:color="auto"/>
                    <w:tl2br w:val="nil"/>
                    <w:tr2bl w:val="nil"/>
                  </w:tcBorders>
                  <w:shd w:val="clear" w:color="auto" w:fill="auto"/>
                  <w:vAlign w:val="center"/>
                </w:tcPr>
                <w:p>
                  <w:pPr>
                    <w:widowControl/>
                    <w:spacing w:line="25" w:lineRule="atLeast"/>
                    <w:jc w:val="center"/>
                    <w:rPr>
                      <w:szCs w:val="21"/>
                    </w:rPr>
                  </w:pPr>
                </w:p>
              </w:tc>
              <w:tc>
                <w:tcPr>
                  <w:tcW w:w="2918" w:type="dxa"/>
                  <w:gridSpan w:val="2"/>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酒店（300间）停车面积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9957</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6" w:type="dxa"/>
                  <w:vMerge/>
                  <w:tcBorders>
                    <w:right w:val="single" w:sz="4" w:space="0" w:color="auto"/>
                    <w:tl2br w:val="nil"/>
                    <w:tr2bl w:val="nil"/>
                  </w:tcBorders>
                  <w:shd w:val="clear" w:color="auto" w:fill="auto"/>
                  <w:vAlign w:val="center"/>
                </w:tcPr>
                <w:p>
                  <w:pPr>
                    <w:widowControl/>
                    <w:spacing w:line="25" w:lineRule="atLeast"/>
                    <w:jc w:val="center"/>
                    <w:rPr>
                      <w:szCs w:val="21"/>
                    </w:rPr>
                  </w:pPr>
                </w:p>
              </w:tc>
              <w:tc>
                <w:tcPr>
                  <w:tcW w:w="2918" w:type="dxa"/>
                  <w:gridSpan w:val="2"/>
                  <w:tcBorders>
                    <w:left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办公停车</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2100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6" w:type="dxa"/>
                  <w:vMerge/>
                  <w:tcBorders>
                    <w:right w:val="single" w:sz="4" w:space="0" w:color="auto"/>
                    <w:tl2br w:val="nil"/>
                    <w:tr2bl w:val="nil"/>
                  </w:tcBorders>
                  <w:shd w:val="clear" w:color="auto" w:fill="auto"/>
                  <w:vAlign w:val="center"/>
                </w:tcPr>
                <w:p>
                  <w:pPr>
                    <w:widowControl/>
                    <w:spacing w:line="25" w:lineRule="atLeast"/>
                    <w:jc w:val="left"/>
                    <w:rPr>
                      <w:szCs w:val="21"/>
                    </w:rPr>
                  </w:pPr>
                </w:p>
              </w:tc>
              <w:tc>
                <w:tcPr>
                  <w:tcW w:w="2918" w:type="dxa"/>
                  <w:gridSpan w:val="2"/>
                  <w:tcBorders>
                    <w:tl2br w:val="nil"/>
                    <w:tr2bl w:val="nil"/>
                  </w:tcBorders>
                  <w:shd w:val="clear" w:color="auto" w:fill="auto"/>
                  <w:vAlign w:val="center"/>
                </w:tcPr>
                <w:p>
                  <w:pPr>
                    <w:widowControl/>
                    <w:spacing w:line="25" w:lineRule="atLeast"/>
                    <w:jc w:val="center"/>
                    <w:rPr>
                      <w:szCs w:val="21"/>
                    </w:rPr>
                  </w:pPr>
                  <w:r>
                    <w:rPr>
                      <w:rFonts w:hint="eastAsia"/>
                      <w:szCs w:val="21"/>
                    </w:rPr>
                    <w:t>旅游车辆专用</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4322</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518" w:type="dxa"/>
                  <w:vMerge/>
                  <w:tcBorders>
                    <w:tl2br w:val="nil"/>
                    <w:tr2bl w:val="nil"/>
                  </w:tcBorders>
                  <w:shd w:val="clear" w:color="auto" w:fill="auto"/>
                  <w:vAlign w:val="center"/>
                </w:tcPr>
                <w:p>
                  <w:pPr>
                    <w:widowControl/>
                    <w:spacing w:line="25" w:lineRule="atLeast"/>
                    <w:jc w:val="left"/>
                    <w:rPr>
                      <w:bCs/>
                      <w:szCs w:val="21"/>
                    </w:rPr>
                  </w:pPr>
                </w:p>
              </w:tc>
              <w:tc>
                <w:tcPr>
                  <w:tcW w:w="496" w:type="dxa"/>
                  <w:vMerge/>
                  <w:tcBorders>
                    <w:right w:val="single" w:sz="4" w:space="0" w:color="auto"/>
                    <w:tl2br w:val="nil"/>
                    <w:tr2bl w:val="nil"/>
                  </w:tcBorders>
                  <w:shd w:val="clear" w:color="auto" w:fill="auto"/>
                  <w:vAlign w:val="center"/>
                </w:tcPr>
                <w:p>
                  <w:pPr>
                    <w:widowControl/>
                    <w:spacing w:line="25" w:lineRule="atLeast"/>
                    <w:jc w:val="center"/>
                    <w:rPr>
                      <w:szCs w:val="21"/>
                    </w:rPr>
                  </w:pPr>
                </w:p>
              </w:tc>
              <w:tc>
                <w:tcPr>
                  <w:tcW w:w="2918" w:type="dxa"/>
                  <w:gridSpan w:val="2"/>
                  <w:tcBorders>
                    <w:top w:val="single" w:sz="4" w:space="0" w:color="auto"/>
                    <w:tl2br w:val="nil"/>
                    <w:tr2bl w:val="nil"/>
                  </w:tcBorders>
                  <w:shd w:val="clear" w:color="auto" w:fill="auto"/>
                  <w:vAlign w:val="center"/>
                </w:tcPr>
                <w:p>
                  <w:pPr>
                    <w:widowControl/>
                    <w:spacing w:line="25" w:lineRule="atLeast"/>
                    <w:jc w:val="center"/>
                    <w:rPr>
                      <w:szCs w:val="21"/>
                    </w:rPr>
                  </w:pPr>
                  <w:r>
                    <w:rPr>
                      <w:rFonts w:hint="eastAsia"/>
                      <w:szCs w:val="21"/>
                    </w:rPr>
                    <w:t>社会停车</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5793</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rFonts w:hint="eastAsia"/>
                      <w:bCs/>
                      <w:szCs w:val="21"/>
                    </w:rPr>
                    <w:t>建筑基底面积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21220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bCs/>
                      <w:szCs w:val="21"/>
                    </w:rPr>
                    <w:t>容积率</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1.40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c>
                <w:tcPr>
                  <w:tcW w:w="3046" w:type="dxa"/>
                  <w:tcBorders>
                    <w:tl2br w:val="nil"/>
                    <w:tr2bl w:val="nil"/>
                  </w:tcBorders>
                  <w:shd w:val="clear" w:color="auto" w:fill="auto"/>
                  <w:vAlign w:val="center"/>
                </w:tcPr>
                <w:p>
                  <w:pPr>
                    <w:widowControl/>
                    <w:spacing w:line="25" w:lineRule="atLeast"/>
                    <w:jc w:val="center"/>
                    <w:rPr>
                      <w:szCs w:val="21"/>
                    </w:rPr>
                  </w:pPr>
                  <w:r>
                    <w:rPr>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rFonts w:hint="eastAsia"/>
                      <w:bCs/>
                      <w:szCs w:val="21"/>
                    </w:rPr>
                    <w:t>绿地面积</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21858</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m</w:t>
                  </w:r>
                  <w:r>
                    <w:rPr>
                      <w:rFonts w:hint="eastAsia"/>
                      <w:szCs w:val="21"/>
                      <w:vertAlign w:val="superscript"/>
                    </w:rPr>
                    <w:t>2</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bCs/>
                      <w:szCs w:val="21"/>
                    </w:rPr>
                    <w:t>绿地率</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36.43</w:t>
                  </w:r>
                </w:p>
              </w:tc>
              <w:tc>
                <w:tcPr>
                  <w:tcW w:w="764" w:type="dxa"/>
                  <w:tcBorders>
                    <w:tl2br w:val="nil"/>
                    <w:tr2bl w:val="nil"/>
                  </w:tcBorders>
                  <w:shd w:val="clear" w:color="auto" w:fill="auto"/>
                  <w:vAlign w:val="center"/>
                </w:tcPr>
                <w:p>
                  <w:pPr>
                    <w:widowControl/>
                    <w:spacing w:line="25" w:lineRule="atLeast"/>
                    <w:jc w:val="center"/>
                    <w:rPr>
                      <w:szCs w:val="21"/>
                    </w:rPr>
                  </w:pPr>
                  <w:r>
                    <w:rPr>
                      <w:szCs w:val="21"/>
                    </w:rPr>
                    <w:t>%</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285"/>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bCs/>
                      <w:szCs w:val="21"/>
                    </w:rPr>
                    <w:t>建筑密度</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1.40</w:t>
                  </w:r>
                </w:p>
              </w:tc>
              <w:tc>
                <w:tcPr>
                  <w:tcW w:w="764" w:type="dxa"/>
                  <w:tcBorders>
                    <w:tl2br w:val="nil"/>
                    <w:tr2bl w:val="nil"/>
                  </w:tcBorders>
                  <w:shd w:val="clear" w:color="auto" w:fill="auto"/>
                  <w:vAlign w:val="center"/>
                </w:tcPr>
                <w:p>
                  <w:pPr>
                    <w:widowControl/>
                    <w:spacing w:line="25" w:lineRule="atLeast"/>
                    <w:jc w:val="center"/>
                    <w:rPr>
                      <w:szCs w:val="21"/>
                    </w:rPr>
                  </w:pPr>
                  <w:r>
                    <w:rPr>
                      <w:szCs w:val="21"/>
                    </w:rPr>
                    <w:t>%</w:t>
                  </w:r>
                </w:p>
              </w:tc>
              <w:tc>
                <w:tcPr>
                  <w:tcW w:w="3046" w:type="dxa"/>
                  <w:tcBorders>
                    <w:tl2br w:val="nil"/>
                    <w:tr2bl w:val="nil"/>
                  </w:tcBorders>
                  <w:shd w:val="clear" w:color="auto" w:fill="auto"/>
                  <w:vAlign w:val="center"/>
                </w:tcPr>
                <w:p>
                  <w:pPr>
                    <w:widowControl/>
                    <w:spacing w:line="25" w:lineRule="atLeast"/>
                    <w:jc w:val="center"/>
                    <w:rPr>
                      <w:szCs w:val="21"/>
                    </w:rPr>
                  </w:pPr>
                  <w:r>
                    <w:rPr>
                      <w:rFonts w:hint="eastAsia"/>
                      <w:szCs w:val="21"/>
                    </w:rPr>
                    <w:t>/</w:t>
                  </w:r>
                </w:p>
              </w:tc>
            </w:tr>
            <w:tr>
              <w:tblPrEx>
                <w:tblW w:w="8915" w:type="dxa"/>
                <w:tblInd w:w="6" w:type="dxa"/>
                <w:tblLayout w:type="fixed"/>
                <w:tblCellMar>
                  <w:top w:w="15" w:type="dxa"/>
                  <w:left w:w="108" w:type="dxa"/>
                  <w:bottom w:w="15" w:type="dxa"/>
                  <w:right w:w="108" w:type="dxa"/>
                </w:tblCellMar>
              </w:tblPrEx>
              <w:trPr>
                <w:trHeight w:val="117"/>
              </w:trPr>
              <w:tc>
                <w:tcPr>
                  <w:tcW w:w="3932" w:type="dxa"/>
                  <w:gridSpan w:val="4"/>
                  <w:tcBorders>
                    <w:tl2br w:val="nil"/>
                    <w:tr2bl w:val="nil"/>
                  </w:tcBorders>
                  <w:shd w:val="clear" w:color="auto" w:fill="auto"/>
                  <w:vAlign w:val="center"/>
                </w:tcPr>
                <w:p>
                  <w:pPr>
                    <w:widowControl/>
                    <w:spacing w:line="25" w:lineRule="atLeast"/>
                    <w:jc w:val="center"/>
                    <w:rPr>
                      <w:bCs/>
                      <w:szCs w:val="21"/>
                    </w:rPr>
                  </w:pPr>
                  <w:r>
                    <w:rPr>
                      <w:bCs/>
                      <w:szCs w:val="21"/>
                    </w:rPr>
                    <w:t>机动车停车位</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783</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个</w:t>
                  </w:r>
                </w:p>
              </w:tc>
              <w:tc>
                <w:tcPr>
                  <w:tcW w:w="3046" w:type="dxa"/>
                  <w:vMerge w:val="restart"/>
                  <w:tcBorders>
                    <w:tl2br w:val="nil"/>
                    <w:tr2bl w:val="nil"/>
                  </w:tcBorders>
                  <w:shd w:val="clear" w:color="auto" w:fill="auto"/>
                  <w:vAlign w:val="center"/>
                </w:tcPr>
                <w:p>
                  <w:pPr>
                    <w:pStyle w:val="a13"/>
                    <w:spacing w:line="25" w:lineRule="atLeast"/>
                    <w:rPr>
                      <w:rFonts w:ascii="Times New Roman"/>
                      <w:szCs w:val="21"/>
                    </w:rPr>
                  </w:pPr>
                  <w:r>
                    <w:rPr>
                      <w:rFonts w:ascii="Times New Roman" w:hint="eastAsia"/>
                      <w:szCs w:val="21"/>
                    </w:rPr>
                    <w:t>按照《抚州市城市规划管理技术规定》系数配比安排停车</w:t>
                  </w:r>
                </w:p>
              </w:tc>
            </w:tr>
            <w:tr>
              <w:tblPrEx>
                <w:tblW w:w="8915" w:type="dxa"/>
                <w:tblInd w:w="6" w:type="dxa"/>
                <w:tblLayout w:type="fixed"/>
                <w:tblCellMar>
                  <w:top w:w="15" w:type="dxa"/>
                  <w:left w:w="108" w:type="dxa"/>
                  <w:bottom w:w="15" w:type="dxa"/>
                  <w:right w:w="108" w:type="dxa"/>
                </w:tblCellMar>
              </w:tblPrEx>
              <w:trPr>
                <w:trHeight w:val="117"/>
              </w:trPr>
              <w:tc>
                <w:tcPr>
                  <w:tcW w:w="518" w:type="dxa"/>
                  <w:vMerge w:val="restart"/>
                  <w:tcBorders>
                    <w:righ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其中</w:t>
                  </w:r>
                </w:p>
              </w:tc>
              <w:tc>
                <w:tcPr>
                  <w:tcW w:w="3414" w:type="dxa"/>
                  <w:gridSpan w:val="3"/>
                  <w:tcBorders>
                    <w:lef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地上</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45</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个</w:t>
                  </w:r>
                </w:p>
              </w:tc>
              <w:tc>
                <w:tcPr>
                  <w:tcW w:w="3046" w:type="dxa"/>
                  <w:vMerge/>
                  <w:tcBorders>
                    <w:tl2br w:val="nil"/>
                    <w:tr2bl w:val="nil"/>
                  </w:tcBorders>
                  <w:shd w:val="clear" w:color="auto" w:fill="auto"/>
                  <w:vAlign w:val="center"/>
                </w:tcPr>
                <w:p>
                  <w:pPr>
                    <w:pStyle w:val="a13"/>
                    <w:spacing w:line="25" w:lineRule="atLeast"/>
                    <w:rPr>
                      <w:rFonts w:ascii="Times New Roman"/>
                      <w:szCs w:val="21"/>
                    </w:rPr>
                  </w:pPr>
                </w:p>
              </w:tc>
            </w:tr>
            <w:tr>
              <w:tblPrEx>
                <w:tblW w:w="8915" w:type="dxa"/>
                <w:tblInd w:w="6" w:type="dxa"/>
                <w:tblLayout w:type="fixed"/>
                <w:tblCellMar>
                  <w:top w:w="15" w:type="dxa"/>
                  <w:left w:w="108" w:type="dxa"/>
                  <w:bottom w:w="15" w:type="dxa"/>
                  <w:right w:w="108" w:type="dxa"/>
                </w:tblCellMar>
              </w:tblPrEx>
              <w:trPr>
                <w:trHeight w:val="117"/>
              </w:trPr>
              <w:tc>
                <w:tcPr>
                  <w:tcW w:w="518" w:type="dxa"/>
                  <w:vMerge/>
                  <w:tcBorders>
                    <w:right w:val="single" w:sz="4" w:space="0" w:color="auto"/>
                    <w:tl2br w:val="nil"/>
                    <w:tr2bl w:val="nil"/>
                  </w:tcBorders>
                  <w:shd w:val="clear" w:color="auto" w:fill="auto"/>
                  <w:vAlign w:val="center"/>
                </w:tcPr>
                <w:p>
                  <w:pPr>
                    <w:widowControl/>
                    <w:spacing w:line="25" w:lineRule="atLeast"/>
                    <w:jc w:val="center"/>
                    <w:rPr>
                      <w:bCs/>
                      <w:szCs w:val="21"/>
                    </w:rPr>
                  </w:pPr>
                </w:p>
              </w:tc>
              <w:tc>
                <w:tcPr>
                  <w:tcW w:w="3414" w:type="dxa"/>
                  <w:gridSpan w:val="3"/>
                  <w:tcBorders>
                    <w:lef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地下</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738</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个</w:t>
                  </w:r>
                </w:p>
              </w:tc>
              <w:tc>
                <w:tcPr>
                  <w:tcW w:w="3046" w:type="dxa"/>
                  <w:vMerge/>
                  <w:tcBorders>
                    <w:tl2br w:val="nil"/>
                    <w:tr2bl w:val="nil"/>
                  </w:tcBorders>
                  <w:shd w:val="clear" w:color="auto" w:fill="auto"/>
                  <w:vAlign w:val="center"/>
                </w:tcPr>
                <w:p>
                  <w:pPr>
                    <w:pStyle w:val="a13"/>
                    <w:spacing w:line="25" w:lineRule="atLeast"/>
                    <w:rPr>
                      <w:rFonts w:ascii="Times New Roman"/>
                      <w:szCs w:val="21"/>
                    </w:rPr>
                  </w:pPr>
                </w:p>
              </w:tc>
            </w:tr>
            <w:tr>
              <w:tblPrEx>
                <w:tblW w:w="8915" w:type="dxa"/>
                <w:tblInd w:w="6" w:type="dxa"/>
                <w:tblLayout w:type="fixed"/>
                <w:tblCellMar>
                  <w:top w:w="15" w:type="dxa"/>
                  <w:left w:w="108" w:type="dxa"/>
                  <w:bottom w:w="15" w:type="dxa"/>
                  <w:right w:w="108" w:type="dxa"/>
                </w:tblCellMar>
              </w:tblPrEx>
              <w:trPr>
                <w:trHeight w:val="117"/>
              </w:trPr>
              <w:tc>
                <w:tcPr>
                  <w:tcW w:w="518" w:type="dxa"/>
                  <w:vMerge/>
                  <w:tcBorders>
                    <w:right w:val="single" w:sz="4" w:space="0" w:color="auto"/>
                    <w:tl2br w:val="nil"/>
                    <w:tr2bl w:val="nil"/>
                  </w:tcBorders>
                  <w:shd w:val="clear" w:color="auto" w:fill="auto"/>
                  <w:vAlign w:val="center"/>
                </w:tcPr>
                <w:p>
                  <w:pPr>
                    <w:widowControl/>
                    <w:spacing w:line="25" w:lineRule="atLeast"/>
                    <w:jc w:val="center"/>
                    <w:rPr>
                      <w:bCs/>
                      <w:szCs w:val="21"/>
                    </w:rPr>
                  </w:pPr>
                </w:p>
              </w:tc>
              <w:tc>
                <w:tcPr>
                  <w:tcW w:w="492" w:type="dxa"/>
                  <w:vMerge w:val="restart"/>
                  <w:tcBorders>
                    <w:left w:val="single" w:sz="4" w:space="0" w:color="auto"/>
                    <w:righ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其中</w:t>
                  </w:r>
                </w:p>
              </w:tc>
              <w:tc>
                <w:tcPr>
                  <w:tcW w:w="2922" w:type="dxa"/>
                  <w:gridSpan w:val="2"/>
                  <w:tcBorders>
                    <w:lef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办公</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70</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个</w:t>
                  </w:r>
                </w:p>
              </w:tc>
              <w:tc>
                <w:tcPr>
                  <w:tcW w:w="3046" w:type="dxa"/>
                  <w:vMerge/>
                  <w:tcBorders>
                    <w:tl2br w:val="nil"/>
                    <w:tr2bl w:val="nil"/>
                  </w:tcBorders>
                  <w:shd w:val="clear" w:color="auto" w:fill="auto"/>
                  <w:vAlign w:val="center"/>
                </w:tcPr>
                <w:p>
                  <w:pPr>
                    <w:pStyle w:val="a13"/>
                    <w:spacing w:line="25" w:lineRule="atLeast"/>
                    <w:rPr>
                      <w:rFonts w:ascii="Times New Roman"/>
                      <w:szCs w:val="21"/>
                    </w:rPr>
                  </w:pPr>
                </w:p>
              </w:tc>
            </w:tr>
            <w:tr>
              <w:tblPrEx>
                <w:tblW w:w="8915" w:type="dxa"/>
                <w:tblInd w:w="6" w:type="dxa"/>
                <w:tblLayout w:type="fixed"/>
                <w:tblCellMar>
                  <w:top w:w="15" w:type="dxa"/>
                  <w:left w:w="108" w:type="dxa"/>
                  <w:bottom w:w="15" w:type="dxa"/>
                  <w:right w:w="108" w:type="dxa"/>
                </w:tblCellMar>
              </w:tblPrEx>
              <w:trPr>
                <w:trHeight w:val="117"/>
              </w:trPr>
              <w:tc>
                <w:tcPr>
                  <w:tcW w:w="518" w:type="dxa"/>
                  <w:vMerge/>
                  <w:tcBorders>
                    <w:right w:val="single" w:sz="4" w:space="0" w:color="auto"/>
                    <w:tl2br w:val="nil"/>
                    <w:tr2bl w:val="nil"/>
                  </w:tcBorders>
                  <w:shd w:val="clear" w:color="auto" w:fill="auto"/>
                  <w:vAlign w:val="center"/>
                </w:tcPr>
                <w:p>
                  <w:pPr>
                    <w:widowControl/>
                    <w:spacing w:line="25" w:lineRule="atLeast"/>
                    <w:jc w:val="center"/>
                    <w:rPr>
                      <w:bCs/>
                      <w:szCs w:val="21"/>
                    </w:rPr>
                  </w:pPr>
                </w:p>
              </w:tc>
              <w:tc>
                <w:tcPr>
                  <w:tcW w:w="492"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bCs/>
                      <w:szCs w:val="21"/>
                    </w:rPr>
                  </w:pPr>
                </w:p>
              </w:tc>
              <w:tc>
                <w:tcPr>
                  <w:tcW w:w="2922" w:type="dxa"/>
                  <w:gridSpan w:val="2"/>
                  <w:tcBorders>
                    <w:lef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社会停车</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364</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个</w:t>
                  </w:r>
                </w:p>
              </w:tc>
              <w:tc>
                <w:tcPr>
                  <w:tcW w:w="3046" w:type="dxa"/>
                  <w:vMerge/>
                  <w:tcBorders>
                    <w:tl2br w:val="nil"/>
                    <w:tr2bl w:val="nil"/>
                  </w:tcBorders>
                  <w:shd w:val="clear" w:color="auto" w:fill="auto"/>
                  <w:vAlign w:val="center"/>
                </w:tcPr>
                <w:p>
                  <w:pPr>
                    <w:pStyle w:val="a13"/>
                    <w:spacing w:line="25" w:lineRule="atLeast"/>
                    <w:rPr>
                      <w:rFonts w:ascii="Times New Roman"/>
                      <w:szCs w:val="21"/>
                    </w:rPr>
                  </w:pPr>
                </w:p>
              </w:tc>
            </w:tr>
            <w:tr>
              <w:tblPrEx>
                <w:tblW w:w="8915" w:type="dxa"/>
                <w:tblInd w:w="6" w:type="dxa"/>
                <w:tblLayout w:type="fixed"/>
                <w:tblCellMar>
                  <w:top w:w="15" w:type="dxa"/>
                  <w:left w:w="108" w:type="dxa"/>
                  <w:bottom w:w="15" w:type="dxa"/>
                  <w:right w:w="108" w:type="dxa"/>
                </w:tblCellMar>
              </w:tblPrEx>
              <w:trPr>
                <w:trHeight w:val="117"/>
              </w:trPr>
              <w:tc>
                <w:tcPr>
                  <w:tcW w:w="518" w:type="dxa"/>
                  <w:vMerge/>
                  <w:tcBorders>
                    <w:right w:val="single" w:sz="4" w:space="0" w:color="auto"/>
                    <w:tl2br w:val="nil"/>
                    <w:tr2bl w:val="nil"/>
                  </w:tcBorders>
                  <w:shd w:val="clear" w:color="auto" w:fill="auto"/>
                  <w:vAlign w:val="center"/>
                </w:tcPr>
                <w:p>
                  <w:pPr>
                    <w:widowControl/>
                    <w:spacing w:line="25" w:lineRule="atLeast"/>
                    <w:jc w:val="center"/>
                    <w:rPr>
                      <w:bCs/>
                      <w:szCs w:val="21"/>
                    </w:rPr>
                  </w:pPr>
                </w:p>
              </w:tc>
              <w:tc>
                <w:tcPr>
                  <w:tcW w:w="492" w:type="dxa"/>
                  <w:vMerge/>
                  <w:tcBorders>
                    <w:left w:val="single" w:sz="4" w:space="0" w:color="auto"/>
                    <w:right w:val="single" w:sz="4" w:space="0" w:color="auto"/>
                    <w:tl2br w:val="nil"/>
                    <w:tr2bl w:val="nil"/>
                  </w:tcBorders>
                  <w:shd w:val="clear" w:color="auto" w:fill="auto"/>
                  <w:vAlign w:val="center"/>
                </w:tcPr>
                <w:p>
                  <w:pPr>
                    <w:widowControl/>
                    <w:spacing w:line="25" w:lineRule="atLeast"/>
                    <w:jc w:val="center"/>
                    <w:rPr>
                      <w:bCs/>
                      <w:szCs w:val="21"/>
                    </w:rPr>
                  </w:pPr>
                </w:p>
              </w:tc>
              <w:tc>
                <w:tcPr>
                  <w:tcW w:w="2922" w:type="dxa"/>
                  <w:gridSpan w:val="2"/>
                  <w:tcBorders>
                    <w:left w:val="single" w:sz="4" w:space="0" w:color="auto"/>
                    <w:tl2br w:val="nil"/>
                    <w:tr2bl w:val="nil"/>
                  </w:tcBorders>
                  <w:shd w:val="clear" w:color="auto" w:fill="auto"/>
                  <w:vAlign w:val="center"/>
                </w:tcPr>
                <w:p>
                  <w:pPr>
                    <w:widowControl/>
                    <w:spacing w:line="25" w:lineRule="atLeast"/>
                    <w:jc w:val="center"/>
                    <w:rPr>
                      <w:bCs/>
                      <w:szCs w:val="21"/>
                    </w:rPr>
                  </w:pPr>
                  <w:r>
                    <w:rPr>
                      <w:rFonts w:hint="eastAsia"/>
                      <w:bCs/>
                      <w:szCs w:val="21"/>
                    </w:rPr>
                    <w:t>酒店</w:t>
                  </w:r>
                </w:p>
              </w:tc>
              <w:tc>
                <w:tcPr>
                  <w:tcW w:w="1173" w:type="dxa"/>
                  <w:tcBorders>
                    <w:tl2br w:val="nil"/>
                    <w:tr2bl w:val="nil"/>
                  </w:tcBorders>
                  <w:shd w:val="clear" w:color="auto" w:fill="auto"/>
                  <w:vAlign w:val="center"/>
                </w:tcPr>
                <w:p>
                  <w:pPr>
                    <w:widowControl/>
                    <w:spacing w:line="25" w:lineRule="atLeast"/>
                    <w:jc w:val="center"/>
                    <w:rPr>
                      <w:szCs w:val="21"/>
                    </w:rPr>
                  </w:pPr>
                  <w:r>
                    <w:rPr>
                      <w:rFonts w:hint="eastAsia"/>
                      <w:szCs w:val="21"/>
                    </w:rPr>
                    <w:t>304</w:t>
                  </w:r>
                </w:p>
              </w:tc>
              <w:tc>
                <w:tcPr>
                  <w:tcW w:w="764" w:type="dxa"/>
                  <w:tcBorders>
                    <w:tl2br w:val="nil"/>
                    <w:tr2bl w:val="nil"/>
                  </w:tcBorders>
                  <w:shd w:val="clear" w:color="auto" w:fill="auto"/>
                  <w:vAlign w:val="center"/>
                </w:tcPr>
                <w:p>
                  <w:pPr>
                    <w:widowControl/>
                    <w:spacing w:line="25" w:lineRule="atLeast"/>
                    <w:jc w:val="center"/>
                    <w:rPr>
                      <w:szCs w:val="21"/>
                    </w:rPr>
                  </w:pPr>
                  <w:r>
                    <w:rPr>
                      <w:rFonts w:hint="eastAsia"/>
                      <w:szCs w:val="21"/>
                    </w:rPr>
                    <w:t>个</w:t>
                  </w:r>
                </w:p>
              </w:tc>
              <w:tc>
                <w:tcPr>
                  <w:tcW w:w="3046" w:type="dxa"/>
                  <w:vMerge/>
                  <w:tcBorders>
                    <w:tl2br w:val="nil"/>
                    <w:tr2bl w:val="nil"/>
                  </w:tcBorders>
                  <w:shd w:val="clear" w:color="auto" w:fill="auto"/>
                  <w:vAlign w:val="center"/>
                </w:tcPr>
                <w:p>
                  <w:pPr>
                    <w:pStyle w:val="a13"/>
                    <w:spacing w:line="25" w:lineRule="atLeast"/>
                    <w:rPr>
                      <w:rFonts w:ascii="Times New Roman"/>
                      <w:szCs w:val="21"/>
                    </w:rPr>
                  </w:pPr>
                </w:p>
              </w:tc>
            </w:tr>
            <w:bookmarkEnd w:id="1"/>
          </w:tbl>
          <w:p>
            <w:pPr>
              <w:pStyle w:val="Default"/>
              <w:spacing w:line="360" w:lineRule="auto"/>
              <w:ind w:firstLine="480" w:firstLineChars="200"/>
              <w:rPr>
                <w:rFonts w:ascii="Calibri" w:eastAsia="宋体" w:hAnsi="宋体" w:hint="default"/>
                <w:b/>
                <w:color w:val="auto"/>
                <w:kern w:val="21"/>
              </w:rPr>
            </w:pPr>
            <w:r>
              <w:rPr>
                <w:rFonts w:ascii="Calibri" w:eastAsia="宋体" w:hAnsi="宋体"/>
                <w:b/>
                <w:color w:val="auto"/>
                <w:kern w:val="21"/>
              </w:rPr>
              <w:t>4、项目组成及主要工程</w:t>
            </w:r>
          </w:p>
          <w:p>
            <w:pPr>
              <w:tabs>
                <w:tab w:val="left" w:pos="0"/>
              </w:tabs>
              <w:spacing w:line="360" w:lineRule="auto"/>
              <w:ind w:firstLine="480" w:firstLineChars="200"/>
              <w:rPr>
                <w:b/>
                <w:bCs/>
                <w:kern w:val="21"/>
                <w:sz w:val="24"/>
              </w:rPr>
            </w:pPr>
            <w:r>
              <w:rPr>
                <w:rFonts w:hAnsi="宋体"/>
                <w:kern w:val="21"/>
                <w:sz w:val="24"/>
              </w:rPr>
              <w:t>项目组成表见</w:t>
            </w:r>
            <w:r>
              <w:rPr>
                <w:rFonts w:hAnsi="宋体" w:hint="eastAsia"/>
                <w:kern w:val="21"/>
                <w:sz w:val="24"/>
              </w:rPr>
              <w:t>下表。</w:t>
            </w:r>
          </w:p>
          <w:p>
            <w:pPr>
              <w:tabs>
                <w:tab w:val="left" w:pos="0"/>
              </w:tabs>
              <w:spacing w:line="240" w:lineRule="auto"/>
              <w:jc w:val="center"/>
              <w:rPr>
                <w:b/>
                <w:bCs/>
                <w:kern w:val="21"/>
                <w:sz w:val="24"/>
              </w:rPr>
            </w:pPr>
            <w:r>
              <w:rPr>
                <w:b/>
                <w:bCs/>
                <w:kern w:val="21"/>
                <w:sz w:val="24"/>
              </w:rPr>
              <w:t>表2  建设项目组成表</w:t>
            </w:r>
          </w:p>
          <w:tbl>
            <w:tblPr>
              <w:tblStyle w:val="TableNormal"/>
              <w:tblW w:w="894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276"/>
              <w:gridCol w:w="4306"/>
              <w:gridCol w:w="1209"/>
              <w:gridCol w:w="1382"/>
            </w:tblGrid>
            <w:tr>
              <w:tblPrEx>
                <w:tblW w:w="894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63"/>
                <w:jc w:val="center"/>
              </w:trPr>
              <w:tc>
                <w:tcPr>
                  <w:tcW w:w="2045" w:type="dxa"/>
                  <w:gridSpan w:val="2"/>
                  <w:vMerge w:val="restart"/>
                  <w:tcBorders>
                    <w:tl2br w:val="nil"/>
                    <w:tr2bl w:val="nil"/>
                  </w:tcBorders>
                  <w:vAlign w:val="center"/>
                </w:tcPr>
                <w:p>
                  <w:pPr>
                    <w:spacing w:line="25" w:lineRule="atLeast"/>
                    <w:jc w:val="center"/>
                    <w:rPr>
                      <w:b/>
                      <w:bCs/>
                      <w:kern w:val="18"/>
                      <w:szCs w:val="21"/>
                    </w:rPr>
                  </w:pPr>
                  <w:r>
                    <w:rPr>
                      <w:b/>
                      <w:bCs/>
                      <w:kern w:val="18"/>
                      <w:szCs w:val="21"/>
                    </w:rPr>
                    <w:t>项目组成</w:t>
                  </w:r>
                </w:p>
              </w:tc>
              <w:tc>
                <w:tcPr>
                  <w:tcW w:w="4306" w:type="dxa"/>
                  <w:vMerge w:val="restart"/>
                  <w:tcBorders>
                    <w:tl2br w:val="nil"/>
                    <w:tr2bl w:val="nil"/>
                  </w:tcBorders>
                  <w:vAlign w:val="center"/>
                </w:tcPr>
                <w:p>
                  <w:pPr>
                    <w:spacing w:line="25" w:lineRule="atLeast"/>
                    <w:jc w:val="center"/>
                    <w:rPr>
                      <w:b/>
                      <w:bCs/>
                      <w:kern w:val="18"/>
                      <w:szCs w:val="21"/>
                    </w:rPr>
                  </w:pPr>
                  <w:r>
                    <w:rPr>
                      <w:b/>
                      <w:bCs/>
                      <w:kern w:val="18"/>
                      <w:szCs w:val="21"/>
                    </w:rPr>
                    <w:t>组成说明</w:t>
                  </w:r>
                </w:p>
              </w:tc>
              <w:tc>
                <w:tcPr>
                  <w:tcW w:w="2591" w:type="dxa"/>
                  <w:gridSpan w:val="2"/>
                  <w:tcBorders>
                    <w:tl2br w:val="nil"/>
                    <w:tr2bl w:val="nil"/>
                  </w:tcBorders>
                  <w:vAlign w:val="center"/>
                </w:tcPr>
                <w:p>
                  <w:pPr>
                    <w:spacing w:line="25" w:lineRule="atLeast"/>
                    <w:jc w:val="center"/>
                    <w:rPr>
                      <w:b/>
                      <w:bCs/>
                      <w:kern w:val="18"/>
                      <w:szCs w:val="21"/>
                    </w:rPr>
                  </w:pPr>
                  <w:r>
                    <w:rPr>
                      <w:b/>
                      <w:bCs/>
                      <w:kern w:val="18"/>
                      <w:szCs w:val="21"/>
                    </w:rPr>
                    <w:t>主要环境问题</w:t>
                  </w:r>
                </w:p>
              </w:tc>
            </w:tr>
            <w:tr>
              <w:tblPrEx>
                <w:tblW w:w="8942" w:type="dxa"/>
                <w:jc w:val="center"/>
                <w:tblLayout w:type="fixed"/>
                <w:tblCellMar>
                  <w:top w:w="0" w:type="dxa"/>
                  <w:left w:w="108" w:type="dxa"/>
                  <w:bottom w:w="0" w:type="dxa"/>
                  <w:right w:w="108" w:type="dxa"/>
                </w:tblCellMar>
              </w:tblPrEx>
              <w:trPr>
                <w:trHeight w:val="337"/>
                <w:jc w:val="center"/>
              </w:trPr>
              <w:tc>
                <w:tcPr>
                  <w:tcW w:w="2045" w:type="dxa"/>
                  <w:gridSpan w:val="2"/>
                  <w:vMerge/>
                  <w:tcBorders>
                    <w:tl2br w:val="nil"/>
                    <w:tr2bl w:val="nil"/>
                  </w:tcBorders>
                  <w:vAlign w:val="center"/>
                </w:tcPr>
                <w:p>
                  <w:pPr>
                    <w:spacing w:line="25" w:lineRule="atLeast"/>
                    <w:jc w:val="center"/>
                    <w:rPr>
                      <w:b/>
                      <w:bCs/>
                      <w:kern w:val="18"/>
                      <w:szCs w:val="21"/>
                    </w:rPr>
                  </w:pPr>
                </w:p>
              </w:tc>
              <w:tc>
                <w:tcPr>
                  <w:tcW w:w="4306" w:type="dxa"/>
                  <w:vMerge/>
                  <w:tcBorders>
                    <w:tl2br w:val="nil"/>
                    <w:tr2bl w:val="nil"/>
                  </w:tcBorders>
                  <w:vAlign w:val="center"/>
                </w:tcPr>
                <w:p>
                  <w:pPr>
                    <w:spacing w:line="25" w:lineRule="atLeast"/>
                    <w:jc w:val="center"/>
                    <w:rPr>
                      <w:b/>
                      <w:bCs/>
                      <w:kern w:val="21"/>
                      <w:szCs w:val="21"/>
                    </w:rPr>
                  </w:pPr>
                </w:p>
              </w:tc>
              <w:tc>
                <w:tcPr>
                  <w:tcW w:w="1209" w:type="dxa"/>
                  <w:tcBorders>
                    <w:tl2br w:val="nil"/>
                    <w:tr2bl w:val="nil"/>
                  </w:tcBorders>
                  <w:vAlign w:val="center"/>
                </w:tcPr>
                <w:p>
                  <w:pPr>
                    <w:spacing w:line="25" w:lineRule="atLeast"/>
                    <w:jc w:val="center"/>
                    <w:rPr>
                      <w:b/>
                      <w:bCs/>
                      <w:w w:val="80"/>
                      <w:kern w:val="21"/>
                      <w:szCs w:val="21"/>
                    </w:rPr>
                  </w:pPr>
                  <w:r>
                    <w:rPr>
                      <w:b/>
                      <w:bCs/>
                      <w:kern w:val="18"/>
                      <w:szCs w:val="21"/>
                    </w:rPr>
                    <w:t>施工期</w:t>
                  </w:r>
                </w:p>
              </w:tc>
              <w:tc>
                <w:tcPr>
                  <w:tcW w:w="1382" w:type="dxa"/>
                  <w:tcBorders>
                    <w:tl2br w:val="nil"/>
                    <w:tr2bl w:val="nil"/>
                  </w:tcBorders>
                  <w:vAlign w:val="center"/>
                </w:tcPr>
                <w:p>
                  <w:pPr>
                    <w:spacing w:line="25" w:lineRule="atLeast"/>
                    <w:jc w:val="center"/>
                    <w:rPr>
                      <w:b/>
                      <w:bCs/>
                      <w:kern w:val="18"/>
                      <w:szCs w:val="21"/>
                    </w:rPr>
                  </w:pPr>
                  <w:r>
                    <w:rPr>
                      <w:b/>
                      <w:bCs/>
                      <w:kern w:val="18"/>
                      <w:szCs w:val="21"/>
                    </w:rPr>
                    <w:t>营运期</w:t>
                  </w:r>
                </w:p>
              </w:tc>
            </w:tr>
            <w:tr>
              <w:tblPrEx>
                <w:tblW w:w="8942" w:type="dxa"/>
                <w:jc w:val="center"/>
                <w:tblLayout w:type="fixed"/>
                <w:tblCellMar>
                  <w:top w:w="0" w:type="dxa"/>
                  <w:left w:w="108" w:type="dxa"/>
                  <w:bottom w:w="0" w:type="dxa"/>
                  <w:right w:w="108" w:type="dxa"/>
                </w:tblCellMar>
              </w:tblPrEx>
              <w:trPr>
                <w:trHeight w:val="337"/>
                <w:jc w:val="center"/>
              </w:trPr>
              <w:tc>
                <w:tcPr>
                  <w:tcW w:w="769" w:type="dxa"/>
                  <w:tcBorders>
                    <w:tl2br w:val="nil"/>
                    <w:tr2bl w:val="nil"/>
                  </w:tcBorders>
                  <w:vAlign w:val="center"/>
                </w:tcPr>
                <w:p>
                  <w:pPr>
                    <w:spacing w:line="25" w:lineRule="atLeast"/>
                    <w:jc w:val="center"/>
                    <w:rPr>
                      <w:kern w:val="18"/>
                      <w:szCs w:val="21"/>
                    </w:rPr>
                  </w:pPr>
                  <w:r>
                    <w:rPr>
                      <w:kern w:val="18"/>
                      <w:szCs w:val="21"/>
                    </w:rPr>
                    <w:t>主体工程</w:t>
                  </w:r>
                </w:p>
              </w:tc>
              <w:tc>
                <w:tcPr>
                  <w:tcW w:w="1276" w:type="dxa"/>
                  <w:tcBorders>
                    <w:tl2br w:val="nil"/>
                    <w:tr2bl w:val="nil"/>
                  </w:tcBorders>
                  <w:vAlign w:val="center"/>
                </w:tcPr>
                <w:p>
                  <w:pPr>
                    <w:spacing w:line="25" w:lineRule="atLeast"/>
                    <w:jc w:val="center"/>
                    <w:rPr>
                      <w:kern w:val="18"/>
                      <w:szCs w:val="21"/>
                    </w:rPr>
                  </w:pPr>
                  <w:r>
                    <w:rPr>
                      <w:rFonts w:hint="eastAsia"/>
                      <w:kern w:val="21"/>
                      <w:szCs w:val="21"/>
                    </w:rPr>
                    <w:t>集散中心</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建筑高度18m，地上三层，地下一层</w:t>
                  </w:r>
                </w:p>
              </w:tc>
              <w:tc>
                <w:tcPr>
                  <w:tcW w:w="1209" w:type="dxa"/>
                  <w:tcBorders>
                    <w:tl2br w:val="nil"/>
                    <w:tr2bl w:val="nil"/>
                  </w:tcBorders>
                  <w:vAlign w:val="center"/>
                </w:tcPr>
                <w:p>
                  <w:pPr>
                    <w:pStyle w:val="211"/>
                    <w:spacing w:after="0" w:line="25" w:lineRule="atLeast"/>
                    <w:rPr>
                      <w:w w:val="80"/>
                      <w:kern w:val="21"/>
                      <w:sz w:val="21"/>
                      <w:szCs w:val="21"/>
                    </w:rPr>
                  </w:pPr>
                </w:p>
              </w:tc>
              <w:tc>
                <w:tcPr>
                  <w:tcW w:w="1382" w:type="dxa"/>
                  <w:tcBorders>
                    <w:tl2br w:val="nil"/>
                    <w:tr2bl w:val="nil"/>
                  </w:tcBorders>
                  <w:vAlign w:val="center"/>
                </w:tcPr>
                <w:p>
                  <w:pPr>
                    <w:spacing w:line="25" w:lineRule="atLeast"/>
                    <w:jc w:val="center"/>
                    <w:rPr>
                      <w:kern w:val="18"/>
                      <w:szCs w:val="21"/>
                    </w:rPr>
                  </w:pPr>
                  <w:r>
                    <w:rPr>
                      <w:kern w:val="18"/>
                      <w:szCs w:val="21"/>
                    </w:rPr>
                    <w:t>生活污水、生活垃圾、噪声、油烟</w:t>
                  </w:r>
                </w:p>
              </w:tc>
            </w:tr>
          </w:tbl>
          <w:p/>
        </w:tc>
      </w:tr>
    </w:tbl>
    <w:p>
      <w:pPr>
        <w:sectPr>
          <w:footerReference w:type="default" r:id="rId7"/>
          <w:type w:val="nextPage"/>
          <w:pgSz w:w="11907" w:h="16840"/>
          <w:pgMar w:top="1418" w:right="1418" w:bottom="1418" w:left="1418" w:header="851" w:footer="992" w:gutter="113"/>
          <w:pgNumType w:start="3"/>
          <w:cols w:num="1" w:space="720"/>
          <w:titlePg w:val="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tbl>
            <w:tblPr>
              <w:tblStyle w:val="TableNormal"/>
              <w:tblW w:w="894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276"/>
              <w:gridCol w:w="4306"/>
              <w:gridCol w:w="1209"/>
              <w:gridCol w:w="1382"/>
            </w:tblGrid>
            <w:tr>
              <w:tblPrEx>
                <w:tblW w:w="894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337"/>
                <w:jc w:val="center"/>
              </w:trPr>
              <w:tc>
                <w:tcPr>
                  <w:tcW w:w="769" w:type="dxa"/>
                  <w:vMerge w:val="restart"/>
                  <w:tcBorders>
                    <w:tl2br w:val="nil"/>
                    <w:tr2bl w:val="nil"/>
                  </w:tcBorders>
                  <w:vAlign w:val="center"/>
                </w:tcPr>
                <w:p/>
              </w:tc>
              <w:tc>
                <w:tcPr>
                  <w:tcW w:w="1276" w:type="dxa"/>
                  <w:tcBorders>
                    <w:tl2br w:val="nil"/>
                    <w:tr2bl w:val="nil"/>
                  </w:tcBorders>
                  <w:vAlign w:val="center"/>
                </w:tcPr>
                <w:p/>
              </w:tc>
              <w:tc>
                <w:tcPr>
                  <w:tcW w:w="4306" w:type="dxa"/>
                  <w:tcBorders>
                    <w:tl2br w:val="nil"/>
                    <w:tr2bl w:val="nil"/>
                  </w:tcBorders>
                  <w:vAlign w:val="center"/>
                </w:tcPr>
                <w:p/>
              </w:tc>
              <w:tc>
                <w:tcPr>
                  <w:tcW w:w="1209" w:type="dxa"/>
                  <w:vMerge w:val="restart"/>
                  <w:tcBorders>
                    <w:tl2br w:val="nil"/>
                    <w:tr2bl w:val="nil"/>
                  </w:tcBorders>
                  <w:vAlign w:val="center"/>
                </w:tcPr>
                <w:p>
                  <w:pPr>
                    <w:pStyle w:val="211"/>
                    <w:spacing w:before="0" w:line="25" w:lineRule="atLeast"/>
                    <w:rPr>
                      <w:w w:val="80"/>
                      <w:kern w:val="21"/>
                      <w:sz w:val="21"/>
                      <w:szCs w:val="21"/>
                    </w:rPr>
                  </w:pPr>
                  <w:r>
                    <w:rPr>
                      <w:sz w:val="21"/>
                      <w:szCs w:val="21"/>
                    </w:rPr>
                    <w:t>施工废水、施工固废、噪声、水土流失、扬尘</w:t>
                  </w:r>
                </w:p>
              </w:tc>
              <w:tc>
                <w:tcPr>
                  <w:tcW w:w="1382" w:type="dxa"/>
                  <w:vMerge w:val="restart"/>
                  <w:tcBorders>
                    <w:tl2br w:val="nil"/>
                    <w:tr2bl w:val="nil"/>
                  </w:tcBorders>
                  <w:vAlign w:val="center"/>
                </w:tcPr>
                <w:p/>
              </w:tc>
            </w:tr>
            <w:tr>
              <w:tblPrEx>
                <w:tblW w:w="8942" w:type="dxa"/>
                <w:jc w:val="center"/>
                <w:tblLayout w:type="fixed"/>
                <w:tblCellMar>
                  <w:top w:w="0" w:type="dxa"/>
                  <w:left w:w="108" w:type="dxa"/>
                  <w:bottom w:w="0" w:type="dxa"/>
                  <w:right w:w="108" w:type="dxa"/>
                </w:tblCellMar>
              </w:tblPrEx>
              <w:trPr>
                <w:trHeight w:val="240"/>
                <w:jc w:val="center"/>
              </w:trPr>
              <w:tc>
                <w:tcPr>
                  <w:tcW w:w="769" w:type="dxa"/>
                  <w:vMerge/>
                  <w:tcBorders>
                    <w:tl2br w:val="nil"/>
                    <w:tr2bl w:val="nil"/>
                  </w:tcBorders>
                  <w:vAlign w:val="center"/>
                </w:tcPr>
                <w:p>
                  <w:pPr>
                    <w:spacing w:line="25" w:lineRule="atLeast"/>
                    <w:jc w:val="center"/>
                    <w:rPr>
                      <w:color w:val="FF0000"/>
                      <w:kern w:val="18"/>
                      <w:szCs w:val="21"/>
                    </w:rPr>
                  </w:pPr>
                </w:p>
              </w:tc>
              <w:tc>
                <w:tcPr>
                  <w:tcW w:w="1276" w:type="dxa"/>
                  <w:tcBorders>
                    <w:tl2br w:val="nil"/>
                    <w:tr2bl w:val="nil"/>
                  </w:tcBorders>
                  <w:vAlign w:val="center"/>
                </w:tcPr>
                <w:p>
                  <w:pPr>
                    <w:spacing w:line="25" w:lineRule="atLeast"/>
                    <w:jc w:val="center"/>
                    <w:rPr>
                      <w:kern w:val="18"/>
                      <w:szCs w:val="21"/>
                    </w:rPr>
                  </w:pPr>
                  <w:r>
                    <w:rPr>
                      <w:rFonts w:hint="eastAsia"/>
                      <w:kern w:val="21"/>
                      <w:szCs w:val="21"/>
                    </w:rPr>
                    <w:t>办公楼</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建筑高度32m，地上八层，地下一层</w:t>
                  </w:r>
                </w:p>
              </w:tc>
              <w:tc>
                <w:tcPr>
                  <w:tcW w:w="1209" w:type="dxa"/>
                  <w:vMerge/>
                  <w:tcBorders>
                    <w:tl2br w:val="nil"/>
                    <w:tr2bl w:val="nil"/>
                  </w:tcBorders>
                  <w:vAlign w:val="center"/>
                </w:tcPr>
                <w:p>
                  <w:pPr>
                    <w:spacing w:line="25" w:lineRule="atLeast"/>
                    <w:jc w:val="center"/>
                    <w:rPr>
                      <w:kern w:val="18"/>
                      <w:szCs w:val="21"/>
                    </w:rPr>
                  </w:pPr>
                </w:p>
              </w:tc>
              <w:tc>
                <w:tcPr>
                  <w:tcW w:w="1382" w:type="dxa"/>
                  <w:vMerge/>
                  <w:tcBorders>
                    <w:tl2br w:val="nil"/>
                    <w:tr2bl w:val="nil"/>
                  </w:tcBorders>
                  <w:vAlign w:val="center"/>
                </w:tcPr>
                <w:p>
                  <w:pPr>
                    <w:spacing w:line="25" w:lineRule="atLeast"/>
                    <w:jc w:val="center"/>
                    <w:rPr>
                      <w:kern w:val="18"/>
                      <w:szCs w:val="21"/>
                    </w:rPr>
                  </w:pPr>
                </w:p>
              </w:tc>
            </w:tr>
            <w:tr>
              <w:tblPrEx>
                <w:tblW w:w="8942" w:type="dxa"/>
                <w:jc w:val="center"/>
                <w:tblLayout w:type="fixed"/>
                <w:tblCellMar>
                  <w:top w:w="0" w:type="dxa"/>
                  <w:left w:w="108" w:type="dxa"/>
                  <w:bottom w:w="0" w:type="dxa"/>
                  <w:right w:w="108" w:type="dxa"/>
                </w:tblCellMar>
              </w:tblPrEx>
              <w:trPr>
                <w:trHeight w:val="245"/>
                <w:jc w:val="center"/>
              </w:trPr>
              <w:tc>
                <w:tcPr>
                  <w:tcW w:w="769" w:type="dxa"/>
                  <w:vMerge/>
                  <w:tcBorders>
                    <w:tl2br w:val="nil"/>
                    <w:tr2bl w:val="nil"/>
                  </w:tcBorders>
                  <w:vAlign w:val="center"/>
                </w:tcPr>
                <w:p>
                  <w:pPr>
                    <w:spacing w:line="25" w:lineRule="atLeast"/>
                    <w:jc w:val="center"/>
                    <w:rPr>
                      <w:color w:val="FF0000"/>
                      <w:kern w:val="18"/>
                      <w:szCs w:val="21"/>
                    </w:rPr>
                  </w:pPr>
                </w:p>
              </w:tc>
              <w:tc>
                <w:tcPr>
                  <w:tcW w:w="1276" w:type="dxa"/>
                  <w:tcBorders>
                    <w:tl2br w:val="nil"/>
                    <w:tr2bl w:val="nil"/>
                  </w:tcBorders>
                  <w:vAlign w:val="center"/>
                </w:tcPr>
                <w:p>
                  <w:pPr>
                    <w:spacing w:line="25" w:lineRule="atLeast"/>
                    <w:jc w:val="center"/>
                    <w:rPr>
                      <w:kern w:val="18"/>
                      <w:szCs w:val="21"/>
                    </w:rPr>
                  </w:pPr>
                  <w:r>
                    <w:rPr>
                      <w:rFonts w:hint="eastAsia"/>
                      <w:szCs w:val="21"/>
                    </w:rPr>
                    <w:t>商业建筑</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建筑高度12m，地上三层，地下一层</w:t>
                  </w:r>
                </w:p>
              </w:tc>
              <w:tc>
                <w:tcPr>
                  <w:tcW w:w="1209" w:type="dxa"/>
                  <w:vMerge/>
                  <w:tcBorders>
                    <w:tl2br w:val="nil"/>
                    <w:tr2bl w:val="nil"/>
                  </w:tcBorders>
                  <w:vAlign w:val="center"/>
                </w:tcPr>
                <w:p>
                  <w:pPr>
                    <w:spacing w:line="25" w:lineRule="atLeast"/>
                    <w:jc w:val="center"/>
                    <w:rPr>
                      <w:kern w:val="18"/>
                      <w:szCs w:val="21"/>
                    </w:rPr>
                  </w:pPr>
                </w:p>
              </w:tc>
              <w:tc>
                <w:tcPr>
                  <w:tcW w:w="1382" w:type="dxa"/>
                  <w:vMerge/>
                  <w:tcBorders>
                    <w:tl2br w:val="nil"/>
                    <w:tr2bl w:val="nil"/>
                  </w:tcBorders>
                  <w:vAlign w:val="center"/>
                </w:tcPr>
                <w:p>
                  <w:pPr>
                    <w:spacing w:line="25" w:lineRule="atLeast"/>
                    <w:jc w:val="center"/>
                    <w:rPr>
                      <w:kern w:val="18"/>
                      <w:szCs w:val="21"/>
                    </w:rPr>
                  </w:pPr>
                </w:p>
              </w:tc>
            </w:tr>
            <w:tr>
              <w:tblPrEx>
                <w:tblW w:w="8942" w:type="dxa"/>
                <w:jc w:val="center"/>
                <w:tblLayout w:type="fixed"/>
                <w:tblCellMar>
                  <w:top w:w="0" w:type="dxa"/>
                  <w:left w:w="108" w:type="dxa"/>
                  <w:bottom w:w="0" w:type="dxa"/>
                  <w:right w:w="108" w:type="dxa"/>
                </w:tblCellMar>
              </w:tblPrEx>
              <w:trPr>
                <w:trHeight w:val="245"/>
                <w:jc w:val="center"/>
              </w:trPr>
              <w:tc>
                <w:tcPr>
                  <w:tcW w:w="769" w:type="dxa"/>
                  <w:vMerge/>
                  <w:tcBorders>
                    <w:tl2br w:val="nil"/>
                    <w:tr2bl w:val="nil"/>
                  </w:tcBorders>
                  <w:vAlign w:val="center"/>
                </w:tcPr>
                <w:p>
                  <w:pPr>
                    <w:spacing w:line="25" w:lineRule="atLeast"/>
                    <w:jc w:val="center"/>
                    <w:rPr>
                      <w:color w:val="FF0000"/>
                      <w:kern w:val="18"/>
                      <w:szCs w:val="21"/>
                    </w:rPr>
                  </w:pPr>
                </w:p>
              </w:tc>
              <w:tc>
                <w:tcPr>
                  <w:tcW w:w="1276" w:type="dxa"/>
                  <w:tcBorders>
                    <w:tl2br w:val="nil"/>
                    <w:tr2bl w:val="nil"/>
                  </w:tcBorders>
                  <w:vAlign w:val="center"/>
                </w:tcPr>
                <w:p>
                  <w:pPr>
                    <w:spacing w:line="25" w:lineRule="atLeast"/>
                    <w:jc w:val="center"/>
                    <w:rPr>
                      <w:szCs w:val="21"/>
                    </w:rPr>
                  </w:pPr>
                  <w:r>
                    <w:rPr>
                      <w:rFonts w:hint="eastAsia"/>
                      <w:szCs w:val="21"/>
                    </w:rPr>
                    <w:t>酒店建筑</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建筑高度32.5m，地上六层</w:t>
                  </w:r>
                </w:p>
              </w:tc>
              <w:tc>
                <w:tcPr>
                  <w:tcW w:w="1209" w:type="dxa"/>
                  <w:vMerge/>
                  <w:tcBorders>
                    <w:tl2br w:val="nil"/>
                    <w:tr2bl w:val="nil"/>
                  </w:tcBorders>
                  <w:vAlign w:val="center"/>
                </w:tcPr>
                <w:p>
                  <w:pPr>
                    <w:spacing w:line="25" w:lineRule="atLeast"/>
                    <w:jc w:val="center"/>
                    <w:rPr>
                      <w:kern w:val="18"/>
                      <w:szCs w:val="21"/>
                    </w:rPr>
                  </w:pPr>
                </w:p>
              </w:tc>
              <w:tc>
                <w:tcPr>
                  <w:tcW w:w="1382" w:type="dxa"/>
                  <w:vMerge/>
                  <w:tcBorders>
                    <w:tl2br w:val="nil"/>
                    <w:tr2bl w:val="nil"/>
                  </w:tcBorders>
                  <w:vAlign w:val="center"/>
                </w:tcPr>
                <w:p>
                  <w:pPr>
                    <w:spacing w:line="25" w:lineRule="atLeast"/>
                    <w:jc w:val="center"/>
                    <w:rPr>
                      <w:kern w:val="18"/>
                      <w:szCs w:val="21"/>
                    </w:rPr>
                  </w:pPr>
                </w:p>
              </w:tc>
            </w:tr>
            <w:tr>
              <w:tblPrEx>
                <w:tblW w:w="8942" w:type="dxa"/>
                <w:jc w:val="center"/>
                <w:tblLayout w:type="fixed"/>
                <w:tblCellMar>
                  <w:top w:w="0" w:type="dxa"/>
                  <w:left w:w="108" w:type="dxa"/>
                  <w:bottom w:w="0" w:type="dxa"/>
                  <w:right w:w="108" w:type="dxa"/>
                </w:tblCellMar>
              </w:tblPrEx>
              <w:trPr>
                <w:trHeight w:hRule="exact" w:val="615"/>
                <w:jc w:val="center"/>
              </w:trPr>
              <w:tc>
                <w:tcPr>
                  <w:tcW w:w="769" w:type="dxa"/>
                  <w:tcBorders>
                    <w:tl2br w:val="nil"/>
                    <w:tr2bl w:val="nil"/>
                  </w:tcBorders>
                  <w:vAlign w:val="center"/>
                </w:tcPr>
                <w:p>
                  <w:pPr>
                    <w:spacing w:line="25" w:lineRule="atLeast"/>
                    <w:jc w:val="center"/>
                    <w:rPr>
                      <w:kern w:val="18"/>
                      <w:szCs w:val="21"/>
                    </w:rPr>
                  </w:pPr>
                  <w:r>
                    <w:rPr>
                      <w:kern w:val="18"/>
                      <w:szCs w:val="21"/>
                    </w:rPr>
                    <w:t>辅助</w:t>
                  </w:r>
                  <w:r>
                    <w:rPr>
                      <w:rFonts w:hint="eastAsia"/>
                      <w:kern w:val="18"/>
                      <w:szCs w:val="21"/>
                    </w:rPr>
                    <w:t>工程</w:t>
                  </w:r>
                </w:p>
              </w:tc>
              <w:tc>
                <w:tcPr>
                  <w:tcW w:w="1276" w:type="dxa"/>
                  <w:tcBorders>
                    <w:tl2br w:val="nil"/>
                    <w:tr2bl w:val="nil"/>
                  </w:tcBorders>
                  <w:vAlign w:val="center"/>
                </w:tcPr>
                <w:p>
                  <w:pPr>
                    <w:spacing w:line="25" w:lineRule="atLeast"/>
                    <w:jc w:val="center"/>
                    <w:rPr>
                      <w:kern w:val="18"/>
                      <w:szCs w:val="21"/>
                    </w:rPr>
                  </w:pPr>
                  <w:r>
                    <w:rPr>
                      <w:rFonts w:hint="eastAsia"/>
                      <w:kern w:val="18"/>
                      <w:szCs w:val="21"/>
                    </w:rPr>
                    <w:t>停车场</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建筑高度5.1m，地下一层</w:t>
                  </w:r>
                </w:p>
              </w:tc>
              <w:tc>
                <w:tcPr>
                  <w:tcW w:w="1209" w:type="dxa"/>
                  <w:vMerge/>
                  <w:tcBorders>
                    <w:tl2br w:val="nil"/>
                    <w:tr2bl w:val="nil"/>
                  </w:tcBorders>
                  <w:vAlign w:val="center"/>
                </w:tcPr>
                <w:p>
                  <w:pPr>
                    <w:spacing w:line="25" w:lineRule="atLeast"/>
                    <w:jc w:val="center"/>
                    <w:rPr>
                      <w:kern w:val="18"/>
                      <w:szCs w:val="21"/>
                    </w:rPr>
                  </w:pPr>
                </w:p>
              </w:tc>
              <w:tc>
                <w:tcPr>
                  <w:tcW w:w="1382" w:type="dxa"/>
                  <w:vMerge/>
                  <w:tcBorders>
                    <w:tl2br w:val="nil"/>
                    <w:tr2bl w:val="nil"/>
                  </w:tcBorders>
                  <w:vAlign w:val="center"/>
                </w:tcPr>
                <w:p>
                  <w:pPr>
                    <w:spacing w:line="25" w:lineRule="atLeast"/>
                    <w:jc w:val="center"/>
                    <w:rPr>
                      <w:kern w:val="18"/>
                      <w:szCs w:val="21"/>
                    </w:rPr>
                  </w:pPr>
                </w:p>
              </w:tc>
            </w:tr>
            <w:tr>
              <w:tblPrEx>
                <w:tblW w:w="8942" w:type="dxa"/>
                <w:jc w:val="center"/>
                <w:tblLayout w:type="fixed"/>
                <w:tblCellMar>
                  <w:top w:w="0" w:type="dxa"/>
                  <w:left w:w="108" w:type="dxa"/>
                  <w:bottom w:w="0" w:type="dxa"/>
                  <w:right w:w="108" w:type="dxa"/>
                </w:tblCellMar>
              </w:tblPrEx>
              <w:trPr>
                <w:trHeight w:hRule="exact" w:val="303"/>
                <w:jc w:val="center"/>
              </w:trPr>
              <w:tc>
                <w:tcPr>
                  <w:tcW w:w="769" w:type="dxa"/>
                  <w:vMerge w:val="restart"/>
                  <w:tcBorders>
                    <w:tl2br w:val="nil"/>
                    <w:tr2bl w:val="nil"/>
                  </w:tcBorders>
                  <w:vAlign w:val="center"/>
                </w:tcPr>
                <w:p>
                  <w:pPr>
                    <w:spacing w:line="25" w:lineRule="atLeast"/>
                    <w:jc w:val="center"/>
                    <w:rPr>
                      <w:kern w:val="18"/>
                      <w:szCs w:val="21"/>
                    </w:rPr>
                  </w:pPr>
                  <w:r>
                    <w:rPr>
                      <w:kern w:val="18"/>
                      <w:szCs w:val="21"/>
                    </w:rPr>
                    <w:t>公用工程</w:t>
                  </w:r>
                </w:p>
              </w:tc>
              <w:tc>
                <w:tcPr>
                  <w:tcW w:w="1276" w:type="dxa"/>
                  <w:tcBorders>
                    <w:tl2br w:val="nil"/>
                    <w:tr2bl w:val="nil"/>
                  </w:tcBorders>
                  <w:vAlign w:val="center"/>
                </w:tcPr>
                <w:p>
                  <w:pPr>
                    <w:spacing w:line="25" w:lineRule="atLeast"/>
                    <w:jc w:val="center"/>
                    <w:rPr>
                      <w:kern w:val="18"/>
                      <w:szCs w:val="21"/>
                    </w:rPr>
                  </w:pPr>
                  <w:r>
                    <w:rPr>
                      <w:kern w:val="18"/>
                      <w:szCs w:val="21"/>
                    </w:rPr>
                    <w:t>供水</w:t>
                  </w:r>
                </w:p>
              </w:tc>
              <w:tc>
                <w:tcPr>
                  <w:tcW w:w="4306" w:type="dxa"/>
                  <w:tcBorders>
                    <w:tl2br w:val="nil"/>
                    <w:tr2bl w:val="nil"/>
                  </w:tcBorders>
                  <w:vAlign w:val="center"/>
                </w:tcPr>
                <w:p>
                  <w:pPr>
                    <w:spacing w:line="25" w:lineRule="atLeast"/>
                    <w:jc w:val="center"/>
                    <w:rPr>
                      <w:kern w:val="18"/>
                      <w:szCs w:val="21"/>
                    </w:rPr>
                  </w:pPr>
                  <w:r>
                    <w:rPr>
                      <w:kern w:val="18"/>
                      <w:szCs w:val="21"/>
                    </w:rPr>
                    <w:t>市政供水系统</w:t>
                  </w:r>
                </w:p>
              </w:tc>
              <w:tc>
                <w:tcPr>
                  <w:tcW w:w="1209" w:type="dxa"/>
                  <w:vMerge/>
                  <w:tcBorders>
                    <w:tl2br w:val="nil"/>
                    <w:tr2bl w:val="nil"/>
                  </w:tcBorders>
                  <w:vAlign w:val="center"/>
                </w:tcPr>
                <w:p>
                  <w:pPr>
                    <w:pStyle w:val="211"/>
                    <w:spacing w:line="25" w:lineRule="atLeast"/>
                    <w:rPr>
                      <w:w w:val="80"/>
                      <w:kern w:val="21"/>
                      <w:sz w:val="21"/>
                      <w:szCs w:val="21"/>
                    </w:rPr>
                  </w:pPr>
                </w:p>
              </w:tc>
              <w:tc>
                <w:tcPr>
                  <w:tcW w:w="1382" w:type="dxa"/>
                  <w:tcBorders>
                    <w:tl2br w:val="nil"/>
                    <w:tr2bl w:val="nil"/>
                  </w:tcBorders>
                  <w:vAlign w:val="center"/>
                </w:tcPr>
                <w:p>
                  <w:pPr>
                    <w:pStyle w:val="211"/>
                    <w:spacing w:line="25" w:lineRule="atLeast"/>
                    <w:rPr>
                      <w:kern w:val="18"/>
                      <w:sz w:val="21"/>
                      <w:szCs w:val="21"/>
                    </w:rPr>
                  </w:pPr>
                  <w:r>
                    <w:rPr>
                      <w:kern w:val="18"/>
                      <w:sz w:val="21"/>
                      <w:szCs w:val="21"/>
                    </w:rPr>
                    <w:t>--</w:t>
                  </w:r>
                </w:p>
              </w:tc>
            </w:tr>
            <w:tr>
              <w:tblPrEx>
                <w:tblW w:w="8942" w:type="dxa"/>
                <w:jc w:val="center"/>
                <w:tblLayout w:type="fixed"/>
                <w:tblCellMar>
                  <w:top w:w="0" w:type="dxa"/>
                  <w:left w:w="108" w:type="dxa"/>
                  <w:bottom w:w="0" w:type="dxa"/>
                  <w:right w:w="108" w:type="dxa"/>
                </w:tblCellMar>
              </w:tblPrEx>
              <w:trPr>
                <w:trHeight w:hRule="exact" w:val="328"/>
                <w:jc w:val="center"/>
              </w:trPr>
              <w:tc>
                <w:tcPr>
                  <w:tcW w:w="769" w:type="dxa"/>
                  <w:vMerge/>
                  <w:tcBorders>
                    <w:tl2br w:val="nil"/>
                    <w:tr2bl w:val="nil"/>
                  </w:tcBorders>
                  <w:vAlign w:val="center"/>
                </w:tcPr>
                <w:p>
                  <w:pPr>
                    <w:spacing w:line="25" w:lineRule="atLeast"/>
                    <w:jc w:val="center"/>
                    <w:rPr>
                      <w:kern w:val="18"/>
                      <w:szCs w:val="21"/>
                    </w:rPr>
                  </w:pPr>
                </w:p>
              </w:tc>
              <w:tc>
                <w:tcPr>
                  <w:tcW w:w="1276" w:type="dxa"/>
                  <w:tcBorders>
                    <w:tl2br w:val="nil"/>
                    <w:tr2bl w:val="nil"/>
                  </w:tcBorders>
                  <w:vAlign w:val="center"/>
                </w:tcPr>
                <w:p>
                  <w:pPr>
                    <w:spacing w:line="25" w:lineRule="atLeast"/>
                    <w:jc w:val="center"/>
                    <w:rPr>
                      <w:kern w:val="18"/>
                      <w:szCs w:val="21"/>
                    </w:rPr>
                  </w:pPr>
                  <w:r>
                    <w:rPr>
                      <w:kern w:val="18"/>
                      <w:szCs w:val="21"/>
                    </w:rPr>
                    <w:t>供电</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市政供电系统</w:t>
                  </w:r>
                </w:p>
              </w:tc>
              <w:tc>
                <w:tcPr>
                  <w:tcW w:w="1209" w:type="dxa"/>
                  <w:vMerge/>
                  <w:tcBorders>
                    <w:tl2br w:val="nil"/>
                    <w:tr2bl w:val="nil"/>
                  </w:tcBorders>
                  <w:vAlign w:val="center"/>
                </w:tcPr>
                <w:p>
                  <w:pPr>
                    <w:pStyle w:val="211"/>
                    <w:spacing w:line="25" w:lineRule="atLeast"/>
                    <w:rPr>
                      <w:w w:val="80"/>
                      <w:kern w:val="21"/>
                      <w:sz w:val="21"/>
                      <w:szCs w:val="21"/>
                    </w:rPr>
                  </w:pPr>
                </w:p>
              </w:tc>
              <w:tc>
                <w:tcPr>
                  <w:tcW w:w="1382" w:type="dxa"/>
                  <w:tcBorders>
                    <w:tl2br w:val="nil"/>
                    <w:tr2bl w:val="nil"/>
                  </w:tcBorders>
                  <w:vAlign w:val="center"/>
                </w:tcPr>
                <w:p>
                  <w:pPr>
                    <w:pStyle w:val="211"/>
                    <w:spacing w:line="25" w:lineRule="atLeast"/>
                    <w:rPr>
                      <w:kern w:val="18"/>
                      <w:sz w:val="21"/>
                      <w:szCs w:val="21"/>
                    </w:rPr>
                  </w:pPr>
                  <w:r>
                    <w:rPr>
                      <w:kern w:val="18"/>
                      <w:sz w:val="21"/>
                      <w:szCs w:val="21"/>
                    </w:rPr>
                    <w:t>废气</w:t>
                  </w:r>
                </w:p>
              </w:tc>
            </w:tr>
            <w:tr>
              <w:tblPrEx>
                <w:tblW w:w="8942" w:type="dxa"/>
                <w:jc w:val="center"/>
                <w:tblLayout w:type="fixed"/>
                <w:tblCellMar>
                  <w:top w:w="0" w:type="dxa"/>
                  <w:left w:w="108" w:type="dxa"/>
                  <w:bottom w:w="0" w:type="dxa"/>
                  <w:right w:w="108" w:type="dxa"/>
                </w:tblCellMar>
              </w:tblPrEx>
              <w:trPr>
                <w:trHeight w:hRule="exact" w:val="1083"/>
                <w:jc w:val="center"/>
              </w:trPr>
              <w:tc>
                <w:tcPr>
                  <w:tcW w:w="769" w:type="dxa"/>
                  <w:vMerge/>
                  <w:tcBorders>
                    <w:tl2br w:val="nil"/>
                    <w:tr2bl w:val="nil"/>
                  </w:tcBorders>
                  <w:vAlign w:val="center"/>
                </w:tcPr>
                <w:p>
                  <w:pPr>
                    <w:spacing w:line="25" w:lineRule="atLeast"/>
                    <w:jc w:val="center"/>
                    <w:rPr>
                      <w:kern w:val="18"/>
                      <w:szCs w:val="21"/>
                    </w:rPr>
                  </w:pPr>
                </w:p>
              </w:tc>
              <w:tc>
                <w:tcPr>
                  <w:tcW w:w="1276" w:type="dxa"/>
                  <w:tcBorders>
                    <w:tl2br w:val="nil"/>
                    <w:tr2bl w:val="nil"/>
                  </w:tcBorders>
                  <w:vAlign w:val="center"/>
                </w:tcPr>
                <w:p>
                  <w:pPr>
                    <w:spacing w:line="25" w:lineRule="atLeast"/>
                    <w:jc w:val="center"/>
                    <w:rPr>
                      <w:kern w:val="18"/>
                      <w:szCs w:val="21"/>
                    </w:rPr>
                  </w:pPr>
                  <w:r>
                    <w:rPr>
                      <w:kern w:val="18"/>
                      <w:szCs w:val="21"/>
                    </w:rPr>
                    <w:t>排水</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雨污分流，雨水排入市政雨水管网，废水经隔油池+化粪池预处理后，通过市政污水管网</w:t>
                  </w:r>
                  <w:r>
                    <w:rPr>
                      <w:kern w:val="18"/>
                      <w:szCs w:val="21"/>
                    </w:rPr>
                    <w:t>排入</w:t>
                  </w:r>
                  <w:r>
                    <w:rPr>
                      <w:rFonts w:hint="eastAsia"/>
                      <w:kern w:val="18"/>
                      <w:szCs w:val="21"/>
                    </w:rPr>
                    <w:t>抚州市污水</w:t>
                  </w:r>
                  <w:r>
                    <w:rPr>
                      <w:kern w:val="18"/>
                      <w:szCs w:val="21"/>
                    </w:rPr>
                    <w:t>处理厂处理达标后排入</w:t>
                  </w:r>
                  <w:r>
                    <w:rPr>
                      <w:rFonts w:hint="eastAsia"/>
                      <w:bCs/>
                      <w:szCs w:val="21"/>
                    </w:rPr>
                    <w:t>抚河。</w:t>
                  </w:r>
                </w:p>
              </w:tc>
              <w:tc>
                <w:tcPr>
                  <w:tcW w:w="1209" w:type="dxa"/>
                  <w:vMerge/>
                  <w:tcBorders>
                    <w:tl2br w:val="nil"/>
                    <w:tr2bl w:val="nil"/>
                  </w:tcBorders>
                  <w:vAlign w:val="center"/>
                </w:tcPr>
                <w:p>
                  <w:pPr>
                    <w:pStyle w:val="211"/>
                    <w:spacing w:line="25" w:lineRule="atLeast"/>
                    <w:rPr>
                      <w:w w:val="80"/>
                      <w:kern w:val="21"/>
                      <w:sz w:val="21"/>
                      <w:szCs w:val="21"/>
                    </w:rPr>
                  </w:pPr>
                </w:p>
              </w:tc>
              <w:tc>
                <w:tcPr>
                  <w:tcW w:w="1382" w:type="dxa"/>
                  <w:tcBorders>
                    <w:tl2br w:val="nil"/>
                    <w:tr2bl w:val="nil"/>
                  </w:tcBorders>
                  <w:vAlign w:val="center"/>
                </w:tcPr>
                <w:p>
                  <w:pPr>
                    <w:pStyle w:val="211"/>
                    <w:spacing w:line="25" w:lineRule="atLeast"/>
                    <w:rPr>
                      <w:kern w:val="18"/>
                      <w:sz w:val="21"/>
                      <w:szCs w:val="21"/>
                    </w:rPr>
                  </w:pPr>
                  <w:r>
                    <w:rPr>
                      <w:kern w:val="18"/>
                      <w:sz w:val="21"/>
                      <w:szCs w:val="21"/>
                    </w:rPr>
                    <w:t>废水</w:t>
                  </w:r>
                </w:p>
              </w:tc>
            </w:tr>
            <w:tr>
              <w:tblPrEx>
                <w:tblW w:w="8942" w:type="dxa"/>
                <w:jc w:val="center"/>
                <w:tblLayout w:type="fixed"/>
                <w:tblCellMar>
                  <w:top w:w="0" w:type="dxa"/>
                  <w:left w:w="108" w:type="dxa"/>
                  <w:bottom w:w="0" w:type="dxa"/>
                  <w:right w:w="108" w:type="dxa"/>
                </w:tblCellMar>
              </w:tblPrEx>
              <w:trPr>
                <w:trHeight w:hRule="exact" w:val="647"/>
                <w:jc w:val="center"/>
              </w:trPr>
              <w:tc>
                <w:tcPr>
                  <w:tcW w:w="769" w:type="dxa"/>
                  <w:vMerge/>
                  <w:tcBorders>
                    <w:tl2br w:val="nil"/>
                    <w:tr2bl w:val="nil"/>
                  </w:tcBorders>
                  <w:vAlign w:val="center"/>
                </w:tcPr>
                <w:p>
                  <w:pPr>
                    <w:spacing w:line="25" w:lineRule="atLeast"/>
                    <w:jc w:val="center"/>
                    <w:rPr>
                      <w:kern w:val="18"/>
                      <w:szCs w:val="21"/>
                    </w:rPr>
                  </w:pPr>
                </w:p>
              </w:tc>
              <w:tc>
                <w:tcPr>
                  <w:tcW w:w="1276" w:type="dxa"/>
                  <w:tcBorders>
                    <w:tl2br w:val="nil"/>
                    <w:tr2bl w:val="nil"/>
                  </w:tcBorders>
                  <w:vAlign w:val="center"/>
                </w:tcPr>
                <w:p>
                  <w:pPr>
                    <w:spacing w:line="25" w:lineRule="atLeast"/>
                    <w:jc w:val="center"/>
                    <w:rPr>
                      <w:kern w:val="18"/>
                      <w:szCs w:val="21"/>
                    </w:rPr>
                  </w:pPr>
                  <w:r>
                    <w:rPr>
                      <w:kern w:val="18"/>
                      <w:szCs w:val="21"/>
                    </w:rPr>
                    <w:t>供暖</w:t>
                  </w:r>
                  <w:r>
                    <w:rPr>
                      <w:rFonts w:hint="eastAsia"/>
                      <w:kern w:val="18"/>
                      <w:szCs w:val="21"/>
                    </w:rPr>
                    <w:t>、供冷</w:t>
                  </w:r>
                </w:p>
              </w:tc>
              <w:tc>
                <w:tcPr>
                  <w:tcW w:w="4306" w:type="dxa"/>
                  <w:tcBorders>
                    <w:tl2br w:val="nil"/>
                    <w:tr2bl w:val="nil"/>
                  </w:tcBorders>
                  <w:vAlign w:val="center"/>
                </w:tcPr>
                <w:p>
                  <w:pPr>
                    <w:spacing w:line="25" w:lineRule="atLeast"/>
                    <w:jc w:val="center"/>
                    <w:rPr>
                      <w:kern w:val="18"/>
                      <w:szCs w:val="21"/>
                    </w:rPr>
                  </w:pPr>
                  <w:r>
                    <w:rPr>
                      <w:rFonts w:hint="eastAsia"/>
                      <w:kern w:val="18"/>
                      <w:szCs w:val="21"/>
                    </w:rPr>
                    <w:t>集散中心、商业、办公部分采用变冷媒流量系统（VRV），酒店采用分体空调。</w:t>
                  </w:r>
                </w:p>
              </w:tc>
              <w:tc>
                <w:tcPr>
                  <w:tcW w:w="1209" w:type="dxa"/>
                  <w:vMerge/>
                  <w:tcBorders>
                    <w:tl2br w:val="nil"/>
                    <w:tr2bl w:val="nil"/>
                  </w:tcBorders>
                  <w:vAlign w:val="center"/>
                </w:tcPr>
                <w:p>
                  <w:pPr>
                    <w:pStyle w:val="211"/>
                    <w:spacing w:line="25" w:lineRule="atLeast"/>
                    <w:rPr>
                      <w:w w:val="80"/>
                      <w:kern w:val="21"/>
                      <w:sz w:val="21"/>
                      <w:szCs w:val="21"/>
                    </w:rPr>
                  </w:pPr>
                </w:p>
              </w:tc>
              <w:tc>
                <w:tcPr>
                  <w:tcW w:w="1382" w:type="dxa"/>
                  <w:tcBorders>
                    <w:tl2br w:val="nil"/>
                    <w:tr2bl w:val="nil"/>
                  </w:tcBorders>
                  <w:vAlign w:val="center"/>
                </w:tcPr>
                <w:p>
                  <w:pPr>
                    <w:pStyle w:val="211"/>
                    <w:spacing w:line="25" w:lineRule="atLeast"/>
                    <w:rPr>
                      <w:kern w:val="18"/>
                      <w:sz w:val="21"/>
                      <w:szCs w:val="21"/>
                    </w:rPr>
                  </w:pPr>
                  <w:r>
                    <w:rPr>
                      <w:kern w:val="18"/>
                      <w:sz w:val="21"/>
                      <w:szCs w:val="21"/>
                    </w:rPr>
                    <w:t>--</w:t>
                  </w:r>
                </w:p>
              </w:tc>
            </w:tr>
            <w:tr>
              <w:tblPrEx>
                <w:tblW w:w="8942" w:type="dxa"/>
                <w:jc w:val="center"/>
                <w:tblLayout w:type="fixed"/>
                <w:tblCellMar>
                  <w:top w:w="0" w:type="dxa"/>
                  <w:left w:w="108" w:type="dxa"/>
                  <w:bottom w:w="0" w:type="dxa"/>
                  <w:right w:w="108" w:type="dxa"/>
                </w:tblCellMar>
              </w:tblPrEx>
              <w:trPr>
                <w:trHeight w:hRule="exact" w:val="585"/>
                <w:jc w:val="center"/>
              </w:trPr>
              <w:tc>
                <w:tcPr>
                  <w:tcW w:w="769" w:type="dxa"/>
                  <w:vMerge w:val="restart"/>
                  <w:tcBorders>
                    <w:tl2br w:val="nil"/>
                    <w:tr2bl w:val="nil"/>
                  </w:tcBorders>
                  <w:vAlign w:val="center"/>
                </w:tcPr>
                <w:p>
                  <w:pPr>
                    <w:spacing w:line="25" w:lineRule="atLeast"/>
                    <w:jc w:val="center"/>
                    <w:rPr>
                      <w:kern w:val="18"/>
                      <w:szCs w:val="21"/>
                    </w:rPr>
                  </w:pPr>
                  <w:r>
                    <w:rPr>
                      <w:kern w:val="18"/>
                      <w:szCs w:val="21"/>
                    </w:rPr>
                    <w:t>环保工程</w:t>
                  </w:r>
                </w:p>
              </w:tc>
              <w:tc>
                <w:tcPr>
                  <w:tcW w:w="1276" w:type="dxa"/>
                  <w:tcBorders>
                    <w:tl2br w:val="nil"/>
                    <w:tr2bl w:val="nil"/>
                  </w:tcBorders>
                  <w:vAlign w:val="center"/>
                </w:tcPr>
                <w:p>
                  <w:pPr>
                    <w:snapToGrid w:val="0"/>
                    <w:spacing w:line="25" w:lineRule="atLeast"/>
                    <w:jc w:val="center"/>
                    <w:rPr>
                      <w:kern w:val="18"/>
                      <w:szCs w:val="21"/>
                    </w:rPr>
                  </w:pPr>
                  <w:r>
                    <w:rPr>
                      <w:rFonts w:hint="eastAsia"/>
                      <w:kern w:val="18"/>
                      <w:szCs w:val="21"/>
                    </w:rPr>
                    <w:t>隔油池+化粪池</w:t>
                  </w:r>
                </w:p>
              </w:tc>
              <w:tc>
                <w:tcPr>
                  <w:tcW w:w="4306" w:type="dxa"/>
                  <w:tcBorders>
                    <w:tl2br w:val="nil"/>
                    <w:tr2bl w:val="nil"/>
                  </w:tcBorders>
                  <w:vAlign w:val="center"/>
                </w:tcPr>
                <w:p>
                  <w:pPr>
                    <w:snapToGrid w:val="0"/>
                    <w:spacing w:line="25" w:lineRule="atLeast"/>
                    <w:jc w:val="center"/>
                    <w:rPr>
                      <w:kern w:val="18"/>
                      <w:szCs w:val="21"/>
                    </w:rPr>
                  </w:pPr>
                  <w:r>
                    <w:rPr>
                      <w:kern w:val="18"/>
                      <w:szCs w:val="21"/>
                    </w:rPr>
                    <w:t>用于预处理废水</w:t>
                  </w:r>
                </w:p>
              </w:tc>
              <w:tc>
                <w:tcPr>
                  <w:tcW w:w="1209" w:type="dxa"/>
                  <w:vMerge/>
                  <w:tcBorders>
                    <w:tl2br w:val="nil"/>
                    <w:tr2bl w:val="nil"/>
                  </w:tcBorders>
                  <w:vAlign w:val="center"/>
                </w:tcPr>
                <w:p>
                  <w:pPr>
                    <w:pStyle w:val="211"/>
                    <w:spacing w:line="25" w:lineRule="atLeast"/>
                    <w:rPr>
                      <w:w w:val="80"/>
                      <w:kern w:val="21"/>
                      <w:sz w:val="21"/>
                      <w:szCs w:val="21"/>
                    </w:rPr>
                  </w:pPr>
                </w:p>
              </w:tc>
              <w:tc>
                <w:tcPr>
                  <w:tcW w:w="1382" w:type="dxa"/>
                  <w:tcBorders>
                    <w:tl2br w:val="nil"/>
                    <w:tr2bl w:val="nil"/>
                  </w:tcBorders>
                  <w:vAlign w:val="center"/>
                </w:tcPr>
                <w:p>
                  <w:pPr>
                    <w:pStyle w:val="211"/>
                    <w:spacing w:line="25" w:lineRule="atLeast"/>
                    <w:rPr>
                      <w:kern w:val="18"/>
                      <w:sz w:val="21"/>
                      <w:szCs w:val="21"/>
                    </w:rPr>
                  </w:pPr>
                  <w:r>
                    <w:rPr>
                      <w:kern w:val="18"/>
                      <w:sz w:val="21"/>
                      <w:szCs w:val="21"/>
                    </w:rPr>
                    <w:t>废气、固废</w:t>
                  </w:r>
                </w:p>
              </w:tc>
            </w:tr>
            <w:tr>
              <w:tblPrEx>
                <w:tblW w:w="8942" w:type="dxa"/>
                <w:jc w:val="center"/>
                <w:tblLayout w:type="fixed"/>
                <w:tblCellMar>
                  <w:top w:w="0" w:type="dxa"/>
                  <w:left w:w="108" w:type="dxa"/>
                  <w:bottom w:w="0" w:type="dxa"/>
                  <w:right w:w="108" w:type="dxa"/>
                </w:tblCellMar>
              </w:tblPrEx>
              <w:trPr>
                <w:trHeight w:hRule="exact" w:val="320"/>
                <w:jc w:val="center"/>
              </w:trPr>
              <w:tc>
                <w:tcPr>
                  <w:tcW w:w="769" w:type="dxa"/>
                  <w:vMerge/>
                  <w:tcBorders>
                    <w:tl2br w:val="nil"/>
                    <w:tr2bl w:val="nil"/>
                  </w:tcBorders>
                  <w:vAlign w:val="center"/>
                </w:tcPr>
                <w:p>
                  <w:pPr>
                    <w:spacing w:line="25" w:lineRule="atLeast"/>
                    <w:jc w:val="center"/>
                    <w:rPr>
                      <w:kern w:val="18"/>
                      <w:szCs w:val="21"/>
                    </w:rPr>
                  </w:pPr>
                </w:p>
              </w:tc>
              <w:tc>
                <w:tcPr>
                  <w:tcW w:w="1276" w:type="dxa"/>
                  <w:tcBorders>
                    <w:tl2br w:val="nil"/>
                    <w:tr2bl w:val="nil"/>
                  </w:tcBorders>
                  <w:vAlign w:val="center"/>
                </w:tcPr>
                <w:p>
                  <w:pPr>
                    <w:snapToGrid w:val="0"/>
                    <w:spacing w:line="25" w:lineRule="atLeast"/>
                    <w:jc w:val="center"/>
                    <w:rPr>
                      <w:kern w:val="18"/>
                      <w:szCs w:val="21"/>
                    </w:rPr>
                  </w:pPr>
                  <w:r>
                    <w:rPr>
                      <w:rFonts w:hint="eastAsia"/>
                      <w:kern w:val="18"/>
                      <w:szCs w:val="21"/>
                    </w:rPr>
                    <w:t>绿化</w:t>
                  </w:r>
                </w:p>
              </w:tc>
              <w:tc>
                <w:tcPr>
                  <w:tcW w:w="4306" w:type="dxa"/>
                  <w:tcBorders>
                    <w:tl2br w:val="nil"/>
                    <w:tr2bl w:val="nil"/>
                  </w:tcBorders>
                  <w:vAlign w:val="center"/>
                </w:tcPr>
                <w:p>
                  <w:pPr>
                    <w:snapToGrid w:val="0"/>
                    <w:spacing w:line="25" w:lineRule="atLeast"/>
                    <w:jc w:val="center"/>
                    <w:rPr>
                      <w:kern w:val="18"/>
                      <w:szCs w:val="21"/>
                    </w:rPr>
                  </w:pPr>
                  <w:r>
                    <w:rPr>
                      <w:rFonts w:hint="eastAsia"/>
                      <w:kern w:val="18"/>
                      <w:szCs w:val="21"/>
                    </w:rPr>
                    <w:t xml:space="preserve">绿化率为36.43% </w:t>
                  </w:r>
                </w:p>
              </w:tc>
              <w:tc>
                <w:tcPr>
                  <w:tcW w:w="1209" w:type="dxa"/>
                  <w:tcBorders>
                    <w:tl2br w:val="nil"/>
                    <w:tr2bl w:val="nil"/>
                  </w:tcBorders>
                  <w:vAlign w:val="center"/>
                </w:tcPr>
                <w:p>
                  <w:pPr>
                    <w:pStyle w:val="211"/>
                    <w:spacing w:line="25" w:lineRule="atLeast"/>
                    <w:rPr>
                      <w:w w:val="80"/>
                      <w:kern w:val="21"/>
                      <w:sz w:val="21"/>
                      <w:szCs w:val="21"/>
                    </w:rPr>
                  </w:pPr>
                </w:p>
              </w:tc>
              <w:tc>
                <w:tcPr>
                  <w:tcW w:w="1382" w:type="dxa"/>
                  <w:tcBorders>
                    <w:tl2br w:val="nil"/>
                    <w:tr2bl w:val="nil"/>
                  </w:tcBorders>
                  <w:vAlign w:val="center"/>
                </w:tcPr>
                <w:p>
                  <w:pPr>
                    <w:pStyle w:val="211"/>
                    <w:spacing w:line="25" w:lineRule="atLeast"/>
                    <w:rPr>
                      <w:kern w:val="18"/>
                      <w:sz w:val="21"/>
                      <w:szCs w:val="21"/>
                    </w:rPr>
                  </w:pPr>
                  <w:r>
                    <w:rPr>
                      <w:rFonts w:hint="eastAsia"/>
                      <w:kern w:val="18"/>
                      <w:sz w:val="21"/>
                      <w:szCs w:val="21"/>
                    </w:rPr>
                    <w:t>--</w:t>
                  </w:r>
                </w:p>
              </w:tc>
            </w:tr>
          </w:tbl>
          <w:p>
            <w:pPr>
              <w:pStyle w:val="aa"/>
              <w:spacing w:line="240" w:lineRule="auto"/>
              <w:ind w:firstLine="480"/>
              <w:rPr>
                <w:color w:val="FF0000"/>
                <w:lang w:val="zh-CN"/>
              </w:rPr>
            </w:pPr>
          </w:p>
          <w:p>
            <w:pPr>
              <w:pStyle w:val="aa"/>
              <w:ind w:firstLine="480"/>
              <w:rPr>
                <w:lang w:val="zh-CN"/>
              </w:rPr>
            </w:pPr>
            <w:r>
              <w:rPr>
                <w:rFonts w:hint="eastAsia"/>
                <w:lang w:val="zh-CN"/>
              </w:rPr>
              <w:t>项目设有商业楼，未来可能引进餐饮项目。日后本项目如引进餐饮项目均属租赁本项目场所进行运营，为独立经营个体，应向有关部门报备。</w:t>
            </w:r>
          </w:p>
          <w:p>
            <w:pPr>
              <w:pStyle w:val="aa"/>
              <w:ind w:firstLine="480"/>
              <w:rPr>
                <w:lang w:val="zh-CN"/>
              </w:rPr>
            </w:pPr>
            <w:r>
              <w:rPr>
                <w:rFonts w:hint="eastAsia"/>
                <w:lang w:val="zh-CN"/>
              </w:rPr>
              <w:t>由于项目暂未建成，引入餐饮规模无法确定，待具体餐饮商铺进驻时再进行环境评价。项目餐饮油烟应根据商铺餐饮实际情况，安装油烟净化设备进行处理，达到《饮食业油烟排放标准》（</w:t>
            </w:r>
            <w:r>
              <w:rPr>
                <w:lang w:val="zh-CN"/>
              </w:rPr>
              <w:t>GB18483-2001</w:t>
            </w:r>
            <w:r>
              <w:rPr>
                <w:rFonts w:hint="eastAsia"/>
                <w:lang w:val="zh-CN"/>
              </w:rPr>
              <w:t>）中关于最高允许排放浓度</w:t>
            </w:r>
            <w:r>
              <w:rPr>
                <w:lang w:val="zh-CN"/>
              </w:rPr>
              <w:t>2.0mg/m</w:t>
            </w:r>
            <w:r>
              <w:rPr>
                <w:vertAlign w:val="superscript"/>
                <w:lang w:val="zh-CN"/>
              </w:rPr>
              <w:t>3</w:t>
            </w:r>
            <w:r>
              <w:rPr>
                <w:lang w:val="zh-CN"/>
              </w:rPr>
              <w:t xml:space="preserve"> </w:t>
            </w:r>
            <w:r>
              <w:rPr>
                <w:rFonts w:hint="eastAsia"/>
                <w:lang w:val="zh-CN"/>
              </w:rPr>
              <w:t>的限值要求。</w:t>
            </w:r>
          </w:p>
          <w:p>
            <w:pPr>
              <w:autoSpaceDE w:val="0"/>
              <w:autoSpaceDN w:val="0"/>
              <w:spacing w:line="360" w:lineRule="auto"/>
              <w:ind w:firstLine="480" w:firstLineChars="200"/>
              <w:textAlignment w:val="auto"/>
              <w:rPr>
                <w:sz w:val="24"/>
                <w:lang w:val="zh-CN"/>
              </w:rPr>
            </w:pPr>
            <w:r>
              <w:rPr>
                <w:rFonts w:hint="eastAsia"/>
                <w:sz w:val="24"/>
                <w:lang w:val="zh-CN"/>
              </w:rPr>
              <w:t>根据《饮食业环境保护技术规范》（HJ554-2010）、《关于加强饮食娱乐服务企业环境管理的通知》（国家环境保护局、国家工商行政管理局环监[1995]100号等要求，需充分考虑商业与项目居住环境的相容性。</w:t>
            </w:r>
          </w:p>
          <w:p>
            <w:pPr>
              <w:pStyle w:val="aa"/>
              <w:ind w:firstLine="480"/>
              <w:rPr>
                <w:lang w:val="zh-CN"/>
              </w:rPr>
            </w:pPr>
            <w:r>
              <w:rPr>
                <w:rFonts w:hint="eastAsia"/>
                <w:lang w:val="zh-CN"/>
              </w:rPr>
              <w:t>根据《饮食业环境保护技术规范》（HJ554-2010）、《关于加强饮食娱乐服务企业环境管理的通知》（国家环境保护局、国家工商行政管理局环监[1995]100号等要求，一类饮食业项目餐饮应集中设置，且餐饮单位边界与住宅建筑边界水平间距不得小于9m，经油烟净化后的油烟排放口与周边环境敏感目标距离不应小于20m；此外若饮食单位所在建筑物高度小于等于</w:t>
            </w:r>
            <w:r>
              <w:rPr>
                <w:lang w:val="zh-CN"/>
              </w:rPr>
              <w:t xml:space="preserve">15 </w:t>
            </w:r>
            <w:r>
              <w:rPr>
                <w:rFonts w:hint="eastAsia"/>
                <w:lang w:val="zh-CN"/>
              </w:rPr>
              <w:t>米时，油烟排放口应高出屋顶，若饮食单位所在建筑物高度大于</w:t>
            </w:r>
            <w:r>
              <w:rPr>
                <w:lang w:val="zh-CN"/>
              </w:rPr>
              <w:t>15</w:t>
            </w:r>
            <w:r>
              <w:rPr>
                <w:rFonts w:hint="eastAsia"/>
                <w:lang w:val="zh-CN"/>
              </w:rPr>
              <w:t>米时，油烟排放口应大于</w:t>
            </w:r>
            <w:r>
              <w:rPr>
                <w:lang w:val="zh-CN"/>
              </w:rPr>
              <w:t xml:space="preserve">15 </w:t>
            </w:r>
            <w:r>
              <w:rPr>
                <w:rFonts w:hint="eastAsia"/>
                <w:lang w:val="zh-CN"/>
              </w:rPr>
              <w:t>米。二类饮食业项目，饮食业单位与相邻环境敏感目标的距离，以对周围建筑中生活、办公人群不造成污染为原则，并征得该人群同意。</w:t>
            </w:r>
          </w:p>
          <w:p>
            <w:pPr>
              <w:pStyle w:val="aa"/>
              <w:ind w:firstLine="480"/>
              <w:rPr>
                <w:szCs w:val="22"/>
                <w:lang w:val="zh-CN"/>
              </w:rPr>
            </w:pPr>
            <w:r>
              <w:rPr>
                <w:rFonts w:hint="eastAsia"/>
                <w:szCs w:val="22"/>
                <w:lang w:val="zh-CN"/>
              </w:rPr>
              <w:t>本项目商业楼设置在地块南侧，靠近规划的儿童医院，环评建议不在面向规划的儿童医院一侧设置饮食类项目，本项目最近的商业楼距离项目酒店的距离约为</w:t>
            </w:r>
            <w:r>
              <w:rPr>
                <w:rFonts w:hint="eastAsia"/>
                <w:szCs w:val="22"/>
              </w:rPr>
              <w:t>35m，</w:t>
            </w:r>
            <w:r>
              <w:rPr>
                <w:rFonts w:hint="eastAsia"/>
                <w:kern w:val="21"/>
              </w:rPr>
              <w:t>能满足</w:t>
            </w:r>
            <w:r>
              <w:rPr>
                <w:rFonts w:hint="eastAsia"/>
                <w:szCs w:val="22"/>
                <w:lang w:val="zh-CN"/>
              </w:rPr>
              <w:t>一类饮食业设置要求</w:t>
            </w:r>
            <w:r>
              <w:rPr>
                <w:rFonts w:hint="eastAsia"/>
                <w:lang w:val="zh-CN"/>
              </w:rPr>
              <w:t>。</w:t>
            </w:r>
          </w:p>
        </w:tc>
      </w:tr>
    </w:tbl>
    <w:p>
      <w:pPr>
        <w:sectPr>
          <w:footerReference w:type="default" r:id="rId8"/>
          <w:type w:val="nextPage"/>
          <w:pgSz w:w="11907" w:h="16840"/>
          <w:pgMar w:top="1418" w:right="1418" w:bottom="1418" w:left="1418" w:header="851" w:footer="992" w:gutter="113"/>
          <w:pgNumType w:start="4"/>
          <w:cols w:num="1" w:space="720"/>
          <w:titlePg w:val="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p>
            <w:pPr>
              <w:autoSpaceDE w:val="0"/>
              <w:autoSpaceDN w:val="0"/>
              <w:spacing w:line="360" w:lineRule="auto"/>
              <w:ind w:firstLine="480" w:firstLineChars="200"/>
              <w:textAlignment w:val="auto"/>
              <w:rPr>
                <w:sz w:val="24"/>
                <w:lang w:val="zh-CN"/>
              </w:rPr>
            </w:pPr>
            <w:r>
              <w:rPr>
                <w:rFonts w:hint="eastAsia"/>
                <w:sz w:val="24"/>
                <w:lang w:val="zh-CN"/>
              </w:rPr>
              <w:t>根据建设单位提供的资料，建设单位规划预留的商业暗烟道的位置和周围敏感点之间的水平距离均满足《饮食业环境保护技术规范》（</w:t>
            </w:r>
            <w:r>
              <w:rPr>
                <w:sz w:val="24"/>
                <w:lang w:val="zh-CN"/>
              </w:rPr>
              <w:t>HJ554-2010</w:t>
            </w:r>
            <w:r>
              <w:rPr>
                <w:rFonts w:hint="eastAsia"/>
                <w:sz w:val="24"/>
                <w:lang w:val="zh-CN"/>
              </w:rPr>
              <w:t>）的规范。</w:t>
            </w:r>
          </w:p>
          <w:p>
            <w:pPr>
              <w:pStyle w:val="aa"/>
              <w:ind w:firstLine="480"/>
              <w:rPr>
                <w:lang w:val="zh-CN"/>
              </w:rPr>
            </w:pPr>
            <w:r>
              <w:rPr>
                <w:rFonts w:hint="eastAsia"/>
                <w:lang w:val="zh-CN"/>
              </w:rPr>
              <w:t>此外，饮食业单位应按照上述规范要求，设置完善的污染物治理设施，设有或预留下列设备、设施的专用配套空间：</w:t>
            </w:r>
          </w:p>
          <w:p>
            <w:pPr>
              <w:pStyle w:val="aa"/>
              <w:ind w:firstLine="480"/>
              <w:rPr>
                <w:lang w:val="zh-CN"/>
              </w:rPr>
            </w:pPr>
            <w:r>
              <w:rPr>
                <w:rFonts w:hint="eastAsia"/>
                <w:lang w:val="zh-CN"/>
              </w:rPr>
              <w:t>①送、排风机；</w:t>
            </w:r>
          </w:p>
          <w:p>
            <w:pPr>
              <w:pStyle w:val="aa"/>
              <w:ind w:firstLine="480"/>
              <w:rPr>
                <w:lang w:val="zh-CN"/>
              </w:rPr>
            </w:pPr>
            <w:r>
              <w:rPr>
                <w:rFonts w:hint="eastAsia"/>
                <w:lang w:val="zh-CN"/>
              </w:rPr>
              <w:t>②油烟净化设备；</w:t>
            </w:r>
          </w:p>
          <w:p>
            <w:pPr>
              <w:pStyle w:val="aa"/>
              <w:ind w:firstLine="480"/>
              <w:rPr>
                <w:szCs w:val="24"/>
                <w:lang w:val="zh-CN"/>
              </w:rPr>
            </w:pPr>
            <w:r>
              <w:rPr>
                <w:rFonts w:hint="eastAsia"/>
                <w:szCs w:val="24"/>
                <w:lang w:val="zh-CN"/>
              </w:rPr>
              <w:t>③隔油池；</w:t>
            </w:r>
          </w:p>
          <w:p>
            <w:pPr>
              <w:pStyle w:val="aa"/>
              <w:ind w:firstLine="480"/>
              <w:rPr>
                <w:szCs w:val="24"/>
                <w:lang w:val="zh-CN"/>
              </w:rPr>
            </w:pPr>
            <w:r>
              <w:rPr>
                <w:rFonts w:hint="eastAsia"/>
                <w:szCs w:val="24"/>
                <w:lang w:val="zh-CN"/>
              </w:rPr>
              <w:t>④固体废物临时存放场地；</w:t>
            </w:r>
          </w:p>
          <w:p>
            <w:pPr>
              <w:pStyle w:val="aa"/>
              <w:ind w:firstLine="480"/>
              <w:rPr>
                <w:szCs w:val="24"/>
                <w:lang w:val="zh-CN"/>
              </w:rPr>
            </w:pPr>
            <w:r>
              <w:rPr>
                <w:rFonts w:hint="eastAsia"/>
                <w:szCs w:val="24"/>
                <w:lang w:val="zh-CN"/>
              </w:rPr>
              <w:t>⑤专用烟道。</w:t>
            </w:r>
          </w:p>
          <w:p>
            <w:pPr>
              <w:pStyle w:val="aa"/>
              <w:ind w:firstLine="480"/>
              <w:rPr>
                <w:szCs w:val="24"/>
                <w:lang w:val="zh-CN"/>
              </w:rPr>
            </w:pPr>
            <w:r>
              <w:rPr>
                <w:rFonts w:hint="eastAsia"/>
                <w:szCs w:val="24"/>
                <w:lang w:val="zh-CN"/>
              </w:rPr>
              <w:t>因此，本项目商业部分需预留暗烟道，项目运行过程若引进餐饮业，需另行报环保部门审批。饮食业项目环评审批前，环保部门或环评单位应征求项目周边有利害关系的单位的意见，报批时应附有公众意见采纳或者未采纳的说明，商业用房由商业经营者向有关环保部门进行项目申报，按要求办理相应环境影响评价手续，并按有关规定做好污染防治措施。</w:t>
            </w:r>
          </w:p>
          <w:p>
            <w:pPr>
              <w:pStyle w:val="Default"/>
              <w:numPr>
                <w:ilvl w:val="0"/>
                <w:numId w:val="1"/>
              </w:numPr>
              <w:spacing w:line="360" w:lineRule="auto"/>
              <w:ind w:firstLine="480" w:firstLineChars="200"/>
              <w:rPr>
                <w:rFonts w:ascii="Times New Roman" w:eastAsia="宋体" w:hAnsi="Times New Roman" w:hint="default"/>
                <w:b/>
                <w:color w:val="auto"/>
                <w:kern w:val="21"/>
              </w:rPr>
            </w:pPr>
            <w:r>
              <w:rPr>
                <w:rFonts w:ascii="Times New Roman" w:eastAsia="宋体" w:hAnsi="Times New Roman" w:hint="default"/>
                <w:b/>
                <w:color w:val="auto"/>
                <w:kern w:val="21"/>
              </w:rPr>
              <w:t>主要设备</w:t>
            </w:r>
          </w:p>
          <w:p>
            <w:pPr>
              <w:pStyle w:val="aa"/>
              <w:ind w:firstLine="480"/>
              <w:rPr>
                <w:rFonts w:ascii="Calibri" w:hAnsi="宋体"/>
                <w:bCs/>
                <w:kern w:val="21"/>
                <w:lang w:val="zh-CN"/>
              </w:rPr>
            </w:pPr>
            <w:r>
              <w:rPr>
                <w:rFonts w:ascii="Calibri" w:hAnsi="宋体" w:hint="eastAsia"/>
                <w:bCs/>
                <w:kern w:val="21"/>
                <w:lang w:val="zh-CN"/>
              </w:rPr>
              <w:t>项目主要设备详见下表：</w:t>
            </w:r>
          </w:p>
          <w:p>
            <w:pPr>
              <w:pStyle w:val="aa"/>
              <w:spacing w:line="25" w:lineRule="atLeast"/>
              <w:ind w:firstLine="482"/>
              <w:jc w:val="center"/>
              <w:rPr>
                <w:b/>
                <w:bCs/>
                <w:szCs w:val="24"/>
                <w:lang w:val="zh-CN"/>
              </w:rPr>
            </w:pPr>
            <w:r>
              <w:rPr>
                <w:b/>
                <w:bCs/>
                <w:szCs w:val="24"/>
                <w:lang w:val="zh-CN"/>
              </w:rPr>
              <w:t>表</w:t>
            </w:r>
            <w:r>
              <w:rPr>
                <w:b/>
                <w:bCs/>
                <w:szCs w:val="24"/>
              </w:rPr>
              <w:t>3  项目主要设施设备一览表</w:t>
            </w:r>
          </w:p>
          <w:tbl>
            <w:tblPr>
              <w:tblStyle w:val="TableGrid0"/>
              <w:tblW w:w="89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49"/>
              <w:gridCol w:w="2719"/>
              <w:gridCol w:w="2349"/>
              <w:gridCol w:w="2698"/>
            </w:tblGrid>
            <w:tr>
              <w:tblPrEx>
                <w:tblW w:w="891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149" w:type="dxa"/>
                  <w:tcBorders>
                    <w:tl2br w:val="nil"/>
                    <w:tr2bl w:val="nil"/>
                  </w:tcBorders>
                  <w:vAlign w:val="center"/>
                </w:tcPr>
                <w:p>
                  <w:pPr>
                    <w:snapToGrid w:val="0"/>
                    <w:spacing w:line="300" w:lineRule="auto"/>
                    <w:jc w:val="center"/>
                    <w:rPr>
                      <w:b/>
                      <w:bCs/>
                      <w:szCs w:val="21"/>
                      <w:lang w:val="zh-CN"/>
                    </w:rPr>
                  </w:pPr>
                  <w:r>
                    <w:rPr>
                      <w:b/>
                      <w:bCs/>
                      <w:szCs w:val="21"/>
                      <w:lang w:val="zh-CN"/>
                    </w:rPr>
                    <w:t>序号</w:t>
                  </w:r>
                </w:p>
              </w:tc>
              <w:tc>
                <w:tcPr>
                  <w:tcW w:w="2719" w:type="dxa"/>
                  <w:tcBorders>
                    <w:tl2br w:val="nil"/>
                    <w:tr2bl w:val="nil"/>
                  </w:tcBorders>
                  <w:vAlign w:val="center"/>
                </w:tcPr>
                <w:p>
                  <w:pPr>
                    <w:snapToGrid w:val="0"/>
                    <w:spacing w:line="300" w:lineRule="auto"/>
                    <w:jc w:val="center"/>
                    <w:rPr>
                      <w:b/>
                      <w:bCs/>
                      <w:szCs w:val="21"/>
                      <w:lang w:val="zh-CN"/>
                    </w:rPr>
                  </w:pPr>
                  <w:r>
                    <w:rPr>
                      <w:b/>
                      <w:bCs/>
                      <w:szCs w:val="21"/>
                      <w:lang w:val="zh-CN"/>
                    </w:rPr>
                    <w:t>设备</w:t>
                  </w:r>
                </w:p>
              </w:tc>
              <w:tc>
                <w:tcPr>
                  <w:tcW w:w="2349" w:type="dxa"/>
                  <w:tcBorders>
                    <w:tl2br w:val="nil"/>
                    <w:tr2bl w:val="nil"/>
                  </w:tcBorders>
                  <w:vAlign w:val="center"/>
                </w:tcPr>
                <w:p>
                  <w:pPr>
                    <w:snapToGrid w:val="0"/>
                    <w:spacing w:line="300" w:lineRule="auto"/>
                    <w:jc w:val="center"/>
                    <w:rPr>
                      <w:b/>
                      <w:bCs/>
                      <w:szCs w:val="21"/>
                      <w:lang w:val="zh-CN"/>
                    </w:rPr>
                  </w:pPr>
                  <w:r>
                    <w:rPr>
                      <w:b/>
                      <w:bCs/>
                      <w:szCs w:val="21"/>
                      <w:lang w:val="zh-CN"/>
                    </w:rPr>
                    <w:t>数量</w:t>
                  </w:r>
                </w:p>
              </w:tc>
              <w:tc>
                <w:tcPr>
                  <w:tcW w:w="2698" w:type="dxa"/>
                  <w:tcBorders>
                    <w:tl2br w:val="nil"/>
                    <w:tr2bl w:val="nil"/>
                  </w:tcBorders>
                  <w:vAlign w:val="center"/>
                </w:tcPr>
                <w:p>
                  <w:pPr>
                    <w:snapToGrid w:val="0"/>
                    <w:spacing w:line="300" w:lineRule="auto"/>
                    <w:jc w:val="center"/>
                    <w:rPr>
                      <w:b/>
                      <w:bCs/>
                      <w:szCs w:val="21"/>
                      <w:lang w:val="zh-CN"/>
                    </w:rPr>
                  </w:pPr>
                  <w:r>
                    <w:rPr>
                      <w:b/>
                      <w:bCs/>
                      <w:szCs w:val="21"/>
                      <w:lang w:val="zh-CN"/>
                    </w:rPr>
                    <w:t>安装位置</w:t>
                  </w:r>
                </w:p>
              </w:tc>
            </w:tr>
            <w:tr>
              <w:tblPrEx>
                <w:tblW w:w="8915" w:type="dxa"/>
                <w:jc w:val="center"/>
                <w:tblLayout w:type="fixed"/>
                <w:tblCellMar>
                  <w:top w:w="0" w:type="dxa"/>
                  <w:left w:w="108" w:type="dxa"/>
                  <w:bottom w:w="0" w:type="dxa"/>
                  <w:right w:w="108" w:type="dxa"/>
                </w:tblCellMar>
              </w:tblPrEx>
              <w:trPr>
                <w:jc w:val="center"/>
              </w:trPr>
              <w:tc>
                <w:tcPr>
                  <w:tcW w:w="1149" w:type="dxa"/>
                  <w:tcBorders>
                    <w:tl2br w:val="nil"/>
                    <w:tr2bl w:val="nil"/>
                  </w:tcBorders>
                  <w:vAlign w:val="center"/>
                </w:tcPr>
                <w:p>
                  <w:pPr>
                    <w:snapToGrid w:val="0"/>
                    <w:spacing w:line="300" w:lineRule="auto"/>
                    <w:jc w:val="center"/>
                    <w:rPr>
                      <w:szCs w:val="21"/>
                    </w:rPr>
                  </w:pPr>
                  <w:r>
                    <w:rPr>
                      <w:szCs w:val="21"/>
                    </w:rPr>
                    <w:t>1</w:t>
                  </w:r>
                </w:p>
              </w:tc>
              <w:tc>
                <w:tcPr>
                  <w:tcW w:w="2719" w:type="dxa"/>
                  <w:tcBorders>
                    <w:tl2br w:val="nil"/>
                    <w:tr2bl w:val="nil"/>
                  </w:tcBorders>
                  <w:vAlign w:val="center"/>
                </w:tcPr>
                <w:p>
                  <w:pPr>
                    <w:spacing w:line="300" w:lineRule="auto"/>
                    <w:jc w:val="center"/>
                    <w:rPr>
                      <w:szCs w:val="21"/>
                      <w:lang w:val="zh-CN"/>
                    </w:rPr>
                  </w:pPr>
                  <w:r>
                    <w:rPr>
                      <w:kern w:val="21"/>
                      <w:szCs w:val="21"/>
                    </w:rPr>
                    <w:t>生活水泵</w:t>
                  </w:r>
                </w:p>
              </w:tc>
              <w:tc>
                <w:tcPr>
                  <w:tcW w:w="2349" w:type="dxa"/>
                  <w:tcBorders>
                    <w:tl2br w:val="nil"/>
                    <w:tr2bl w:val="nil"/>
                  </w:tcBorders>
                  <w:vAlign w:val="center"/>
                </w:tcPr>
                <w:p>
                  <w:pPr>
                    <w:spacing w:line="300" w:lineRule="auto"/>
                    <w:jc w:val="center"/>
                    <w:rPr>
                      <w:szCs w:val="21"/>
                      <w:lang w:val="zh-CN"/>
                    </w:rPr>
                  </w:pPr>
                  <w:r>
                    <w:rPr>
                      <w:kern w:val="21"/>
                      <w:szCs w:val="21"/>
                    </w:rPr>
                    <w:t>若干</w:t>
                  </w:r>
                </w:p>
              </w:tc>
              <w:tc>
                <w:tcPr>
                  <w:tcW w:w="2698" w:type="dxa"/>
                  <w:tcBorders>
                    <w:tl2br w:val="nil"/>
                    <w:tr2bl w:val="nil"/>
                  </w:tcBorders>
                  <w:vAlign w:val="center"/>
                </w:tcPr>
                <w:p>
                  <w:pPr>
                    <w:spacing w:line="300" w:lineRule="auto"/>
                    <w:jc w:val="center"/>
                    <w:rPr>
                      <w:szCs w:val="21"/>
                      <w:lang w:val="zh-CN"/>
                    </w:rPr>
                  </w:pPr>
                  <w:r>
                    <w:rPr>
                      <w:kern w:val="21"/>
                      <w:szCs w:val="21"/>
                    </w:rPr>
                    <w:t>地下室</w:t>
                  </w:r>
                </w:p>
              </w:tc>
            </w:tr>
            <w:tr>
              <w:tblPrEx>
                <w:tblW w:w="8915" w:type="dxa"/>
                <w:jc w:val="center"/>
                <w:tblLayout w:type="fixed"/>
                <w:tblCellMar>
                  <w:top w:w="0" w:type="dxa"/>
                  <w:left w:w="108" w:type="dxa"/>
                  <w:bottom w:w="0" w:type="dxa"/>
                  <w:right w:w="108" w:type="dxa"/>
                </w:tblCellMar>
              </w:tblPrEx>
              <w:trPr>
                <w:jc w:val="center"/>
              </w:trPr>
              <w:tc>
                <w:tcPr>
                  <w:tcW w:w="1149" w:type="dxa"/>
                  <w:tcBorders>
                    <w:tl2br w:val="nil"/>
                    <w:tr2bl w:val="nil"/>
                  </w:tcBorders>
                  <w:vAlign w:val="center"/>
                </w:tcPr>
                <w:p>
                  <w:pPr>
                    <w:snapToGrid w:val="0"/>
                    <w:spacing w:line="300" w:lineRule="auto"/>
                    <w:jc w:val="center"/>
                    <w:rPr>
                      <w:szCs w:val="21"/>
                    </w:rPr>
                  </w:pPr>
                  <w:r>
                    <w:rPr>
                      <w:szCs w:val="21"/>
                    </w:rPr>
                    <w:t>2</w:t>
                  </w:r>
                </w:p>
              </w:tc>
              <w:tc>
                <w:tcPr>
                  <w:tcW w:w="2719" w:type="dxa"/>
                  <w:tcBorders>
                    <w:tl2br w:val="nil"/>
                    <w:tr2bl w:val="nil"/>
                  </w:tcBorders>
                  <w:vAlign w:val="center"/>
                </w:tcPr>
                <w:p>
                  <w:pPr>
                    <w:spacing w:line="300" w:lineRule="auto"/>
                    <w:jc w:val="center"/>
                    <w:rPr>
                      <w:szCs w:val="21"/>
                      <w:lang w:val="zh-CN"/>
                    </w:rPr>
                  </w:pPr>
                  <w:r>
                    <w:rPr>
                      <w:kern w:val="21"/>
                      <w:szCs w:val="21"/>
                    </w:rPr>
                    <w:t>地下停车场通风风机</w:t>
                  </w:r>
                </w:p>
              </w:tc>
              <w:tc>
                <w:tcPr>
                  <w:tcW w:w="2349" w:type="dxa"/>
                  <w:tcBorders>
                    <w:tl2br w:val="nil"/>
                    <w:tr2bl w:val="nil"/>
                  </w:tcBorders>
                  <w:vAlign w:val="center"/>
                </w:tcPr>
                <w:p>
                  <w:pPr>
                    <w:spacing w:line="300" w:lineRule="auto"/>
                    <w:jc w:val="center"/>
                    <w:rPr>
                      <w:szCs w:val="21"/>
                      <w:lang w:val="zh-CN"/>
                    </w:rPr>
                  </w:pPr>
                  <w:r>
                    <w:rPr>
                      <w:kern w:val="21"/>
                      <w:szCs w:val="21"/>
                    </w:rPr>
                    <w:t>若干</w:t>
                  </w:r>
                </w:p>
              </w:tc>
              <w:tc>
                <w:tcPr>
                  <w:tcW w:w="2698" w:type="dxa"/>
                  <w:tcBorders>
                    <w:tl2br w:val="nil"/>
                    <w:tr2bl w:val="nil"/>
                  </w:tcBorders>
                  <w:vAlign w:val="center"/>
                </w:tcPr>
                <w:p>
                  <w:pPr>
                    <w:spacing w:line="300" w:lineRule="auto"/>
                    <w:jc w:val="center"/>
                    <w:rPr>
                      <w:szCs w:val="21"/>
                      <w:lang w:val="zh-CN"/>
                    </w:rPr>
                  </w:pPr>
                  <w:r>
                    <w:rPr>
                      <w:kern w:val="21"/>
                      <w:szCs w:val="21"/>
                    </w:rPr>
                    <w:t>地下室</w:t>
                  </w:r>
                </w:p>
              </w:tc>
            </w:tr>
            <w:tr>
              <w:tblPrEx>
                <w:tblW w:w="8915" w:type="dxa"/>
                <w:jc w:val="center"/>
                <w:tblLayout w:type="fixed"/>
                <w:tblCellMar>
                  <w:top w:w="0" w:type="dxa"/>
                  <w:left w:w="108" w:type="dxa"/>
                  <w:bottom w:w="0" w:type="dxa"/>
                  <w:right w:w="108" w:type="dxa"/>
                </w:tblCellMar>
              </w:tblPrEx>
              <w:trPr>
                <w:jc w:val="center"/>
              </w:trPr>
              <w:tc>
                <w:tcPr>
                  <w:tcW w:w="1149" w:type="dxa"/>
                  <w:tcBorders>
                    <w:tl2br w:val="nil"/>
                    <w:tr2bl w:val="nil"/>
                  </w:tcBorders>
                  <w:vAlign w:val="center"/>
                </w:tcPr>
                <w:p>
                  <w:pPr>
                    <w:snapToGrid w:val="0"/>
                    <w:spacing w:line="300" w:lineRule="auto"/>
                    <w:jc w:val="center"/>
                    <w:rPr>
                      <w:szCs w:val="21"/>
                    </w:rPr>
                  </w:pPr>
                  <w:r>
                    <w:rPr>
                      <w:szCs w:val="21"/>
                    </w:rPr>
                    <w:t>3</w:t>
                  </w:r>
                </w:p>
              </w:tc>
              <w:tc>
                <w:tcPr>
                  <w:tcW w:w="2719" w:type="dxa"/>
                  <w:tcBorders>
                    <w:tl2br w:val="nil"/>
                    <w:tr2bl w:val="nil"/>
                  </w:tcBorders>
                  <w:vAlign w:val="center"/>
                </w:tcPr>
                <w:p>
                  <w:pPr>
                    <w:spacing w:line="300" w:lineRule="auto"/>
                    <w:jc w:val="center"/>
                    <w:rPr>
                      <w:szCs w:val="21"/>
                      <w:lang w:val="zh-CN"/>
                    </w:rPr>
                  </w:pPr>
                  <w:r>
                    <w:rPr>
                      <w:kern w:val="21"/>
                      <w:szCs w:val="21"/>
                    </w:rPr>
                    <w:t>电梯电动机</w:t>
                  </w:r>
                </w:p>
              </w:tc>
              <w:tc>
                <w:tcPr>
                  <w:tcW w:w="2349" w:type="dxa"/>
                  <w:tcBorders>
                    <w:tl2br w:val="nil"/>
                    <w:tr2bl w:val="nil"/>
                  </w:tcBorders>
                  <w:vAlign w:val="center"/>
                </w:tcPr>
                <w:p>
                  <w:pPr>
                    <w:spacing w:line="300" w:lineRule="auto"/>
                    <w:jc w:val="center"/>
                    <w:rPr>
                      <w:szCs w:val="21"/>
                      <w:lang w:val="zh-CN"/>
                    </w:rPr>
                  </w:pPr>
                  <w:r>
                    <w:rPr>
                      <w:kern w:val="21"/>
                      <w:szCs w:val="21"/>
                    </w:rPr>
                    <w:t>若干</w:t>
                  </w:r>
                </w:p>
              </w:tc>
              <w:tc>
                <w:tcPr>
                  <w:tcW w:w="2698" w:type="dxa"/>
                  <w:tcBorders>
                    <w:tl2br w:val="nil"/>
                    <w:tr2bl w:val="nil"/>
                  </w:tcBorders>
                  <w:vAlign w:val="center"/>
                </w:tcPr>
                <w:p>
                  <w:pPr>
                    <w:spacing w:line="300" w:lineRule="auto"/>
                    <w:jc w:val="center"/>
                    <w:rPr>
                      <w:szCs w:val="21"/>
                      <w:lang w:val="zh-CN"/>
                    </w:rPr>
                  </w:pPr>
                  <w:r>
                    <w:rPr>
                      <w:kern w:val="21"/>
                      <w:szCs w:val="21"/>
                    </w:rPr>
                    <w:t>地下室楼梯间</w:t>
                  </w:r>
                </w:p>
              </w:tc>
            </w:tr>
            <w:tr>
              <w:tblPrEx>
                <w:tblW w:w="8915" w:type="dxa"/>
                <w:jc w:val="center"/>
                <w:tblLayout w:type="fixed"/>
                <w:tblCellMar>
                  <w:top w:w="0" w:type="dxa"/>
                  <w:left w:w="108" w:type="dxa"/>
                  <w:bottom w:w="0" w:type="dxa"/>
                  <w:right w:w="108" w:type="dxa"/>
                </w:tblCellMar>
              </w:tblPrEx>
              <w:trPr>
                <w:jc w:val="center"/>
              </w:trPr>
              <w:tc>
                <w:tcPr>
                  <w:tcW w:w="1149" w:type="dxa"/>
                  <w:tcBorders>
                    <w:tl2br w:val="nil"/>
                    <w:tr2bl w:val="nil"/>
                  </w:tcBorders>
                  <w:vAlign w:val="center"/>
                </w:tcPr>
                <w:p>
                  <w:pPr>
                    <w:snapToGrid w:val="0"/>
                    <w:spacing w:line="300" w:lineRule="auto"/>
                    <w:jc w:val="center"/>
                    <w:rPr>
                      <w:szCs w:val="21"/>
                    </w:rPr>
                  </w:pPr>
                  <w:r>
                    <w:rPr>
                      <w:szCs w:val="21"/>
                    </w:rPr>
                    <w:t>4</w:t>
                  </w:r>
                </w:p>
              </w:tc>
              <w:tc>
                <w:tcPr>
                  <w:tcW w:w="2719" w:type="dxa"/>
                  <w:tcBorders>
                    <w:tl2br w:val="nil"/>
                    <w:tr2bl w:val="nil"/>
                  </w:tcBorders>
                  <w:vAlign w:val="center"/>
                </w:tcPr>
                <w:p>
                  <w:pPr>
                    <w:spacing w:line="300" w:lineRule="auto"/>
                    <w:jc w:val="center"/>
                    <w:rPr>
                      <w:szCs w:val="21"/>
                      <w:lang w:val="zh-CN"/>
                    </w:rPr>
                  </w:pPr>
                  <w:r>
                    <w:rPr>
                      <w:kern w:val="21"/>
                      <w:szCs w:val="21"/>
                    </w:rPr>
                    <w:t>备用发电机</w:t>
                  </w:r>
                </w:p>
              </w:tc>
              <w:tc>
                <w:tcPr>
                  <w:tcW w:w="2349" w:type="dxa"/>
                  <w:tcBorders>
                    <w:tl2br w:val="nil"/>
                    <w:tr2bl w:val="nil"/>
                  </w:tcBorders>
                  <w:vAlign w:val="center"/>
                </w:tcPr>
                <w:p>
                  <w:pPr>
                    <w:spacing w:line="300" w:lineRule="auto"/>
                    <w:jc w:val="center"/>
                    <w:rPr>
                      <w:szCs w:val="21"/>
                      <w:lang w:val="zh-CN"/>
                    </w:rPr>
                  </w:pPr>
                  <w:r>
                    <w:rPr>
                      <w:rFonts w:hint="eastAsia"/>
                      <w:kern w:val="21"/>
                      <w:szCs w:val="21"/>
                    </w:rPr>
                    <w:t>2</w:t>
                  </w:r>
                </w:p>
              </w:tc>
              <w:tc>
                <w:tcPr>
                  <w:tcW w:w="2698" w:type="dxa"/>
                  <w:tcBorders>
                    <w:tl2br w:val="nil"/>
                    <w:tr2bl w:val="nil"/>
                  </w:tcBorders>
                  <w:vAlign w:val="center"/>
                </w:tcPr>
                <w:p>
                  <w:pPr>
                    <w:spacing w:line="300" w:lineRule="auto"/>
                    <w:jc w:val="center"/>
                    <w:rPr>
                      <w:szCs w:val="21"/>
                      <w:lang w:val="zh-CN"/>
                    </w:rPr>
                  </w:pPr>
                  <w:r>
                    <w:rPr>
                      <w:kern w:val="21"/>
                      <w:szCs w:val="21"/>
                    </w:rPr>
                    <w:t>地下室设备间</w:t>
                  </w:r>
                </w:p>
              </w:tc>
            </w:tr>
          </w:tbl>
          <w:p>
            <w:pPr>
              <w:pStyle w:val="Default"/>
              <w:numPr>
                <w:ilvl w:val="0"/>
                <w:numId w:val="1"/>
              </w:numPr>
              <w:spacing w:line="360" w:lineRule="auto"/>
              <w:ind w:firstLine="480" w:firstLineChars="200"/>
              <w:rPr>
                <w:rFonts w:ascii="Times New Roman" w:eastAsia="宋体" w:hAnsi="Times New Roman" w:hint="default"/>
                <w:b/>
                <w:color w:val="auto"/>
                <w:kern w:val="21"/>
              </w:rPr>
            </w:pPr>
            <w:r>
              <w:rPr>
                <w:rFonts w:ascii="Times New Roman" w:eastAsia="宋体" w:hAnsi="Times New Roman" w:hint="default"/>
                <w:b/>
                <w:color w:val="auto"/>
                <w:kern w:val="21"/>
              </w:rPr>
              <w:t>其他配套设置</w:t>
            </w:r>
          </w:p>
          <w:p>
            <w:pPr>
              <w:tabs>
                <w:tab w:val="left" w:pos="0"/>
              </w:tabs>
              <w:spacing w:line="360" w:lineRule="auto"/>
              <w:ind w:firstLine="480" w:firstLineChars="200"/>
              <w:rPr>
                <w:kern w:val="21"/>
                <w:sz w:val="24"/>
                <w:szCs w:val="24"/>
              </w:rPr>
            </w:pPr>
            <w:r>
              <w:rPr>
                <w:rFonts w:hint="eastAsia"/>
                <w:kern w:val="21"/>
                <w:sz w:val="24"/>
                <w:szCs w:val="24"/>
              </w:rPr>
              <w:t>（1）照明设计</w:t>
            </w:r>
          </w:p>
          <w:p>
            <w:pPr>
              <w:tabs>
                <w:tab w:val="left" w:pos="0"/>
              </w:tabs>
              <w:spacing w:line="360" w:lineRule="auto"/>
              <w:ind w:firstLine="480" w:firstLineChars="200"/>
              <w:rPr>
                <w:kern w:val="21"/>
                <w:sz w:val="24"/>
                <w:szCs w:val="24"/>
              </w:rPr>
            </w:pPr>
            <w:r>
              <w:rPr>
                <w:rFonts w:hint="eastAsia"/>
                <w:kern w:val="21"/>
                <w:sz w:val="24"/>
                <w:szCs w:val="24"/>
              </w:rPr>
              <w:t>本项目商业、地下车库采用T5三基色高效荧光灯；走道、电梯前室、楼梯间、管道井采用高光效节能灯；厕所及浴室采用防潮型灯具。</w:t>
            </w:r>
          </w:p>
          <w:p>
            <w:pPr>
              <w:numPr>
                <w:ilvl w:val="0"/>
                <w:numId w:val="2"/>
              </w:numPr>
              <w:tabs>
                <w:tab w:val="left" w:pos="0"/>
              </w:tabs>
              <w:spacing w:line="360" w:lineRule="auto"/>
              <w:ind w:firstLine="480" w:firstLineChars="200"/>
              <w:rPr>
                <w:kern w:val="21"/>
                <w:sz w:val="24"/>
                <w:szCs w:val="24"/>
              </w:rPr>
            </w:pPr>
            <w:r>
              <w:rPr>
                <w:rFonts w:hint="eastAsia"/>
                <w:kern w:val="21"/>
                <w:sz w:val="24"/>
                <w:szCs w:val="24"/>
              </w:rPr>
              <w:t>幕墙金属屋面设计</w:t>
            </w:r>
          </w:p>
          <w:p>
            <w:pPr>
              <w:tabs>
                <w:tab w:val="left" w:pos="0"/>
              </w:tabs>
              <w:spacing w:line="360" w:lineRule="auto"/>
              <w:ind w:firstLine="480" w:firstLineChars="200"/>
              <w:rPr>
                <w:kern w:val="21"/>
                <w:sz w:val="24"/>
                <w:szCs w:val="24"/>
              </w:rPr>
            </w:pPr>
            <w:r>
              <w:rPr>
                <w:rFonts w:hint="eastAsia"/>
                <w:kern w:val="21"/>
                <w:sz w:val="24"/>
                <w:szCs w:val="24"/>
              </w:rPr>
              <w:t>本项目采用成熟的隔热框架幕墙系统，使用铝镁锰直立锁边金属屋面。</w:t>
            </w:r>
          </w:p>
          <w:p>
            <w:pPr>
              <w:numPr>
                <w:ilvl w:val="0"/>
                <w:numId w:val="2"/>
              </w:numPr>
              <w:tabs>
                <w:tab w:val="left" w:pos="0"/>
              </w:tabs>
              <w:spacing w:line="360" w:lineRule="auto"/>
              <w:ind w:firstLine="480" w:firstLineChars="200"/>
              <w:rPr>
                <w:kern w:val="21"/>
                <w:sz w:val="24"/>
                <w:szCs w:val="24"/>
              </w:rPr>
            </w:pPr>
            <w:r>
              <w:rPr>
                <w:rFonts w:hint="eastAsia"/>
                <w:kern w:val="21"/>
                <w:sz w:val="24"/>
                <w:szCs w:val="24"/>
              </w:rPr>
              <w:t>无障碍设计</w:t>
            </w:r>
          </w:p>
          <w:p>
            <w:pPr>
              <w:tabs>
                <w:tab w:val="left" w:pos="0"/>
              </w:tabs>
              <w:spacing w:after="0" w:line="360" w:lineRule="auto"/>
              <w:ind w:firstLine="480" w:firstLineChars="200"/>
              <w:rPr>
                <w:kern w:val="21"/>
                <w:sz w:val="24"/>
                <w:szCs w:val="24"/>
              </w:rPr>
            </w:pPr>
          </w:p>
        </w:tc>
      </w:tr>
    </w:tbl>
    <w:p>
      <w:pPr>
        <w:sectPr>
          <w:footerReference w:type="default" r:id="rId9"/>
          <w:type w:val="nextPage"/>
          <w:pgSz w:w="11907" w:h="16840"/>
          <w:pgMar w:top="1418" w:right="1418" w:bottom="1418" w:left="1418" w:header="851" w:footer="992" w:gutter="113"/>
          <w:pgNumType w:start="5"/>
          <w:cols w:num="1" w:space="720"/>
          <w:titlePg w:val="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p>
            <w:pPr>
              <w:tabs>
                <w:tab w:val="left" w:pos="0"/>
              </w:tabs>
              <w:spacing w:before="0" w:line="360" w:lineRule="auto"/>
              <w:ind w:firstLine="480" w:firstLineChars="200"/>
              <w:rPr>
                <w:kern w:val="21"/>
                <w:sz w:val="24"/>
                <w:szCs w:val="24"/>
              </w:rPr>
            </w:pPr>
            <w:r>
              <w:rPr>
                <w:rFonts w:hint="eastAsia"/>
                <w:kern w:val="21"/>
                <w:sz w:val="24"/>
                <w:szCs w:val="24"/>
              </w:rPr>
              <w:t>本项目为办公、酒店、商业、集散中心，建筑所有对公众开发部位均设相关的无障碍设施，内容为：基地、建筑入口、入口平台及门、水平与垂直交通、无障碍用房、无障碍停车、无障碍标识。</w:t>
            </w:r>
          </w:p>
          <w:p>
            <w:pPr>
              <w:tabs>
                <w:tab w:val="left" w:pos="0"/>
              </w:tabs>
              <w:spacing w:before="120" w:beforeLines="50" w:line="360" w:lineRule="auto"/>
              <w:ind w:firstLine="470" w:firstLineChars="196"/>
              <w:rPr>
                <w:rFonts w:ascii="宋体" w:hAnsi="宋体" w:cs="宋体"/>
                <w:b/>
                <w:sz w:val="24"/>
                <w:szCs w:val="24"/>
              </w:rPr>
            </w:pPr>
            <w:r>
              <w:rPr>
                <w:rFonts w:ascii="宋体" w:hAnsi="宋体" w:cs="宋体" w:hint="eastAsia"/>
                <w:b/>
                <w:sz w:val="24"/>
                <w:szCs w:val="24"/>
              </w:rPr>
              <w:t>四、公用工程情况</w:t>
            </w:r>
          </w:p>
          <w:p>
            <w:pPr>
              <w:spacing w:line="360" w:lineRule="auto"/>
              <w:ind w:firstLine="480" w:firstLineChars="200"/>
              <w:rPr>
                <w:rFonts w:ascii="宋体" w:hAnsi="宋体" w:cs="宋体"/>
                <w:b/>
                <w:sz w:val="24"/>
                <w:szCs w:val="24"/>
              </w:rPr>
            </w:pPr>
            <w:r>
              <w:rPr>
                <w:rFonts w:ascii="宋体" w:hAnsi="宋体" w:cs="宋体" w:hint="eastAsia"/>
                <w:b/>
                <w:sz w:val="24"/>
                <w:szCs w:val="24"/>
              </w:rPr>
              <w:t>1、给水</w:t>
            </w:r>
          </w:p>
          <w:p>
            <w:pPr>
              <w:tabs>
                <w:tab w:val="left" w:pos="0"/>
              </w:tabs>
              <w:spacing w:line="360" w:lineRule="auto"/>
              <w:ind w:firstLine="480" w:firstLineChars="200"/>
              <w:rPr>
                <w:color w:val="FF00FF"/>
                <w:kern w:val="21"/>
                <w:sz w:val="24"/>
                <w:szCs w:val="24"/>
              </w:rPr>
            </w:pPr>
            <w:r>
              <w:rPr>
                <w:kern w:val="21"/>
                <w:sz w:val="24"/>
                <w:szCs w:val="24"/>
              </w:rPr>
              <w:t>供水水源为市政水源，项目总用水量为</w:t>
            </w:r>
            <w:r>
              <w:rPr>
                <w:rFonts w:hint="eastAsia"/>
                <w:sz w:val="24"/>
                <w:szCs w:val="24"/>
              </w:rPr>
              <w:t>275035</w:t>
            </w:r>
            <w:r>
              <w:rPr>
                <w:kern w:val="21"/>
                <w:sz w:val="24"/>
                <w:szCs w:val="24"/>
              </w:rPr>
              <w:t>t/a，包括</w:t>
            </w:r>
            <w:r>
              <w:rPr>
                <w:rFonts w:hint="eastAsia"/>
                <w:kern w:val="21"/>
                <w:sz w:val="24"/>
                <w:szCs w:val="24"/>
              </w:rPr>
              <w:t>办公</w:t>
            </w:r>
            <w:r>
              <w:rPr>
                <w:kern w:val="21"/>
                <w:sz w:val="24"/>
                <w:szCs w:val="24"/>
              </w:rPr>
              <w:t>用水、商业用水</w:t>
            </w:r>
            <w:r>
              <w:rPr>
                <w:rFonts w:hint="eastAsia"/>
                <w:kern w:val="21"/>
                <w:sz w:val="24"/>
                <w:szCs w:val="24"/>
              </w:rPr>
              <w:t>、酒店用水</w:t>
            </w:r>
            <w:r>
              <w:rPr>
                <w:kern w:val="21"/>
                <w:sz w:val="24"/>
                <w:szCs w:val="24"/>
              </w:rPr>
              <w:t>、</w:t>
            </w:r>
            <w:r>
              <w:rPr>
                <w:rFonts w:hint="eastAsia"/>
                <w:kern w:val="21"/>
                <w:sz w:val="24"/>
                <w:szCs w:val="24"/>
              </w:rPr>
              <w:t>集散中心营业用水</w:t>
            </w:r>
            <w:r>
              <w:rPr>
                <w:kern w:val="21"/>
                <w:sz w:val="24"/>
                <w:szCs w:val="24"/>
              </w:rPr>
              <w:t>、绿化用水、不可预见用水等，项目所在地已接通市政供水管网。</w:t>
            </w:r>
          </w:p>
          <w:p>
            <w:pPr>
              <w:tabs>
                <w:tab w:val="left" w:pos="0"/>
              </w:tabs>
              <w:spacing w:line="360" w:lineRule="auto"/>
              <w:ind w:firstLine="480" w:firstLineChars="200"/>
              <w:rPr>
                <w:b/>
                <w:kern w:val="21"/>
                <w:sz w:val="24"/>
                <w:szCs w:val="24"/>
              </w:rPr>
            </w:pPr>
            <w:r>
              <w:rPr>
                <w:b/>
                <w:kern w:val="21"/>
                <w:sz w:val="24"/>
                <w:szCs w:val="24"/>
              </w:rPr>
              <w:t>2、排水</w:t>
            </w:r>
          </w:p>
          <w:p>
            <w:pPr>
              <w:tabs>
                <w:tab w:val="left" w:pos="0"/>
              </w:tabs>
              <w:spacing w:line="360" w:lineRule="auto"/>
              <w:ind w:firstLine="480" w:firstLineChars="200"/>
              <w:rPr>
                <w:kern w:val="21"/>
                <w:sz w:val="24"/>
                <w:szCs w:val="24"/>
              </w:rPr>
            </w:pPr>
            <w:r>
              <w:rPr>
                <w:kern w:val="21"/>
                <w:sz w:val="24"/>
                <w:szCs w:val="24"/>
              </w:rPr>
              <w:t>排水量为</w:t>
            </w:r>
            <w:r>
              <w:rPr>
                <w:rFonts w:hint="eastAsia"/>
                <w:sz w:val="24"/>
                <w:szCs w:val="24"/>
              </w:rPr>
              <w:t>253731</w:t>
            </w:r>
            <w:r>
              <w:rPr>
                <w:sz w:val="24"/>
                <w:szCs w:val="24"/>
              </w:rPr>
              <w:t>t/a</w:t>
            </w:r>
            <w:r>
              <w:rPr>
                <w:kern w:val="21"/>
                <w:sz w:val="24"/>
                <w:szCs w:val="24"/>
              </w:rPr>
              <w:t>，包括</w:t>
            </w:r>
            <w:r>
              <w:rPr>
                <w:rFonts w:hint="eastAsia"/>
                <w:kern w:val="21"/>
                <w:sz w:val="24"/>
                <w:szCs w:val="24"/>
              </w:rPr>
              <w:t>集散中心营业</w:t>
            </w:r>
            <w:r>
              <w:rPr>
                <w:kern w:val="21"/>
                <w:sz w:val="24"/>
                <w:szCs w:val="24"/>
              </w:rPr>
              <w:t>排水、商业排水、办公排水、</w:t>
            </w:r>
            <w:r>
              <w:rPr>
                <w:rFonts w:hint="eastAsia"/>
                <w:kern w:val="21"/>
                <w:sz w:val="24"/>
                <w:szCs w:val="24"/>
              </w:rPr>
              <w:t>酒店排水</w:t>
            </w:r>
            <w:r>
              <w:rPr>
                <w:kern w:val="21"/>
                <w:sz w:val="24"/>
                <w:szCs w:val="24"/>
              </w:rPr>
              <w:t>、不可预见排水，项目所在地已接通市政排水管网。</w:t>
            </w:r>
          </w:p>
          <w:p>
            <w:pPr>
              <w:tabs>
                <w:tab w:val="left" w:pos="0"/>
              </w:tabs>
              <w:spacing w:line="360" w:lineRule="auto"/>
              <w:ind w:firstLine="480" w:firstLineChars="200"/>
              <w:rPr>
                <w:kern w:val="21"/>
                <w:sz w:val="24"/>
                <w:szCs w:val="24"/>
              </w:rPr>
            </w:pPr>
            <w:r>
              <w:rPr>
                <w:kern w:val="21"/>
                <w:sz w:val="24"/>
                <w:szCs w:val="24"/>
              </w:rPr>
              <w:t>排水实行雨污分流制。雨水排入市政雨水管网，污水经隔油池、化粪池预处理后经市政管网排入</w:t>
            </w:r>
            <w:r>
              <w:rPr>
                <w:rFonts w:hint="eastAsia"/>
                <w:kern w:val="21"/>
                <w:sz w:val="24"/>
                <w:szCs w:val="24"/>
              </w:rPr>
              <w:t>抚州市污水处理厂</w:t>
            </w:r>
            <w:r>
              <w:rPr>
                <w:kern w:val="21"/>
                <w:sz w:val="24"/>
                <w:szCs w:val="24"/>
              </w:rPr>
              <w:t>处理达标后最终进入</w:t>
            </w:r>
            <w:r>
              <w:rPr>
                <w:rFonts w:hint="eastAsia"/>
                <w:bCs/>
                <w:sz w:val="24"/>
              </w:rPr>
              <w:t>抚河</w:t>
            </w:r>
            <w:r>
              <w:rPr>
                <w:bCs/>
                <w:sz w:val="24"/>
              </w:rPr>
              <w:t>。</w:t>
            </w:r>
          </w:p>
          <w:p>
            <w:pPr>
              <w:tabs>
                <w:tab w:val="left" w:pos="0"/>
              </w:tabs>
              <w:spacing w:line="360" w:lineRule="auto"/>
              <w:ind w:firstLine="480" w:firstLineChars="200"/>
              <w:rPr>
                <w:rFonts w:ascii="宋体" w:hAnsi="宋体" w:cs="宋体"/>
                <w:b/>
                <w:kern w:val="21"/>
                <w:sz w:val="24"/>
                <w:szCs w:val="24"/>
              </w:rPr>
            </w:pPr>
            <w:r>
              <w:rPr>
                <w:rFonts w:ascii="宋体" w:hAnsi="宋体" w:cs="宋体" w:hint="eastAsia"/>
                <w:b/>
                <w:kern w:val="21"/>
                <w:sz w:val="24"/>
                <w:szCs w:val="24"/>
              </w:rPr>
              <w:t>3、供电</w:t>
            </w:r>
          </w:p>
          <w:p>
            <w:pPr>
              <w:tabs>
                <w:tab w:val="left" w:pos="0"/>
              </w:tabs>
              <w:spacing w:line="360" w:lineRule="auto"/>
              <w:ind w:firstLine="480" w:firstLineChars="200"/>
              <w:rPr>
                <w:kern w:val="21"/>
                <w:sz w:val="24"/>
                <w:szCs w:val="24"/>
              </w:rPr>
            </w:pPr>
            <w:r>
              <w:rPr>
                <w:kern w:val="21"/>
                <w:sz w:val="24"/>
                <w:szCs w:val="24"/>
              </w:rPr>
              <w:t>由市政电网供给，项目设</w:t>
            </w:r>
            <w:r>
              <w:rPr>
                <w:rFonts w:hint="eastAsia"/>
                <w:kern w:val="21"/>
                <w:sz w:val="24"/>
                <w:szCs w:val="24"/>
              </w:rPr>
              <w:t>2</w:t>
            </w:r>
            <w:r>
              <w:rPr>
                <w:kern w:val="21"/>
                <w:sz w:val="24"/>
                <w:szCs w:val="24"/>
              </w:rPr>
              <w:t>台</w:t>
            </w:r>
            <w:r>
              <w:rPr>
                <w:rFonts w:hint="eastAsia"/>
                <w:kern w:val="21"/>
                <w:sz w:val="24"/>
                <w:szCs w:val="24"/>
              </w:rPr>
              <w:t>8</w:t>
            </w:r>
            <w:r>
              <w:rPr>
                <w:kern w:val="21"/>
                <w:sz w:val="24"/>
                <w:szCs w:val="24"/>
              </w:rPr>
              <w:t>00kW 柴油发电机</w:t>
            </w:r>
            <w:r>
              <w:rPr>
                <w:rFonts w:hint="eastAsia"/>
                <w:kern w:val="21"/>
                <w:sz w:val="24"/>
                <w:szCs w:val="24"/>
              </w:rPr>
              <w:t>组</w:t>
            </w:r>
            <w:r>
              <w:rPr>
                <w:kern w:val="21"/>
                <w:sz w:val="24"/>
                <w:szCs w:val="24"/>
              </w:rPr>
              <w:t>作应急电源</w:t>
            </w:r>
            <w:r>
              <w:rPr>
                <w:rFonts w:hint="eastAsia"/>
                <w:kern w:val="21"/>
                <w:sz w:val="24"/>
                <w:szCs w:val="24"/>
              </w:rPr>
              <w:t>。</w:t>
            </w:r>
          </w:p>
          <w:p>
            <w:pPr>
              <w:tabs>
                <w:tab w:val="left" w:pos="0"/>
              </w:tabs>
              <w:spacing w:line="360" w:lineRule="auto"/>
              <w:ind w:firstLine="480" w:firstLineChars="200"/>
              <w:rPr>
                <w:rFonts w:ascii="宋体" w:hAnsi="宋体" w:cs="宋体"/>
                <w:b/>
                <w:kern w:val="21"/>
                <w:sz w:val="24"/>
                <w:szCs w:val="24"/>
              </w:rPr>
            </w:pPr>
            <w:r>
              <w:rPr>
                <w:rFonts w:ascii="宋体" w:hAnsi="宋体" w:cs="宋体" w:hint="eastAsia"/>
                <w:b/>
                <w:kern w:val="21"/>
                <w:sz w:val="24"/>
                <w:szCs w:val="24"/>
              </w:rPr>
              <w:t>4、供暖、供冷</w:t>
            </w:r>
          </w:p>
          <w:p>
            <w:pPr>
              <w:tabs>
                <w:tab w:val="left" w:pos="0"/>
              </w:tabs>
              <w:spacing w:line="360" w:lineRule="auto"/>
              <w:ind w:firstLine="480" w:firstLineChars="200"/>
              <w:rPr>
                <w:color w:val="FF00FF"/>
                <w:kern w:val="21"/>
                <w:sz w:val="24"/>
                <w:szCs w:val="24"/>
              </w:rPr>
            </w:pPr>
            <w:r>
              <w:rPr>
                <w:kern w:val="21"/>
                <w:sz w:val="24"/>
                <w:szCs w:val="24"/>
              </w:rPr>
              <w:t>本项目集散中心、商业、办公部分拟采用变冷媒流量系统（VRV）；酒店部分采用分体空调。</w:t>
            </w:r>
          </w:p>
          <w:p>
            <w:pPr>
              <w:tabs>
                <w:tab w:val="left" w:pos="0"/>
              </w:tabs>
              <w:spacing w:line="360" w:lineRule="auto"/>
              <w:ind w:firstLine="480" w:firstLineChars="200"/>
              <w:rPr>
                <w:rFonts w:ascii="宋体" w:hAnsi="宋体" w:cs="宋体"/>
                <w:b/>
                <w:kern w:val="21"/>
                <w:sz w:val="24"/>
                <w:szCs w:val="24"/>
              </w:rPr>
            </w:pPr>
            <w:r>
              <w:rPr>
                <w:rFonts w:ascii="宋体" w:hAnsi="宋体" w:cs="宋体" w:hint="eastAsia"/>
                <w:b/>
                <w:kern w:val="21"/>
                <w:sz w:val="24"/>
                <w:szCs w:val="24"/>
              </w:rPr>
              <w:t>5、道路交通</w:t>
            </w:r>
          </w:p>
          <w:p>
            <w:pPr>
              <w:pStyle w:val="Default"/>
              <w:spacing w:line="360" w:lineRule="auto"/>
              <w:ind w:firstLine="480" w:firstLineChars="200"/>
              <w:rPr>
                <w:rFonts w:ascii="宋体" w:eastAsia="宋体" w:hAnsi="宋体" w:cs="宋体" w:hint="default"/>
                <w:color w:val="auto"/>
                <w:kern w:val="21"/>
                <w:szCs w:val="24"/>
              </w:rPr>
            </w:pPr>
            <w:r>
              <w:rPr>
                <w:rFonts w:ascii="宋体" w:eastAsia="宋体" w:hAnsi="宋体" w:cs="宋体"/>
                <w:color w:val="auto"/>
                <w:kern w:val="21"/>
                <w:szCs w:val="24"/>
              </w:rPr>
              <w:t>项目周边道路设施基本已建设完善，地块东临城市主干道玉茗大道，北邻王安石大道，西临汤显祖大道。基地距离抚州市火车站仅</w:t>
            </w:r>
            <w:r>
              <w:rPr>
                <w:rFonts w:ascii="Times New Roman" w:eastAsia="宋体" w:hAnsi="Times New Roman" w:hint="default"/>
                <w:color w:val="auto"/>
                <w:kern w:val="21"/>
                <w:szCs w:val="24"/>
              </w:rPr>
              <w:t>1.2km</w:t>
            </w:r>
            <w:r>
              <w:rPr>
                <w:rFonts w:ascii="宋体" w:eastAsia="宋体" w:hAnsi="宋体" w:cs="宋体"/>
                <w:color w:val="auto"/>
                <w:kern w:val="21"/>
                <w:szCs w:val="24"/>
              </w:rPr>
              <w:t>。</w:t>
            </w:r>
          </w:p>
          <w:p>
            <w:pPr>
              <w:tabs>
                <w:tab w:val="left" w:pos="0"/>
              </w:tabs>
              <w:spacing w:line="360" w:lineRule="auto"/>
              <w:ind w:firstLine="480" w:firstLineChars="200"/>
              <w:rPr>
                <w:rFonts w:ascii="宋体" w:hAnsi="宋体" w:cs="宋体"/>
                <w:b/>
                <w:sz w:val="24"/>
                <w:szCs w:val="24"/>
              </w:rPr>
            </w:pPr>
            <w:r>
              <w:rPr>
                <w:rFonts w:ascii="宋体" w:hAnsi="宋体" w:cs="宋体" w:hint="eastAsia"/>
                <w:b/>
                <w:sz w:val="24"/>
                <w:szCs w:val="24"/>
              </w:rPr>
              <w:t>五、选址可行性</w:t>
            </w:r>
          </w:p>
          <w:p>
            <w:pPr>
              <w:tabs>
                <w:tab w:val="left" w:pos="0"/>
              </w:tabs>
              <w:spacing w:line="360" w:lineRule="auto"/>
              <w:ind w:firstLine="480" w:firstLineChars="200"/>
              <w:rPr>
                <w:rFonts w:ascii="宋体" w:hAnsi="宋体" w:cs="宋体"/>
                <w:b/>
                <w:kern w:val="21"/>
                <w:sz w:val="24"/>
                <w:szCs w:val="24"/>
              </w:rPr>
            </w:pPr>
            <w:r>
              <w:rPr>
                <w:rFonts w:ascii="宋体" w:hAnsi="宋体" w:cs="宋体" w:hint="eastAsia"/>
                <w:b/>
                <w:kern w:val="21"/>
                <w:sz w:val="24"/>
                <w:szCs w:val="24"/>
              </w:rPr>
              <w:t>1、用地性质的相符性分析</w:t>
            </w:r>
          </w:p>
          <w:p>
            <w:pPr>
              <w:tabs>
                <w:tab w:val="left" w:pos="0"/>
              </w:tabs>
              <w:spacing w:line="360" w:lineRule="auto"/>
              <w:ind w:firstLine="480" w:firstLineChars="200"/>
              <w:rPr>
                <w:kern w:val="21"/>
                <w:sz w:val="24"/>
                <w:szCs w:val="24"/>
              </w:rPr>
            </w:pPr>
            <w:r>
              <w:rPr>
                <w:kern w:val="21"/>
                <w:sz w:val="24"/>
                <w:szCs w:val="24"/>
              </w:rPr>
              <w:t>根据中华人民共和国建设用地规划许可证（</w:t>
            </w:r>
            <w:r>
              <w:rPr>
                <w:rFonts w:hint="eastAsia"/>
                <w:kern w:val="21"/>
                <w:sz w:val="24"/>
                <w:szCs w:val="24"/>
              </w:rPr>
              <w:t>抚城规 地字第[2017]15号</w:t>
            </w:r>
            <w:r>
              <w:rPr>
                <w:kern w:val="21"/>
                <w:sz w:val="24"/>
                <w:szCs w:val="24"/>
              </w:rPr>
              <w:t>）文件可知，项目用地性质为</w:t>
            </w:r>
            <w:r>
              <w:rPr>
                <w:rFonts w:hint="eastAsia"/>
                <w:kern w:val="21"/>
                <w:sz w:val="24"/>
                <w:szCs w:val="24"/>
              </w:rPr>
              <w:t>公共管理与公共服务设施用地</w:t>
            </w:r>
            <w:r>
              <w:rPr>
                <w:kern w:val="21"/>
                <w:sz w:val="24"/>
                <w:szCs w:val="24"/>
              </w:rPr>
              <w:t>，本项目</w:t>
            </w:r>
            <w:r>
              <w:rPr>
                <w:rFonts w:hint="eastAsia"/>
                <w:kern w:val="21"/>
                <w:sz w:val="24"/>
                <w:szCs w:val="24"/>
              </w:rPr>
              <w:t>功能定位以城市旅游集散服务中心为主</w:t>
            </w:r>
            <w:r>
              <w:rPr>
                <w:kern w:val="21"/>
                <w:sz w:val="24"/>
                <w:szCs w:val="24"/>
              </w:rPr>
              <w:t>，</w:t>
            </w:r>
            <w:r>
              <w:rPr>
                <w:rFonts w:hint="eastAsia"/>
                <w:kern w:val="21"/>
                <w:sz w:val="24"/>
                <w:szCs w:val="24"/>
              </w:rPr>
              <w:t>包含旅游集散、旅游中介、餐饮、休闲娱乐和停车场等旅游综合服务功能，</w:t>
            </w:r>
            <w:r>
              <w:rPr>
                <w:kern w:val="21"/>
                <w:sz w:val="24"/>
                <w:szCs w:val="24"/>
              </w:rPr>
              <w:t>故本项目建设符合相关</w:t>
            </w:r>
            <w:r>
              <w:rPr>
                <w:rFonts w:hint="eastAsia"/>
                <w:kern w:val="21"/>
                <w:sz w:val="24"/>
                <w:szCs w:val="24"/>
              </w:rPr>
              <w:t>用地</w:t>
            </w:r>
            <w:r>
              <w:rPr>
                <w:kern w:val="21"/>
                <w:sz w:val="24"/>
                <w:szCs w:val="24"/>
              </w:rPr>
              <w:t>规划。</w:t>
            </w:r>
          </w:p>
          <w:p>
            <w:pPr>
              <w:spacing w:line="360" w:lineRule="auto"/>
              <w:ind w:firstLine="470" w:firstLineChars="196"/>
              <w:rPr>
                <w:b/>
                <w:sz w:val="24"/>
                <w:szCs w:val="24"/>
              </w:rPr>
            </w:pPr>
            <w:r>
              <w:rPr>
                <w:rFonts w:hint="eastAsia"/>
                <w:b/>
                <w:sz w:val="24"/>
                <w:szCs w:val="24"/>
              </w:rPr>
              <w:t>2、规划相符性分析</w:t>
            </w:r>
          </w:p>
          <w:p>
            <w:pPr>
              <w:tabs>
                <w:tab w:val="left" w:pos="0"/>
              </w:tabs>
              <w:spacing w:after="0" w:line="360" w:lineRule="auto"/>
              <w:ind w:firstLine="480" w:firstLineChars="200"/>
              <w:rPr>
                <w:kern w:val="21"/>
                <w:sz w:val="24"/>
                <w:szCs w:val="24"/>
              </w:rPr>
            </w:pPr>
          </w:p>
        </w:tc>
      </w:tr>
    </w:tbl>
    <w:p>
      <w:pPr>
        <w:sectPr>
          <w:footerReference w:type="default" r:id="rId10"/>
          <w:type w:val="nextPage"/>
          <w:pgSz w:w="11907" w:h="16840"/>
          <w:pgMar w:top="1418" w:right="1418" w:bottom="1418" w:left="1418" w:header="851" w:footer="992" w:gutter="113"/>
          <w:pgNumType w:start="6"/>
          <w:cols w:num="1" w:space="720"/>
          <w:titlePg w:val="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p>
            <w:pPr>
              <w:tabs>
                <w:tab w:val="left" w:pos="0"/>
              </w:tabs>
              <w:spacing w:before="0" w:line="360" w:lineRule="auto"/>
              <w:ind w:firstLine="480" w:firstLineChars="200"/>
              <w:rPr>
                <w:kern w:val="21"/>
                <w:sz w:val="24"/>
                <w:szCs w:val="24"/>
              </w:rPr>
            </w:pPr>
            <w:r>
              <w:rPr>
                <w:rFonts w:hint="eastAsia"/>
                <w:kern w:val="21"/>
                <w:sz w:val="24"/>
                <w:szCs w:val="24"/>
              </w:rPr>
              <w:t>省旅发委将以“十三五”全省旅游规划编制为契机，将抚州旅游、昌抚旅游一体化作为全省“十三五”旅游规划的重点，全面打造以临川、金溪、黎川为主体的文化旅游板块。本项目位于临川区王安石大道以南、玉茗大道以西，项目建成后将形成以旅游集散服务中心为主体，包含旅游集散、旅游中介、餐饮、休闲娱乐等功能为一体的旅游综合服务体系，能够很大程度上满足外来游客的交通、咨询、居住、购物等旅游休闲所需的服务。因此，本项目的建设符合当地的规划要求。</w:t>
            </w:r>
          </w:p>
          <w:p>
            <w:pPr>
              <w:spacing w:line="360" w:lineRule="auto"/>
              <w:ind w:firstLine="470" w:firstLineChars="196"/>
              <w:rPr>
                <w:b/>
                <w:sz w:val="24"/>
                <w:szCs w:val="24"/>
              </w:rPr>
            </w:pPr>
            <w:r>
              <w:rPr>
                <w:rFonts w:hint="eastAsia"/>
                <w:b/>
                <w:sz w:val="24"/>
                <w:szCs w:val="24"/>
              </w:rPr>
              <w:t>4</w:t>
            </w:r>
            <w:r>
              <w:rPr>
                <w:b/>
                <w:sz w:val="24"/>
                <w:szCs w:val="24"/>
              </w:rPr>
              <w:t>、环境影响程度</w:t>
            </w:r>
          </w:p>
          <w:p>
            <w:pPr>
              <w:spacing w:line="360" w:lineRule="auto"/>
              <w:ind w:firstLine="480" w:firstLineChars="200"/>
              <w:rPr>
                <w:rFonts w:ascii="宋体" w:hAnsi="宋体" w:cs="宋体"/>
                <w:kern w:val="21"/>
                <w:sz w:val="24"/>
                <w:szCs w:val="24"/>
              </w:rPr>
            </w:pPr>
            <w:r>
              <w:rPr>
                <w:rFonts w:ascii="宋体" w:hAnsi="宋体" w:cs="宋体" w:hint="eastAsia"/>
                <w:kern w:val="21"/>
                <w:sz w:val="24"/>
                <w:szCs w:val="24"/>
              </w:rPr>
              <w:t>根据环境质量现状监测可知，当地环境背景良好。根据工程分析确定的污染物源强，通过大气环境、水环境、声环境影响分析，项目建成后污染物达标排放对区域环境空气、水环境、声环境影响较小。因此项目实施后，其污染物排放对周围环境的影响不会改变所在地的环境功能，其对周围环境无明显的环境影响。</w:t>
            </w:r>
          </w:p>
          <w:p>
            <w:pPr>
              <w:spacing w:line="360" w:lineRule="auto"/>
              <w:ind w:firstLine="480" w:firstLineChars="200"/>
              <w:rPr>
                <w:rFonts w:ascii="宋体" w:hAnsi="宋体" w:cs="宋体"/>
                <w:kern w:val="21"/>
                <w:sz w:val="24"/>
                <w:szCs w:val="24"/>
              </w:rPr>
            </w:pPr>
            <w:r>
              <w:rPr>
                <w:rFonts w:ascii="宋体" w:hAnsi="宋体" w:cs="宋体" w:hint="eastAsia"/>
                <w:kern w:val="21"/>
                <w:sz w:val="24"/>
                <w:szCs w:val="24"/>
              </w:rPr>
              <w:t>综上所述，本项目周边制约因素较少，符合相关保护条例和规范要求，用地性质符合相关规划，外环境良好，项目污染物在经过预防治理措施后能够达到相关标准要求，项目选址可行。</w:t>
            </w:r>
          </w:p>
          <w:p>
            <w:pPr>
              <w:spacing w:line="360" w:lineRule="auto"/>
              <w:ind w:firstLine="480" w:firstLineChars="200"/>
              <w:rPr>
                <w:rFonts w:ascii="宋体" w:hAnsi="宋体" w:cs="宋体"/>
                <w:b/>
                <w:kern w:val="21"/>
                <w:sz w:val="24"/>
                <w:szCs w:val="24"/>
              </w:rPr>
            </w:pPr>
            <w:r>
              <w:rPr>
                <w:rFonts w:ascii="宋体" w:hAnsi="宋体" w:cs="宋体" w:hint="eastAsia"/>
                <w:b/>
                <w:kern w:val="21"/>
                <w:sz w:val="24"/>
                <w:szCs w:val="24"/>
              </w:rPr>
              <w:t>六、总图布置合理性分析</w:t>
            </w:r>
          </w:p>
          <w:p>
            <w:pPr>
              <w:spacing w:line="360" w:lineRule="auto"/>
              <w:ind w:firstLine="480" w:firstLineChars="200"/>
              <w:rPr>
                <w:rFonts w:hAnsi="宋体" w:cs="宋体"/>
                <w:sz w:val="24"/>
                <w:szCs w:val="24"/>
              </w:rPr>
            </w:pPr>
            <w:r>
              <w:rPr>
                <w:rFonts w:ascii="宋体" w:hAnsi="宋体" w:cs="宋体" w:hint="eastAsia"/>
                <w:kern w:val="21"/>
                <w:sz w:val="24"/>
                <w:szCs w:val="24"/>
              </w:rPr>
              <w:t>建筑总体设计充分利用周边的地理环境优势：玉茗大道作为连接中心城区的主要城市干道，方案设计将场地东侧沿玉茗大道区域设计为集散中心。东入口也作为基地主出入口，为以后游客的进入与疏散提供便利。场地西侧区域为凤岗河，西北侧为花语梦园，结合优秀的景观条件，基地西侧区域设计为精品酒店，优秀的景观资源为游客带来更好的游玩休憩场所。场地西侧为花语梦园绿化区域，安静的绿化环境，为办公设计带来优质的环境条件，办公出入口靠近基地出入口，也为办公人员提供了便利条件。基地南侧规划为儿童医院区域，且规划有城市道路，规划城市道路未来可以给商业带来较好的商业界面，南侧区域设计为商业部分。建筑总体布局因地制宜。</w:t>
            </w:r>
          </w:p>
          <w:p>
            <w:pPr>
              <w:spacing w:line="360" w:lineRule="auto"/>
              <w:ind w:right="170" w:firstLine="480" w:firstLineChars="200"/>
              <w:rPr>
                <w:rFonts w:ascii="宋体" w:hAnsi="宋体" w:cs="宋体"/>
                <w:sz w:val="24"/>
                <w:szCs w:val="24"/>
              </w:rPr>
            </w:pPr>
            <w:r>
              <w:rPr>
                <w:rFonts w:ascii="宋体" w:hAnsi="宋体" w:cs="宋体" w:hint="eastAsia"/>
                <w:sz w:val="24"/>
                <w:szCs w:val="24"/>
              </w:rPr>
              <w:t>综上所述，本项目总平面布置较为合理。</w:t>
            </w:r>
          </w:p>
          <w:p>
            <w:pPr>
              <w:spacing w:line="360" w:lineRule="auto"/>
              <w:ind w:firstLine="480" w:firstLineChars="200"/>
              <w:rPr>
                <w:rFonts w:ascii="宋体" w:hAnsi="宋体" w:cs="宋体"/>
                <w:b/>
                <w:snapToGrid w:val="0"/>
                <w:sz w:val="24"/>
                <w:szCs w:val="24"/>
              </w:rPr>
            </w:pPr>
            <w:r>
              <w:rPr>
                <w:rFonts w:ascii="宋体" w:hAnsi="宋体" w:cs="宋体" w:hint="eastAsia"/>
                <w:b/>
                <w:snapToGrid w:val="0"/>
                <w:sz w:val="24"/>
                <w:szCs w:val="24"/>
              </w:rPr>
              <w:t>七、施工组织及施工进度安排</w:t>
            </w:r>
          </w:p>
          <w:p>
            <w:pPr>
              <w:spacing w:line="360" w:lineRule="auto"/>
              <w:ind w:firstLine="480" w:firstLineChars="200"/>
              <w:rPr>
                <w:rFonts w:ascii="宋体" w:hAnsi="宋体" w:cs="宋体"/>
                <w:bCs/>
                <w:snapToGrid w:val="0"/>
                <w:sz w:val="24"/>
                <w:szCs w:val="24"/>
              </w:rPr>
            </w:pPr>
            <w:r>
              <w:rPr>
                <w:bCs/>
                <w:snapToGrid w:val="0"/>
                <w:sz w:val="24"/>
                <w:szCs w:val="24"/>
              </w:rPr>
              <w:t>本项目建设预计开工时间为201</w:t>
            </w:r>
            <w:r>
              <w:rPr>
                <w:rFonts w:hint="eastAsia"/>
                <w:bCs/>
                <w:snapToGrid w:val="0"/>
                <w:sz w:val="24"/>
                <w:szCs w:val="24"/>
              </w:rPr>
              <w:t>8</w:t>
            </w:r>
            <w:r>
              <w:rPr>
                <w:bCs/>
                <w:snapToGrid w:val="0"/>
                <w:sz w:val="24"/>
                <w:szCs w:val="24"/>
              </w:rPr>
              <w:t>年</w:t>
            </w:r>
            <w:r>
              <w:rPr>
                <w:rFonts w:hint="eastAsia"/>
                <w:bCs/>
                <w:snapToGrid w:val="0"/>
                <w:sz w:val="24"/>
                <w:szCs w:val="24"/>
              </w:rPr>
              <w:t>3</w:t>
            </w:r>
            <w:r>
              <w:rPr>
                <w:bCs/>
                <w:snapToGrid w:val="0"/>
                <w:sz w:val="24"/>
                <w:szCs w:val="24"/>
              </w:rPr>
              <w:t>月，建设周期为</w:t>
            </w:r>
            <w:r>
              <w:rPr>
                <w:rFonts w:hint="eastAsia"/>
                <w:bCs/>
                <w:snapToGrid w:val="0"/>
                <w:sz w:val="24"/>
                <w:szCs w:val="24"/>
              </w:rPr>
              <w:t>24个月</w:t>
            </w:r>
            <w:r>
              <w:rPr>
                <w:bCs/>
                <w:snapToGrid w:val="0"/>
                <w:sz w:val="24"/>
                <w:szCs w:val="24"/>
              </w:rPr>
              <w:t>，预计20</w:t>
            </w:r>
            <w:r>
              <w:rPr>
                <w:rFonts w:hint="eastAsia"/>
                <w:bCs/>
                <w:snapToGrid w:val="0"/>
                <w:sz w:val="24"/>
                <w:szCs w:val="24"/>
              </w:rPr>
              <w:t>20</w:t>
            </w:r>
            <w:r>
              <w:rPr>
                <w:bCs/>
                <w:snapToGrid w:val="0"/>
                <w:sz w:val="24"/>
                <w:szCs w:val="24"/>
              </w:rPr>
              <w:t>年</w:t>
            </w:r>
            <w:r>
              <w:rPr>
                <w:rFonts w:hint="eastAsia"/>
                <w:bCs/>
                <w:snapToGrid w:val="0"/>
                <w:sz w:val="24"/>
                <w:szCs w:val="24"/>
              </w:rPr>
              <w:t>3</w:t>
            </w:r>
            <w:r>
              <w:rPr>
                <w:bCs/>
                <w:snapToGrid w:val="0"/>
                <w:sz w:val="24"/>
                <w:szCs w:val="24"/>
              </w:rPr>
              <w:t>月份投产运营。该建设工程每天施工人员最多为150人，</w:t>
            </w:r>
            <w:r>
              <w:rPr>
                <w:sz w:val="24"/>
                <w:szCs w:val="24"/>
              </w:rPr>
              <w:t>施工人员在工地内搭设简易施工房，</w:t>
            </w:r>
            <w:r>
              <w:rPr>
                <w:rStyle w:val="CommentReference"/>
                <w:sz w:val="24"/>
                <w:szCs w:val="24"/>
              </w:rPr>
              <w:t>简易施工房面积为500</w:t>
            </w:r>
            <w:r>
              <w:rPr>
                <w:rStyle w:val="CommentReference"/>
                <w:rFonts w:hint="eastAsia"/>
                <w:sz w:val="24"/>
                <w:szCs w:val="24"/>
              </w:rPr>
              <w:t>m</w:t>
            </w:r>
            <w:r>
              <w:rPr>
                <w:rStyle w:val="CommentReference"/>
                <w:rFonts w:hint="eastAsia"/>
                <w:sz w:val="24"/>
                <w:szCs w:val="24"/>
                <w:vertAlign w:val="superscript"/>
              </w:rPr>
              <w:t>2</w:t>
            </w:r>
            <w:r>
              <w:rPr>
                <w:rStyle w:val="CommentReference"/>
                <w:sz w:val="24"/>
                <w:szCs w:val="24"/>
              </w:rPr>
              <w:t>，设于项目东</w:t>
            </w:r>
            <w:r>
              <w:rPr>
                <w:rStyle w:val="CommentReference"/>
                <w:rFonts w:hint="eastAsia"/>
                <w:sz w:val="24"/>
                <w:szCs w:val="24"/>
              </w:rPr>
              <w:t>北</w:t>
            </w:r>
            <w:r>
              <w:rPr>
                <w:rStyle w:val="CommentReference"/>
                <w:sz w:val="24"/>
                <w:szCs w:val="24"/>
              </w:rPr>
              <w:t>角。</w:t>
            </w:r>
            <w:r>
              <w:rPr>
                <w:rStyle w:val="CommentReference"/>
                <w:rFonts w:ascii="宋体" w:hAnsi="宋体" w:cs="宋体" w:hint="eastAsia"/>
                <w:sz w:val="24"/>
                <w:szCs w:val="24"/>
              </w:rPr>
              <w:t>仅用于项目施工期施工人员休息用，施工期结束后，简易施工房将被拆除。</w:t>
            </w:r>
            <w:r>
              <w:rPr>
                <w:rFonts w:ascii="宋体" w:hAnsi="宋体" w:cs="宋体" w:hint="eastAsia"/>
                <w:sz w:val="24"/>
                <w:szCs w:val="24"/>
              </w:rPr>
              <w:t>本项目施工场地不设置食堂，施工人员的餐饮均由项目附近餐饮提供。</w:t>
            </w:r>
          </w:p>
          <w:p>
            <w:pPr>
              <w:spacing w:line="360" w:lineRule="auto"/>
              <w:ind w:firstLine="480" w:firstLineChars="200"/>
              <w:rPr>
                <w:bCs/>
                <w:snapToGrid w:val="0"/>
                <w:sz w:val="24"/>
                <w:szCs w:val="24"/>
              </w:rPr>
            </w:pPr>
            <w:r>
              <w:rPr>
                <w:rFonts w:hint="eastAsia"/>
                <w:bCs/>
                <w:snapToGrid w:val="0"/>
                <w:sz w:val="24"/>
                <w:szCs w:val="24"/>
              </w:rPr>
              <w:t>本工程建设混凝土、砂砾石、块石料均为外购，项目不设专门的取弃土场，弃方及时交由市容部门调配至抚州市内其他建筑施工工地使用。</w:t>
            </w:r>
          </w:p>
        </w:tc>
      </w:tr>
    </w:tbl>
    <w:p>
      <w:pPr>
        <w:sectPr>
          <w:footerReference w:type="default" r:id="rId11"/>
          <w:type w:val="nextPage"/>
          <w:pgSz w:w="11907" w:h="16840"/>
          <w:pgMar w:top="1418" w:right="1418" w:bottom="1418" w:left="1418" w:header="851" w:footer="992" w:gutter="113"/>
          <w:pgNumType w:start="7"/>
          <w:cols w:num="1" w:space="720"/>
          <w:titlePg w:val="0"/>
        </w:sectPr>
      </w:pPr>
    </w:p>
    <w:tbl>
      <w:tblPr>
        <w:tblStyle w:val="TableNormal"/>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
      <w:tblGrid>
        <w:gridCol w:w="9141"/>
      </w:tblGrid>
      <w:tr>
        <w:tblPrEx>
          <w:tblW w:w="9141" w:type="dxa"/>
          <w:tblInd w:w="91" w:type="dxa"/>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top w:w="0" w:type="dxa"/>
            <w:left w:w="108" w:type="dxa"/>
            <w:bottom w:w="0" w:type="dxa"/>
            <w:right w:w="108" w:type="dxa"/>
          </w:tblCellMar>
        </w:tblPrEx>
        <w:trPr>
          <w:trHeight w:val="974"/>
        </w:trPr>
        <w:tc>
          <w:tcPr>
            <w:tcW w:w="9141" w:type="dxa"/>
            <w:vAlign w:val="center"/>
          </w:tcPr>
          <w:p>
            <w:pPr>
              <w:pStyle w:val="PlainText"/>
              <w:spacing w:line="360" w:lineRule="auto"/>
              <w:ind w:firstLine="480" w:firstLineChars="200"/>
              <w:rPr>
                <w:rFonts w:hAnsi="宋体" w:cs="宋体"/>
                <w:b/>
                <w:bCs/>
                <w:sz w:val="24"/>
                <w:szCs w:val="24"/>
              </w:rPr>
            </w:pPr>
            <w:r>
              <w:rPr>
                <w:rFonts w:hAnsi="宋体" w:cs="宋体" w:hint="eastAsia"/>
                <w:b/>
                <w:bCs/>
                <w:sz w:val="24"/>
                <w:szCs w:val="24"/>
              </w:rPr>
              <w:t>八、拆迁</w:t>
            </w:r>
          </w:p>
          <w:p>
            <w:pPr>
              <w:pStyle w:val="a29"/>
              <w:rPr>
                <w:rFonts w:ascii="宋体" w:hAnsi="宋体" w:cs="宋体"/>
                <w:color w:val="FF0000"/>
              </w:rPr>
            </w:pPr>
            <w:r>
              <w:rPr>
                <w:rFonts w:hAnsi="宋体" w:cs="宋体" w:hint="eastAsia"/>
              </w:rPr>
              <w:t>本项目用地所在位置原址为山背黄家村庄所在位置，根据《抚州市城市总体规划（2015-2030）》，该处用地性质为公共管理与公共服务设施用地，因此，需对山背黄家村庄进行拆迁处理，</w:t>
            </w:r>
            <w:r>
              <w:rPr>
                <w:rFonts w:hint="eastAsia"/>
              </w:rPr>
              <w:t>相关的征地事宜、拆迁补偿及拆迁事宜均由政府负责。</w:t>
            </w:r>
          </w:p>
        </w:tc>
      </w:tr>
      <w:tr>
        <w:tblPrEx>
          <w:tblW w:w="9141" w:type="dxa"/>
          <w:tblInd w:w="91" w:type="dxa"/>
          <w:tblLayout w:type="fixed"/>
          <w:tblCellMar>
            <w:top w:w="0" w:type="dxa"/>
            <w:left w:w="108" w:type="dxa"/>
            <w:bottom w:w="0" w:type="dxa"/>
            <w:right w:w="108" w:type="dxa"/>
          </w:tblCellMar>
        </w:tblPrEx>
        <w:trPr>
          <w:cantSplit/>
          <w:trHeight w:val="5776"/>
        </w:trPr>
        <w:tc>
          <w:tcPr>
            <w:tcW w:w="9141" w:type="dxa"/>
          </w:tcPr>
          <w:p>
            <w:pPr>
              <w:spacing w:line="360" w:lineRule="auto"/>
              <w:rPr>
                <w:kern w:val="21"/>
                <w:sz w:val="28"/>
              </w:rPr>
            </w:pPr>
            <w:r>
              <w:rPr>
                <w:rFonts w:hAnsi="宋体"/>
                <w:b/>
                <w:kern w:val="21"/>
                <w:sz w:val="28"/>
              </w:rPr>
              <w:t>与本项目有关的原有污染情况及主要环境问题：</w:t>
            </w:r>
          </w:p>
          <w:p>
            <w:pPr>
              <w:pStyle w:val="a29"/>
              <w:rPr>
                <w:rFonts w:hAnsi="宋体" w:cs="宋体"/>
              </w:rPr>
            </w:pPr>
            <w:r>
              <w:rPr>
                <w:rFonts w:hAnsi="宋体" w:cs="宋体" w:hint="eastAsia"/>
              </w:rPr>
              <w:t>本项目为新建项目，用地原址为山背黄家村庄所在地，至环评人员现场勘察时，大部分建筑物已拆迁完毕，拆迁后项目用地现状为空地，无原有污染情况。</w:t>
            </w:r>
          </w:p>
          <w:p>
            <w:pPr>
              <w:spacing w:line="360" w:lineRule="auto"/>
              <w:rPr>
                <w:snapToGrid w:val="0"/>
                <w:color w:val="FF0000"/>
                <w:kern w:val="18"/>
                <w:sz w:val="24"/>
                <w:szCs w:val="24"/>
              </w:rPr>
            </w:pPr>
          </w:p>
          <w:p>
            <w:pPr>
              <w:spacing w:line="360" w:lineRule="auto"/>
              <w:rPr>
                <w:snapToGrid w:val="0"/>
                <w:color w:val="FF0000"/>
                <w:kern w:val="18"/>
                <w:sz w:val="24"/>
                <w:szCs w:val="24"/>
              </w:rPr>
            </w:pPr>
          </w:p>
          <w:p>
            <w:pPr>
              <w:spacing w:line="360" w:lineRule="auto"/>
              <w:rPr>
                <w:snapToGrid w:val="0"/>
                <w:color w:val="FF0000"/>
                <w:kern w:val="18"/>
                <w:sz w:val="24"/>
                <w:szCs w:val="24"/>
              </w:rPr>
            </w:pPr>
          </w:p>
          <w:p>
            <w:pPr>
              <w:spacing w:line="360" w:lineRule="auto"/>
              <w:rPr>
                <w:snapToGrid w:val="0"/>
                <w:color w:val="FF0000"/>
                <w:kern w:val="18"/>
                <w:sz w:val="24"/>
                <w:szCs w:val="24"/>
              </w:rPr>
            </w:pPr>
          </w:p>
          <w:p>
            <w:pPr>
              <w:spacing w:line="360" w:lineRule="auto"/>
              <w:rPr>
                <w:snapToGrid w:val="0"/>
                <w:color w:val="FF0000"/>
                <w:kern w:val="18"/>
                <w:sz w:val="24"/>
                <w:szCs w:val="24"/>
              </w:rPr>
            </w:pPr>
          </w:p>
          <w:p>
            <w:pPr>
              <w:spacing w:line="360" w:lineRule="auto"/>
              <w:rPr>
                <w:snapToGrid w:val="0"/>
                <w:color w:val="FF0000"/>
                <w:kern w:val="18"/>
                <w:sz w:val="24"/>
                <w:szCs w:val="24"/>
              </w:rPr>
            </w:pPr>
          </w:p>
          <w:p>
            <w:pPr>
              <w:spacing w:line="360" w:lineRule="auto"/>
              <w:rPr>
                <w:snapToGrid w:val="0"/>
                <w:color w:val="FF0000"/>
                <w:kern w:val="18"/>
                <w:sz w:val="24"/>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hint="default"/>
                <w:snapToGrid w:val="0"/>
                <w:color w:val="FF0000"/>
                <w:kern w:val="18"/>
                <w:szCs w:val="24"/>
              </w:rPr>
            </w:pPr>
          </w:p>
          <w:p>
            <w:pPr>
              <w:pStyle w:val="Default"/>
              <w:rPr>
                <w:rFonts w:ascii="宋体" w:hAnsi="宋体" w:cs="宋体" w:hint="default"/>
                <w:snapToGrid w:val="0"/>
                <w:color w:val="FF0000"/>
                <w:kern w:val="18"/>
                <w:szCs w:val="24"/>
              </w:rPr>
            </w:pPr>
          </w:p>
          <w:p>
            <w:pPr>
              <w:spacing w:line="360" w:lineRule="auto"/>
              <w:rPr>
                <w:snapToGrid w:val="0"/>
                <w:color w:val="FF0000"/>
                <w:kern w:val="18"/>
                <w:sz w:val="10"/>
                <w:szCs w:val="10"/>
              </w:rPr>
            </w:pPr>
          </w:p>
        </w:tc>
      </w:tr>
    </w:tbl>
    <w:p>
      <w:pPr>
        <w:sectPr>
          <w:footerReference w:type="default" r:id="rId12"/>
          <w:type w:val="nextPage"/>
          <w:pgSz w:w="11907" w:h="16840"/>
          <w:pgMar w:top="1418" w:right="1418" w:bottom="1418" w:left="1418" w:header="851" w:footer="992" w:gutter="113"/>
          <w:pgNumType w:start="8"/>
          <w:cols w:num="1" w:space="720"/>
          <w:titlePg w:val="0"/>
        </w:sectPr>
      </w:pPr>
    </w:p>
    <w:p>
      <w:pPr>
        <w:spacing w:line="360" w:lineRule="auto"/>
        <w:rPr>
          <w:b/>
          <w:kern w:val="21"/>
          <w:sz w:val="30"/>
        </w:rPr>
      </w:pPr>
      <w:r>
        <w:rPr>
          <w:rFonts w:hAnsi="宋体"/>
          <w:b/>
          <w:kern w:val="21"/>
          <w:sz w:val="30"/>
        </w:rPr>
        <w:t>建设项目所在地自然环境社会环境简况</w:t>
      </w: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4075"/>
        </w:trPr>
        <w:tc>
          <w:tcPr>
            <w:tcW w:w="9180" w:type="dxa"/>
          </w:tcPr>
          <w:p>
            <w:pPr>
              <w:snapToGrid w:val="0"/>
              <w:spacing w:line="360" w:lineRule="auto"/>
              <w:rPr>
                <w:kern w:val="21"/>
                <w:sz w:val="28"/>
                <w:szCs w:val="28"/>
              </w:rPr>
            </w:pPr>
            <w:r>
              <w:rPr>
                <w:b/>
                <w:kern w:val="21"/>
                <w:sz w:val="28"/>
                <w:szCs w:val="28"/>
              </w:rPr>
              <w:t>自然环境简况（地形、地貌、地质、气候、气象、水文、植被、生物多样性）：</w:t>
            </w:r>
          </w:p>
          <w:p>
            <w:pPr>
              <w:autoSpaceDN w:val="0"/>
              <w:spacing w:line="360" w:lineRule="auto"/>
              <w:ind w:firstLine="480" w:firstLineChars="200"/>
              <w:rPr>
                <w:b/>
                <w:sz w:val="24"/>
              </w:rPr>
            </w:pPr>
            <w:r>
              <w:rPr>
                <w:rFonts w:hAnsi="宋体" w:hint="eastAsia"/>
                <w:b/>
                <w:sz w:val="24"/>
              </w:rPr>
              <w:t>1</w:t>
            </w:r>
            <w:r>
              <w:rPr>
                <w:rFonts w:hAnsi="宋体"/>
                <w:b/>
                <w:sz w:val="24"/>
              </w:rPr>
              <w:t>、地理位置</w:t>
            </w:r>
          </w:p>
          <w:p>
            <w:pPr>
              <w:pStyle w:val="a22"/>
              <w:tabs>
                <w:tab w:val="left" w:pos="4834"/>
              </w:tabs>
              <w:ind w:firstLine="480" w:firstLineChars="200"/>
              <w:rPr>
                <w:kern w:val="0"/>
                <w:position w:val="6"/>
              </w:rPr>
            </w:pPr>
            <w:r>
              <w:rPr>
                <w:rFonts w:ascii="Times New Roman" w:hAnsi="Times New Roman"/>
                <w:kern w:val="0"/>
                <w:position w:val="6"/>
                <w:szCs w:val="20"/>
              </w:rPr>
              <w:t>抚州市位于江西省东南部，抚河上中游，地处东经115º35′～117º18′，北纬26º29′～28º30′，东邻鹰潭市，西近京九铁路与吉安、宜春相接，北临鄱阳湖与鹰潭、南昌毗邻。南北长约222公里，东西宽约169公里，总面积约1.88万平方公里，其中耕地面积383万亩。辖10县1区和1个经济开发区，市政府设在临川区，距省会南昌市约101公里。</w:t>
            </w:r>
            <w:r>
              <w:rPr>
                <w:rFonts w:ascii="Times New Roman" w:hAnsi="Times New Roman" w:hint="eastAsia"/>
                <w:kern w:val="0"/>
                <w:position w:val="6"/>
                <w:szCs w:val="20"/>
              </w:rPr>
              <w:t>本项目具体位置见附图一。</w:t>
            </w:r>
          </w:p>
          <w:p>
            <w:pPr>
              <w:autoSpaceDN w:val="0"/>
              <w:spacing w:line="360" w:lineRule="auto"/>
              <w:ind w:firstLine="480" w:firstLineChars="200"/>
              <w:rPr>
                <w:b/>
                <w:sz w:val="24"/>
              </w:rPr>
            </w:pPr>
            <w:r>
              <w:rPr>
                <w:rFonts w:hAnsi="宋体" w:hint="eastAsia"/>
                <w:b/>
                <w:sz w:val="24"/>
              </w:rPr>
              <w:t>2</w:t>
            </w:r>
            <w:r>
              <w:rPr>
                <w:rFonts w:hAnsi="宋体"/>
                <w:b/>
                <w:sz w:val="24"/>
              </w:rPr>
              <w:t>、</w:t>
            </w:r>
            <w:r>
              <w:rPr>
                <w:rFonts w:hAnsi="宋体" w:hint="eastAsia"/>
                <w:b/>
                <w:sz w:val="24"/>
              </w:rPr>
              <w:t>地震</w:t>
            </w:r>
          </w:p>
          <w:p>
            <w:pPr>
              <w:pStyle w:val="a22"/>
              <w:tabs>
                <w:tab w:val="left" w:pos="4834"/>
              </w:tabs>
              <w:ind w:firstLine="480" w:firstLineChars="200"/>
              <w:rPr>
                <w:rFonts w:ascii="Times New Roman" w:hAnsi="Times New Roman"/>
                <w:spacing w:val="0"/>
                <w:kern w:val="0"/>
                <w:position w:val="6"/>
                <w:szCs w:val="20"/>
              </w:rPr>
            </w:pPr>
            <w:r>
              <w:rPr>
                <w:rFonts w:ascii="Times New Roman" w:hAnsi="Times New Roman"/>
                <w:spacing w:val="0"/>
                <w:kern w:val="0"/>
                <w:position w:val="6"/>
                <w:szCs w:val="20"/>
              </w:rPr>
              <w:t>根据区域资料，本区位于构造单元的萍乡-乐平台陷北缘，构造上主要受赣江大断裂控制，上部为第四系松散层所覆盖，厚约20m，基底为巨厚的泻湖相沉积层。第四纪以来，新构造活动微弱，本区域稳定性较好。</w:t>
            </w:r>
          </w:p>
          <w:p>
            <w:pPr>
              <w:pStyle w:val="a22"/>
              <w:tabs>
                <w:tab w:val="left" w:pos="4834"/>
              </w:tabs>
              <w:ind w:firstLine="480" w:firstLineChars="200"/>
              <w:rPr>
                <w:rFonts w:ascii="Times New Roman" w:hAnsi="Times New Roman"/>
                <w:spacing w:val="0"/>
                <w:kern w:val="0"/>
                <w:position w:val="6"/>
                <w:szCs w:val="20"/>
              </w:rPr>
            </w:pPr>
            <w:r>
              <w:rPr>
                <w:rFonts w:ascii="Times New Roman" w:hAnsi="Times New Roman"/>
                <w:spacing w:val="0"/>
                <w:kern w:val="0"/>
                <w:position w:val="6"/>
                <w:szCs w:val="20"/>
              </w:rPr>
              <w:t>根据《建筑抗震设计规范》、《中国地震动参数区划图》划分，地区基本烈度等于“ VI” 度，属设计地震分组第一组，设计基本地震加速度值为0.05g，设计地震特征周期值为0.35s，拟建道路可不考虑地震液化的影响。道路沿线未发现不良地质现象，拟建场地类别为Ⅱ类，可进行建设的一般场地。本工程桥梁仅在构造措施上予以设防。</w:t>
            </w:r>
          </w:p>
          <w:p>
            <w:pPr>
              <w:autoSpaceDN w:val="0"/>
              <w:spacing w:line="360" w:lineRule="auto"/>
              <w:ind w:firstLine="480" w:firstLineChars="200"/>
              <w:rPr>
                <w:b/>
                <w:sz w:val="24"/>
              </w:rPr>
            </w:pPr>
            <w:r>
              <w:rPr>
                <w:rFonts w:hAnsi="宋体" w:hint="eastAsia"/>
                <w:b/>
                <w:sz w:val="24"/>
              </w:rPr>
              <w:t>3</w:t>
            </w:r>
            <w:r>
              <w:rPr>
                <w:rFonts w:hAnsi="宋体"/>
                <w:b/>
                <w:sz w:val="24"/>
              </w:rPr>
              <w:t>、</w:t>
            </w:r>
            <w:r>
              <w:rPr>
                <w:rFonts w:hAnsi="宋体" w:hint="eastAsia"/>
                <w:b/>
                <w:sz w:val="24"/>
              </w:rPr>
              <w:t>项目工程地质</w:t>
            </w:r>
            <w:r>
              <w:rPr>
                <w:rFonts w:hAnsi="宋体"/>
                <w:b/>
                <w:sz w:val="24"/>
              </w:rPr>
              <w:t>特征</w:t>
            </w:r>
          </w:p>
          <w:p>
            <w:pPr>
              <w:spacing w:line="360" w:lineRule="auto"/>
              <w:ind w:firstLine="480" w:firstLineChars="200"/>
              <w:rPr>
                <w:sz w:val="24"/>
              </w:rPr>
            </w:pPr>
            <w:r>
              <w:rPr>
                <w:sz w:val="24"/>
              </w:rPr>
              <w:t>经钻探揭露，勘探深度内，场地地层结构由第四系人工填土（Q</w:t>
            </w:r>
            <w:r>
              <w:rPr>
                <w:sz w:val="24"/>
                <w:vertAlign w:val="superscript"/>
              </w:rPr>
              <w:t>ml</w:t>
            </w:r>
            <w:r>
              <w:rPr>
                <w:sz w:val="24"/>
              </w:rPr>
              <w:t>）、第四系全新统冲击层（Q</w:t>
            </w:r>
            <w:r>
              <w:rPr>
                <w:sz w:val="24"/>
                <w:vertAlign w:val="subscript"/>
              </w:rPr>
              <w:t>4</w:t>
            </w:r>
            <w:r>
              <w:rPr>
                <w:sz w:val="24"/>
                <w:vertAlign w:val="superscript"/>
              </w:rPr>
              <w:t>al</w:t>
            </w:r>
            <w:r>
              <w:rPr>
                <w:sz w:val="24"/>
              </w:rPr>
              <w:t>）、第四系上更新统冲积层（Q</w:t>
            </w:r>
            <w:r>
              <w:rPr>
                <w:sz w:val="24"/>
                <w:vertAlign w:val="subscript"/>
              </w:rPr>
              <w:t>3</w:t>
            </w:r>
            <w:r>
              <w:rPr>
                <w:sz w:val="24"/>
                <w:vertAlign w:val="superscript"/>
              </w:rPr>
              <w:t>al</w:t>
            </w:r>
            <w:r>
              <w:rPr>
                <w:sz w:val="24"/>
              </w:rPr>
              <w:t>）、第四系中更新统残积层（Q</w:t>
            </w:r>
            <w:r>
              <w:rPr>
                <w:sz w:val="24"/>
                <w:vertAlign w:val="subscript"/>
              </w:rPr>
              <w:t>2</w:t>
            </w:r>
            <w:r>
              <w:rPr>
                <w:sz w:val="24"/>
                <w:vertAlign w:val="superscript"/>
              </w:rPr>
              <w:t>el</w:t>
            </w:r>
            <w:r>
              <w:rPr>
                <w:sz w:val="24"/>
              </w:rPr>
              <w:t>）及第三系新余群组成。按其岩性及工程特性，自上而下分别为：素填土、中液限粘质土（Q</w:t>
            </w:r>
            <w:r>
              <w:rPr>
                <w:sz w:val="24"/>
                <w:vertAlign w:val="subscript"/>
              </w:rPr>
              <w:t>4</w:t>
            </w:r>
            <w:r>
              <w:rPr>
                <w:sz w:val="24"/>
                <w:vertAlign w:val="superscript"/>
              </w:rPr>
              <w:t>al</w:t>
            </w:r>
            <w:r>
              <w:rPr>
                <w:sz w:val="24"/>
              </w:rPr>
              <w:t>）、细砂土（Q</w:t>
            </w:r>
            <w:r>
              <w:rPr>
                <w:sz w:val="24"/>
                <w:vertAlign w:val="subscript"/>
              </w:rPr>
              <w:t>4</w:t>
            </w:r>
            <w:r>
              <w:rPr>
                <w:sz w:val="24"/>
                <w:vertAlign w:val="superscript"/>
              </w:rPr>
              <w:t>al</w:t>
            </w:r>
            <w:r>
              <w:rPr>
                <w:sz w:val="24"/>
              </w:rPr>
              <w:t>）、有机质高液限粉质土（Q</w:t>
            </w:r>
            <w:r>
              <w:rPr>
                <w:sz w:val="24"/>
                <w:vertAlign w:val="subscript"/>
              </w:rPr>
              <w:t>4</w:t>
            </w:r>
            <w:r>
              <w:rPr>
                <w:sz w:val="24"/>
                <w:vertAlign w:val="superscript"/>
              </w:rPr>
              <w:t>al</w:t>
            </w:r>
            <w:r>
              <w:rPr>
                <w:sz w:val="24"/>
              </w:rPr>
              <w:t>）、中液限粘质土（Q</w:t>
            </w:r>
            <w:r>
              <w:rPr>
                <w:sz w:val="24"/>
                <w:vertAlign w:val="subscript"/>
              </w:rPr>
              <w:t>4</w:t>
            </w:r>
            <w:r>
              <w:rPr>
                <w:sz w:val="24"/>
                <w:vertAlign w:val="superscript"/>
              </w:rPr>
              <w:t>al</w:t>
            </w:r>
            <w:r>
              <w:rPr>
                <w:sz w:val="24"/>
              </w:rPr>
              <w:t>）、细砂土（Q</w:t>
            </w:r>
            <w:r>
              <w:rPr>
                <w:sz w:val="24"/>
                <w:vertAlign w:val="subscript"/>
              </w:rPr>
              <w:t>4</w:t>
            </w:r>
            <w:r>
              <w:rPr>
                <w:sz w:val="24"/>
                <w:vertAlign w:val="superscript"/>
              </w:rPr>
              <w:t>al</w:t>
            </w:r>
            <w:r>
              <w:rPr>
                <w:sz w:val="24"/>
              </w:rPr>
              <w:t>）、砂砾土（Q</w:t>
            </w:r>
            <w:r>
              <w:rPr>
                <w:sz w:val="24"/>
                <w:vertAlign w:val="subscript"/>
              </w:rPr>
              <w:t>4</w:t>
            </w:r>
            <w:r>
              <w:rPr>
                <w:sz w:val="24"/>
                <w:vertAlign w:val="superscript"/>
              </w:rPr>
              <w:t>al</w:t>
            </w:r>
            <w:r>
              <w:rPr>
                <w:sz w:val="24"/>
              </w:rPr>
              <w:t>）、中液限粘质土（Q</w:t>
            </w:r>
            <w:r>
              <w:rPr>
                <w:sz w:val="24"/>
                <w:vertAlign w:val="subscript"/>
              </w:rPr>
              <w:t>3</w:t>
            </w:r>
            <w:r>
              <w:rPr>
                <w:sz w:val="24"/>
                <w:vertAlign w:val="superscript"/>
              </w:rPr>
              <w:t>el</w:t>
            </w:r>
            <w:r>
              <w:rPr>
                <w:sz w:val="24"/>
              </w:rPr>
              <w:t>）、中液限粘质土（Q</w:t>
            </w:r>
            <w:r>
              <w:rPr>
                <w:sz w:val="24"/>
                <w:vertAlign w:val="subscript"/>
              </w:rPr>
              <w:t>2</w:t>
            </w:r>
            <w:r>
              <w:rPr>
                <w:sz w:val="24"/>
                <w:vertAlign w:val="superscript"/>
              </w:rPr>
              <w:t>el</w:t>
            </w:r>
            <w:r>
              <w:rPr>
                <w:sz w:val="24"/>
              </w:rPr>
              <w:t>）、泥质粉砂岩（Exn）。现将各土层的性质分别描述如下：</w:t>
            </w:r>
          </w:p>
          <w:p>
            <w:pPr>
              <w:spacing w:line="360" w:lineRule="auto"/>
              <w:ind w:left="480"/>
              <w:rPr>
                <w:sz w:val="24"/>
              </w:rPr>
            </w:pPr>
            <w:r>
              <w:rPr>
                <w:sz w:val="24"/>
              </w:rPr>
              <w:fldChar w:fldCharType="begin"/>
            </w:r>
            <w:r>
              <w:rPr>
                <w:sz w:val="24"/>
              </w:rPr>
              <w:instrText xml:space="preserve"> = 1 \* GB2 </w:instrText>
            </w:r>
            <w:r>
              <w:rPr>
                <w:sz w:val="24"/>
              </w:rPr>
              <w:fldChar w:fldCharType="separate"/>
            </w:r>
            <w:r>
              <w:rPr>
                <w:sz w:val="24"/>
              </w:rPr>
              <w:t>⑴</w:t>
            </w:r>
            <w:r>
              <w:rPr>
                <w:sz w:val="24"/>
              </w:rPr>
              <w:fldChar w:fldCharType="end"/>
            </w:r>
            <w:r>
              <w:rPr>
                <w:sz w:val="24"/>
              </w:rPr>
              <w:t>第四系全新统冲积层（Q</w:t>
            </w:r>
            <w:r>
              <w:rPr>
                <w:sz w:val="24"/>
                <w:vertAlign w:val="superscript"/>
              </w:rPr>
              <w:t>ml</w:t>
            </w:r>
            <w:r>
              <w:rPr>
                <w:sz w:val="24"/>
              </w:rPr>
              <w:t>）</w:t>
            </w:r>
          </w:p>
          <w:p>
            <w:pPr>
              <w:spacing w:line="360" w:lineRule="auto"/>
              <w:ind w:left="480"/>
              <w:rPr>
                <w:sz w:val="24"/>
              </w:rPr>
            </w:pPr>
            <w:r>
              <w:rPr>
                <w:sz w:val="24"/>
              </w:rPr>
              <w:t>素填土：浅红色、紫红色，成分中以中液限粘质土为主，次为强风化泥质粉砂岩，结构较密实。层顶标高38.73-39.00m，揭露层厚3.9-6.9m。</w:t>
            </w:r>
          </w:p>
          <w:p>
            <w:pPr>
              <w:spacing w:line="360" w:lineRule="auto"/>
              <w:ind w:firstLine="480" w:firstLineChars="200"/>
              <w:rPr>
                <w:sz w:val="24"/>
              </w:rPr>
            </w:pPr>
            <w:r>
              <w:rPr>
                <w:sz w:val="24"/>
              </w:rPr>
              <w:fldChar w:fldCharType="begin"/>
            </w:r>
            <w:r>
              <w:rPr>
                <w:sz w:val="24"/>
              </w:rPr>
              <w:instrText xml:space="preserve"> = 2 \* GB2 </w:instrText>
            </w:r>
            <w:r>
              <w:rPr>
                <w:sz w:val="24"/>
              </w:rPr>
              <w:fldChar w:fldCharType="separate"/>
            </w:r>
            <w:r>
              <w:rPr>
                <w:sz w:val="24"/>
              </w:rPr>
              <w:t>⑵</w:t>
            </w:r>
            <w:r>
              <w:rPr>
                <w:sz w:val="24"/>
              </w:rPr>
              <w:fldChar w:fldCharType="end"/>
            </w:r>
            <w:r>
              <w:rPr>
                <w:sz w:val="24"/>
              </w:rPr>
              <w:t>第四系全新统冲积层（Q</w:t>
            </w:r>
            <w:r>
              <w:rPr>
                <w:sz w:val="24"/>
                <w:vertAlign w:val="subscript"/>
              </w:rPr>
              <w:t>4</w:t>
            </w:r>
            <w:r>
              <w:rPr>
                <w:sz w:val="24"/>
                <w:vertAlign w:val="superscript"/>
              </w:rPr>
              <w:t>al</w:t>
            </w:r>
            <w:r>
              <w:rPr>
                <w:sz w:val="24"/>
              </w:rPr>
              <w:t>）</w:t>
            </w:r>
          </w:p>
          <w:p>
            <w:pPr>
              <w:spacing w:after="0" w:line="360" w:lineRule="auto"/>
              <w:ind w:firstLine="480" w:firstLineChars="200"/>
              <w:rPr>
                <w:sz w:val="24"/>
              </w:rPr>
            </w:pPr>
            <w:r>
              <w:rPr>
                <w:sz w:val="24"/>
              </w:rPr>
              <w:fldChar w:fldCharType="begin"/>
            </w:r>
            <w:r>
              <w:rPr>
                <w:sz w:val="24"/>
              </w:rPr>
              <w:instrText xml:space="preserve"> = 1 \* GB3 </w:instrText>
            </w:r>
            <w:r>
              <w:rPr>
                <w:sz w:val="24"/>
              </w:rPr>
              <w:fldChar w:fldCharType="separate"/>
            </w:r>
            <w:r>
              <w:rPr>
                <w:sz w:val="24"/>
              </w:rPr>
              <w:t>①</w:t>
            </w:r>
            <w:r>
              <w:rPr>
                <w:sz w:val="24"/>
              </w:rPr>
              <w:fldChar w:fldCharType="end"/>
            </w:r>
          </w:p>
        </w:tc>
      </w:tr>
    </w:tbl>
    <w:p>
      <w:pPr>
        <w:sectPr>
          <w:footerReference w:type="default" r:id="rId13"/>
          <w:type w:val="nextPage"/>
          <w:pgSz w:w="11907" w:h="16840"/>
          <w:pgMar w:top="1418" w:right="1418" w:bottom="1418" w:left="1418" w:header="851" w:footer="992" w:gutter="113"/>
          <w:pgNumType w:start="9"/>
          <w:cols w:num="1" w:space="720"/>
          <w:titlePg w:val="0"/>
        </w:sectPr>
      </w:pP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4075"/>
        </w:trPr>
        <w:tc>
          <w:tcPr>
            <w:tcW w:w="9180" w:type="dxa"/>
          </w:tcPr>
          <w:p>
            <w:pPr>
              <w:spacing w:before="0" w:line="360" w:lineRule="auto"/>
              <w:ind w:firstLine="480" w:firstLineChars="200"/>
              <w:rPr>
                <w:sz w:val="24"/>
              </w:rPr>
            </w:pPr>
            <w:r>
              <w:rPr>
                <w:sz w:val="24"/>
              </w:rPr>
              <w:t>中液限粘质土：黄褐色、灰黄色，可塑，刀切面较光滑，无摇震反应，中压缩性，干强度中，韧性中等。实测标贯锤击数为8-9击，压缩系数为0.34mpa</w:t>
            </w:r>
            <w:r>
              <w:rPr>
                <w:sz w:val="24"/>
                <w:vertAlign w:val="superscript"/>
              </w:rPr>
              <w:t>-1</w:t>
            </w:r>
            <w:r>
              <w:rPr>
                <w:sz w:val="24"/>
              </w:rPr>
              <w:t>，为中等压缩性。透水性差，揭露层厚2.1-6.5m，层顶标高16.12-19.50m。</w:t>
            </w:r>
          </w:p>
          <w:p>
            <w:pPr>
              <w:spacing w:line="360" w:lineRule="auto"/>
              <w:ind w:firstLine="480" w:firstLineChars="200"/>
              <w:rPr>
                <w:sz w:val="24"/>
              </w:rPr>
            </w:pPr>
            <w:r>
              <w:rPr>
                <w:sz w:val="24"/>
              </w:rPr>
              <w:fldChar w:fldCharType="begin"/>
            </w:r>
            <w:r>
              <w:rPr>
                <w:sz w:val="24"/>
              </w:rPr>
              <w:instrText xml:space="preserve"> = 2 \* GB3 </w:instrText>
            </w:r>
            <w:r>
              <w:rPr>
                <w:sz w:val="24"/>
              </w:rPr>
              <w:fldChar w:fldCharType="separate"/>
            </w:r>
            <w:r>
              <w:rPr>
                <w:sz w:val="24"/>
              </w:rPr>
              <w:t>②</w:t>
            </w:r>
            <w:r>
              <w:rPr>
                <w:sz w:val="24"/>
              </w:rPr>
              <w:fldChar w:fldCharType="end"/>
            </w:r>
            <w:r>
              <w:rPr>
                <w:sz w:val="24"/>
              </w:rPr>
              <w:t>细砂土：灰黄-浅黄色，饱和，松散，组分以细砂粒为主，成分为石英、云母。实测标准贯入击数为7-8击。该层仅分布于赣江Ⅰ级阶地，层厚1.50-2.50m，层顶埋深2.60-3.40m，层顶标高15.84-16.41m。</w:t>
            </w:r>
          </w:p>
          <w:p>
            <w:pPr>
              <w:spacing w:line="360" w:lineRule="auto"/>
              <w:ind w:firstLine="480" w:firstLineChars="200"/>
              <w:rPr>
                <w:sz w:val="24"/>
              </w:rPr>
            </w:pPr>
            <w:r>
              <w:rPr>
                <w:sz w:val="24"/>
              </w:rPr>
              <w:fldChar w:fldCharType="begin"/>
            </w:r>
            <w:r>
              <w:rPr>
                <w:sz w:val="24"/>
              </w:rPr>
              <w:instrText xml:space="preserve"> = 3 \* GB3 </w:instrText>
            </w:r>
            <w:r>
              <w:rPr>
                <w:sz w:val="24"/>
              </w:rPr>
              <w:fldChar w:fldCharType="separate"/>
            </w:r>
            <w:r>
              <w:rPr>
                <w:sz w:val="24"/>
              </w:rPr>
              <w:t>③</w:t>
            </w:r>
            <w:r>
              <w:rPr>
                <w:sz w:val="24"/>
              </w:rPr>
              <w:fldChar w:fldCharType="end"/>
            </w:r>
            <w:r>
              <w:rPr>
                <w:sz w:val="24"/>
              </w:rPr>
              <w:t>有机质高液限粘质土：浅灰色、黑灰色，饱水，软-流塑状。成分以粉粘粒为主，局部含腐植物及粉细砂。有摇震反应，稍有光滑，干强度高，压缩系数平均值为0.77mpa</w:t>
            </w:r>
            <w:r>
              <w:rPr>
                <w:sz w:val="24"/>
                <w:vertAlign w:val="superscript"/>
              </w:rPr>
              <w:t>-1</w:t>
            </w:r>
            <w:r>
              <w:rPr>
                <w:sz w:val="24"/>
              </w:rPr>
              <w:t>，高压缩性，透水性差，该层仅见于临江段，揭露层厚0.7-3.7m，层顶埋深2.10-4.90m，层顶标高12.93-15.36m。</w:t>
            </w:r>
          </w:p>
          <w:p>
            <w:pPr>
              <w:spacing w:line="360" w:lineRule="auto"/>
              <w:ind w:firstLine="480" w:firstLineChars="200"/>
              <w:rPr>
                <w:sz w:val="24"/>
              </w:rPr>
            </w:pPr>
            <w:r>
              <w:rPr>
                <w:sz w:val="24"/>
              </w:rPr>
              <w:fldChar w:fldCharType="begin"/>
            </w:r>
            <w:r>
              <w:rPr>
                <w:sz w:val="24"/>
              </w:rPr>
              <w:instrText xml:space="preserve"> = 4 \* GB3 </w:instrText>
            </w:r>
            <w:r>
              <w:rPr>
                <w:sz w:val="24"/>
              </w:rPr>
              <w:fldChar w:fldCharType="separate"/>
            </w:r>
            <w:r>
              <w:rPr>
                <w:sz w:val="24"/>
              </w:rPr>
              <w:t>④</w:t>
            </w:r>
            <w:r>
              <w:rPr>
                <w:sz w:val="24"/>
              </w:rPr>
              <w:fldChar w:fldCharType="end"/>
            </w:r>
            <w:r>
              <w:rPr>
                <w:sz w:val="24"/>
              </w:rPr>
              <w:t>中液限粘质土：黄褐色，可塑，以粉粘粒为主，含铁、锰质核，无摇震反应，刀切面较光滑，干强度高，韧性中等，压缩系数平均值为0.35mpa</w:t>
            </w:r>
            <w:r>
              <w:rPr>
                <w:sz w:val="24"/>
                <w:vertAlign w:val="superscript"/>
              </w:rPr>
              <w:t>-1</w:t>
            </w:r>
            <w:r>
              <w:rPr>
                <w:sz w:val="24"/>
              </w:rPr>
              <w:t>，压缩性中，实测标准贯入击数7击，该层见于Ⅰ级阶地，层厚2.90-5.20m，层顶埋深4.30-6.00m，层顶标高11.62-14.91m。</w:t>
            </w:r>
          </w:p>
          <w:p>
            <w:pPr>
              <w:spacing w:line="360" w:lineRule="auto"/>
              <w:ind w:firstLine="480" w:firstLineChars="200"/>
              <w:rPr>
                <w:sz w:val="24"/>
              </w:rPr>
            </w:pPr>
            <w:r>
              <w:rPr>
                <w:sz w:val="24"/>
              </w:rPr>
              <w:fldChar w:fldCharType="begin"/>
            </w:r>
            <w:r>
              <w:rPr>
                <w:sz w:val="24"/>
              </w:rPr>
              <w:instrText xml:space="preserve"> = 5 \* GB3 </w:instrText>
            </w:r>
            <w:r>
              <w:rPr>
                <w:sz w:val="24"/>
              </w:rPr>
              <w:fldChar w:fldCharType="separate"/>
            </w:r>
            <w:r>
              <w:rPr>
                <w:sz w:val="24"/>
              </w:rPr>
              <w:t>⑤</w:t>
            </w:r>
            <w:r>
              <w:rPr>
                <w:sz w:val="24"/>
              </w:rPr>
              <w:fldChar w:fldCharType="end"/>
            </w:r>
            <w:r>
              <w:rPr>
                <w:sz w:val="24"/>
              </w:rPr>
              <w:t>细砂土：灰黄-浅黄色，饱和，松散，组分以细砂粒为主，成分为石英、云母。实测标准贯入击数7-11击，该层分布于赣江Ⅰ级阶地，层厚1.40-4.60m，层顶埋深4.80-10.50m，层顶标高7.23-12.30m。</w:t>
            </w:r>
          </w:p>
          <w:p>
            <w:pPr>
              <w:spacing w:line="360" w:lineRule="auto"/>
              <w:ind w:firstLine="480" w:firstLineChars="200"/>
              <w:rPr>
                <w:sz w:val="24"/>
              </w:rPr>
            </w:pPr>
            <w:r>
              <w:rPr>
                <w:sz w:val="24"/>
              </w:rPr>
              <w:fldChar w:fldCharType="begin"/>
            </w:r>
            <w:r>
              <w:rPr>
                <w:sz w:val="24"/>
              </w:rPr>
              <w:instrText xml:space="preserve"> = 6 \* GB3 </w:instrText>
            </w:r>
            <w:r>
              <w:rPr>
                <w:sz w:val="24"/>
              </w:rPr>
              <w:fldChar w:fldCharType="separate"/>
            </w:r>
            <w:r>
              <w:rPr>
                <w:sz w:val="24"/>
              </w:rPr>
              <w:t>⑥</w:t>
            </w:r>
            <w:r>
              <w:rPr>
                <w:sz w:val="24"/>
              </w:rPr>
              <w:fldChar w:fldCharType="end"/>
            </w:r>
            <w:r>
              <w:rPr>
                <w:sz w:val="24"/>
              </w:rPr>
              <w:t>砾砂土：褐黄-浅黄、灰黄色，饱和，稍密，组分以细砾粒为主，次为中粗砂粒褐黄色，成分为石英、云母，实测重击数为10-12击，修正后击数8击，分布于赣江Ⅰ级阶地，层厚0.30-4.40m，顶层埋深10.20-13.70m，顶层标高5.14-9.04m。</w:t>
            </w:r>
          </w:p>
          <w:p>
            <w:pPr>
              <w:spacing w:line="360" w:lineRule="auto"/>
              <w:ind w:firstLine="480" w:firstLineChars="200"/>
              <w:rPr>
                <w:sz w:val="24"/>
              </w:rPr>
            </w:pPr>
            <w:r>
              <w:rPr>
                <w:sz w:val="24"/>
              </w:rPr>
              <w:fldChar w:fldCharType="begin"/>
            </w:r>
            <w:r>
              <w:rPr>
                <w:sz w:val="24"/>
              </w:rPr>
              <w:instrText xml:space="preserve"> = 3 \* GB2 </w:instrText>
            </w:r>
            <w:r>
              <w:rPr>
                <w:sz w:val="24"/>
              </w:rPr>
              <w:fldChar w:fldCharType="separate"/>
            </w:r>
            <w:r>
              <w:rPr>
                <w:sz w:val="24"/>
              </w:rPr>
              <w:t>⑶</w:t>
            </w:r>
            <w:r>
              <w:rPr>
                <w:sz w:val="24"/>
              </w:rPr>
              <w:fldChar w:fldCharType="end"/>
            </w:r>
            <w:r>
              <w:rPr>
                <w:sz w:val="24"/>
              </w:rPr>
              <w:t>第四系上更新统冲积层（Q</w:t>
            </w:r>
            <w:r>
              <w:rPr>
                <w:sz w:val="24"/>
                <w:vertAlign w:val="subscript"/>
              </w:rPr>
              <w:t>3</w:t>
            </w:r>
            <w:r>
              <w:rPr>
                <w:sz w:val="24"/>
                <w:vertAlign w:val="superscript"/>
              </w:rPr>
              <w:t>al</w:t>
            </w:r>
            <w:r>
              <w:rPr>
                <w:sz w:val="24"/>
              </w:rPr>
              <w:t>）</w:t>
            </w:r>
          </w:p>
          <w:p>
            <w:pPr>
              <w:spacing w:line="360" w:lineRule="auto"/>
              <w:ind w:firstLine="480" w:firstLineChars="200"/>
              <w:rPr>
                <w:sz w:val="24"/>
              </w:rPr>
            </w:pPr>
            <w:r>
              <w:rPr>
                <w:sz w:val="24"/>
              </w:rPr>
              <w:t>中液限粘质土：浅黄色、棕黄色，硬塑，以粉粘粒为主，含铁、锰质结核，无摇震反应，刀切面较光滑，干强度高，韧性中等。压缩系数平均值为0.36mpa</w:t>
            </w:r>
            <w:r>
              <w:rPr>
                <w:sz w:val="24"/>
                <w:vertAlign w:val="superscript"/>
              </w:rPr>
              <w:t>-1</w:t>
            </w:r>
            <w:r>
              <w:rPr>
                <w:sz w:val="24"/>
              </w:rPr>
              <w:t>，压缩性中，实测标准贯入击数11-13击，该层见于Ⅱ级阶地，直接露出地表，层厚2.80-5.80m，层顶标高21.15-27.50m。</w:t>
            </w:r>
          </w:p>
          <w:p>
            <w:pPr>
              <w:spacing w:line="360" w:lineRule="auto"/>
              <w:ind w:firstLine="480" w:firstLineChars="200"/>
              <w:rPr>
                <w:sz w:val="24"/>
              </w:rPr>
            </w:pPr>
            <w:r>
              <w:rPr>
                <w:sz w:val="24"/>
              </w:rPr>
              <w:fldChar w:fldCharType="begin"/>
            </w:r>
            <w:r>
              <w:rPr>
                <w:sz w:val="24"/>
              </w:rPr>
              <w:instrText xml:space="preserve"> = 4 \* GB2 </w:instrText>
            </w:r>
            <w:r>
              <w:rPr>
                <w:sz w:val="24"/>
              </w:rPr>
              <w:fldChar w:fldCharType="separate"/>
            </w:r>
            <w:r>
              <w:rPr>
                <w:sz w:val="24"/>
              </w:rPr>
              <w:t>⑷</w:t>
            </w:r>
            <w:r>
              <w:rPr>
                <w:sz w:val="24"/>
              </w:rPr>
              <w:fldChar w:fldCharType="end"/>
            </w:r>
            <w:r>
              <w:rPr>
                <w:sz w:val="24"/>
              </w:rPr>
              <w:t>第四系中更新统残积层（Q</w:t>
            </w:r>
            <w:r>
              <w:rPr>
                <w:sz w:val="24"/>
                <w:vertAlign w:val="subscript"/>
              </w:rPr>
              <w:t>2</w:t>
            </w:r>
            <w:r>
              <w:rPr>
                <w:sz w:val="24"/>
                <w:vertAlign w:val="superscript"/>
              </w:rPr>
              <w:t>el</w:t>
            </w:r>
            <w:r>
              <w:rPr>
                <w:sz w:val="24"/>
              </w:rPr>
              <w:t>）</w:t>
            </w:r>
          </w:p>
          <w:p>
            <w:pPr>
              <w:spacing w:line="360" w:lineRule="auto"/>
              <w:ind w:firstLine="480" w:firstLineChars="200"/>
              <w:rPr>
                <w:sz w:val="24"/>
              </w:rPr>
            </w:pPr>
            <w:r>
              <w:rPr>
                <w:sz w:val="24"/>
              </w:rPr>
              <w:t>中液限粘质土：棕红色、褐黄色，硬塑-坚硬，以粉粘粒为主，含少量细粒，无摇震反应，刀切面较光滑，压缩性中，干强度高，韧性中等，压缩系数平均值为0.21mpa</w:t>
            </w:r>
            <w:r>
              <w:rPr>
                <w:sz w:val="24"/>
                <w:vertAlign w:val="superscript"/>
              </w:rPr>
              <w:t>-1</w:t>
            </w:r>
            <w:r>
              <w:rPr>
                <w:sz w:val="24"/>
              </w:rPr>
              <w:t>，压缩性中，实测标准贯入击数14-17击，该层见于岗埠的大部分地段，层厚1.30-6.50m，层顶标高27.55-46.40m。</w:t>
            </w:r>
          </w:p>
        </w:tc>
      </w:tr>
    </w:tbl>
    <w:p>
      <w:pPr>
        <w:sectPr>
          <w:footerReference w:type="default" r:id="rId14"/>
          <w:type w:val="nextPage"/>
          <w:pgSz w:w="11907" w:h="16840"/>
          <w:pgMar w:top="1418" w:right="1418" w:bottom="1418" w:left="1418" w:header="851" w:footer="992" w:gutter="113"/>
          <w:pgNumType w:start="10"/>
          <w:cols w:num="1" w:space="720"/>
          <w:titlePg w:val="0"/>
        </w:sectPr>
      </w:pP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4075"/>
        </w:trPr>
        <w:tc>
          <w:tcPr>
            <w:tcW w:w="9180" w:type="dxa"/>
          </w:tcPr>
          <w:p>
            <w:pPr>
              <w:spacing w:line="360" w:lineRule="auto"/>
              <w:ind w:firstLine="480" w:firstLineChars="200"/>
              <w:rPr>
                <w:sz w:val="24"/>
              </w:rPr>
            </w:pPr>
            <w:r>
              <w:rPr>
                <w:sz w:val="24"/>
              </w:rPr>
              <w:fldChar w:fldCharType="begin"/>
            </w:r>
            <w:r>
              <w:rPr>
                <w:sz w:val="24"/>
              </w:rPr>
              <w:instrText xml:space="preserve"> = 5 \* GB2 </w:instrText>
            </w:r>
            <w:r>
              <w:rPr>
                <w:sz w:val="24"/>
              </w:rPr>
              <w:fldChar w:fldCharType="separate"/>
            </w:r>
            <w:r>
              <w:rPr>
                <w:sz w:val="24"/>
              </w:rPr>
              <w:t>⑸</w:t>
            </w:r>
            <w:r>
              <w:rPr>
                <w:sz w:val="24"/>
              </w:rPr>
              <w:fldChar w:fldCharType="end"/>
            </w:r>
            <w:r>
              <w:rPr>
                <w:sz w:val="24"/>
              </w:rPr>
              <w:t>第三系新余群（Exn）</w:t>
            </w:r>
          </w:p>
          <w:p>
            <w:pPr>
              <w:spacing w:line="360" w:lineRule="auto"/>
              <w:ind w:firstLine="480" w:firstLineChars="200"/>
              <w:rPr>
                <w:sz w:val="24"/>
              </w:rPr>
            </w:pPr>
            <w:r>
              <w:rPr>
                <w:sz w:val="24"/>
              </w:rPr>
              <w:t>泥质粉砂岩：紫红色，泥质结构，厚层状构造，组分以泥质为主，泥质胶结，产状平缓，雨水易软化，干燥易崩解，遇水稳定性差，岩石较完整。按其风化程度的差异可分为强风化、弱风化、微风化及未风化四个亚层。</w:t>
            </w:r>
          </w:p>
          <w:p>
            <w:pPr>
              <w:spacing w:line="360" w:lineRule="auto"/>
              <w:ind w:firstLine="480" w:firstLineChars="200"/>
              <w:rPr>
                <w:sz w:val="24"/>
              </w:rPr>
            </w:pPr>
            <w:r>
              <w:rPr>
                <w:sz w:val="24"/>
              </w:rPr>
              <w:fldChar w:fldCharType="begin"/>
            </w:r>
            <w:r>
              <w:rPr>
                <w:sz w:val="24"/>
              </w:rPr>
              <w:instrText xml:space="preserve"> = 1 \* GB3 </w:instrText>
            </w:r>
            <w:r>
              <w:rPr>
                <w:sz w:val="24"/>
              </w:rPr>
              <w:fldChar w:fldCharType="separate"/>
            </w:r>
            <w:r>
              <w:rPr>
                <w:sz w:val="24"/>
              </w:rPr>
              <w:t>①</w:t>
            </w:r>
            <w:r>
              <w:rPr>
                <w:sz w:val="24"/>
              </w:rPr>
              <w:fldChar w:fldCharType="end"/>
            </w:r>
            <w:r>
              <w:rPr>
                <w:sz w:val="24"/>
              </w:rPr>
              <w:t>强风化泥质粉砂岩：胶结性差，风化裂隙发育，岩石风化强烈，岩芯多呈泥状及碎块状，手捻易碎，岩质软，强度低，该层全场见及，钻孔揭穿深度范围内，层厚一般0.20-6.10m，层顶埋深一般3.40-14.80m，层顶标高4.54-42.20m。</w:t>
            </w:r>
          </w:p>
          <w:p>
            <w:pPr>
              <w:spacing w:line="360" w:lineRule="auto"/>
              <w:ind w:firstLine="480" w:firstLineChars="200"/>
              <w:rPr>
                <w:sz w:val="24"/>
              </w:rPr>
            </w:pPr>
            <w:r>
              <w:rPr>
                <w:sz w:val="24"/>
              </w:rPr>
              <w:fldChar w:fldCharType="begin"/>
            </w:r>
            <w:r>
              <w:rPr>
                <w:sz w:val="24"/>
              </w:rPr>
              <w:instrText xml:space="preserve"> = 2 \* GB3 </w:instrText>
            </w:r>
            <w:r>
              <w:rPr>
                <w:sz w:val="24"/>
              </w:rPr>
              <w:fldChar w:fldCharType="separate"/>
            </w:r>
            <w:r>
              <w:rPr>
                <w:sz w:val="24"/>
              </w:rPr>
              <w:t>②</w:t>
            </w:r>
            <w:r>
              <w:rPr>
                <w:sz w:val="24"/>
              </w:rPr>
              <w:fldChar w:fldCharType="end"/>
            </w:r>
            <w:r>
              <w:rPr>
                <w:sz w:val="24"/>
              </w:rPr>
              <w:t>中风化泥质粉砂岩：岩芯多呈柱状，少量呈短柱状，锤击声易碎，节理裂隙较发育，岩芯较完整，岩石饱和单轴极限抗压强度标准值为7.0mpa，软化系数平均值为0.30，属软岩，岩体基本质量等级为Ⅳ级，钻孔揭穿深度范围内，层厚一般2.40-12.50m，层顶埋深一般3.40-12.20m，层顶标高15.40-36.60m。</w:t>
            </w:r>
          </w:p>
          <w:p>
            <w:pPr>
              <w:spacing w:line="360" w:lineRule="auto"/>
              <w:ind w:firstLine="480" w:firstLineChars="200"/>
              <w:rPr>
                <w:sz w:val="24"/>
              </w:rPr>
            </w:pPr>
            <w:r>
              <w:rPr>
                <w:sz w:val="24"/>
              </w:rPr>
              <w:fldChar w:fldCharType="begin"/>
            </w:r>
            <w:r>
              <w:rPr>
                <w:sz w:val="24"/>
              </w:rPr>
              <w:instrText xml:space="preserve"> = 3 \* GB3 </w:instrText>
            </w:r>
            <w:r>
              <w:rPr>
                <w:sz w:val="24"/>
              </w:rPr>
              <w:fldChar w:fldCharType="separate"/>
            </w:r>
            <w:r>
              <w:rPr>
                <w:sz w:val="24"/>
              </w:rPr>
              <w:t>③</w:t>
            </w:r>
            <w:r>
              <w:rPr>
                <w:sz w:val="24"/>
              </w:rPr>
              <w:fldChar w:fldCharType="end"/>
            </w:r>
            <w:r>
              <w:rPr>
                <w:sz w:val="24"/>
              </w:rPr>
              <w:t>微风化泥质粉砂岩：岩芯多呈长柱状，少量呈柱状，锤击声响不易碎，节理裂隙不发育，岩芯完整，岩石饱和单轴极限抗压强度标准值为8.8mpa，软化系数平均值为0.32，属软岩，岩体基本质量等级为Ⅳ级，钻孔揭穿深度范围内，层厚一般5.20-7.10m，层顶埋深一般11.10-16.30m，层顶标高18.28-28.04m。</w:t>
            </w:r>
          </w:p>
          <w:p>
            <w:pPr>
              <w:pStyle w:val="a22"/>
              <w:tabs>
                <w:tab w:val="left" w:pos="4834"/>
              </w:tabs>
              <w:rPr>
                <w:rFonts w:ascii="Times New Roman" w:hAnsi="Times New Roman"/>
                <w:spacing w:val="0"/>
              </w:rPr>
            </w:pPr>
            <w:r>
              <w:rPr>
                <w:rFonts w:ascii="Times New Roman" w:hAnsi="Times New Roman"/>
              </w:rPr>
              <w:fldChar w:fldCharType="begin"/>
            </w:r>
            <w:r>
              <w:rPr>
                <w:rFonts w:ascii="Times New Roman" w:hAnsi="Times New Roman"/>
              </w:rPr>
              <w:instrText xml:space="preserve"> = 4 \* GB3 </w:instrText>
            </w:r>
            <w:r>
              <w:rPr>
                <w:rFonts w:ascii="Times New Roman" w:hAnsi="Times New Roman"/>
              </w:rPr>
              <w:fldChar w:fldCharType="separate"/>
            </w:r>
            <w:r>
              <w:rPr>
                <w:rFonts w:ascii="Times New Roman" w:hAnsi="Times New Roman"/>
              </w:rPr>
              <w:t>④</w:t>
            </w:r>
            <w:r>
              <w:rPr>
                <w:rFonts w:ascii="Times New Roman" w:hAnsi="Times New Roman"/>
              </w:rPr>
              <w:fldChar w:fldCharType="end"/>
            </w:r>
            <w:r>
              <w:rPr>
                <w:rFonts w:ascii="Times New Roman" w:hAnsi="Times New Roman"/>
              </w:rPr>
              <w:t>未风化泥质粉砂岩：风化裂隙少见，岩芯呈长柱状，锤击声响不易，岩质新鲜，岩芯完整，揭露层厚2.50-6.00m，层顶埋深一般17.50-23.00m，层顶标高一般12.48-20.94m。</w:t>
            </w:r>
          </w:p>
          <w:p>
            <w:pPr>
              <w:autoSpaceDN w:val="0"/>
              <w:spacing w:line="360" w:lineRule="auto"/>
              <w:ind w:firstLine="480" w:firstLineChars="200"/>
              <w:rPr>
                <w:b/>
                <w:sz w:val="24"/>
              </w:rPr>
            </w:pPr>
            <w:r>
              <w:rPr>
                <w:rFonts w:hAnsi="宋体" w:hint="eastAsia"/>
                <w:b/>
                <w:sz w:val="24"/>
              </w:rPr>
              <w:t>4</w:t>
            </w:r>
            <w:r>
              <w:rPr>
                <w:rFonts w:hAnsi="宋体"/>
                <w:b/>
                <w:sz w:val="24"/>
              </w:rPr>
              <w:t>、</w:t>
            </w:r>
            <w:r>
              <w:rPr>
                <w:rFonts w:hAnsi="宋体" w:hint="eastAsia"/>
                <w:b/>
                <w:sz w:val="24"/>
              </w:rPr>
              <w:t>气候气象</w:t>
            </w:r>
          </w:p>
          <w:p>
            <w:pPr>
              <w:pStyle w:val="a22"/>
              <w:tabs>
                <w:tab w:val="left" w:pos="4834"/>
              </w:tabs>
              <w:rPr>
                <w:rFonts w:ascii="Times New Roman" w:hAnsi="Times New Roman"/>
              </w:rPr>
            </w:pPr>
            <w:r>
              <w:rPr>
                <w:rFonts w:ascii="Times New Roman" w:hAnsi="Times New Roman"/>
              </w:rPr>
              <w:t>抚州市属亚热带湿润季风气候区，气候温和，四季分明，降水充沛，日照充足，无霜期长。多年平均气温17.8℃，最热月7月份平均气温29.6℃，最冷月1月份平均气温5.2℃，历年极端最高气温41℃，发生在1971年7月31日；右年极端最低气温-8.8℃，发生在1972年2月9日。多年平均相对湿度80%，多年平均无霜期275天。</w:t>
            </w:r>
          </w:p>
          <w:p>
            <w:pPr>
              <w:pStyle w:val="a22"/>
              <w:tabs>
                <w:tab w:val="left" w:pos="4834"/>
              </w:tabs>
              <w:rPr>
                <w:rFonts w:ascii="Times New Roman" w:hAnsi="Times New Roman"/>
              </w:rPr>
            </w:pPr>
            <w:r>
              <w:rPr>
                <w:rFonts w:ascii="Times New Roman" w:hAnsi="Times New Roman"/>
              </w:rPr>
              <w:t>抚州市雨量充沛，多年平均降水量1668.4mm，历年最大降水量2480.5mm(1954年)，历年最小年降水量975.6mm(1986)，最大年降水量是最小年降水量的2.5倍。年内分配也极不均匀，降水主要集中在每年4～6月，4～6月的降水量占年总降水量的47.5%；10月～次年1月份降水量较少，仅占全年总量的14.7%；5月份降水量最大，占年降水量的17.3%；12月份降水量最小，占年降水量的4.2%。</w:t>
            </w:r>
          </w:p>
        </w:tc>
      </w:tr>
    </w:tbl>
    <w:p>
      <w:pPr>
        <w:sectPr>
          <w:footerReference w:type="default" r:id="rId15"/>
          <w:type w:val="nextPage"/>
          <w:pgSz w:w="11907" w:h="16840"/>
          <w:pgMar w:top="1418" w:right="1418" w:bottom="1418" w:left="1418" w:header="851" w:footer="992" w:gutter="113"/>
          <w:pgNumType w:start="11"/>
          <w:cols w:num="1" w:space="720"/>
          <w:titlePg w:val="0"/>
        </w:sectPr>
      </w:pP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4075"/>
        </w:trPr>
        <w:tc>
          <w:tcPr>
            <w:tcW w:w="9180" w:type="dxa"/>
          </w:tcPr>
          <w:p>
            <w:pPr>
              <w:autoSpaceDN w:val="0"/>
              <w:spacing w:line="360" w:lineRule="auto"/>
              <w:ind w:firstLine="480" w:firstLineChars="200"/>
              <w:rPr>
                <w:sz w:val="24"/>
                <w:szCs w:val="24"/>
              </w:rPr>
            </w:pPr>
            <w:r>
              <w:rPr>
                <w:sz w:val="24"/>
                <w:szCs w:val="24"/>
              </w:rPr>
              <w:t>抚州市多年平均蒸发量1035.2mm。最大年蒸发量1426.9mm(1969年)，最小年蒸发量804.2mm(1975年)，最大年蒸发量是最小年蒸发量的1.8倍；7～9月份蒸发量最大，占全年蒸发量的45%，12月～次年2月份蒸发量最小，仅占全年的10%。市区多年平均风速2.3m/s，全年风向变化较大，全年主导风向为西北偏北。</w:t>
            </w:r>
          </w:p>
          <w:p>
            <w:pPr>
              <w:autoSpaceDN w:val="0"/>
              <w:spacing w:line="360" w:lineRule="auto"/>
              <w:ind w:firstLine="480" w:firstLineChars="200"/>
              <w:rPr>
                <w:b/>
                <w:sz w:val="24"/>
                <w:szCs w:val="24"/>
              </w:rPr>
            </w:pPr>
            <w:r>
              <w:rPr>
                <w:rFonts w:hAnsi="宋体" w:hint="eastAsia"/>
                <w:b/>
                <w:sz w:val="24"/>
                <w:szCs w:val="24"/>
              </w:rPr>
              <w:t>5</w:t>
            </w:r>
            <w:r>
              <w:rPr>
                <w:rFonts w:hAnsi="宋体"/>
                <w:b/>
                <w:sz w:val="24"/>
                <w:szCs w:val="24"/>
              </w:rPr>
              <w:t>、</w:t>
            </w:r>
            <w:r>
              <w:rPr>
                <w:rFonts w:hAnsi="宋体" w:hint="eastAsia"/>
                <w:b/>
                <w:sz w:val="24"/>
                <w:szCs w:val="24"/>
              </w:rPr>
              <w:t>水系</w:t>
            </w:r>
          </w:p>
          <w:p>
            <w:pPr>
              <w:tabs>
                <w:tab w:val="left" w:pos="4834"/>
              </w:tabs>
              <w:spacing w:line="360" w:lineRule="auto"/>
              <w:ind w:firstLine="480" w:firstLineChars="200"/>
              <w:rPr>
                <w:sz w:val="24"/>
              </w:rPr>
            </w:pPr>
            <w:r>
              <w:rPr>
                <w:sz w:val="24"/>
                <w:szCs w:val="24"/>
              </w:rPr>
              <w:t>抚州市城区位于临水与抚河交汇处，东有</w:t>
            </w:r>
            <w:r>
              <w:rPr>
                <w:sz w:val="24"/>
              </w:rPr>
              <w:t>抚河，西有宜黄水和临水。临水与抚河在城东相汇，城区处在东北西三面环水的平原区。风岗河和跳石岗河分别从新城区以南的黄坊和上顿渡以南的舍头村，自南向北蜿蜒曲折地流经老城区以西的城西和上顿渡镇，最后从黄桥和抚临闸(或抚临排涝站)入临水。</w:t>
            </w:r>
          </w:p>
          <w:p>
            <w:pPr>
              <w:tabs>
                <w:tab w:val="left" w:pos="4834"/>
              </w:tabs>
              <w:spacing w:line="360" w:lineRule="auto"/>
              <w:ind w:firstLine="480" w:firstLineChars="200"/>
              <w:rPr>
                <w:sz w:val="24"/>
              </w:rPr>
            </w:pPr>
            <w:r>
              <w:rPr>
                <w:sz w:val="24"/>
              </w:rPr>
              <w:t>抚河：发源于赣闽边界武夷山西麓光昌县梨木庄。河流自南向北流经广昌、南丰、南城，右汇黎滩河经浒湾进入中游平原，至临川左纳抚河最大支液临水，西北向流经南昌县境，在荏港改道由青岚湖入鄱阳湖。干流全长349km，从河源到南城长158km，称盱江，为上游河段。南城到临川长77.4km，称中游河段，在南城县城附近汇入抚河第二大支流黎滩河后称抚河。抚河干流在抚州市以上集水面积8723km</w:t>
            </w:r>
            <w:r>
              <w:rPr>
                <w:sz w:val="24"/>
                <w:vertAlign w:val="superscript"/>
              </w:rPr>
              <w:t>2</w:t>
            </w:r>
            <w:r>
              <w:rPr>
                <w:sz w:val="24"/>
              </w:rPr>
              <w:t>(廖家湾站)。</w:t>
            </w:r>
          </w:p>
          <w:p>
            <w:pPr>
              <w:tabs>
                <w:tab w:val="left" w:pos="4834"/>
              </w:tabs>
              <w:spacing w:line="360" w:lineRule="auto"/>
              <w:ind w:firstLine="480" w:firstLineChars="200"/>
              <w:rPr>
                <w:sz w:val="24"/>
              </w:rPr>
            </w:pPr>
            <w:r>
              <w:rPr>
                <w:sz w:val="24"/>
              </w:rPr>
              <w:t>临水：由崇仁水与宜黄水于上顿渡大桥下游约4km处汇合而成，全流域面积5140km</w:t>
            </w:r>
            <w:r>
              <w:rPr>
                <w:sz w:val="24"/>
                <w:vertAlign w:val="superscript"/>
              </w:rPr>
              <w:t>2</w:t>
            </w:r>
            <w:r>
              <w:rPr>
                <w:sz w:val="24"/>
              </w:rPr>
              <w:t>，主流全长160km，为抚河最大支流。崇仁水集水面积2601km</w:t>
            </w:r>
            <w:r>
              <w:rPr>
                <w:sz w:val="24"/>
                <w:vertAlign w:val="superscript"/>
              </w:rPr>
              <w:t>2</w:t>
            </w:r>
            <w:r>
              <w:rPr>
                <w:sz w:val="24"/>
              </w:rPr>
              <w:t>，由宝塘水与相水于崇仁县城上首桥头村汇合而成。宜黄水集水面积2360km</w:t>
            </w:r>
            <w:r>
              <w:rPr>
                <w:sz w:val="24"/>
                <w:vertAlign w:val="superscript"/>
              </w:rPr>
              <w:t>2</w:t>
            </w:r>
            <w:r>
              <w:rPr>
                <w:sz w:val="24"/>
              </w:rPr>
              <w:t>，由宜水与黄水于宜黄县城附近汇合后称宜黄水。过龙骨渡、上顿渡后与崇仁水汇合。</w:t>
            </w:r>
          </w:p>
          <w:p>
            <w:pPr>
              <w:pStyle w:val="a28"/>
              <w:ind w:firstLine="480"/>
              <w:rPr>
                <w:rFonts w:hAnsi="Times New Roman"/>
                <w:color w:val="FF0000"/>
                <w:kern w:val="21"/>
                <w:szCs w:val="24"/>
              </w:rPr>
            </w:pPr>
            <w:r>
              <w:rPr>
                <w:rFonts w:hAnsi="Times New Roman"/>
                <w:b w:val="0"/>
                <w:szCs w:val="24"/>
              </w:rPr>
              <w:t>凤岗河：集水面积119km</w:t>
            </w:r>
            <w:r>
              <w:rPr>
                <w:rFonts w:hAnsi="Times New Roman"/>
                <w:b w:val="0"/>
                <w:szCs w:val="24"/>
                <w:vertAlign w:val="superscript"/>
              </w:rPr>
              <w:t>2</w:t>
            </w:r>
            <w:r>
              <w:rPr>
                <w:rFonts w:hAnsi="Times New Roman"/>
                <w:b w:val="0"/>
                <w:szCs w:val="24"/>
              </w:rPr>
              <w:t>，主河长31.74km，发源于临川黄坊，自南向北，经长岗街、风岗、仙临山，穿过新城区的罗家岭张家、高桥，沿着老城区以西的禾尚桥、黄桥入临水。风岗河地势低洼，湖、塘、洼地众多，排水不畅，当外河水位高于36m后，内河受外河顶托和倒灌影响，易造成城区大面积涝水灾害。</w:t>
            </w:r>
          </w:p>
        </w:tc>
      </w:tr>
      <w:tr>
        <w:tblPrEx>
          <w:tblW w:w="9180" w:type="dxa"/>
          <w:tblInd w:w="0" w:type="dxa"/>
          <w:tblLayout w:type="fixed"/>
          <w:tblCellMar>
            <w:top w:w="0" w:type="dxa"/>
            <w:left w:w="108" w:type="dxa"/>
            <w:bottom w:w="0" w:type="dxa"/>
            <w:right w:w="108" w:type="dxa"/>
          </w:tblCellMar>
        </w:tblPrEx>
        <w:trPr>
          <w:trHeight w:val="829"/>
        </w:trPr>
        <w:tc>
          <w:tcPr>
            <w:tcW w:w="9180" w:type="dxa"/>
          </w:tcPr>
          <w:p>
            <w:pPr>
              <w:snapToGrid w:val="0"/>
              <w:spacing w:line="360" w:lineRule="auto"/>
              <w:rPr>
                <w:b/>
                <w:kern w:val="21"/>
                <w:sz w:val="28"/>
                <w:szCs w:val="28"/>
              </w:rPr>
            </w:pPr>
            <w:r>
              <w:rPr>
                <w:b/>
                <w:kern w:val="21"/>
                <w:sz w:val="28"/>
                <w:szCs w:val="28"/>
              </w:rPr>
              <w:t>社会环境简况（社会经济结构、教育、文化、文物保护等）：</w:t>
            </w:r>
          </w:p>
          <w:p>
            <w:pPr>
              <w:tabs>
                <w:tab w:val="left" w:pos="4834"/>
              </w:tabs>
              <w:spacing w:line="360" w:lineRule="auto"/>
              <w:ind w:firstLine="480" w:firstLineChars="200"/>
              <w:textAlignment w:val="auto"/>
              <w:rPr>
                <w:sz w:val="24"/>
                <w:szCs w:val="24"/>
              </w:rPr>
            </w:pPr>
            <w:r>
              <w:rPr>
                <w:rFonts w:hint="eastAsia"/>
                <w:sz w:val="24"/>
                <w:szCs w:val="24"/>
              </w:rPr>
              <w:t xml:space="preserve"> </w:t>
            </w:r>
            <w:bookmarkStart w:id="2" w:name="_Toc19010463"/>
            <w:bookmarkStart w:id="3" w:name="_Toc19613750"/>
            <w:bookmarkStart w:id="4" w:name="_Toc65385420"/>
            <w:bookmarkStart w:id="5" w:name="_Toc64881515"/>
            <w:bookmarkStart w:id="6" w:name="_Toc248051112"/>
            <w:bookmarkStart w:id="7" w:name="_Toc18929746"/>
            <w:r>
              <w:rPr>
                <w:sz w:val="24"/>
                <w:szCs w:val="24"/>
              </w:rPr>
              <w:t>抚州市地处长三角、珠三角和闽东南三角区腹地，处于“南昌远郊、闽台近邻”，承东启西、贯南通北，是江西对接长珠闽的前沿阵地、通往中国台湾和东南亚的“桥头堡”，是国务院确定的海西经济区20个城市之一，是江西省第一个纳入国家战略区域发展规划的鄱阳湖生态经济9个重要城市之一，是海西经济区和鄱阳湖生态经济区的重要组成部分。</w:t>
            </w:r>
          </w:p>
          <w:bookmarkEnd w:id="2"/>
          <w:bookmarkEnd w:id="3"/>
          <w:bookmarkEnd w:id="4"/>
          <w:bookmarkEnd w:id="5"/>
          <w:bookmarkEnd w:id="6"/>
          <w:bookmarkEnd w:id="7"/>
          <w:p>
            <w:pPr>
              <w:autoSpaceDE w:val="0"/>
              <w:autoSpaceDN w:val="0"/>
              <w:adjustRightInd/>
              <w:spacing w:line="360" w:lineRule="auto"/>
              <w:ind w:firstLine="540" w:firstLineChars="225"/>
              <w:jc w:val="left"/>
              <w:textAlignment w:val="auto"/>
              <w:rPr>
                <w:b/>
                <w:bCs/>
                <w:sz w:val="24"/>
                <w:szCs w:val="24"/>
              </w:rPr>
            </w:pPr>
            <w:r>
              <w:rPr>
                <w:b/>
                <w:bCs/>
                <w:sz w:val="24"/>
                <w:szCs w:val="24"/>
              </w:rPr>
              <w:t>1、经济</w:t>
            </w:r>
          </w:p>
        </w:tc>
      </w:tr>
    </w:tbl>
    <w:p>
      <w:pPr>
        <w:sectPr>
          <w:footerReference w:type="default" r:id="rId16"/>
          <w:type w:val="nextPage"/>
          <w:pgSz w:w="11907" w:h="16840"/>
          <w:pgMar w:top="1418" w:right="1418" w:bottom="1418" w:left="1418" w:header="851" w:footer="992" w:gutter="113"/>
          <w:pgNumType w:start="12"/>
          <w:cols w:num="1" w:space="720"/>
          <w:titlePg w:val="0"/>
        </w:sectPr>
      </w:pP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829"/>
        </w:trPr>
        <w:tc>
          <w:tcPr>
            <w:tcW w:w="9180" w:type="dxa"/>
          </w:tcPr>
          <w:p>
            <w:pPr>
              <w:autoSpaceDE w:val="0"/>
              <w:autoSpaceDN w:val="0"/>
              <w:adjustRightInd/>
              <w:spacing w:line="360" w:lineRule="auto"/>
              <w:ind w:firstLine="540" w:firstLineChars="225"/>
              <w:jc w:val="left"/>
              <w:textAlignment w:val="auto"/>
              <w:rPr>
                <w:sz w:val="24"/>
                <w:szCs w:val="24"/>
              </w:rPr>
            </w:pPr>
            <w:r>
              <w:rPr>
                <w:sz w:val="24"/>
                <w:szCs w:val="24"/>
              </w:rPr>
              <w:t>2016年抚州市全市实现生产总值1210.91亿元，比上年增长8.8%。其中，第一产业增加值197亿元，增长4.0%；第二产业增加值591.34亿元，增长8.9%；第三产业增加值422.57亿元，增长11.2%。三次产业比由上年的16.5:49.7:33.8调整为16.3:48.8:34.9。人均生产总值30259</w:t>
            </w:r>
            <w:r>
              <w:rPr>
                <w:rFonts w:hint="eastAsia"/>
                <w:sz w:val="24"/>
                <w:szCs w:val="24"/>
              </w:rPr>
              <w:t>元，比上年增长9.0%。规模以上工业增加值完成394亿元，增长9.5%；外贸出口总额118.85亿元，增长16.2%；城镇化率46.65%，提高1.68个百分点。</w:t>
            </w:r>
          </w:p>
          <w:p>
            <w:pPr>
              <w:autoSpaceDE w:val="0"/>
              <w:autoSpaceDN w:val="0"/>
              <w:adjustRightInd/>
              <w:spacing w:line="360" w:lineRule="auto"/>
              <w:ind w:firstLine="540" w:firstLineChars="225"/>
              <w:jc w:val="left"/>
              <w:textAlignment w:val="auto"/>
            </w:pPr>
            <w:r>
              <w:rPr>
                <w:rFonts w:hint="eastAsia"/>
                <w:sz w:val="24"/>
                <w:szCs w:val="24"/>
              </w:rPr>
              <w:t>全年完成财政总收入171.62亿元，增长3.9%。其中，税收收入143.93亿元，增长1.7%；公共财政预算收入122.80亿元，下降3.2%。全年公共财政预算支出312.34亿元，增长6.0%。坚持公共财政向困难群众倾斜，向基层倾斜，向公共事业倾斜。其中：一般公共服务支出26.70亿元，增长14.3%；公共安全支出14.66亿元，增长13.4%；科学技术支出5.57亿元，增长10.4%；文化体育与传媒支出5.34亿元，增长15.9%；社会保障和就业支出41.61亿元，增长10.4%；教育支出57.14亿元，增长1.6%；交通运输支出8.93亿元，增长76.8%；医疗卫生支出33.89亿元，增长6.5%；农林水事务支出46.93亿元，增长5.9%；商业服务业等事务支出4.59亿元，增长32.3%。</w:t>
            </w:r>
          </w:p>
          <w:p>
            <w:pPr>
              <w:pStyle w:val="aa"/>
              <w:ind w:firstLine="482"/>
              <w:rPr>
                <w:b/>
              </w:rPr>
            </w:pPr>
            <w:r>
              <w:rPr>
                <w:b/>
              </w:rPr>
              <w:t>2</w:t>
            </w:r>
            <w:r>
              <w:rPr>
                <w:rFonts w:hAnsi="宋体"/>
                <w:b/>
              </w:rPr>
              <w:t>、交通</w:t>
            </w:r>
          </w:p>
          <w:p>
            <w:pPr>
              <w:pStyle w:val="aa"/>
              <w:ind w:firstLine="480"/>
            </w:pPr>
            <w:r>
              <w:rPr>
                <w:rFonts w:hAnsi="宋体"/>
              </w:rPr>
              <w:t>公路：境内通过的公路有高速公路京福高速（北京</w:t>
            </w:r>
            <w:r>
              <w:t>--</w:t>
            </w:r>
            <w:r>
              <w:rPr>
                <w:rFonts w:hAnsi="宋体"/>
              </w:rPr>
              <w:t>福州）、济广高速（济南</w:t>
            </w:r>
            <w:r>
              <w:t>--</w:t>
            </w:r>
            <w:r>
              <w:rPr>
                <w:rFonts w:hAnsi="宋体"/>
              </w:rPr>
              <w:t>广州）、沪昆高速（上海</w:t>
            </w:r>
            <w:r>
              <w:t>--</w:t>
            </w:r>
            <w:r>
              <w:rPr>
                <w:rFonts w:hAnsi="宋体"/>
              </w:rPr>
              <w:t>昆明）、福银高速（福州</w:t>
            </w:r>
            <w:r>
              <w:t>--</w:t>
            </w:r>
            <w:r>
              <w:rPr>
                <w:rFonts w:hAnsi="宋体"/>
              </w:rPr>
              <w:t>银川）、抚吉高速（抚州</w:t>
            </w:r>
            <w:r>
              <w:t>--</w:t>
            </w:r>
            <w:r>
              <w:rPr>
                <w:rFonts w:hAnsi="宋体"/>
              </w:rPr>
              <w:t>吉安）；国道</w:t>
            </w:r>
            <w:r>
              <w:t>G206</w:t>
            </w:r>
            <w:r>
              <w:rPr>
                <w:rFonts w:hAnsi="宋体"/>
              </w:rPr>
              <w:t>（烟台</w:t>
            </w:r>
            <w:r>
              <w:t>-</w:t>
            </w:r>
            <w:r>
              <w:rPr>
                <w:rFonts w:hAnsi="宋体"/>
              </w:rPr>
              <w:t>汕头）、</w:t>
            </w:r>
            <w:r>
              <w:t>G316</w:t>
            </w:r>
            <w:r>
              <w:rPr>
                <w:rFonts w:hAnsi="宋体"/>
              </w:rPr>
              <w:t>（福州</w:t>
            </w:r>
            <w:r>
              <w:t>-</w:t>
            </w:r>
            <w:r>
              <w:rPr>
                <w:rFonts w:hAnsi="宋体"/>
              </w:rPr>
              <w:t>兰州）、</w:t>
            </w:r>
            <w:r>
              <w:t>G320</w:t>
            </w:r>
            <w:r>
              <w:rPr>
                <w:rFonts w:hAnsi="宋体"/>
              </w:rPr>
              <w:t>（上海</w:t>
            </w:r>
            <w:r>
              <w:t>-</w:t>
            </w:r>
            <w:r>
              <w:rPr>
                <w:rFonts w:hAnsi="宋体"/>
              </w:rPr>
              <w:t>瑞丽）；省道昌厦公路、</w:t>
            </w:r>
            <w:r>
              <w:t>S213</w:t>
            </w:r>
            <w:r>
              <w:rPr>
                <w:rFonts w:hAnsi="宋体"/>
              </w:rPr>
              <w:t>抚东线、</w:t>
            </w:r>
            <w:r>
              <w:t>S214</w:t>
            </w:r>
            <w:r>
              <w:rPr>
                <w:rFonts w:hAnsi="宋体"/>
              </w:rPr>
              <w:t>抚城线、</w:t>
            </w:r>
            <w:r>
              <w:t>S327</w:t>
            </w:r>
            <w:r>
              <w:rPr>
                <w:rFonts w:hAnsi="宋体"/>
              </w:rPr>
              <w:t>黎城线、</w:t>
            </w:r>
            <w:r>
              <w:t>S205</w:t>
            </w:r>
            <w:r>
              <w:rPr>
                <w:rFonts w:hAnsi="宋体"/>
              </w:rPr>
              <w:t>资茶线、</w:t>
            </w:r>
            <w:r>
              <w:t>S332</w:t>
            </w:r>
            <w:r>
              <w:rPr>
                <w:rFonts w:hAnsi="宋体"/>
              </w:rPr>
              <w:t>杉丰线、</w:t>
            </w:r>
            <w:r>
              <w:t>S211</w:t>
            </w:r>
            <w:r>
              <w:rPr>
                <w:rFonts w:hAnsi="宋体"/>
              </w:rPr>
              <w:t>南建线、</w:t>
            </w:r>
            <w:r>
              <w:t>S329</w:t>
            </w:r>
            <w:r>
              <w:rPr>
                <w:rFonts w:hAnsi="宋体"/>
              </w:rPr>
              <w:t>抚八线、</w:t>
            </w:r>
            <w:r>
              <w:t>S330</w:t>
            </w:r>
            <w:r>
              <w:rPr>
                <w:rFonts w:hAnsi="宋体"/>
              </w:rPr>
              <w:t>黄石线、</w:t>
            </w:r>
            <w:r>
              <w:t>S328</w:t>
            </w:r>
            <w:r>
              <w:rPr>
                <w:rFonts w:hAnsi="宋体"/>
              </w:rPr>
              <w:t>临崇线、</w:t>
            </w:r>
            <w:r>
              <w:t>S218</w:t>
            </w:r>
            <w:r>
              <w:rPr>
                <w:rFonts w:hAnsi="宋体"/>
              </w:rPr>
              <w:t>临宁线；市到县、县到县全部开通二级以上公路；建成县乡村水泥</w:t>
            </w:r>
            <w:r>
              <w:t>(</w:t>
            </w:r>
            <w:r>
              <w:rPr>
                <w:rFonts w:hAnsi="宋体"/>
              </w:rPr>
              <w:t>油</w:t>
            </w:r>
            <w:r>
              <w:t>)</w:t>
            </w:r>
            <w:r>
              <w:rPr>
                <w:rFonts w:hAnsi="宋体"/>
              </w:rPr>
              <w:t>路面</w:t>
            </w:r>
            <w:r>
              <w:t>822</w:t>
            </w:r>
            <w:r>
              <w:rPr>
                <w:rFonts w:hAnsi="宋体"/>
              </w:rPr>
              <w:t>公里，新增</w:t>
            </w:r>
            <w:r>
              <w:t>131</w:t>
            </w:r>
            <w:r>
              <w:rPr>
                <w:rFonts w:hAnsi="宋体"/>
              </w:rPr>
              <w:t>个行政村通水泥</w:t>
            </w:r>
            <w:r>
              <w:t>(</w:t>
            </w:r>
            <w:r>
              <w:rPr>
                <w:rFonts w:hAnsi="宋体"/>
              </w:rPr>
              <w:t>油</w:t>
            </w:r>
            <w:r>
              <w:t>)</w:t>
            </w:r>
            <w:r>
              <w:rPr>
                <w:rFonts w:hAnsi="宋体"/>
              </w:rPr>
              <w:t>路，行政村通水泥</w:t>
            </w:r>
            <w:r>
              <w:t>(</w:t>
            </w:r>
            <w:r>
              <w:rPr>
                <w:rFonts w:hAnsi="宋体"/>
              </w:rPr>
              <w:t>油</w:t>
            </w:r>
            <w:r>
              <w:t>)</w:t>
            </w:r>
            <w:r>
              <w:rPr>
                <w:rFonts w:hAnsi="宋体"/>
              </w:rPr>
              <w:t>路通达率达</w:t>
            </w:r>
            <w:r>
              <w:t>56.0%</w:t>
            </w:r>
            <w:r>
              <w:rPr>
                <w:rFonts w:hAnsi="宋体"/>
              </w:rPr>
              <w:t>。</w:t>
            </w:r>
          </w:p>
          <w:p>
            <w:pPr>
              <w:pStyle w:val="aa"/>
              <w:ind w:firstLine="480"/>
            </w:pPr>
            <w:r>
              <w:rPr>
                <w:rFonts w:hAnsi="宋体"/>
              </w:rPr>
              <w:t>铁路：境内通过的铁路有向莆铁路、向乐铁路、沪昆高铁、浙赣铁路、鹰厦铁路、可通往江西、上海、福建、浙江、湖南、江苏、北京、河南、安徽、湖北、重庆、陕西、四川等各省市。</w:t>
            </w:r>
          </w:p>
          <w:p>
            <w:pPr>
              <w:pStyle w:val="aa"/>
              <w:ind w:firstLine="480"/>
            </w:pPr>
            <w:r>
              <w:rPr>
                <w:rFonts w:hAnsi="宋体"/>
              </w:rPr>
              <w:t>航空：距离昌北国际机场</w:t>
            </w:r>
            <w:r>
              <w:t>96</w:t>
            </w:r>
            <w:r>
              <w:rPr>
                <w:rFonts w:hAnsi="宋体"/>
              </w:rPr>
              <w:t>公里，有抚州市区到昌北机场巴士快线，单程</w:t>
            </w:r>
            <w:r>
              <w:t>110</w:t>
            </w:r>
            <w:r>
              <w:rPr>
                <w:rFonts w:hAnsi="宋体"/>
              </w:rPr>
              <w:t>分钟可到达。可至香港、深圳、广州、厦门、上海、宁波、北京等各大城市。拟选址在金溪县建设抚州机场。</w:t>
            </w:r>
          </w:p>
          <w:p>
            <w:pPr>
              <w:pStyle w:val="aa"/>
              <w:ind w:firstLine="482"/>
              <w:rPr>
                <w:b/>
              </w:rPr>
            </w:pPr>
            <w:r>
              <w:rPr>
                <w:b/>
              </w:rPr>
              <w:t>3</w:t>
            </w:r>
            <w:r>
              <w:rPr>
                <w:rFonts w:hAnsi="宋体"/>
                <w:b/>
              </w:rPr>
              <w:t>、教育</w:t>
            </w:r>
          </w:p>
          <w:p>
            <w:pPr>
              <w:pStyle w:val="aa"/>
              <w:spacing w:after="0"/>
              <w:ind w:firstLine="480"/>
            </w:pPr>
            <w:r>
              <w:rPr>
                <w:rFonts w:hAnsi="宋体"/>
              </w:rPr>
              <w:t>教育质量和水平进一步提升。</w:t>
            </w:r>
            <w:r>
              <w:t>“</w:t>
            </w:r>
            <w:r>
              <w:rPr>
                <w:rFonts w:hAnsi="宋体"/>
              </w:rPr>
              <w:t>以县为主</w:t>
            </w:r>
            <w:r>
              <w:t>”</w:t>
            </w:r>
          </w:p>
        </w:tc>
      </w:tr>
    </w:tbl>
    <w:p>
      <w:pPr>
        <w:sectPr>
          <w:footerReference w:type="default" r:id="rId17"/>
          <w:type w:val="nextPage"/>
          <w:pgSz w:w="11907" w:h="16840"/>
          <w:pgMar w:top="1418" w:right="1418" w:bottom="1418" w:left="1418" w:header="851" w:footer="992" w:gutter="113"/>
          <w:pgNumType w:start="13"/>
          <w:cols w:num="1" w:space="720"/>
          <w:titlePg w:val="0"/>
        </w:sectPr>
      </w:pP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829"/>
        </w:trPr>
        <w:tc>
          <w:tcPr>
            <w:tcW w:w="9180" w:type="dxa"/>
          </w:tcPr>
          <w:p>
            <w:pPr>
              <w:pStyle w:val="aa"/>
              <w:spacing w:before="0"/>
              <w:ind w:firstLine="480"/>
            </w:pPr>
            <w:r>
              <w:rPr>
                <w:rFonts w:hAnsi="宋体"/>
              </w:rPr>
              <w:t>的农村义务教育管理体制和中小学素质教育管理体制已经建立，高考录取率连续八年居全省第一。全市共有小学</w:t>
            </w:r>
            <w:r>
              <w:t>1662</w:t>
            </w:r>
            <w:r>
              <w:rPr>
                <w:rFonts w:hAnsi="宋体"/>
              </w:rPr>
              <w:t>所，在校学生</w:t>
            </w:r>
            <w:r>
              <w:t>37.13</w:t>
            </w:r>
            <w:r>
              <w:rPr>
                <w:rFonts w:hAnsi="宋体"/>
              </w:rPr>
              <w:t>万人，比上年增长</w:t>
            </w:r>
            <w:r>
              <w:t>6.5%</w:t>
            </w:r>
            <w:r>
              <w:rPr>
                <w:rFonts w:hAnsi="宋体"/>
              </w:rPr>
              <w:t>；普通中学</w:t>
            </w:r>
            <w:r>
              <w:t>227</w:t>
            </w:r>
            <w:r>
              <w:rPr>
                <w:rFonts w:hAnsi="宋体"/>
              </w:rPr>
              <w:t>所，比上年增加</w:t>
            </w:r>
            <w:r>
              <w:t>7</w:t>
            </w:r>
            <w:r>
              <w:rPr>
                <w:rFonts w:hAnsi="宋体"/>
              </w:rPr>
              <w:t>所。普通中学在校学生</w:t>
            </w:r>
            <w:r>
              <w:t>23.57</w:t>
            </w:r>
            <w:r>
              <w:rPr>
                <w:rFonts w:hAnsi="宋体"/>
              </w:rPr>
              <w:t>万人，比上年下降</w:t>
            </w:r>
            <w:r>
              <w:t>4.1%</w:t>
            </w:r>
            <w:r>
              <w:rPr>
                <w:rFonts w:hAnsi="宋体"/>
              </w:rPr>
              <w:t>，其中普通初中在校学生</w:t>
            </w:r>
            <w:r>
              <w:t>14.97</w:t>
            </w:r>
            <w:r>
              <w:rPr>
                <w:rFonts w:hAnsi="宋体"/>
              </w:rPr>
              <w:t>万人，比上年下降</w:t>
            </w:r>
            <w:r>
              <w:t>5.3%</w:t>
            </w:r>
            <w:r>
              <w:rPr>
                <w:rFonts w:hAnsi="宋体"/>
              </w:rPr>
              <w:t>；普通高中在校学生</w:t>
            </w:r>
            <w:r>
              <w:t>8.6</w:t>
            </w:r>
            <w:r>
              <w:rPr>
                <w:rFonts w:hAnsi="宋体"/>
              </w:rPr>
              <w:t>万人，比上年下降</w:t>
            </w:r>
            <w:r>
              <w:t>1%</w:t>
            </w:r>
            <w:r>
              <w:rPr>
                <w:rFonts w:hAnsi="宋体"/>
              </w:rPr>
              <w:t>。职业高中学校</w:t>
            </w:r>
            <w:r>
              <w:t>38</w:t>
            </w:r>
            <w:r>
              <w:rPr>
                <w:rFonts w:hAnsi="宋体"/>
              </w:rPr>
              <w:t>所，在校学生</w:t>
            </w:r>
            <w:r>
              <w:t>2.49</w:t>
            </w:r>
            <w:r>
              <w:rPr>
                <w:rFonts w:hAnsi="宋体"/>
              </w:rPr>
              <w:t>万人，比上年增长</w:t>
            </w:r>
            <w:r>
              <w:t>31.7%</w:t>
            </w:r>
            <w:r>
              <w:rPr>
                <w:rFonts w:hAnsi="宋体"/>
              </w:rPr>
              <w:t>。小学学龄儿童入学率达</w:t>
            </w:r>
            <w:r>
              <w:t>100%</w:t>
            </w:r>
            <w:r>
              <w:rPr>
                <w:rFonts w:hAnsi="宋体"/>
              </w:rPr>
              <w:t>，初中阶段入学率达</w:t>
            </w:r>
            <w:r>
              <w:t>97.7%</w:t>
            </w:r>
            <w:r>
              <w:rPr>
                <w:rFonts w:hAnsi="宋体"/>
              </w:rPr>
              <w:t>。</w:t>
            </w:r>
          </w:p>
          <w:p>
            <w:pPr>
              <w:pStyle w:val="aa"/>
              <w:ind w:firstLine="482"/>
              <w:rPr>
                <w:b/>
              </w:rPr>
            </w:pPr>
            <w:r>
              <w:rPr>
                <w:b/>
              </w:rPr>
              <w:t>4</w:t>
            </w:r>
            <w:r>
              <w:rPr>
                <w:rFonts w:hAnsi="宋体"/>
                <w:b/>
              </w:rPr>
              <w:t>、广播电视</w:t>
            </w:r>
          </w:p>
          <w:p>
            <w:pPr>
              <w:pStyle w:val="aa"/>
              <w:ind w:firstLine="480"/>
            </w:pPr>
            <w:r>
              <w:rPr>
                <w:rFonts w:hAnsi="宋体"/>
              </w:rPr>
              <w:t>广播电视事业快速发展。全市通广播电视的行政村</w:t>
            </w:r>
            <w:r>
              <w:t>1844</w:t>
            </w:r>
            <w:r>
              <w:rPr>
                <w:rFonts w:hAnsi="宋体"/>
              </w:rPr>
              <w:t>个，覆盖率达</w:t>
            </w:r>
            <w:r>
              <w:t>96%</w:t>
            </w:r>
            <w:r>
              <w:rPr>
                <w:rFonts w:hAnsi="宋体"/>
              </w:rPr>
              <w:t>。全市有乡镇广播电视机构</w:t>
            </w:r>
            <w:r>
              <w:t>151</w:t>
            </w:r>
            <w:r>
              <w:rPr>
                <w:rFonts w:hAnsi="宋体"/>
              </w:rPr>
              <w:t>个，广播综合人口覆盖率达</w:t>
            </w:r>
            <w:r>
              <w:t>90.3%</w:t>
            </w:r>
            <w:r>
              <w:rPr>
                <w:rFonts w:hAnsi="宋体"/>
              </w:rPr>
              <w:t>，电视综合人口覆盖率达</w:t>
            </w:r>
            <w:r>
              <w:t>94.8%</w:t>
            </w:r>
            <w:r>
              <w:rPr>
                <w:rFonts w:hAnsi="宋体"/>
              </w:rPr>
              <w:t>。</w:t>
            </w:r>
          </w:p>
          <w:p>
            <w:pPr>
              <w:pStyle w:val="aa"/>
              <w:ind w:firstLine="482"/>
              <w:rPr>
                <w:b/>
              </w:rPr>
            </w:pPr>
            <w:r>
              <w:rPr>
                <w:b/>
              </w:rPr>
              <w:t>5</w:t>
            </w:r>
            <w:r>
              <w:rPr>
                <w:rFonts w:hAnsi="宋体"/>
                <w:b/>
              </w:rPr>
              <w:t>、卫生</w:t>
            </w:r>
          </w:p>
          <w:p>
            <w:pPr>
              <w:pStyle w:val="aa"/>
              <w:ind w:firstLine="480"/>
            </w:pPr>
            <w:r>
              <w:rPr>
                <w:rFonts w:hAnsi="宋体"/>
              </w:rPr>
              <w:t>卫生事业不断进步。全市各类医疗卫生机构</w:t>
            </w:r>
            <w:r>
              <w:t>279</w:t>
            </w:r>
            <w:r>
              <w:rPr>
                <w:rFonts w:hAnsi="宋体"/>
              </w:rPr>
              <w:t>个，比上年增加</w:t>
            </w:r>
            <w:r>
              <w:t>25</w:t>
            </w:r>
            <w:r>
              <w:rPr>
                <w:rFonts w:hAnsi="宋体"/>
              </w:rPr>
              <w:t>个。其中医院</w:t>
            </w:r>
            <w:r>
              <w:t>44</w:t>
            </w:r>
            <w:r>
              <w:rPr>
                <w:rFonts w:hAnsi="宋体"/>
              </w:rPr>
              <w:t>个，卫生院</w:t>
            </w:r>
            <w:r>
              <w:t>166</w:t>
            </w:r>
            <w:r>
              <w:rPr>
                <w:rFonts w:hAnsi="宋体"/>
              </w:rPr>
              <w:t>个，妇幼保健院</w:t>
            </w:r>
            <w:r>
              <w:t>12</w:t>
            </w:r>
            <w:r>
              <w:rPr>
                <w:rFonts w:hAnsi="宋体"/>
              </w:rPr>
              <w:t>个，专科疾病防治院</w:t>
            </w:r>
            <w:r>
              <w:t>7</w:t>
            </w:r>
            <w:r>
              <w:rPr>
                <w:rFonts w:hAnsi="宋体"/>
              </w:rPr>
              <w:t>个，疾病预防控制中心</w:t>
            </w:r>
            <w:r>
              <w:t>14</w:t>
            </w:r>
            <w:r>
              <w:rPr>
                <w:rFonts w:hAnsi="宋体"/>
              </w:rPr>
              <w:t>个，卫生监督所</w:t>
            </w:r>
            <w:r>
              <w:t>12</w:t>
            </w:r>
            <w:r>
              <w:rPr>
                <w:rFonts w:hAnsi="宋体"/>
              </w:rPr>
              <w:t>个。全市卫生技术人员</w:t>
            </w:r>
            <w:r>
              <w:t>8912</w:t>
            </w:r>
            <w:r>
              <w:rPr>
                <w:rFonts w:hAnsi="宋体"/>
              </w:rPr>
              <w:t>人，比上年增加</w:t>
            </w:r>
            <w:r>
              <w:t>325</w:t>
            </w:r>
            <w:r>
              <w:rPr>
                <w:rFonts w:hAnsi="宋体"/>
              </w:rPr>
              <w:t>人，其中执业医师</w:t>
            </w:r>
            <w:r>
              <w:t>3207</w:t>
            </w:r>
            <w:r>
              <w:rPr>
                <w:rFonts w:hAnsi="宋体"/>
              </w:rPr>
              <w:t>人，执业助理医师</w:t>
            </w:r>
            <w:r>
              <w:t>588</w:t>
            </w:r>
            <w:r>
              <w:rPr>
                <w:rFonts w:hAnsi="宋体"/>
              </w:rPr>
              <w:t>人，注册护士</w:t>
            </w:r>
            <w:r>
              <w:t>3083</w:t>
            </w:r>
            <w:r>
              <w:rPr>
                <w:rFonts w:hAnsi="宋体"/>
              </w:rPr>
              <w:t>人，药剂人员</w:t>
            </w:r>
            <w:r>
              <w:t>925</w:t>
            </w:r>
            <w:r>
              <w:rPr>
                <w:rFonts w:hAnsi="宋体"/>
              </w:rPr>
              <w:t>人，检验人员</w:t>
            </w:r>
            <w:r>
              <w:t>510</w:t>
            </w:r>
            <w:r>
              <w:rPr>
                <w:rFonts w:hAnsi="宋体"/>
              </w:rPr>
              <w:t>人，其他</w:t>
            </w:r>
            <w:r>
              <w:t>599</w:t>
            </w:r>
            <w:r>
              <w:rPr>
                <w:rFonts w:hAnsi="宋体"/>
              </w:rPr>
              <w:t>人。医院、卫生院床位数</w:t>
            </w:r>
            <w:r>
              <w:t>6322</w:t>
            </w:r>
            <w:r>
              <w:rPr>
                <w:rFonts w:hAnsi="宋体"/>
              </w:rPr>
              <w:t>张，比上年增加</w:t>
            </w:r>
            <w:r>
              <w:t>294</w:t>
            </w:r>
            <w:r>
              <w:rPr>
                <w:rFonts w:hAnsi="宋体"/>
              </w:rPr>
              <w:t>张。</w:t>
            </w:r>
          </w:p>
          <w:p>
            <w:pPr>
              <w:pStyle w:val="aa"/>
              <w:ind w:firstLine="482"/>
              <w:rPr>
                <w:b/>
              </w:rPr>
            </w:pPr>
            <w:r>
              <w:rPr>
                <w:b/>
              </w:rPr>
              <w:t>6</w:t>
            </w:r>
            <w:r>
              <w:rPr>
                <w:rFonts w:hAnsi="宋体"/>
                <w:b/>
              </w:rPr>
              <w:t>、人口</w:t>
            </w:r>
          </w:p>
          <w:p>
            <w:pPr>
              <w:pStyle w:val="aa"/>
              <w:ind w:firstLine="480"/>
            </w:pPr>
            <w:r>
              <w:rPr>
                <w:rFonts w:hAnsi="宋体"/>
              </w:rPr>
              <w:t>人口增长得到有效控制。全市总人口为</w:t>
            </w:r>
            <w:r>
              <w:t>400</w:t>
            </w:r>
            <w:r>
              <w:rPr>
                <w:rFonts w:hAnsi="宋体"/>
              </w:rPr>
              <w:t>万人，出生率为</w:t>
            </w:r>
            <w:r>
              <w:t>13.83‰</w:t>
            </w:r>
            <w:r>
              <w:rPr>
                <w:rFonts w:hAnsi="宋体"/>
              </w:rPr>
              <w:t>，死亡率为</w:t>
            </w:r>
            <w:r>
              <w:t>5.98‰</w:t>
            </w:r>
            <w:r>
              <w:rPr>
                <w:rFonts w:hAnsi="宋体"/>
              </w:rPr>
              <w:t>，自然增长率为</w:t>
            </w:r>
            <w:r>
              <w:t>7.85‰</w:t>
            </w:r>
            <w:r>
              <w:rPr>
                <w:rFonts w:hAnsi="宋体"/>
              </w:rPr>
              <w:t>。</w:t>
            </w:r>
          </w:p>
          <w:p>
            <w:pPr>
              <w:pStyle w:val="aa"/>
              <w:ind w:firstLine="482"/>
              <w:rPr>
                <w:b/>
              </w:rPr>
            </w:pPr>
            <w:r>
              <w:rPr>
                <w:b/>
              </w:rPr>
              <w:t>7</w:t>
            </w:r>
            <w:r>
              <w:rPr>
                <w:rFonts w:hAnsi="宋体"/>
                <w:b/>
              </w:rPr>
              <w:t>、投资环境</w:t>
            </w:r>
          </w:p>
          <w:p>
            <w:pPr>
              <w:pStyle w:val="aa"/>
              <w:ind w:firstLine="480"/>
            </w:pPr>
            <w:r>
              <w:rPr>
                <w:rFonts w:hAnsi="宋体"/>
              </w:rPr>
              <w:t>投资环境明显改善，对外开放迅猛发展。市内交通优越，县县铺设油路，所属</w:t>
            </w:r>
            <w:r>
              <w:t>200</w:t>
            </w:r>
            <w:r>
              <w:rPr>
                <w:rFonts w:hAnsi="宋体"/>
              </w:rPr>
              <w:t>多个乡镇全部可通客货车，建成了一个以国道为主架、以临川为中心、以县道为支脉，四面八方延伸贯通的庞大公路运输网。全市邮电业务总量比</w:t>
            </w:r>
            <w:r>
              <w:t>1978</w:t>
            </w:r>
            <w:r>
              <w:rPr>
                <w:rFonts w:hAnsi="宋体"/>
              </w:rPr>
              <w:t>年增长</w:t>
            </w:r>
            <w:r>
              <w:t>37</w:t>
            </w:r>
            <w:r>
              <w:rPr>
                <w:rFonts w:hAnsi="宋体"/>
              </w:rPr>
              <w:t>倍。目前，以程控交换、移动通讯、数字微波、光缆传输为主，设备、技术先进的现代化电信网和邮政网已经形成。由于电力基础设施日趋完善，全市电力紧张矛盾已全面缓解，整个招商引资环境大为改观。</w:t>
            </w:r>
          </w:p>
          <w:p>
            <w:pPr>
              <w:pStyle w:val="2"/>
              <w:ind w:firstLine="482"/>
              <w:rPr>
                <w:b/>
                <w:kern w:val="21"/>
              </w:rPr>
            </w:pPr>
          </w:p>
          <w:p>
            <w:pPr>
              <w:pStyle w:val="2"/>
              <w:ind w:firstLine="482"/>
              <w:rPr>
                <w:b/>
                <w:kern w:val="21"/>
              </w:rPr>
            </w:pPr>
          </w:p>
          <w:p>
            <w:pPr>
              <w:pStyle w:val="2"/>
              <w:ind w:firstLine="482"/>
              <w:rPr>
                <w:b/>
                <w:kern w:val="21"/>
              </w:rPr>
            </w:pPr>
          </w:p>
          <w:p>
            <w:pPr>
              <w:pStyle w:val="2"/>
              <w:ind w:firstLine="0" w:firstLineChars="0"/>
              <w:rPr>
                <w:b/>
                <w:kern w:val="21"/>
              </w:rPr>
            </w:pPr>
          </w:p>
        </w:tc>
      </w:tr>
    </w:tbl>
    <w:p>
      <w:pPr>
        <w:sectPr>
          <w:footerReference w:type="default" r:id="rId18"/>
          <w:type w:val="nextPage"/>
          <w:pgSz w:w="11907" w:h="16840"/>
          <w:pgMar w:top="1418" w:right="1418" w:bottom="1418" w:left="1418" w:header="851" w:footer="992" w:gutter="113"/>
          <w:pgNumType w:start="14"/>
          <w:cols w:num="1" w:space="720"/>
          <w:titlePg w:val="0"/>
        </w:sectPr>
      </w:pPr>
    </w:p>
    <w:tbl>
      <w:tblPr>
        <w:tblStyle w:val="TableNormal"/>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
      <w:tblGrid>
        <w:gridCol w:w="9180"/>
      </w:tblGrid>
      <w:tr>
        <w:tblPrEx>
          <w:tblW w:w="9180" w:type="dxa"/>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top w:w="0" w:type="dxa"/>
            <w:left w:w="108" w:type="dxa"/>
            <w:bottom w:w="0" w:type="dxa"/>
            <w:right w:w="108" w:type="dxa"/>
          </w:tblCellMar>
        </w:tblPrEx>
        <w:trPr>
          <w:trHeight w:val="829"/>
        </w:trPr>
        <w:tc>
          <w:tcPr>
            <w:tcW w:w="9180" w:type="dxa"/>
          </w:tcPr>
          <w:p>
            <w:pPr>
              <w:pStyle w:val="2"/>
              <w:ind w:firstLine="482"/>
              <w:rPr>
                <w:b/>
                <w:kern w:val="21"/>
              </w:rPr>
            </w:pPr>
            <w:r>
              <w:rPr>
                <w:b/>
                <w:kern w:val="21"/>
              </w:rPr>
              <w:t>环境功能区区划</w:t>
            </w:r>
          </w:p>
          <w:p>
            <w:pPr>
              <w:pStyle w:val="2"/>
              <w:rPr>
                <w:kern w:val="21"/>
              </w:rPr>
            </w:pPr>
            <w:r>
              <w:rPr>
                <w:kern w:val="21"/>
              </w:rPr>
              <w:t>项目所在地环境功能区区划见下表所示：</w:t>
            </w:r>
          </w:p>
          <w:p>
            <w:pPr>
              <w:pStyle w:val="2"/>
              <w:ind w:firstLine="482"/>
              <w:jc w:val="center"/>
              <w:rPr>
                <w:b/>
                <w:kern w:val="21"/>
              </w:rPr>
            </w:pPr>
            <w:r>
              <w:rPr>
                <w:b/>
                <w:kern w:val="21"/>
              </w:rPr>
              <w:t>表4  项目所在地环境功能区区划</w:t>
            </w:r>
          </w:p>
          <w:tbl>
            <w:tblPr>
              <w:tblStyle w:val="TableNormal"/>
              <w:tblW w:w="903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88"/>
              <w:gridCol w:w="2341"/>
              <w:gridCol w:w="5806"/>
            </w:tblGrid>
            <w:tr>
              <w:tblPrEx>
                <w:tblW w:w="9035"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
                      <w:kern w:val="21"/>
                      <w:sz w:val="21"/>
                      <w:szCs w:val="21"/>
                    </w:rPr>
                    <w:t>编号</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
                      <w:kern w:val="21"/>
                      <w:sz w:val="21"/>
                      <w:szCs w:val="21"/>
                    </w:rPr>
                    <w:t>项目</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
                      <w:kern w:val="21"/>
                      <w:sz w:val="21"/>
                      <w:szCs w:val="21"/>
                    </w:rPr>
                    <w:t>类别</w:t>
                  </w:r>
                </w:p>
              </w:tc>
            </w:tr>
            <w:tr>
              <w:tblPrEx>
                <w:tblW w:w="9035" w:type="dxa"/>
                <w:jc w:val="center"/>
                <w:tblLayout w:type="fixed"/>
                <w:tblCellMar>
                  <w:top w:w="0" w:type="dxa"/>
                  <w:left w:w="108" w:type="dxa"/>
                  <w:bottom w:w="0" w:type="dxa"/>
                  <w:right w:w="108" w:type="dxa"/>
                </w:tblCellMar>
              </w:tblPrEx>
              <w:trPr>
                <w:trHeight w:val="821"/>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1</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水环境功能区</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项目所在地纳污水体为</w:t>
                  </w:r>
                  <w:r>
                    <w:rPr>
                      <w:rFonts w:hint="eastAsia"/>
                      <w:bCs/>
                      <w:sz w:val="21"/>
                      <w:szCs w:val="21"/>
                    </w:rPr>
                    <w:t>抚河</w:t>
                  </w:r>
                  <w:r>
                    <w:rPr>
                      <w:bCs/>
                      <w:kern w:val="21"/>
                      <w:sz w:val="21"/>
                      <w:szCs w:val="21"/>
                    </w:rPr>
                    <w:t>，地表水质量标准执行《地表水环境质量标准》（GB3838-2002）中Ⅲ类水体标准要求；</w:t>
                  </w:r>
                </w:p>
              </w:tc>
            </w:tr>
            <w:tr>
              <w:tblPrEx>
                <w:tblW w:w="9035" w:type="dxa"/>
                <w:jc w:val="center"/>
                <w:tblLayout w:type="fixed"/>
                <w:tblCellMar>
                  <w:top w:w="0" w:type="dxa"/>
                  <w:left w:w="108" w:type="dxa"/>
                  <w:bottom w:w="0" w:type="dxa"/>
                  <w:right w:w="108" w:type="dxa"/>
                </w:tblCellMar>
              </w:tblPrEx>
              <w:trPr>
                <w:trHeight w:val="539"/>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2</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大气环境功能区</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项目所在地空气质量标准执行《环境空气质量标准》（GB3095-2012）中二级标准要求；</w:t>
                  </w:r>
                </w:p>
              </w:tc>
            </w:tr>
            <w:tr>
              <w:tblPrEx>
                <w:tblW w:w="9035" w:type="dxa"/>
                <w:jc w:val="center"/>
                <w:tblLayout w:type="fixed"/>
                <w:tblCellMar>
                  <w:top w:w="0" w:type="dxa"/>
                  <w:left w:w="108" w:type="dxa"/>
                  <w:bottom w:w="0" w:type="dxa"/>
                  <w:right w:w="108" w:type="dxa"/>
                </w:tblCellMar>
              </w:tblPrEx>
              <w:trPr>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3</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声环境功能区</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项目所在地声环境质量标准执行《声环境质量标准》（GB3096-2008）中2类区的标准要求</w:t>
                  </w:r>
                </w:p>
              </w:tc>
            </w:tr>
            <w:tr>
              <w:tblPrEx>
                <w:tblW w:w="9035" w:type="dxa"/>
                <w:jc w:val="center"/>
                <w:tblLayout w:type="fixed"/>
                <w:tblCellMar>
                  <w:top w:w="0" w:type="dxa"/>
                  <w:left w:w="108" w:type="dxa"/>
                  <w:bottom w:w="0" w:type="dxa"/>
                  <w:right w:w="108" w:type="dxa"/>
                </w:tblCellMar>
              </w:tblPrEx>
              <w:trPr>
                <w:trHeight w:val="449"/>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4</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是否属于</w:t>
                  </w:r>
                  <w:r>
                    <w:rPr>
                      <w:rFonts w:hint="eastAsia"/>
                      <w:bCs/>
                      <w:kern w:val="21"/>
                      <w:sz w:val="21"/>
                      <w:szCs w:val="21"/>
                    </w:rPr>
                    <w:t>临川区</w:t>
                  </w:r>
                  <w:r>
                    <w:rPr>
                      <w:bCs/>
                      <w:kern w:val="21"/>
                      <w:sz w:val="21"/>
                      <w:szCs w:val="21"/>
                    </w:rPr>
                    <w:t>基本生态控制线范围内</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否</w:t>
                  </w:r>
                </w:p>
              </w:tc>
            </w:tr>
            <w:tr>
              <w:tblPrEx>
                <w:tblW w:w="9035" w:type="dxa"/>
                <w:jc w:val="center"/>
                <w:tblLayout w:type="fixed"/>
                <w:tblCellMar>
                  <w:top w:w="0" w:type="dxa"/>
                  <w:left w:w="108" w:type="dxa"/>
                  <w:bottom w:w="0" w:type="dxa"/>
                  <w:right w:w="108" w:type="dxa"/>
                </w:tblCellMar>
              </w:tblPrEx>
              <w:trPr>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5</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是否属于水源保护区</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否</w:t>
                  </w:r>
                </w:p>
              </w:tc>
            </w:tr>
            <w:tr>
              <w:tblPrEx>
                <w:tblW w:w="9035" w:type="dxa"/>
                <w:jc w:val="center"/>
                <w:tblLayout w:type="fixed"/>
                <w:tblCellMar>
                  <w:top w:w="0" w:type="dxa"/>
                  <w:left w:w="108" w:type="dxa"/>
                  <w:bottom w:w="0" w:type="dxa"/>
                  <w:right w:w="108" w:type="dxa"/>
                </w:tblCellMar>
              </w:tblPrEx>
              <w:trPr>
                <w:trHeight w:val="395"/>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6</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是否属于城镇污水处理厂集污范围</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是</w:t>
                  </w:r>
                  <w:r>
                    <w:rPr>
                      <w:rFonts w:hint="eastAsia"/>
                      <w:bCs/>
                      <w:kern w:val="21"/>
                      <w:sz w:val="21"/>
                      <w:szCs w:val="21"/>
                    </w:rPr>
                    <w:t>，属于抚州市污水处理厂集污范围</w:t>
                  </w:r>
                </w:p>
              </w:tc>
            </w:tr>
            <w:tr>
              <w:tblPrEx>
                <w:tblW w:w="9035" w:type="dxa"/>
                <w:jc w:val="center"/>
                <w:tblLayout w:type="fixed"/>
                <w:tblCellMar>
                  <w:top w:w="0" w:type="dxa"/>
                  <w:left w:w="108" w:type="dxa"/>
                  <w:bottom w:w="0" w:type="dxa"/>
                  <w:right w:w="108" w:type="dxa"/>
                </w:tblCellMar>
              </w:tblPrEx>
              <w:trPr>
                <w:jc w:val="center"/>
              </w:trPr>
              <w:tc>
                <w:tcPr>
                  <w:tcW w:w="888"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7</w:t>
                  </w:r>
                </w:p>
              </w:tc>
              <w:tc>
                <w:tcPr>
                  <w:tcW w:w="2341" w:type="dxa"/>
                  <w:tcBorders>
                    <w:tl2br w:val="nil"/>
                    <w:tr2bl w:val="nil"/>
                  </w:tcBorders>
                  <w:vAlign w:val="center"/>
                </w:tcPr>
                <w:p>
                  <w:pPr>
                    <w:pStyle w:val="2"/>
                    <w:spacing w:line="300" w:lineRule="auto"/>
                    <w:ind w:firstLine="0" w:firstLineChars="0"/>
                    <w:jc w:val="center"/>
                    <w:rPr>
                      <w:b/>
                      <w:kern w:val="21"/>
                      <w:sz w:val="21"/>
                      <w:szCs w:val="21"/>
                    </w:rPr>
                  </w:pPr>
                  <w:r>
                    <w:rPr>
                      <w:bCs/>
                      <w:kern w:val="21"/>
                      <w:sz w:val="21"/>
                      <w:szCs w:val="21"/>
                    </w:rPr>
                    <w:t>土地利用</w:t>
                  </w:r>
                </w:p>
              </w:tc>
              <w:tc>
                <w:tcPr>
                  <w:tcW w:w="5806" w:type="dxa"/>
                  <w:tcBorders>
                    <w:tl2br w:val="nil"/>
                    <w:tr2bl w:val="nil"/>
                  </w:tcBorders>
                  <w:vAlign w:val="center"/>
                </w:tcPr>
                <w:p>
                  <w:pPr>
                    <w:pStyle w:val="2"/>
                    <w:spacing w:line="300" w:lineRule="auto"/>
                    <w:ind w:firstLine="0" w:firstLineChars="0"/>
                    <w:jc w:val="center"/>
                    <w:rPr>
                      <w:b/>
                      <w:kern w:val="21"/>
                      <w:sz w:val="21"/>
                      <w:szCs w:val="21"/>
                    </w:rPr>
                  </w:pPr>
                  <w:r>
                    <w:rPr>
                      <w:rFonts w:hint="eastAsia"/>
                      <w:kern w:val="21"/>
                      <w:sz w:val="21"/>
                      <w:szCs w:val="21"/>
                    </w:rPr>
                    <w:t>公共管理与公共服务设施用地</w:t>
                  </w:r>
                </w:p>
              </w:tc>
            </w:tr>
          </w:tbl>
          <w:p>
            <w:pPr>
              <w:pStyle w:val="2"/>
              <w:ind w:firstLine="482"/>
              <w:jc w:val="center"/>
              <w:rPr>
                <w:b/>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482"/>
              <w:jc w:val="center"/>
              <w:rPr>
                <w:b/>
                <w:color w:val="FF0000"/>
                <w:kern w:val="21"/>
              </w:rPr>
            </w:pPr>
          </w:p>
          <w:p>
            <w:pPr>
              <w:pStyle w:val="2"/>
              <w:ind w:firstLine="0" w:firstLineChars="0"/>
              <w:rPr>
                <w:b/>
                <w:color w:val="FF0000"/>
                <w:kern w:val="21"/>
              </w:rPr>
            </w:pPr>
          </w:p>
          <w:p>
            <w:pPr>
              <w:pStyle w:val="2"/>
              <w:ind w:firstLine="0" w:firstLineChars="0"/>
              <w:rPr>
                <w:b/>
                <w:color w:val="FF0000"/>
                <w:kern w:val="21"/>
              </w:rPr>
            </w:pPr>
          </w:p>
          <w:p>
            <w:pPr>
              <w:snapToGrid w:val="0"/>
              <w:spacing w:line="360" w:lineRule="auto"/>
              <w:rPr>
                <w:b/>
                <w:color w:val="FF0000"/>
                <w:kern w:val="21"/>
                <w:sz w:val="24"/>
                <w:szCs w:val="24"/>
              </w:rPr>
            </w:pPr>
          </w:p>
        </w:tc>
      </w:tr>
    </w:tbl>
    <w:p>
      <w:pPr>
        <w:sectPr>
          <w:footerReference w:type="default" r:id="rId19"/>
          <w:type w:val="nextPage"/>
          <w:pgSz w:w="11907" w:h="16840"/>
          <w:pgMar w:top="1418" w:right="1418" w:bottom="1418" w:left="1418" w:header="851" w:footer="992" w:gutter="113"/>
          <w:pgNumType w:start="15"/>
          <w:cols w:num="1" w:space="720"/>
          <w:titlePg w:val="0"/>
        </w:sectPr>
      </w:pPr>
    </w:p>
    <w:p>
      <w:pPr>
        <w:spacing w:line="360" w:lineRule="auto"/>
        <w:rPr>
          <w:b/>
          <w:kern w:val="21"/>
          <w:sz w:val="30"/>
        </w:rPr>
      </w:pPr>
      <w:r>
        <w:rPr>
          <w:rFonts w:hAnsi="宋体"/>
          <w:b/>
          <w:kern w:val="21"/>
          <w:sz w:val="30"/>
        </w:rPr>
        <w:t>环境质量状况</w:t>
      </w:r>
    </w:p>
    <w:tbl>
      <w:tblPr>
        <w:tblStyle w:val="TableNormal"/>
        <w:tblW w:w="8840" w:type="dxa"/>
        <w:tblInd w:w="125"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840"/>
      </w:tblGrid>
      <w:tr>
        <w:tblPrEx>
          <w:tblW w:w="8840" w:type="dxa"/>
          <w:tblInd w:w="125"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3235"/>
        </w:trPr>
        <w:tc>
          <w:tcPr>
            <w:tcW w:w="8840" w:type="dxa"/>
          </w:tcPr>
          <w:p>
            <w:pPr>
              <w:spacing w:line="360" w:lineRule="auto"/>
              <w:rPr>
                <w:kern w:val="21"/>
                <w:sz w:val="28"/>
              </w:rPr>
            </w:pPr>
            <w:r>
              <w:rPr>
                <w:rFonts w:hAnsi="宋体"/>
                <w:b/>
                <w:kern w:val="21"/>
                <w:sz w:val="28"/>
              </w:rPr>
              <w:t>建设项目所在地区域环境质量现状及主要环境问题（环境空气、地面水、地下水、声环境、生态环境等）：</w:t>
            </w:r>
          </w:p>
          <w:p>
            <w:pPr>
              <w:snapToGrid w:val="0"/>
              <w:spacing w:line="360" w:lineRule="auto"/>
              <w:ind w:firstLine="480" w:firstLineChars="200"/>
              <w:rPr>
                <w:sz w:val="24"/>
              </w:rPr>
            </w:pPr>
            <w:r>
              <w:rPr>
                <w:rFonts w:hint="eastAsia"/>
                <w:sz w:val="24"/>
              </w:rPr>
              <w:t>根据现场勘察以及抚州市环保局网站上发布的空气质量日报资料，项目所在地区环境质量现状及主要环境问题如下：</w:t>
            </w:r>
          </w:p>
          <w:p>
            <w:pPr>
              <w:snapToGrid w:val="0"/>
              <w:spacing w:line="360" w:lineRule="auto"/>
              <w:ind w:firstLine="480" w:firstLineChars="200"/>
              <w:rPr>
                <w:b/>
                <w:sz w:val="24"/>
              </w:rPr>
            </w:pPr>
            <w:r>
              <w:rPr>
                <w:rFonts w:hint="eastAsia"/>
                <w:b/>
                <w:sz w:val="24"/>
              </w:rPr>
              <w:t>一、环境空气质量现状</w:t>
            </w:r>
          </w:p>
          <w:p>
            <w:pPr>
              <w:snapToGrid w:val="0"/>
              <w:spacing w:line="360" w:lineRule="auto"/>
              <w:ind w:firstLine="480" w:firstLineChars="200"/>
              <w:rPr>
                <w:sz w:val="24"/>
              </w:rPr>
            </w:pPr>
            <w:r>
              <w:rPr>
                <w:sz w:val="24"/>
              </w:rPr>
              <w:t>根据抚州市环保部门的监测数据，抚州市城区环境空气质量达到《环境空气质量标准》（GB3095-2012）二级标准，</w:t>
            </w:r>
            <w:r>
              <w:rPr>
                <w:rFonts w:hint="eastAsia"/>
                <w:sz w:val="24"/>
              </w:rPr>
              <w:t>项目</w:t>
            </w:r>
            <w:r>
              <w:rPr>
                <w:sz w:val="24"/>
              </w:rPr>
              <w:t>所在地环境空气质量良好。</w:t>
            </w:r>
          </w:p>
          <w:p>
            <w:pPr>
              <w:snapToGrid w:val="0"/>
              <w:spacing w:line="240" w:lineRule="auto"/>
              <w:jc w:val="center"/>
              <w:rPr>
                <w:b/>
                <w:bCs/>
                <w:sz w:val="24"/>
              </w:rPr>
            </w:pPr>
            <w:r>
              <w:rPr>
                <w:b/>
                <w:bCs/>
                <w:sz w:val="24"/>
              </w:rPr>
              <w:t>表</w:t>
            </w:r>
            <w:r>
              <w:rPr>
                <w:rFonts w:hint="eastAsia"/>
                <w:b/>
                <w:bCs/>
                <w:sz w:val="24"/>
              </w:rPr>
              <w:t>5</w:t>
            </w:r>
            <w:r>
              <w:rPr>
                <w:b/>
                <w:bCs/>
                <w:sz w:val="24"/>
              </w:rPr>
              <w:t xml:space="preserve">    环境空气质量现状监测结果    单位 mg/Nm</w:t>
            </w:r>
            <w:r>
              <w:rPr>
                <w:b/>
                <w:bCs/>
                <w:sz w:val="24"/>
                <w:vertAlign w:val="superscript"/>
              </w:rPr>
              <w:t>3</w:t>
            </w:r>
          </w:p>
          <w:p>
            <w:pPr>
              <w:spacing w:before="4" w:line="40" w:lineRule="exact"/>
              <w:jc w:val="left"/>
              <w:rPr>
                <w:rFonts w:ascii="Microsoft JhengHei" w:eastAsia="Microsoft JhengHei" w:hAnsi="Microsoft JhengHei"/>
                <w:sz w:val="4"/>
              </w:rPr>
            </w:pPr>
          </w:p>
          <w:tbl>
            <w:tblPr>
              <w:tblStyle w:val="TableNormal"/>
              <w:tblW w:w="8694"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2801"/>
              <w:gridCol w:w="1546"/>
              <w:gridCol w:w="2174"/>
              <w:gridCol w:w="2173"/>
            </w:tblGrid>
            <w:tr>
              <w:tblPrEx>
                <w:tblW w:w="8694" w:type="dxa"/>
                <w:tblInd w:w="0" w:type="dxa"/>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hRule="exact" w:val="332"/>
              </w:trPr>
              <w:tc>
                <w:tcPr>
                  <w:tcW w:w="2801" w:type="dxa"/>
                  <w:tcBorders>
                    <w:tl2br w:val="nil"/>
                    <w:tr2bl w:val="nil"/>
                  </w:tcBorders>
                  <w:vAlign w:val="center"/>
                </w:tcPr>
                <w:p>
                  <w:pPr>
                    <w:pStyle w:val="21"/>
                    <w:snapToGrid w:val="0"/>
                    <w:spacing w:line="340" w:lineRule="exact"/>
                    <w:rPr>
                      <w:kern w:val="0"/>
                      <w:sz w:val="21"/>
                      <w:szCs w:val="21"/>
                    </w:rPr>
                  </w:pPr>
                  <w:r>
                    <w:rPr>
                      <w:kern w:val="0"/>
                      <w:sz w:val="21"/>
                      <w:szCs w:val="21"/>
                    </w:rPr>
                    <w:t>监测项目</w:t>
                  </w:r>
                </w:p>
              </w:tc>
              <w:tc>
                <w:tcPr>
                  <w:tcW w:w="1546" w:type="dxa"/>
                  <w:tcBorders>
                    <w:tl2br w:val="nil"/>
                    <w:tr2bl w:val="nil"/>
                  </w:tcBorders>
                  <w:vAlign w:val="center"/>
                </w:tcPr>
                <w:p>
                  <w:pPr>
                    <w:pStyle w:val="21"/>
                    <w:snapToGrid w:val="0"/>
                    <w:spacing w:line="340" w:lineRule="exact"/>
                    <w:rPr>
                      <w:kern w:val="0"/>
                      <w:sz w:val="21"/>
                      <w:szCs w:val="21"/>
                    </w:rPr>
                  </w:pPr>
                  <w:r>
                    <w:rPr>
                      <w:kern w:val="0"/>
                      <w:sz w:val="21"/>
                      <w:szCs w:val="21"/>
                    </w:rPr>
                    <w:t>SO</w:t>
                  </w:r>
                  <w:r>
                    <w:rPr>
                      <w:kern w:val="0"/>
                      <w:sz w:val="21"/>
                      <w:szCs w:val="21"/>
                      <w:vertAlign w:val="subscript"/>
                    </w:rPr>
                    <w:t>2</w:t>
                  </w:r>
                </w:p>
              </w:tc>
              <w:tc>
                <w:tcPr>
                  <w:tcW w:w="2174" w:type="dxa"/>
                  <w:tcBorders>
                    <w:tl2br w:val="nil"/>
                    <w:tr2bl w:val="nil"/>
                  </w:tcBorders>
                  <w:vAlign w:val="center"/>
                </w:tcPr>
                <w:p>
                  <w:pPr>
                    <w:pStyle w:val="21"/>
                    <w:snapToGrid w:val="0"/>
                    <w:spacing w:line="340" w:lineRule="exact"/>
                    <w:rPr>
                      <w:kern w:val="0"/>
                      <w:sz w:val="21"/>
                      <w:szCs w:val="21"/>
                    </w:rPr>
                  </w:pPr>
                  <w:r>
                    <w:rPr>
                      <w:kern w:val="0"/>
                      <w:sz w:val="21"/>
                      <w:szCs w:val="21"/>
                    </w:rPr>
                    <w:t>TSP</w:t>
                  </w:r>
                </w:p>
              </w:tc>
              <w:tc>
                <w:tcPr>
                  <w:tcW w:w="2173" w:type="dxa"/>
                  <w:tcBorders>
                    <w:tl2br w:val="nil"/>
                    <w:tr2bl w:val="nil"/>
                  </w:tcBorders>
                  <w:vAlign w:val="center"/>
                </w:tcPr>
                <w:p>
                  <w:pPr>
                    <w:pStyle w:val="21"/>
                    <w:snapToGrid w:val="0"/>
                    <w:spacing w:line="340" w:lineRule="exact"/>
                    <w:rPr>
                      <w:kern w:val="0"/>
                      <w:sz w:val="21"/>
                      <w:szCs w:val="21"/>
                    </w:rPr>
                  </w:pPr>
                  <w:r>
                    <w:rPr>
                      <w:kern w:val="0"/>
                      <w:sz w:val="21"/>
                      <w:szCs w:val="21"/>
                    </w:rPr>
                    <w:t>PM</w:t>
                  </w:r>
                  <w:r>
                    <w:rPr>
                      <w:kern w:val="0"/>
                      <w:sz w:val="21"/>
                      <w:szCs w:val="21"/>
                      <w:vertAlign w:val="subscript"/>
                    </w:rPr>
                    <w:t>10</w:t>
                  </w:r>
                </w:p>
              </w:tc>
            </w:tr>
            <w:tr>
              <w:tblPrEx>
                <w:tblW w:w="8694" w:type="dxa"/>
                <w:tblInd w:w="0" w:type="dxa"/>
                <w:tblLayout w:type="fixed"/>
                <w:tblCellMar>
                  <w:top w:w="0" w:type="dxa"/>
                  <w:left w:w="108" w:type="dxa"/>
                  <w:bottom w:w="0" w:type="dxa"/>
                  <w:right w:w="108" w:type="dxa"/>
                </w:tblCellMar>
              </w:tblPrEx>
              <w:trPr>
                <w:trHeight w:hRule="exact" w:val="322"/>
              </w:trPr>
              <w:tc>
                <w:tcPr>
                  <w:tcW w:w="2801" w:type="dxa"/>
                  <w:tcBorders>
                    <w:tl2br w:val="nil"/>
                    <w:tr2bl w:val="nil"/>
                  </w:tcBorders>
                  <w:vAlign w:val="center"/>
                </w:tcPr>
                <w:p>
                  <w:pPr>
                    <w:pStyle w:val="21"/>
                    <w:snapToGrid w:val="0"/>
                    <w:spacing w:line="340" w:lineRule="exact"/>
                    <w:rPr>
                      <w:kern w:val="0"/>
                      <w:sz w:val="21"/>
                      <w:szCs w:val="21"/>
                    </w:rPr>
                  </w:pPr>
                  <w:r>
                    <w:rPr>
                      <w:kern w:val="0"/>
                      <w:sz w:val="21"/>
                      <w:szCs w:val="21"/>
                    </w:rPr>
                    <w:t>评价标准值（日均值）</w:t>
                  </w:r>
                </w:p>
              </w:tc>
              <w:tc>
                <w:tcPr>
                  <w:tcW w:w="1546" w:type="dxa"/>
                  <w:tcBorders>
                    <w:tl2br w:val="nil"/>
                    <w:tr2bl w:val="nil"/>
                  </w:tcBorders>
                  <w:vAlign w:val="center"/>
                </w:tcPr>
                <w:p>
                  <w:pPr>
                    <w:pStyle w:val="21"/>
                    <w:snapToGrid w:val="0"/>
                    <w:spacing w:line="340" w:lineRule="exact"/>
                    <w:rPr>
                      <w:kern w:val="0"/>
                      <w:sz w:val="21"/>
                      <w:szCs w:val="21"/>
                    </w:rPr>
                  </w:pPr>
                  <w:r>
                    <w:rPr>
                      <w:kern w:val="0"/>
                      <w:sz w:val="21"/>
                      <w:szCs w:val="21"/>
                    </w:rPr>
                    <w:t>0.15</w:t>
                  </w:r>
                </w:p>
              </w:tc>
              <w:tc>
                <w:tcPr>
                  <w:tcW w:w="2174" w:type="dxa"/>
                  <w:tcBorders>
                    <w:tl2br w:val="nil"/>
                    <w:tr2bl w:val="nil"/>
                  </w:tcBorders>
                  <w:vAlign w:val="center"/>
                </w:tcPr>
                <w:p>
                  <w:pPr>
                    <w:pStyle w:val="21"/>
                    <w:snapToGrid w:val="0"/>
                    <w:spacing w:line="340" w:lineRule="exact"/>
                    <w:rPr>
                      <w:kern w:val="0"/>
                      <w:sz w:val="21"/>
                      <w:szCs w:val="21"/>
                    </w:rPr>
                  </w:pPr>
                  <w:r>
                    <w:rPr>
                      <w:kern w:val="0"/>
                      <w:sz w:val="21"/>
                      <w:szCs w:val="21"/>
                    </w:rPr>
                    <w:t>0.30</w:t>
                  </w:r>
                </w:p>
              </w:tc>
              <w:tc>
                <w:tcPr>
                  <w:tcW w:w="2173" w:type="dxa"/>
                  <w:tcBorders>
                    <w:tl2br w:val="nil"/>
                    <w:tr2bl w:val="nil"/>
                  </w:tcBorders>
                  <w:vAlign w:val="center"/>
                </w:tcPr>
                <w:p>
                  <w:pPr>
                    <w:pStyle w:val="21"/>
                    <w:snapToGrid w:val="0"/>
                    <w:spacing w:line="340" w:lineRule="exact"/>
                    <w:rPr>
                      <w:kern w:val="0"/>
                      <w:sz w:val="21"/>
                      <w:szCs w:val="21"/>
                    </w:rPr>
                  </w:pPr>
                  <w:r>
                    <w:rPr>
                      <w:kern w:val="0"/>
                      <w:sz w:val="21"/>
                      <w:szCs w:val="21"/>
                    </w:rPr>
                    <w:t>0.15</w:t>
                  </w:r>
                </w:p>
              </w:tc>
            </w:tr>
            <w:tr>
              <w:tblPrEx>
                <w:tblW w:w="8694" w:type="dxa"/>
                <w:tblInd w:w="0" w:type="dxa"/>
                <w:tblLayout w:type="fixed"/>
                <w:tblCellMar>
                  <w:top w:w="0" w:type="dxa"/>
                  <w:left w:w="108" w:type="dxa"/>
                  <w:bottom w:w="0" w:type="dxa"/>
                  <w:right w:w="108" w:type="dxa"/>
                </w:tblCellMar>
              </w:tblPrEx>
              <w:trPr>
                <w:trHeight w:hRule="exact" w:val="322"/>
              </w:trPr>
              <w:tc>
                <w:tcPr>
                  <w:tcW w:w="2801" w:type="dxa"/>
                  <w:tcBorders>
                    <w:tl2br w:val="nil"/>
                    <w:tr2bl w:val="nil"/>
                  </w:tcBorders>
                  <w:vAlign w:val="center"/>
                </w:tcPr>
                <w:p>
                  <w:pPr>
                    <w:pStyle w:val="21"/>
                    <w:snapToGrid w:val="0"/>
                    <w:spacing w:line="340" w:lineRule="exact"/>
                    <w:rPr>
                      <w:kern w:val="0"/>
                      <w:sz w:val="21"/>
                      <w:szCs w:val="21"/>
                    </w:rPr>
                  </w:pPr>
                  <w:r>
                    <w:rPr>
                      <w:kern w:val="0"/>
                      <w:sz w:val="21"/>
                      <w:szCs w:val="21"/>
                    </w:rPr>
                    <w:t>实测日均值</w:t>
                  </w:r>
                </w:p>
              </w:tc>
              <w:tc>
                <w:tcPr>
                  <w:tcW w:w="1546" w:type="dxa"/>
                  <w:tcBorders>
                    <w:tl2br w:val="nil"/>
                    <w:tr2bl w:val="nil"/>
                  </w:tcBorders>
                  <w:vAlign w:val="center"/>
                </w:tcPr>
                <w:p>
                  <w:pPr>
                    <w:pStyle w:val="21"/>
                    <w:snapToGrid w:val="0"/>
                    <w:spacing w:line="340" w:lineRule="exact"/>
                    <w:rPr>
                      <w:kern w:val="0"/>
                      <w:sz w:val="21"/>
                      <w:szCs w:val="21"/>
                    </w:rPr>
                  </w:pPr>
                  <w:r>
                    <w:rPr>
                      <w:kern w:val="0"/>
                      <w:sz w:val="21"/>
                      <w:szCs w:val="21"/>
                    </w:rPr>
                    <w:t>0.016-0.049</w:t>
                  </w:r>
                </w:p>
              </w:tc>
              <w:tc>
                <w:tcPr>
                  <w:tcW w:w="2174" w:type="dxa"/>
                  <w:tcBorders>
                    <w:tl2br w:val="nil"/>
                    <w:tr2bl w:val="nil"/>
                  </w:tcBorders>
                  <w:vAlign w:val="center"/>
                </w:tcPr>
                <w:p>
                  <w:pPr>
                    <w:pStyle w:val="21"/>
                    <w:snapToGrid w:val="0"/>
                    <w:spacing w:line="340" w:lineRule="exact"/>
                    <w:rPr>
                      <w:kern w:val="0"/>
                      <w:sz w:val="21"/>
                      <w:szCs w:val="21"/>
                    </w:rPr>
                  </w:pPr>
                  <w:r>
                    <w:rPr>
                      <w:kern w:val="0"/>
                      <w:sz w:val="21"/>
                      <w:szCs w:val="21"/>
                    </w:rPr>
                    <w:t>0.123-0.130</w:t>
                  </w:r>
                </w:p>
              </w:tc>
              <w:tc>
                <w:tcPr>
                  <w:tcW w:w="2173" w:type="dxa"/>
                  <w:tcBorders>
                    <w:tl2br w:val="nil"/>
                    <w:tr2bl w:val="nil"/>
                  </w:tcBorders>
                  <w:vAlign w:val="center"/>
                </w:tcPr>
                <w:p>
                  <w:pPr>
                    <w:pStyle w:val="21"/>
                    <w:snapToGrid w:val="0"/>
                    <w:spacing w:line="340" w:lineRule="exact"/>
                    <w:rPr>
                      <w:kern w:val="0"/>
                      <w:sz w:val="21"/>
                      <w:szCs w:val="21"/>
                    </w:rPr>
                  </w:pPr>
                  <w:r>
                    <w:rPr>
                      <w:kern w:val="0"/>
                      <w:sz w:val="21"/>
                      <w:szCs w:val="21"/>
                    </w:rPr>
                    <w:t>0.066-0.073</w:t>
                  </w:r>
                </w:p>
              </w:tc>
            </w:tr>
            <w:tr>
              <w:tblPrEx>
                <w:tblW w:w="8694" w:type="dxa"/>
                <w:tblInd w:w="0" w:type="dxa"/>
                <w:tblLayout w:type="fixed"/>
                <w:tblCellMar>
                  <w:top w:w="0" w:type="dxa"/>
                  <w:left w:w="108" w:type="dxa"/>
                  <w:bottom w:w="0" w:type="dxa"/>
                  <w:right w:w="108" w:type="dxa"/>
                </w:tblCellMar>
              </w:tblPrEx>
              <w:trPr>
                <w:trHeight w:hRule="exact" w:val="332"/>
              </w:trPr>
              <w:tc>
                <w:tcPr>
                  <w:tcW w:w="2801" w:type="dxa"/>
                  <w:tcBorders>
                    <w:tl2br w:val="nil"/>
                    <w:tr2bl w:val="nil"/>
                  </w:tcBorders>
                  <w:vAlign w:val="center"/>
                </w:tcPr>
                <w:p>
                  <w:pPr>
                    <w:pStyle w:val="21"/>
                    <w:snapToGrid w:val="0"/>
                    <w:spacing w:line="340" w:lineRule="exact"/>
                    <w:rPr>
                      <w:kern w:val="0"/>
                      <w:sz w:val="21"/>
                      <w:szCs w:val="21"/>
                    </w:rPr>
                  </w:pPr>
                  <w:r>
                    <w:rPr>
                      <w:kern w:val="0"/>
                      <w:sz w:val="21"/>
                      <w:szCs w:val="21"/>
                    </w:rPr>
                    <w:t>评价标准指数</w:t>
                  </w:r>
                </w:p>
              </w:tc>
              <w:tc>
                <w:tcPr>
                  <w:tcW w:w="1546" w:type="dxa"/>
                  <w:tcBorders>
                    <w:tl2br w:val="nil"/>
                    <w:tr2bl w:val="nil"/>
                  </w:tcBorders>
                  <w:vAlign w:val="center"/>
                </w:tcPr>
                <w:p>
                  <w:pPr>
                    <w:pStyle w:val="21"/>
                    <w:snapToGrid w:val="0"/>
                    <w:spacing w:line="340" w:lineRule="exact"/>
                    <w:rPr>
                      <w:kern w:val="0"/>
                      <w:sz w:val="21"/>
                      <w:szCs w:val="21"/>
                    </w:rPr>
                  </w:pPr>
                  <w:r>
                    <w:rPr>
                      <w:kern w:val="0"/>
                      <w:sz w:val="21"/>
                      <w:szCs w:val="21"/>
                    </w:rPr>
                    <w:t>0.107-0.327</w:t>
                  </w:r>
                </w:p>
              </w:tc>
              <w:tc>
                <w:tcPr>
                  <w:tcW w:w="2174" w:type="dxa"/>
                  <w:tcBorders>
                    <w:tl2br w:val="nil"/>
                    <w:tr2bl w:val="nil"/>
                  </w:tcBorders>
                  <w:vAlign w:val="center"/>
                </w:tcPr>
                <w:p>
                  <w:pPr>
                    <w:pStyle w:val="21"/>
                    <w:snapToGrid w:val="0"/>
                    <w:spacing w:line="340" w:lineRule="exact"/>
                    <w:rPr>
                      <w:kern w:val="0"/>
                      <w:sz w:val="21"/>
                      <w:szCs w:val="21"/>
                    </w:rPr>
                  </w:pPr>
                  <w:r>
                    <w:rPr>
                      <w:kern w:val="0"/>
                      <w:sz w:val="21"/>
                      <w:szCs w:val="21"/>
                    </w:rPr>
                    <w:t>0.410-0.433</w:t>
                  </w:r>
                </w:p>
              </w:tc>
              <w:tc>
                <w:tcPr>
                  <w:tcW w:w="2173" w:type="dxa"/>
                  <w:tcBorders>
                    <w:tl2br w:val="nil"/>
                    <w:tr2bl w:val="nil"/>
                  </w:tcBorders>
                  <w:vAlign w:val="center"/>
                </w:tcPr>
                <w:p>
                  <w:pPr>
                    <w:pStyle w:val="21"/>
                    <w:snapToGrid w:val="0"/>
                    <w:spacing w:line="340" w:lineRule="exact"/>
                    <w:rPr>
                      <w:kern w:val="0"/>
                      <w:sz w:val="21"/>
                      <w:szCs w:val="21"/>
                    </w:rPr>
                  </w:pPr>
                  <w:r>
                    <w:rPr>
                      <w:kern w:val="0"/>
                      <w:sz w:val="21"/>
                      <w:szCs w:val="21"/>
                    </w:rPr>
                    <w:t>0.440-0.487</w:t>
                  </w:r>
                </w:p>
              </w:tc>
            </w:tr>
          </w:tbl>
          <w:p>
            <w:pPr>
              <w:snapToGrid w:val="0"/>
              <w:spacing w:line="360" w:lineRule="auto"/>
              <w:ind w:firstLine="480" w:firstLineChars="200"/>
              <w:rPr>
                <w:b/>
                <w:sz w:val="24"/>
              </w:rPr>
            </w:pPr>
            <w:r>
              <w:rPr>
                <w:rFonts w:hint="eastAsia"/>
                <w:b/>
                <w:sz w:val="24"/>
              </w:rPr>
              <w:t>二、水环境质量现状</w:t>
            </w:r>
          </w:p>
          <w:p>
            <w:pPr>
              <w:snapToGrid w:val="0"/>
              <w:spacing w:line="360" w:lineRule="auto"/>
              <w:ind w:firstLine="480" w:firstLineChars="200"/>
              <w:rPr>
                <w:sz w:val="24"/>
              </w:rPr>
            </w:pPr>
            <w:r>
              <w:rPr>
                <w:sz w:val="24"/>
              </w:rPr>
              <w:t>本项目涉及和影响的主要地表水体为抚河，根据抚州市环保部门的监测数据该河流水环境质量达到《地表水环境质量标准》（GB3838-2002）Ⅲ类标准，水环境质量良好。监测数据如下表。</w:t>
            </w:r>
          </w:p>
          <w:p>
            <w:pPr>
              <w:adjustRightInd/>
              <w:snapToGrid w:val="0"/>
              <w:spacing w:before="120" w:beforeLines="50" w:line="240" w:lineRule="auto"/>
              <w:ind w:firstLine="480" w:firstLineChars="200"/>
              <w:jc w:val="center"/>
              <w:textAlignment w:val="auto"/>
              <w:rPr>
                <w:b/>
                <w:bCs/>
                <w:sz w:val="24"/>
              </w:rPr>
            </w:pPr>
            <w:r>
              <w:rPr>
                <w:b/>
                <w:bCs/>
                <w:sz w:val="24"/>
              </w:rPr>
              <w:t>表</w:t>
            </w:r>
            <w:r>
              <w:rPr>
                <w:rFonts w:hint="eastAsia"/>
                <w:b/>
                <w:bCs/>
                <w:sz w:val="24"/>
              </w:rPr>
              <w:t>6</w:t>
            </w:r>
            <w:r>
              <w:rPr>
                <w:b/>
                <w:bCs/>
                <w:sz w:val="24"/>
              </w:rPr>
              <w:t xml:space="preserve">   地表水环境质量现状监测结果    单位 mg/L（pH 无量纲）</w:t>
            </w:r>
          </w:p>
          <w:p>
            <w:pPr>
              <w:spacing w:before="6" w:line="80" w:lineRule="exact"/>
              <w:jc w:val="left"/>
              <w:rPr>
                <w:rFonts w:ascii="Microsoft JhengHei" w:eastAsia="Microsoft JhengHei" w:hAnsi="Microsoft JhengHei"/>
                <w:sz w:val="8"/>
              </w:rPr>
            </w:pPr>
          </w:p>
          <w:tbl>
            <w:tblPr>
              <w:tblStyle w:val="TableNormal"/>
              <w:tblW w:w="8684"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
            <w:tblGrid>
              <w:gridCol w:w="2515"/>
              <w:gridCol w:w="1490"/>
              <w:gridCol w:w="1480"/>
              <w:gridCol w:w="1736"/>
              <w:gridCol w:w="1463"/>
            </w:tblGrid>
            <w:tr>
              <w:tblPrEx>
                <w:tblW w:w="8684" w:type="dxa"/>
                <w:jc w:val="center"/>
                <w:tblBorders>
                  <w:top w:val="single" w:sz="12" w:space="0" w:color="000000"/>
                  <w:left w:val="none" w:sz="0" w:space="0" w:color="auto"/>
                  <w:bottom w:val="single" w:sz="12" w:space="0" w:color="000000"/>
                  <w:right w:val="none" w:sz="0" w:space="0" w:color="auto"/>
                  <w:insideH w:val="single" w:sz="4" w:space="0" w:color="000000"/>
                  <w:insideV w:val="single" w:sz="4" w:space="0" w:color="000000"/>
                </w:tblBorders>
                <w:tblLayout w:type="fixed"/>
                <w:tblCellMar>
                  <w:top w:w="0" w:type="dxa"/>
                  <w:left w:w="108" w:type="dxa"/>
                  <w:bottom w:w="0" w:type="dxa"/>
                  <w:right w:w="108" w:type="dxa"/>
                </w:tblCellMar>
              </w:tblPrEx>
              <w:trPr>
                <w:trHeight w:hRule="exact" w:val="332"/>
                <w:jc w:val="center"/>
              </w:trPr>
              <w:tc>
                <w:tcPr>
                  <w:tcW w:w="2515" w:type="dxa"/>
                  <w:vMerge w:val="restart"/>
                  <w:tcBorders>
                    <w:tl2br w:val="nil"/>
                    <w:tr2bl w:val="nil"/>
                  </w:tcBorders>
                  <w:vAlign w:val="center"/>
                </w:tcPr>
                <w:p>
                  <w:pPr>
                    <w:pStyle w:val="21"/>
                    <w:snapToGrid w:val="0"/>
                    <w:rPr>
                      <w:kern w:val="0"/>
                      <w:sz w:val="21"/>
                      <w:szCs w:val="21"/>
                    </w:rPr>
                  </w:pPr>
                  <w:r>
                    <w:rPr>
                      <w:kern w:val="0"/>
                      <w:sz w:val="21"/>
                      <w:szCs w:val="21"/>
                    </w:rPr>
                    <w:t>水域</w:t>
                  </w:r>
                </w:p>
              </w:tc>
              <w:tc>
                <w:tcPr>
                  <w:tcW w:w="6169" w:type="dxa"/>
                  <w:gridSpan w:val="4"/>
                  <w:tcBorders>
                    <w:tl2br w:val="nil"/>
                    <w:tr2bl w:val="nil"/>
                  </w:tcBorders>
                  <w:vAlign w:val="center"/>
                </w:tcPr>
                <w:p>
                  <w:pPr>
                    <w:pStyle w:val="21"/>
                    <w:snapToGrid w:val="0"/>
                    <w:rPr>
                      <w:kern w:val="0"/>
                      <w:sz w:val="21"/>
                      <w:szCs w:val="21"/>
                    </w:rPr>
                  </w:pPr>
                  <w:r>
                    <w:rPr>
                      <w:kern w:val="0"/>
                      <w:sz w:val="21"/>
                      <w:szCs w:val="21"/>
                    </w:rPr>
                    <w:t>现状监测值范围</w:t>
                  </w:r>
                </w:p>
              </w:tc>
            </w:tr>
            <w:tr>
              <w:tblPrEx>
                <w:tblW w:w="8684" w:type="dxa"/>
                <w:jc w:val="center"/>
                <w:tblLayout w:type="fixed"/>
                <w:tblCellMar>
                  <w:top w:w="0" w:type="dxa"/>
                  <w:left w:w="108" w:type="dxa"/>
                  <w:bottom w:w="0" w:type="dxa"/>
                  <w:right w:w="108" w:type="dxa"/>
                </w:tblCellMar>
              </w:tblPrEx>
              <w:trPr>
                <w:trHeight w:hRule="exact" w:val="322"/>
                <w:jc w:val="center"/>
              </w:trPr>
              <w:tc>
                <w:tcPr>
                  <w:tcW w:w="2515" w:type="dxa"/>
                  <w:vMerge/>
                  <w:tcBorders>
                    <w:tl2br w:val="nil"/>
                    <w:tr2bl w:val="nil"/>
                  </w:tcBorders>
                  <w:vAlign w:val="center"/>
                </w:tcPr>
                <w:p>
                  <w:pPr>
                    <w:pStyle w:val="21"/>
                    <w:snapToGrid w:val="0"/>
                    <w:rPr>
                      <w:kern w:val="0"/>
                      <w:sz w:val="21"/>
                      <w:szCs w:val="21"/>
                    </w:rPr>
                  </w:pPr>
                </w:p>
              </w:tc>
              <w:tc>
                <w:tcPr>
                  <w:tcW w:w="1490" w:type="dxa"/>
                  <w:tcBorders>
                    <w:tl2br w:val="nil"/>
                    <w:tr2bl w:val="nil"/>
                  </w:tcBorders>
                  <w:vAlign w:val="center"/>
                </w:tcPr>
                <w:p>
                  <w:pPr>
                    <w:pStyle w:val="21"/>
                    <w:snapToGrid w:val="0"/>
                    <w:rPr>
                      <w:kern w:val="0"/>
                      <w:sz w:val="21"/>
                      <w:szCs w:val="21"/>
                    </w:rPr>
                  </w:pPr>
                  <w:r>
                    <w:rPr>
                      <w:kern w:val="0"/>
                      <w:sz w:val="21"/>
                      <w:szCs w:val="21"/>
                    </w:rPr>
                    <w:t>pH</w:t>
                  </w:r>
                </w:p>
              </w:tc>
              <w:tc>
                <w:tcPr>
                  <w:tcW w:w="1480" w:type="dxa"/>
                  <w:tcBorders>
                    <w:tl2br w:val="nil"/>
                    <w:tr2bl w:val="nil"/>
                  </w:tcBorders>
                  <w:vAlign w:val="center"/>
                </w:tcPr>
                <w:p>
                  <w:pPr>
                    <w:pStyle w:val="21"/>
                    <w:snapToGrid w:val="0"/>
                    <w:rPr>
                      <w:kern w:val="0"/>
                      <w:sz w:val="21"/>
                      <w:szCs w:val="21"/>
                    </w:rPr>
                  </w:pPr>
                  <w:r>
                    <w:rPr>
                      <w:kern w:val="0"/>
                      <w:sz w:val="21"/>
                      <w:szCs w:val="21"/>
                    </w:rPr>
                    <w:t>CODcr</w:t>
                  </w:r>
                </w:p>
              </w:tc>
              <w:tc>
                <w:tcPr>
                  <w:tcW w:w="1736" w:type="dxa"/>
                  <w:tcBorders>
                    <w:tl2br w:val="nil"/>
                    <w:tr2bl w:val="nil"/>
                  </w:tcBorders>
                  <w:vAlign w:val="center"/>
                </w:tcPr>
                <w:p>
                  <w:pPr>
                    <w:pStyle w:val="21"/>
                    <w:snapToGrid w:val="0"/>
                    <w:rPr>
                      <w:kern w:val="0"/>
                      <w:sz w:val="21"/>
                      <w:szCs w:val="21"/>
                    </w:rPr>
                  </w:pPr>
                  <w:r>
                    <w:rPr>
                      <w:kern w:val="0"/>
                      <w:sz w:val="21"/>
                      <w:szCs w:val="21"/>
                    </w:rPr>
                    <w:t>BOD5</w:t>
                  </w:r>
                </w:p>
              </w:tc>
              <w:tc>
                <w:tcPr>
                  <w:tcW w:w="1463" w:type="dxa"/>
                  <w:tcBorders>
                    <w:tl2br w:val="nil"/>
                    <w:tr2bl w:val="nil"/>
                  </w:tcBorders>
                  <w:vAlign w:val="center"/>
                </w:tcPr>
                <w:p>
                  <w:pPr>
                    <w:pStyle w:val="21"/>
                    <w:snapToGrid w:val="0"/>
                    <w:rPr>
                      <w:kern w:val="0"/>
                      <w:sz w:val="21"/>
                      <w:szCs w:val="21"/>
                    </w:rPr>
                  </w:pPr>
                  <w:r>
                    <w:rPr>
                      <w:kern w:val="0"/>
                      <w:sz w:val="21"/>
                      <w:szCs w:val="21"/>
                    </w:rPr>
                    <w:t>NH3-N</w:t>
                  </w:r>
                </w:p>
              </w:tc>
            </w:tr>
            <w:tr>
              <w:tblPrEx>
                <w:tblW w:w="8684" w:type="dxa"/>
                <w:jc w:val="center"/>
                <w:tblLayout w:type="fixed"/>
                <w:tblCellMar>
                  <w:top w:w="0" w:type="dxa"/>
                  <w:left w:w="108" w:type="dxa"/>
                  <w:bottom w:w="0" w:type="dxa"/>
                  <w:right w:w="108" w:type="dxa"/>
                </w:tblCellMar>
              </w:tblPrEx>
              <w:trPr>
                <w:trHeight w:hRule="exact" w:val="322"/>
                <w:jc w:val="center"/>
              </w:trPr>
              <w:tc>
                <w:tcPr>
                  <w:tcW w:w="2515" w:type="dxa"/>
                  <w:tcBorders>
                    <w:tl2br w:val="nil"/>
                    <w:tr2bl w:val="nil"/>
                  </w:tcBorders>
                  <w:vAlign w:val="center"/>
                </w:tcPr>
                <w:p>
                  <w:pPr>
                    <w:pStyle w:val="21"/>
                    <w:snapToGrid w:val="0"/>
                    <w:rPr>
                      <w:kern w:val="0"/>
                      <w:sz w:val="21"/>
                      <w:szCs w:val="21"/>
                    </w:rPr>
                  </w:pPr>
                  <w:r>
                    <w:rPr>
                      <w:kern w:val="0"/>
                      <w:sz w:val="21"/>
                      <w:szCs w:val="21"/>
                    </w:rPr>
                    <w:t>实测日均值</w:t>
                  </w:r>
                </w:p>
              </w:tc>
              <w:tc>
                <w:tcPr>
                  <w:tcW w:w="1490" w:type="dxa"/>
                  <w:tcBorders>
                    <w:tl2br w:val="nil"/>
                    <w:tr2bl w:val="nil"/>
                  </w:tcBorders>
                  <w:vAlign w:val="center"/>
                </w:tcPr>
                <w:p>
                  <w:pPr>
                    <w:pStyle w:val="21"/>
                    <w:snapToGrid w:val="0"/>
                    <w:rPr>
                      <w:kern w:val="0"/>
                      <w:sz w:val="21"/>
                      <w:szCs w:val="21"/>
                    </w:rPr>
                  </w:pPr>
                  <w:r>
                    <w:rPr>
                      <w:kern w:val="0"/>
                      <w:sz w:val="21"/>
                      <w:szCs w:val="21"/>
                    </w:rPr>
                    <w:t>6.88-7.12</w:t>
                  </w:r>
                </w:p>
              </w:tc>
              <w:tc>
                <w:tcPr>
                  <w:tcW w:w="1480" w:type="dxa"/>
                  <w:tcBorders>
                    <w:tl2br w:val="nil"/>
                    <w:tr2bl w:val="nil"/>
                  </w:tcBorders>
                  <w:vAlign w:val="center"/>
                </w:tcPr>
                <w:p>
                  <w:pPr>
                    <w:pStyle w:val="21"/>
                    <w:snapToGrid w:val="0"/>
                    <w:rPr>
                      <w:kern w:val="0"/>
                      <w:sz w:val="21"/>
                      <w:szCs w:val="21"/>
                    </w:rPr>
                  </w:pPr>
                  <w:r>
                    <w:rPr>
                      <w:kern w:val="0"/>
                      <w:sz w:val="21"/>
                      <w:szCs w:val="21"/>
                    </w:rPr>
                    <w:t>8.3-10.9</w:t>
                  </w:r>
                </w:p>
              </w:tc>
              <w:tc>
                <w:tcPr>
                  <w:tcW w:w="1736" w:type="dxa"/>
                  <w:tcBorders>
                    <w:tl2br w:val="nil"/>
                    <w:tr2bl w:val="nil"/>
                  </w:tcBorders>
                  <w:vAlign w:val="center"/>
                </w:tcPr>
                <w:p>
                  <w:pPr>
                    <w:pStyle w:val="21"/>
                    <w:snapToGrid w:val="0"/>
                    <w:rPr>
                      <w:kern w:val="0"/>
                      <w:sz w:val="21"/>
                      <w:szCs w:val="21"/>
                    </w:rPr>
                  </w:pPr>
                  <w:r>
                    <w:rPr>
                      <w:kern w:val="0"/>
                      <w:sz w:val="21"/>
                      <w:szCs w:val="21"/>
                    </w:rPr>
                    <w:t>1.2-1.4</w:t>
                  </w:r>
                </w:p>
              </w:tc>
              <w:tc>
                <w:tcPr>
                  <w:tcW w:w="1463" w:type="dxa"/>
                  <w:tcBorders>
                    <w:tl2br w:val="nil"/>
                    <w:tr2bl w:val="nil"/>
                  </w:tcBorders>
                  <w:vAlign w:val="center"/>
                </w:tcPr>
                <w:p>
                  <w:pPr>
                    <w:pStyle w:val="21"/>
                    <w:snapToGrid w:val="0"/>
                    <w:rPr>
                      <w:kern w:val="0"/>
                      <w:sz w:val="21"/>
                      <w:szCs w:val="21"/>
                    </w:rPr>
                  </w:pPr>
                  <w:r>
                    <w:rPr>
                      <w:kern w:val="0"/>
                      <w:sz w:val="21"/>
                      <w:szCs w:val="21"/>
                    </w:rPr>
                    <w:t>0.413-0.525</w:t>
                  </w:r>
                </w:p>
              </w:tc>
            </w:tr>
            <w:tr>
              <w:tblPrEx>
                <w:tblW w:w="8684" w:type="dxa"/>
                <w:jc w:val="center"/>
                <w:tblLayout w:type="fixed"/>
                <w:tblCellMar>
                  <w:top w:w="0" w:type="dxa"/>
                  <w:left w:w="108" w:type="dxa"/>
                  <w:bottom w:w="0" w:type="dxa"/>
                  <w:right w:w="108" w:type="dxa"/>
                </w:tblCellMar>
              </w:tblPrEx>
              <w:trPr>
                <w:trHeight w:hRule="exact" w:val="322"/>
                <w:jc w:val="center"/>
              </w:trPr>
              <w:tc>
                <w:tcPr>
                  <w:tcW w:w="2515" w:type="dxa"/>
                  <w:tcBorders>
                    <w:tl2br w:val="nil"/>
                    <w:tr2bl w:val="nil"/>
                  </w:tcBorders>
                  <w:vAlign w:val="center"/>
                </w:tcPr>
                <w:p>
                  <w:pPr>
                    <w:pStyle w:val="21"/>
                    <w:snapToGrid w:val="0"/>
                    <w:rPr>
                      <w:kern w:val="0"/>
                      <w:sz w:val="21"/>
                      <w:szCs w:val="21"/>
                    </w:rPr>
                  </w:pPr>
                  <w:r>
                    <w:rPr>
                      <w:kern w:val="0"/>
                      <w:sz w:val="21"/>
                      <w:szCs w:val="21"/>
                    </w:rPr>
                    <w:t>评价标准值（日均值）</w:t>
                  </w:r>
                </w:p>
              </w:tc>
              <w:tc>
                <w:tcPr>
                  <w:tcW w:w="1490" w:type="dxa"/>
                  <w:tcBorders>
                    <w:tl2br w:val="nil"/>
                    <w:tr2bl w:val="nil"/>
                  </w:tcBorders>
                  <w:vAlign w:val="center"/>
                </w:tcPr>
                <w:p>
                  <w:pPr>
                    <w:pStyle w:val="21"/>
                    <w:snapToGrid w:val="0"/>
                    <w:rPr>
                      <w:kern w:val="0"/>
                      <w:sz w:val="21"/>
                      <w:szCs w:val="21"/>
                    </w:rPr>
                  </w:pPr>
                  <w:r>
                    <w:rPr>
                      <w:kern w:val="0"/>
                      <w:sz w:val="21"/>
                      <w:szCs w:val="21"/>
                    </w:rPr>
                    <w:t>6-9</w:t>
                  </w:r>
                </w:p>
              </w:tc>
              <w:tc>
                <w:tcPr>
                  <w:tcW w:w="1480" w:type="dxa"/>
                  <w:tcBorders>
                    <w:tl2br w:val="nil"/>
                    <w:tr2bl w:val="nil"/>
                  </w:tcBorders>
                  <w:vAlign w:val="center"/>
                </w:tcPr>
                <w:p>
                  <w:pPr>
                    <w:pStyle w:val="21"/>
                    <w:snapToGrid w:val="0"/>
                    <w:rPr>
                      <w:kern w:val="0"/>
                      <w:sz w:val="21"/>
                      <w:szCs w:val="21"/>
                    </w:rPr>
                  </w:pPr>
                  <w:r>
                    <w:rPr>
                      <w:kern w:val="0"/>
                      <w:sz w:val="21"/>
                      <w:szCs w:val="21"/>
                    </w:rPr>
                    <w:t>≦20</w:t>
                  </w:r>
                </w:p>
              </w:tc>
              <w:tc>
                <w:tcPr>
                  <w:tcW w:w="1736" w:type="dxa"/>
                  <w:tcBorders>
                    <w:tl2br w:val="nil"/>
                    <w:tr2bl w:val="nil"/>
                  </w:tcBorders>
                  <w:vAlign w:val="center"/>
                </w:tcPr>
                <w:p>
                  <w:pPr>
                    <w:pStyle w:val="21"/>
                    <w:snapToGrid w:val="0"/>
                    <w:rPr>
                      <w:kern w:val="0"/>
                      <w:sz w:val="21"/>
                      <w:szCs w:val="21"/>
                    </w:rPr>
                  </w:pPr>
                  <w:r>
                    <w:rPr>
                      <w:kern w:val="0"/>
                      <w:sz w:val="21"/>
                      <w:szCs w:val="21"/>
                    </w:rPr>
                    <w:t>≦4</w:t>
                  </w:r>
                </w:p>
              </w:tc>
              <w:tc>
                <w:tcPr>
                  <w:tcW w:w="1463" w:type="dxa"/>
                  <w:tcBorders>
                    <w:tl2br w:val="nil"/>
                    <w:tr2bl w:val="nil"/>
                  </w:tcBorders>
                  <w:vAlign w:val="center"/>
                </w:tcPr>
                <w:p>
                  <w:pPr>
                    <w:pStyle w:val="21"/>
                    <w:snapToGrid w:val="0"/>
                    <w:rPr>
                      <w:kern w:val="0"/>
                      <w:sz w:val="21"/>
                      <w:szCs w:val="21"/>
                    </w:rPr>
                  </w:pPr>
                  <w:r>
                    <w:rPr>
                      <w:kern w:val="0"/>
                      <w:sz w:val="21"/>
                      <w:szCs w:val="21"/>
                    </w:rPr>
                    <w:t>≦1.0</w:t>
                  </w:r>
                </w:p>
              </w:tc>
            </w:tr>
            <w:tr>
              <w:tblPrEx>
                <w:tblW w:w="8684" w:type="dxa"/>
                <w:jc w:val="center"/>
                <w:tblLayout w:type="fixed"/>
                <w:tblCellMar>
                  <w:top w:w="0" w:type="dxa"/>
                  <w:left w:w="108" w:type="dxa"/>
                  <w:bottom w:w="0" w:type="dxa"/>
                  <w:right w:w="108" w:type="dxa"/>
                </w:tblCellMar>
              </w:tblPrEx>
              <w:trPr>
                <w:trHeight w:hRule="exact" w:val="332"/>
                <w:jc w:val="center"/>
              </w:trPr>
              <w:tc>
                <w:tcPr>
                  <w:tcW w:w="2515" w:type="dxa"/>
                  <w:tcBorders>
                    <w:tl2br w:val="nil"/>
                    <w:tr2bl w:val="nil"/>
                  </w:tcBorders>
                  <w:vAlign w:val="center"/>
                </w:tcPr>
                <w:p>
                  <w:pPr>
                    <w:pStyle w:val="21"/>
                    <w:snapToGrid w:val="0"/>
                    <w:rPr>
                      <w:kern w:val="0"/>
                      <w:sz w:val="21"/>
                      <w:szCs w:val="21"/>
                    </w:rPr>
                  </w:pPr>
                  <w:r>
                    <w:rPr>
                      <w:kern w:val="0"/>
                      <w:sz w:val="21"/>
                      <w:szCs w:val="21"/>
                    </w:rPr>
                    <w:t>评价标准指数</w:t>
                  </w:r>
                </w:p>
              </w:tc>
              <w:tc>
                <w:tcPr>
                  <w:tcW w:w="1490" w:type="dxa"/>
                  <w:tcBorders>
                    <w:tl2br w:val="nil"/>
                    <w:tr2bl w:val="nil"/>
                  </w:tcBorders>
                  <w:vAlign w:val="center"/>
                </w:tcPr>
                <w:p>
                  <w:pPr>
                    <w:pStyle w:val="21"/>
                    <w:snapToGrid w:val="0"/>
                    <w:rPr>
                      <w:kern w:val="0"/>
                      <w:sz w:val="21"/>
                      <w:szCs w:val="21"/>
                    </w:rPr>
                  </w:pPr>
                  <w:r>
                    <w:rPr>
                      <w:kern w:val="0"/>
                      <w:sz w:val="21"/>
                      <w:szCs w:val="21"/>
                    </w:rPr>
                    <w:t>0.013-0.02</w:t>
                  </w:r>
                </w:p>
              </w:tc>
              <w:tc>
                <w:tcPr>
                  <w:tcW w:w="1480" w:type="dxa"/>
                  <w:tcBorders>
                    <w:tl2br w:val="nil"/>
                    <w:tr2bl w:val="nil"/>
                  </w:tcBorders>
                  <w:vAlign w:val="center"/>
                </w:tcPr>
                <w:p>
                  <w:pPr>
                    <w:pStyle w:val="21"/>
                    <w:snapToGrid w:val="0"/>
                    <w:rPr>
                      <w:kern w:val="0"/>
                      <w:sz w:val="21"/>
                      <w:szCs w:val="21"/>
                    </w:rPr>
                  </w:pPr>
                  <w:r>
                    <w:rPr>
                      <w:kern w:val="0"/>
                      <w:sz w:val="21"/>
                      <w:szCs w:val="21"/>
                    </w:rPr>
                    <w:t>0.415-0.545</w:t>
                  </w:r>
                </w:p>
              </w:tc>
              <w:tc>
                <w:tcPr>
                  <w:tcW w:w="1736" w:type="dxa"/>
                  <w:tcBorders>
                    <w:tl2br w:val="nil"/>
                    <w:tr2bl w:val="nil"/>
                  </w:tcBorders>
                  <w:vAlign w:val="center"/>
                </w:tcPr>
                <w:p>
                  <w:pPr>
                    <w:pStyle w:val="21"/>
                    <w:snapToGrid w:val="0"/>
                    <w:rPr>
                      <w:kern w:val="0"/>
                      <w:sz w:val="21"/>
                      <w:szCs w:val="21"/>
                    </w:rPr>
                  </w:pPr>
                  <w:r>
                    <w:rPr>
                      <w:kern w:val="0"/>
                      <w:sz w:val="21"/>
                      <w:szCs w:val="21"/>
                    </w:rPr>
                    <w:t>0.3-0.35</w:t>
                  </w:r>
                </w:p>
              </w:tc>
              <w:tc>
                <w:tcPr>
                  <w:tcW w:w="1463" w:type="dxa"/>
                  <w:tcBorders>
                    <w:tl2br w:val="nil"/>
                    <w:tr2bl w:val="nil"/>
                  </w:tcBorders>
                  <w:vAlign w:val="center"/>
                </w:tcPr>
                <w:p>
                  <w:pPr>
                    <w:pStyle w:val="21"/>
                    <w:snapToGrid w:val="0"/>
                    <w:rPr>
                      <w:kern w:val="0"/>
                      <w:sz w:val="21"/>
                      <w:szCs w:val="21"/>
                    </w:rPr>
                  </w:pPr>
                  <w:r>
                    <w:rPr>
                      <w:kern w:val="0"/>
                      <w:sz w:val="21"/>
                      <w:szCs w:val="21"/>
                    </w:rPr>
                    <w:t>0.413-0.525</w:t>
                  </w:r>
                </w:p>
              </w:tc>
            </w:tr>
          </w:tbl>
          <w:p>
            <w:pPr>
              <w:snapToGrid w:val="0"/>
              <w:spacing w:line="360" w:lineRule="auto"/>
              <w:ind w:firstLine="480" w:firstLineChars="200"/>
              <w:rPr>
                <w:b/>
                <w:sz w:val="24"/>
              </w:rPr>
            </w:pPr>
            <w:r>
              <w:rPr>
                <w:rFonts w:hint="eastAsia"/>
                <w:b/>
                <w:sz w:val="24"/>
              </w:rPr>
              <w:t>三、声环境质量现状</w:t>
            </w:r>
          </w:p>
          <w:p>
            <w:pPr>
              <w:snapToGrid w:val="0"/>
              <w:spacing w:line="360" w:lineRule="auto"/>
              <w:ind w:firstLine="480" w:firstLineChars="200"/>
              <w:rPr>
                <w:b/>
                <w:bCs/>
                <w:sz w:val="24"/>
                <w:szCs w:val="24"/>
              </w:rPr>
            </w:pPr>
            <w:r>
              <w:rPr>
                <w:rFonts w:hint="eastAsia"/>
                <w:sz w:val="24"/>
              </w:rPr>
              <w:t>通过对项目实地勘察，项目所在地区域的声环境质量现状能达到《声环境质量标准》(GB3096-2008)2类区标准的要求。</w:t>
            </w:r>
          </w:p>
          <w:p>
            <w:pPr>
              <w:snapToGrid w:val="0"/>
              <w:spacing w:line="360" w:lineRule="auto"/>
              <w:ind w:firstLine="480" w:firstLineChars="200"/>
              <w:rPr>
                <w:b/>
                <w:bCs/>
                <w:sz w:val="24"/>
                <w:szCs w:val="24"/>
              </w:rPr>
            </w:pPr>
            <w:r>
              <w:rPr>
                <w:b/>
                <w:bCs/>
                <w:sz w:val="24"/>
                <w:szCs w:val="24"/>
              </w:rPr>
              <w:t>4、生态环境</w:t>
            </w:r>
          </w:p>
          <w:p>
            <w:pPr>
              <w:snapToGrid w:val="0"/>
              <w:spacing w:line="360" w:lineRule="auto"/>
              <w:ind w:firstLine="480" w:firstLineChars="200"/>
              <w:rPr>
                <w:sz w:val="24"/>
              </w:rPr>
            </w:pPr>
            <w:r>
              <w:rPr>
                <w:sz w:val="24"/>
              </w:rPr>
              <w:t>本项目场址周围人类活动频繁，植被覆盖度不高，生物多样性较差。经调查，建设用地区域无珍稀动植物存在，无珍稀古树木。</w:t>
            </w:r>
          </w:p>
          <w:p>
            <w:pPr>
              <w:snapToGrid w:val="0"/>
              <w:spacing w:line="360" w:lineRule="auto"/>
              <w:ind w:firstLine="480" w:firstLineChars="200"/>
              <w:rPr>
                <w:sz w:val="24"/>
              </w:rPr>
            </w:pPr>
          </w:p>
        </w:tc>
      </w:tr>
    </w:tbl>
    <w:p>
      <w:pPr>
        <w:sectPr>
          <w:footerReference w:type="default" r:id="rId20"/>
          <w:type w:val="nextPage"/>
          <w:pgSz w:w="11907" w:h="16840"/>
          <w:pgMar w:top="1418" w:right="1418" w:bottom="1418" w:left="1418" w:header="851" w:footer="992" w:gutter="113"/>
          <w:pgNumType w:start="16"/>
          <w:cols w:num="1" w:space="720"/>
          <w:titlePg w:val="0"/>
        </w:sectPr>
      </w:pPr>
    </w:p>
    <w:tbl>
      <w:tblPr>
        <w:tblStyle w:val="TableNormal"/>
        <w:tblW w:w="8840" w:type="dxa"/>
        <w:tblInd w:w="125"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
      <w:tblGrid>
        <w:gridCol w:w="8840"/>
      </w:tblGrid>
      <w:tr>
        <w:tblPrEx>
          <w:tblW w:w="8840" w:type="dxa"/>
          <w:tblInd w:w="125" w:type="dxa"/>
          <w:tblBorders>
            <w:top w:val="single" w:sz="12" w:space="0" w:color="auto"/>
            <w:left w:val="single" w:sz="12" w:space="0" w:color="auto"/>
            <w:bottom w:val="single" w:sz="12" w:space="0" w:color="auto"/>
            <w:right w:val="single" w:sz="12" w:space="0" w:color="auto"/>
            <w:insideH w:val="single" w:sz="4" w:space="0" w:color="auto"/>
            <w:insideV w:val="none" w:sz="0" w:space="0" w:color="auto"/>
          </w:tblBorders>
          <w:tblLayout w:type="fixed"/>
          <w:tblCellMar>
            <w:top w:w="0" w:type="dxa"/>
            <w:left w:w="108" w:type="dxa"/>
            <w:bottom w:w="0" w:type="dxa"/>
            <w:right w:w="108" w:type="dxa"/>
          </w:tblCellMar>
        </w:tblPrEx>
        <w:trPr>
          <w:trHeight w:val="14953"/>
        </w:trPr>
        <w:tc>
          <w:tcPr>
            <w:tcW w:w="8840" w:type="dxa"/>
          </w:tcPr>
          <w:p>
            <w:pPr>
              <w:spacing w:line="360" w:lineRule="auto"/>
              <w:rPr>
                <w:b/>
                <w:kern w:val="21"/>
                <w:sz w:val="28"/>
              </w:rPr>
            </w:pPr>
            <w:r>
              <w:rPr>
                <w:rFonts w:hAnsi="宋体"/>
                <w:b/>
                <w:kern w:val="21"/>
                <w:sz w:val="28"/>
              </w:rPr>
              <w:t>主要环境保护目标（列出名单及保护级别）：</w:t>
            </w:r>
          </w:p>
          <w:p>
            <w:pPr>
              <w:spacing w:line="360" w:lineRule="auto"/>
              <w:ind w:firstLine="480" w:firstLineChars="200"/>
              <w:rPr>
                <w:sz w:val="24"/>
              </w:rPr>
            </w:pPr>
            <w:r>
              <w:rPr>
                <w:rFonts w:hAnsi="宋体"/>
                <w:sz w:val="24"/>
              </w:rPr>
              <w:t>据现场踏勘，</w:t>
            </w:r>
            <w:r>
              <w:rPr>
                <w:rFonts w:hAnsi="宋体" w:hint="eastAsia"/>
                <w:sz w:val="24"/>
              </w:rPr>
              <w:t>建设项目</w:t>
            </w:r>
            <w:r>
              <w:rPr>
                <w:rFonts w:hAnsi="宋体"/>
                <w:sz w:val="24"/>
              </w:rPr>
              <w:t>主要环境保护目标情况见</w:t>
            </w:r>
            <w:r>
              <w:rPr>
                <w:rFonts w:hAnsi="宋体" w:hint="eastAsia"/>
                <w:sz w:val="24"/>
              </w:rPr>
              <w:t>下表</w:t>
            </w:r>
            <w:r>
              <w:rPr>
                <w:rFonts w:hAnsi="宋体"/>
                <w:sz w:val="24"/>
              </w:rPr>
              <w:t>。</w:t>
            </w:r>
          </w:p>
          <w:p>
            <w:pPr>
              <w:spacing w:line="360" w:lineRule="auto"/>
              <w:ind w:firstLine="480" w:firstLineChars="200"/>
              <w:jc w:val="center"/>
              <w:rPr>
                <w:rFonts w:ascii="宋体" w:hAnsi="宋体" w:cs="宋体"/>
                <w:b/>
                <w:bCs/>
                <w:sz w:val="24"/>
              </w:rPr>
            </w:pPr>
            <w:r>
              <w:rPr>
                <w:b/>
                <w:bCs/>
                <w:sz w:val="24"/>
              </w:rPr>
              <w:t>表</w:t>
            </w:r>
            <w:r>
              <w:rPr>
                <w:rFonts w:hint="eastAsia"/>
                <w:b/>
                <w:bCs/>
                <w:sz w:val="24"/>
              </w:rPr>
              <w:t>7</w:t>
            </w:r>
            <w:r>
              <w:rPr>
                <w:b/>
                <w:bCs/>
                <w:sz w:val="24"/>
              </w:rPr>
              <w:t xml:space="preserve">  </w:t>
            </w:r>
            <w:r>
              <w:rPr>
                <w:rFonts w:ascii="宋体" w:hAnsi="宋体" w:cs="宋体" w:hint="eastAsia"/>
                <w:b/>
                <w:bCs/>
                <w:sz w:val="24"/>
              </w:rPr>
              <w:t>环境保护目标一览表</w:t>
            </w:r>
          </w:p>
          <w:tbl>
            <w:tblPr>
              <w:tblStyle w:val="TableNormal"/>
              <w:tblW w:w="8684"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46"/>
              <w:gridCol w:w="2411"/>
              <w:gridCol w:w="992"/>
              <w:gridCol w:w="1092"/>
              <w:gridCol w:w="1352"/>
              <w:gridCol w:w="1691"/>
            </w:tblGrid>
            <w:tr>
              <w:tblPrEx>
                <w:tblW w:w="8684"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387"/>
                <w:jc w:val="center"/>
              </w:trPr>
              <w:tc>
                <w:tcPr>
                  <w:tcW w:w="1146" w:type="dxa"/>
                  <w:tcBorders>
                    <w:tl2br w:val="nil"/>
                    <w:tr2bl w:val="nil"/>
                  </w:tcBorders>
                  <w:vAlign w:val="center"/>
                </w:tcPr>
                <w:p>
                  <w:pPr>
                    <w:spacing w:line="300" w:lineRule="auto"/>
                    <w:jc w:val="center"/>
                    <w:rPr>
                      <w:b/>
                      <w:bCs/>
                      <w:kern w:val="18"/>
                      <w:szCs w:val="21"/>
                    </w:rPr>
                  </w:pPr>
                  <w:r>
                    <w:rPr>
                      <w:b/>
                      <w:bCs/>
                      <w:kern w:val="18"/>
                      <w:szCs w:val="21"/>
                    </w:rPr>
                    <w:t>环境要素</w:t>
                  </w:r>
                </w:p>
              </w:tc>
              <w:tc>
                <w:tcPr>
                  <w:tcW w:w="2411" w:type="dxa"/>
                  <w:tcBorders>
                    <w:tl2br w:val="nil"/>
                    <w:tr2bl w:val="nil"/>
                  </w:tcBorders>
                  <w:vAlign w:val="center"/>
                </w:tcPr>
                <w:p>
                  <w:pPr>
                    <w:spacing w:line="300" w:lineRule="auto"/>
                    <w:jc w:val="center"/>
                    <w:rPr>
                      <w:b/>
                      <w:bCs/>
                      <w:kern w:val="18"/>
                      <w:szCs w:val="21"/>
                    </w:rPr>
                  </w:pPr>
                  <w:r>
                    <w:rPr>
                      <w:b/>
                      <w:bCs/>
                      <w:kern w:val="18"/>
                      <w:szCs w:val="21"/>
                    </w:rPr>
                    <w:t>保护目标名称</w:t>
                  </w:r>
                </w:p>
              </w:tc>
              <w:tc>
                <w:tcPr>
                  <w:tcW w:w="992" w:type="dxa"/>
                  <w:tcBorders>
                    <w:tl2br w:val="nil"/>
                    <w:tr2bl w:val="nil"/>
                  </w:tcBorders>
                  <w:vAlign w:val="center"/>
                </w:tcPr>
                <w:p>
                  <w:pPr>
                    <w:spacing w:line="300" w:lineRule="auto"/>
                    <w:jc w:val="center"/>
                    <w:rPr>
                      <w:b/>
                      <w:bCs/>
                      <w:kern w:val="18"/>
                      <w:szCs w:val="21"/>
                    </w:rPr>
                  </w:pPr>
                  <w:r>
                    <w:rPr>
                      <w:b/>
                      <w:bCs/>
                      <w:kern w:val="18"/>
                      <w:szCs w:val="21"/>
                    </w:rPr>
                    <w:t>距离</w:t>
                  </w:r>
                  <w:r>
                    <w:rPr>
                      <w:rFonts w:hint="eastAsia"/>
                      <w:b/>
                      <w:bCs/>
                      <w:kern w:val="18"/>
                      <w:szCs w:val="21"/>
                    </w:rPr>
                    <w:t>m</w:t>
                  </w:r>
                  <w:r>
                    <w:rPr>
                      <w:b/>
                      <w:bCs/>
                      <w:kern w:val="18"/>
                      <w:szCs w:val="21"/>
                    </w:rPr>
                    <w:t>（m）</w:t>
                  </w:r>
                </w:p>
              </w:tc>
              <w:tc>
                <w:tcPr>
                  <w:tcW w:w="1092" w:type="dxa"/>
                  <w:tcBorders>
                    <w:tl2br w:val="nil"/>
                    <w:tr2bl w:val="nil"/>
                  </w:tcBorders>
                  <w:vAlign w:val="center"/>
                </w:tcPr>
                <w:p>
                  <w:pPr>
                    <w:spacing w:line="300" w:lineRule="auto"/>
                    <w:jc w:val="center"/>
                    <w:rPr>
                      <w:b/>
                      <w:bCs/>
                      <w:kern w:val="18"/>
                      <w:szCs w:val="21"/>
                    </w:rPr>
                  </w:pPr>
                  <w:r>
                    <w:rPr>
                      <w:b/>
                      <w:bCs/>
                      <w:kern w:val="18"/>
                      <w:szCs w:val="21"/>
                    </w:rPr>
                    <w:t>相对方位</w:t>
                  </w:r>
                </w:p>
              </w:tc>
              <w:tc>
                <w:tcPr>
                  <w:tcW w:w="1352" w:type="dxa"/>
                  <w:tcBorders>
                    <w:tl2br w:val="nil"/>
                    <w:tr2bl w:val="nil"/>
                  </w:tcBorders>
                  <w:vAlign w:val="center"/>
                </w:tcPr>
                <w:p>
                  <w:pPr>
                    <w:spacing w:line="300" w:lineRule="auto"/>
                    <w:jc w:val="center"/>
                    <w:rPr>
                      <w:b/>
                      <w:bCs/>
                      <w:kern w:val="18"/>
                      <w:szCs w:val="21"/>
                    </w:rPr>
                  </w:pPr>
                  <w:r>
                    <w:rPr>
                      <w:b/>
                      <w:bCs/>
                      <w:kern w:val="18"/>
                      <w:szCs w:val="21"/>
                    </w:rPr>
                    <w:t>规模（人）</w:t>
                  </w:r>
                </w:p>
              </w:tc>
              <w:tc>
                <w:tcPr>
                  <w:tcW w:w="1691" w:type="dxa"/>
                  <w:tcBorders>
                    <w:tl2br w:val="nil"/>
                    <w:tr2bl w:val="nil"/>
                  </w:tcBorders>
                  <w:vAlign w:val="center"/>
                </w:tcPr>
                <w:p>
                  <w:pPr>
                    <w:spacing w:line="300" w:lineRule="auto"/>
                    <w:jc w:val="center"/>
                    <w:rPr>
                      <w:b/>
                      <w:bCs/>
                      <w:kern w:val="18"/>
                      <w:szCs w:val="21"/>
                    </w:rPr>
                  </w:pPr>
                  <w:r>
                    <w:rPr>
                      <w:b/>
                      <w:bCs/>
                      <w:kern w:val="18"/>
                      <w:szCs w:val="21"/>
                    </w:rPr>
                    <w:t>环境功能</w:t>
                  </w:r>
                </w:p>
              </w:tc>
            </w:tr>
            <w:tr>
              <w:tblPrEx>
                <w:tblW w:w="8684" w:type="dxa"/>
                <w:jc w:val="center"/>
                <w:tblLayout w:type="fixed"/>
                <w:tblCellMar>
                  <w:top w:w="0" w:type="dxa"/>
                  <w:left w:w="108" w:type="dxa"/>
                  <w:bottom w:w="0" w:type="dxa"/>
                  <w:right w:w="108" w:type="dxa"/>
                </w:tblCellMar>
              </w:tblPrEx>
              <w:trPr>
                <w:trHeight w:hRule="exact" w:val="415"/>
                <w:jc w:val="center"/>
              </w:trPr>
              <w:tc>
                <w:tcPr>
                  <w:tcW w:w="1146" w:type="dxa"/>
                  <w:vMerge w:val="restart"/>
                  <w:tcBorders>
                    <w:tl2br w:val="nil"/>
                    <w:tr2bl w:val="nil"/>
                  </w:tcBorders>
                  <w:vAlign w:val="center"/>
                </w:tcPr>
                <w:p>
                  <w:pPr>
                    <w:widowControl/>
                    <w:spacing w:line="300" w:lineRule="auto"/>
                    <w:jc w:val="center"/>
                    <w:rPr>
                      <w:szCs w:val="21"/>
                      <w:highlight w:val="yellow"/>
                    </w:rPr>
                  </w:pPr>
                  <w:r>
                    <w:rPr>
                      <w:szCs w:val="21"/>
                    </w:rPr>
                    <w:t>大气环境</w:t>
                  </w:r>
                </w:p>
              </w:tc>
              <w:tc>
                <w:tcPr>
                  <w:tcW w:w="2411" w:type="dxa"/>
                  <w:tcBorders>
                    <w:tl2br w:val="nil"/>
                    <w:tr2bl w:val="nil"/>
                  </w:tcBorders>
                  <w:vAlign w:val="center"/>
                </w:tcPr>
                <w:p>
                  <w:pPr>
                    <w:spacing w:line="300" w:lineRule="auto"/>
                    <w:jc w:val="center"/>
                    <w:rPr>
                      <w:kern w:val="18"/>
                      <w:szCs w:val="21"/>
                    </w:rPr>
                  </w:pPr>
                  <w:r>
                    <w:rPr>
                      <w:rFonts w:hint="eastAsia"/>
                      <w:kern w:val="18"/>
                      <w:szCs w:val="21"/>
                    </w:rPr>
                    <w:t>儿童医院（规划）</w:t>
                  </w:r>
                </w:p>
              </w:tc>
              <w:tc>
                <w:tcPr>
                  <w:tcW w:w="992" w:type="dxa"/>
                  <w:tcBorders>
                    <w:tl2br w:val="nil"/>
                    <w:tr2bl w:val="nil"/>
                  </w:tcBorders>
                  <w:vAlign w:val="center"/>
                </w:tcPr>
                <w:p>
                  <w:pPr>
                    <w:spacing w:line="300" w:lineRule="auto"/>
                    <w:jc w:val="center"/>
                    <w:rPr>
                      <w:kern w:val="18"/>
                      <w:szCs w:val="21"/>
                    </w:rPr>
                  </w:pPr>
                  <w:r>
                    <w:rPr>
                      <w:rFonts w:hint="eastAsia"/>
                      <w:kern w:val="18"/>
                      <w:szCs w:val="21"/>
                    </w:rPr>
                    <w:t>40</w:t>
                  </w:r>
                </w:p>
              </w:tc>
              <w:tc>
                <w:tcPr>
                  <w:tcW w:w="1092" w:type="dxa"/>
                  <w:tcBorders>
                    <w:tl2br w:val="nil"/>
                    <w:tr2bl w:val="nil"/>
                  </w:tcBorders>
                  <w:vAlign w:val="center"/>
                </w:tcPr>
                <w:p>
                  <w:pPr>
                    <w:spacing w:line="300" w:lineRule="auto"/>
                    <w:jc w:val="center"/>
                    <w:rPr>
                      <w:kern w:val="18"/>
                      <w:szCs w:val="21"/>
                    </w:rPr>
                  </w:pPr>
                  <w:r>
                    <w:rPr>
                      <w:rFonts w:hint="eastAsia"/>
                      <w:szCs w:val="21"/>
                    </w:rPr>
                    <w:t>南面</w:t>
                  </w:r>
                </w:p>
              </w:tc>
              <w:tc>
                <w:tcPr>
                  <w:tcW w:w="1352" w:type="dxa"/>
                  <w:tcBorders>
                    <w:tl2br w:val="nil"/>
                    <w:tr2bl w:val="nil"/>
                  </w:tcBorders>
                  <w:vAlign w:val="center"/>
                </w:tcPr>
                <w:p>
                  <w:pPr>
                    <w:spacing w:line="300" w:lineRule="auto"/>
                    <w:jc w:val="center"/>
                    <w:rPr>
                      <w:kern w:val="18"/>
                      <w:szCs w:val="21"/>
                      <w:highlight w:val="yellow"/>
                    </w:rPr>
                  </w:pPr>
                  <w:r>
                    <w:rPr>
                      <w:rFonts w:hint="eastAsia"/>
                      <w:kern w:val="18"/>
                      <w:szCs w:val="21"/>
                    </w:rPr>
                    <w:t>200</w:t>
                  </w:r>
                </w:p>
              </w:tc>
              <w:tc>
                <w:tcPr>
                  <w:tcW w:w="1691" w:type="dxa"/>
                  <w:vMerge w:val="restart"/>
                  <w:tcBorders>
                    <w:tl2br w:val="nil"/>
                    <w:tr2bl w:val="nil"/>
                  </w:tcBorders>
                  <w:vAlign w:val="center"/>
                </w:tcPr>
                <w:p>
                  <w:pPr>
                    <w:spacing w:line="300" w:lineRule="auto"/>
                    <w:jc w:val="center"/>
                    <w:rPr>
                      <w:color w:val="FF0000"/>
                      <w:kern w:val="18"/>
                      <w:szCs w:val="21"/>
                    </w:rPr>
                  </w:pPr>
                  <w:r>
                    <w:rPr>
                      <w:szCs w:val="21"/>
                    </w:rPr>
                    <w:t>GB3095-2012中二级标准</w:t>
                  </w:r>
                </w:p>
              </w:tc>
            </w:tr>
            <w:tr>
              <w:tblPrEx>
                <w:tblW w:w="8684" w:type="dxa"/>
                <w:jc w:val="center"/>
                <w:tblLayout w:type="fixed"/>
                <w:tblCellMar>
                  <w:top w:w="0" w:type="dxa"/>
                  <w:left w:w="108" w:type="dxa"/>
                  <w:bottom w:w="0" w:type="dxa"/>
                  <w:right w:w="108" w:type="dxa"/>
                </w:tblCellMar>
              </w:tblPrEx>
              <w:trPr>
                <w:trHeight w:hRule="exact" w:val="410"/>
                <w:jc w:val="center"/>
              </w:trPr>
              <w:tc>
                <w:tcPr>
                  <w:tcW w:w="1146" w:type="dxa"/>
                  <w:vMerge/>
                  <w:tcBorders>
                    <w:tl2br w:val="nil"/>
                    <w:tr2bl w:val="nil"/>
                  </w:tcBorders>
                  <w:vAlign w:val="center"/>
                </w:tcPr>
                <w:p>
                  <w:pPr>
                    <w:spacing w:line="300" w:lineRule="auto"/>
                    <w:jc w:val="center"/>
                    <w:rPr>
                      <w:color w:val="0000FF"/>
                      <w:kern w:val="18"/>
                      <w:szCs w:val="21"/>
                      <w:highlight w:val="yellow"/>
                    </w:rPr>
                  </w:pPr>
                </w:p>
              </w:tc>
              <w:tc>
                <w:tcPr>
                  <w:tcW w:w="2411" w:type="dxa"/>
                  <w:tcBorders>
                    <w:tl2br w:val="nil"/>
                    <w:tr2bl w:val="nil"/>
                  </w:tcBorders>
                  <w:vAlign w:val="center"/>
                </w:tcPr>
                <w:p>
                  <w:pPr>
                    <w:spacing w:line="300" w:lineRule="auto"/>
                    <w:jc w:val="center"/>
                    <w:rPr>
                      <w:kern w:val="18"/>
                      <w:szCs w:val="21"/>
                    </w:rPr>
                  </w:pPr>
                  <w:r>
                    <w:rPr>
                      <w:rFonts w:hint="eastAsia"/>
                      <w:kern w:val="18"/>
                      <w:szCs w:val="21"/>
                    </w:rPr>
                    <w:t>彭坊汤家</w:t>
                  </w:r>
                </w:p>
              </w:tc>
              <w:tc>
                <w:tcPr>
                  <w:tcW w:w="992" w:type="dxa"/>
                  <w:tcBorders>
                    <w:tl2br w:val="nil"/>
                    <w:tr2bl w:val="nil"/>
                  </w:tcBorders>
                  <w:vAlign w:val="center"/>
                </w:tcPr>
                <w:p>
                  <w:pPr>
                    <w:spacing w:line="300" w:lineRule="auto"/>
                    <w:jc w:val="center"/>
                    <w:rPr>
                      <w:kern w:val="18"/>
                      <w:szCs w:val="21"/>
                    </w:rPr>
                  </w:pPr>
                  <w:r>
                    <w:rPr>
                      <w:rFonts w:hint="eastAsia"/>
                      <w:kern w:val="18"/>
                      <w:szCs w:val="21"/>
                    </w:rPr>
                    <w:t>320</w:t>
                  </w:r>
                </w:p>
              </w:tc>
              <w:tc>
                <w:tcPr>
                  <w:tcW w:w="1092" w:type="dxa"/>
                  <w:tcBorders>
                    <w:tl2br w:val="nil"/>
                    <w:tr2bl w:val="nil"/>
                  </w:tcBorders>
                  <w:vAlign w:val="center"/>
                </w:tcPr>
                <w:p>
                  <w:pPr>
                    <w:spacing w:line="300" w:lineRule="auto"/>
                    <w:jc w:val="center"/>
                    <w:rPr>
                      <w:kern w:val="18"/>
                      <w:szCs w:val="21"/>
                    </w:rPr>
                  </w:pPr>
                  <w:r>
                    <w:rPr>
                      <w:rFonts w:hint="eastAsia"/>
                      <w:kern w:val="18"/>
                      <w:szCs w:val="21"/>
                    </w:rPr>
                    <w:t>东</w:t>
                  </w:r>
                  <w:r>
                    <w:rPr>
                      <w:kern w:val="18"/>
                      <w:szCs w:val="21"/>
                    </w:rPr>
                    <w:t>面</w:t>
                  </w:r>
                </w:p>
              </w:tc>
              <w:tc>
                <w:tcPr>
                  <w:tcW w:w="1352" w:type="dxa"/>
                  <w:tcBorders>
                    <w:tl2br w:val="nil"/>
                    <w:tr2bl w:val="nil"/>
                  </w:tcBorders>
                  <w:vAlign w:val="center"/>
                </w:tcPr>
                <w:p>
                  <w:pPr>
                    <w:spacing w:line="300" w:lineRule="auto"/>
                    <w:jc w:val="center"/>
                    <w:rPr>
                      <w:kern w:val="18"/>
                      <w:szCs w:val="21"/>
                      <w:highlight w:val="yellow"/>
                    </w:rPr>
                  </w:pPr>
                  <w:r>
                    <w:rPr>
                      <w:rFonts w:hint="eastAsia"/>
                      <w:kern w:val="18"/>
                      <w:szCs w:val="21"/>
                    </w:rPr>
                    <w:t>240</w:t>
                  </w:r>
                </w:p>
              </w:tc>
              <w:tc>
                <w:tcPr>
                  <w:tcW w:w="1691" w:type="dxa"/>
                  <w:vMerge/>
                  <w:tcBorders>
                    <w:tl2br w:val="nil"/>
                    <w:tr2bl w:val="nil"/>
                  </w:tcBorders>
                  <w:vAlign w:val="center"/>
                </w:tcPr>
                <w:p>
                  <w:pPr>
                    <w:spacing w:line="300" w:lineRule="auto"/>
                    <w:jc w:val="center"/>
                    <w:rPr>
                      <w:color w:val="FF0000"/>
                      <w:kern w:val="18"/>
                      <w:szCs w:val="21"/>
                    </w:rPr>
                  </w:pPr>
                </w:p>
              </w:tc>
            </w:tr>
            <w:tr>
              <w:tblPrEx>
                <w:tblW w:w="8684" w:type="dxa"/>
                <w:jc w:val="center"/>
                <w:tblLayout w:type="fixed"/>
                <w:tblCellMar>
                  <w:top w:w="0" w:type="dxa"/>
                  <w:left w:w="108" w:type="dxa"/>
                  <w:bottom w:w="0" w:type="dxa"/>
                  <w:right w:w="108" w:type="dxa"/>
                </w:tblCellMar>
              </w:tblPrEx>
              <w:trPr>
                <w:trHeight w:hRule="exact" w:val="399"/>
                <w:jc w:val="center"/>
              </w:trPr>
              <w:tc>
                <w:tcPr>
                  <w:tcW w:w="1146" w:type="dxa"/>
                  <w:vMerge/>
                  <w:tcBorders>
                    <w:tl2br w:val="nil"/>
                    <w:tr2bl w:val="nil"/>
                  </w:tcBorders>
                  <w:vAlign w:val="center"/>
                </w:tcPr>
                <w:p>
                  <w:pPr>
                    <w:spacing w:line="300" w:lineRule="auto"/>
                    <w:jc w:val="center"/>
                    <w:rPr>
                      <w:color w:val="0000FF"/>
                      <w:kern w:val="18"/>
                      <w:szCs w:val="21"/>
                      <w:highlight w:val="yellow"/>
                    </w:rPr>
                  </w:pPr>
                </w:p>
              </w:tc>
              <w:tc>
                <w:tcPr>
                  <w:tcW w:w="2411" w:type="dxa"/>
                  <w:tcBorders>
                    <w:tl2br w:val="nil"/>
                    <w:tr2bl w:val="nil"/>
                  </w:tcBorders>
                  <w:vAlign w:val="center"/>
                </w:tcPr>
                <w:p>
                  <w:pPr>
                    <w:spacing w:line="300" w:lineRule="auto"/>
                    <w:jc w:val="center"/>
                    <w:rPr>
                      <w:kern w:val="18"/>
                      <w:szCs w:val="21"/>
                      <w:highlight w:val="yellow"/>
                    </w:rPr>
                  </w:pPr>
                  <w:r>
                    <w:rPr>
                      <w:rFonts w:hint="eastAsia"/>
                      <w:snapToGrid w:val="0"/>
                      <w:spacing w:val="10"/>
                      <w:szCs w:val="21"/>
                    </w:rPr>
                    <w:t>土壁塅丁家</w:t>
                  </w:r>
                </w:p>
              </w:tc>
              <w:tc>
                <w:tcPr>
                  <w:tcW w:w="992" w:type="dxa"/>
                  <w:tcBorders>
                    <w:tl2br w:val="nil"/>
                    <w:tr2bl w:val="nil"/>
                  </w:tcBorders>
                  <w:vAlign w:val="center"/>
                </w:tcPr>
                <w:p>
                  <w:pPr>
                    <w:spacing w:line="300" w:lineRule="auto"/>
                    <w:jc w:val="center"/>
                    <w:rPr>
                      <w:kern w:val="18"/>
                      <w:szCs w:val="21"/>
                    </w:rPr>
                  </w:pPr>
                  <w:r>
                    <w:rPr>
                      <w:rFonts w:hint="eastAsia"/>
                      <w:kern w:val="18"/>
                      <w:szCs w:val="21"/>
                    </w:rPr>
                    <w:t>660</w:t>
                  </w:r>
                </w:p>
              </w:tc>
              <w:tc>
                <w:tcPr>
                  <w:tcW w:w="1092" w:type="dxa"/>
                  <w:tcBorders>
                    <w:tl2br w:val="nil"/>
                    <w:tr2bl w:val="nil"/>
                  </w:tcBorders>
                  <w:vAlign w:val="center"/>
                </w:tcPr>
                <w:p>
                  <w:pPr>
                    <w:spacing w:line="300" w:lineRule="auto"/>
                    <w:jc w:val="center"/>
                    <w:rPr>
                      <w:kern w:val="18"/>
                      <w:szCs w:val="21"/>
                    </w:rPr>
                  </w:pPr>
                  <w:r>
                    <w:rPr>
                      <w:rFonts w:hint="eastAsia"/>
                      <w:szCs w:val="21"/>
                    </w:rPr>
                    <w:t>西</w:t>
                  </w:r>
                  <w:r>
                    <w:rPr>
                      <w:szCs w:val="21"/>
                    </w:rPr>
                    <w:t>面</w:t>
                  </w:r>
                </w:p>
              </w:tc>
              <w:tc>
                <w:tcPr>
                  <w:tcW w:w="1352" w:type="dxa"/>
                  <w:tcBorders>
                    <w:tl2br w:val="nil"/>
                    <w:tr2bl w:val="nil"/>
                  </w:tcBorders>
                  <w:vAlign w:val="center"/>
                </w:tcPr>
                <w:p>
                  <w:pPr>
                    <w:spacing w:line="300" w:lineRule="auto"/>
                    <w:jc w:val="center"/>
                    <w:rPr>
                      <w:kern w:val="18"/>
                      <w:szCs w:val="21"/>
                      <w:highlight w:val="yellow"/>
                    </w:rPr>
                  </w:pPr>
                  <w:r>
                    <w:rPr>
                      <w:rFonts w:hint="eastAsia"/>
                      <w:kern w:val="18"/>
                      <w:szCs w:val="21"/>
                    </w:rPr>
                    <w:t>450</w:t>
                  </w:r>
                </w:p>
              </w:tc>
              <w:tc>
                <w:tcPr>
                  <w:tcW w:w="1691" w:type="dxa"/>
                  <w:vMerge/>
                  <w:tcBorders>
                    <w:tl2br w:val="nil"/>
                    <w:tr2bl w:val="nil"/>
                  </w:tcBorders>
                  <w:vAlign w:val="center"/>
                </w:tcPr>
                <w:p>
                  <w:pPr>
                    <w:spacing w:line="300" w:lineRule="auto"/>
                    <w:jc w:val="center"/>
                    <w:rPr>
                      <w:color w:val="FF0000"/>
                      <w:kern w:val="18"/>
                      <w:szCs w:val="21"/>
                    </w:rPr>
                  </w:pPr>
                </w:p>
              </w:tc>
            </w:tr>
            <w:tr>
              <w:tblPrEx>
                <w:tblW w:w="8684" w:type="dxa"/>
                <w:jc w:val="center"/>
                <w:tblLayout w:type="fixed"/>
                <w:tblCellMar>
                  <w:top w:w="0" w:type="dxa"/>
                  <w:left w:w="108" w:type="dxa"/>
                  <w:bottom w:w="0" w:type="dxa"/>
                  <w:right w:w="108" w:type="dxa"/>
                </w:tblCellMar>
              </w:tblPrEx>
              <w:trPr>
                <w:trHeight w:hRule="exact" w:val="399"/>
                <w:jc w:val="center"/>
              </w:trPr>
              <w:tc>
                <w:tcPr>
                  <w:tcW w:w="1146" w:type="dxa"/>
                  <w:vMerge/>
                  <w:tcBorders>
                    <w:tl2br w:val="nil"/>
                    <w:tr2bl w:val="nil"/>
                  </w:tcBorders>
                  <w:vAlign w:val="center"/>
                </w:tcPr>
                <w:p>
                  <w:pPr>
                    <w:spacing w:line="300" w:lineRule="auto"/>
                    <w:jc w:val="center"/>
                    <w:rPr>
                      <w:color w:val="0000FF"/>
                      <w:kern w:val="18"/>
                      <w:szCs w:val="21"/>
                      <w:highlight w:val="yellow"/>
                    </w:rPr>
                  </w:pPr>
                </w:p>
              </w:tc>
              <w:tc>
                <w:tcPr>
                  <w:tcW w:w="2411" w:type="dxa"/>
                  <w:tcBorders>
                    <w:tl2br w:val="nil"/>
                    <w:tr2bl w:val="nil"/>
                  </w:tcBorders>
                  <w:vAlign w:val="center"/>
                </w:tcPr>
                <w:p>
                  <w:pPr>
                    <w:spacing w:line="300" w:lineRule="auto"/>
                    <w:jc w:val="center"/>
                    <w:rPr>
                      <w:kern w:val="18"/>
                      <w:szCs w:val="21"/>
                    </w:rPr>
                  </w:pPr>
                  <w:r>
                    <w:rPr>
                      <w:rFonts w:hint="eastAsia"/>
                      <w:kern w:val="18"/>
                      <w:szCs w:val="21"/>
                    </w:rPr>
                    <w:t>白岭新村</w:t>
                  </w:r>
                </w:p>
              </w:tc>
              <w:tc>
                <w:tcPr>
                  <w:tcW w:w="992" w:type="dxa"/>
                  <w:tcBorders>
                    <w:tl2br w:val="nil"/>
                    <w:tr2bl w:val="nil"/>
                  </w:tcBorders>
                  <w:vAlign w:val="center"/>
                </w:tcPr>
                <w:p>
                  <w:pPr>
                    <w:spacing w:line="300" w:lineRule="auto"/>
                    <w:jc w:val="center"/>
                    <w:rPr>
                      <w:kern w:val="18"/>
                      <w:szCs w:val="21"/>
                    </w:rPr>
                  </w:pPr>
                  <w:r>
                    <w:rPr>
                      <w:rFonts w:hint="eastAsia"/>
                      <w:kern w:val="18"/>
                      <w:szCs w:val="21"/>
                    </w:rPr>
                    <w:t>680</w:t>
                  </w:r>
                </w:p>
              </w:tc>
              <w:tc>
                <w:tcPr>
                  <w:tcW w:w="1092" w:type="dxa"/>
                  <w:tcBorders>
                    <w:tl2br w:val="nil"/>
                    <w:tr2bl w:val="nil"/>
                  </w:tcBorders>
                  <w:vAlign w:val="center"/>
                </w:tcPr>
                <w:p>
                  <w:pPr>
                    <w:spacing w:line="300" w:lineRule="auto"/>
                    <w:jc w:val="center"/>
                    <w:rPr>
                      <w:kern w:val="18"/>
                      <w:szCs w:val="21"/>
                    </w:rPr>
                  </w:pPr>
                  <w:r>
                    <w:rPr>
                      <w:rFonts w:hint="eastAsia"/>
                      <w:kern w:val="18"/>
                      <w:szCs w:val="21"/>
                    </w:rPr>
                    <w:t>东面</w:t>
                  </w:r>
                </w:p>
              </w:tc>
              <w:tc>
                <w:tcPr>
                  <w:tcW w:w="1352" w:type="dxa"/>
                  <w:tcBorders>
                    <w:tl2br w:val="nil"/>
                    <w:tr2bl w:val="nil"/>
                  </w:tcBorders>
                  <w:vAlign w:val="center"/>
                </w:tcPr>
                <w:p>
                  <w:pPr>
                    <w:spacing w:line="300" w:lineRule="auto"/>
                    <w:jc w:val="center"/>
                    <w:rPr>
                      <w:kern w:val="18"/>
                      <w:szCs w:val="21"/>
                      <w:highlight w:val="yellow"/>
                    </w:rPr>
                  </w:pPr>
                  <w:r>
                    <w:rPr>
                      <w:rFonts w:hint="eastAsia"/>
                      <w:kern w:val="18"/>
                      <w:szCs w:val="21"/>
                    </w:rPr>
                    <w:t>1200</w:t>
                  </w:r>
                </w:p>
              </w:tc>
              <w:tc>
                <w:tcPr>
                  <w:tcW w:w="1691" w:type="dxa"/>
                  <w:vMerge/>
                  <w:tcBorders>
                    <w:tl2br w:val="nil"/>
                    <w:tr2bl w:val="nil"/>
                  </w:tcBorders>
                  <w:vAlign w:val="center"/>
                </w:tcPr>
                <w:p>
                  <w:pPr>
                    <w:spacing w:line="300" w:lineRule="auto"/>
                    <w:jc w:val="center"/>
                    <w:rPr>
                      <w:color w:val="FF0000"/>
                      <w:kern w:val="18"/>
                      <w:szCs w:val="21"/>
                    </w:rPr>
                  </w:pPr>
                </w:p>
              </w:tc>
            </w:tr>
            <w:tr>
              <w:tblPrEx>
                <w:tblW w:w="8684" w:type="dxa"/>
                <w:jc w:val="center"/>
                <w:tblLayout w:type="fixed"/>
                <w:tblCellMar>
                  <w:top w:w="0" w:type="dxa"/>
                  <w:left w:w="108" w:type="dxa"/>
                  <w:bottom w:w="0" w:type="dxa"/>
                  <w:right w:w="108" w:type="dxa"/>
                </w:tblCellMar>
              </w:tblPrEx>
              <w:trPr>
                <w:trHeight w:hRule="exact" w:val="611"/>
                <w:jc w:val="center"/>
              </w:trPr>
              <w:tc>
                <w:tcPr>
                  <w:tcW w:w="1146" w:type="dxa"/>
                  <w:tcBorders>
                    <w:tl2br w:val="nil"/>
                    <w:tr2bl w:val="nil"/>
                  </w:tcBorders>
                  <w:vAlign w:val="center"/>
                </w:tcPr>
                <w:p>
                  <w:pPr>
                    <w:spacing w:line="300" w:lineRule="auto"/>
                    <w:jc w:val="center"/>
                    <w:rPr>
                      <w:color w:val="0000FF"/>
                      <w:kern w:val="18"/>
                      <w:szCs w:val="21"/>
                    </w:rPr>
                  </w:pPr>
                  <w:r>
                    <w:rPr>
                      <w:rFonts w:hint="eastAsia"/>
                      <w:kern w:val="18"/>
                      <w:szCs w:val="21"/>
                    </w:rPr>
                    <w:t>声环境</w:t>
                  </w:r>
                </w:p>
              </w:tc>
              <w:tc>
                <w:tcPr>
                  <w:tcW w:w="2411" w:type="dxa"/>
                  <w:tcBorders>
                    <w:tl2br w:val="nil"/>
                    <w:tr2bl w:val="nil"/>
                  </w:tcBorders>
                  <w:vAlign w:val="center"/>
                </w:tcPr>
                <w:p>
                  <w:pPr>
                    <w:spacing w:line="300" w:lineRule="auto"/>
                    <w:jc w:val="center"/>
                    <w:rPr>
                      <w:snapToGrid w:val="0"/>
                      <w:spacing w:val="10"/>
                      <w:sz w:val="18"/>
                      <w:szCs w:val="18"/>
                      <w:highlight w:val="yellow"/>
                    </w:rPr>
                  </w:pPr>
                  <w:r>
                    <w:rPr>
                      <w:rFonts w:hint="eastAsia"/>
                      <w:kern w:val="18"/>
                      <w:szCs w:val="21"/>
                    </w:rPr>
                    <w:t>儿童医院（规划）</w:t>
                  </w:r>
                </w:p>
              </w:tc>
              <w:tc>
                <w:tcPr>
                  <w:tcW w:w="992" w:type="dxa"/>
                  <w:tcBorders>
                    <w:tl2br w:val="nil"/>
                    <w:tr2bl w:val="nil"/>
                  </w:tcBorders>
                  <w:vAlign w:val="center"/>
                </w:tcPr>
                <w:p>
                  <w:pPr>
                    <w:spacing w:line="300" w:lineRule="auto"/>
                    <w:jc w:val="center"/>
                    <w:rPr>
                      <w:kern w:val="18"/>
                      <w:sz w:val="18"/>
                      <w:szCs w:val="18"/>
                      <w:highlight w:val="yellow"/>
                    </w:rPr>
                  </w:pPr>
                  <w:r>
                    <w:rPr>
                      <w:rFonts w:hint="eastAsia"/>
                      <w:kern w:val="18"/>
                      <w:szCs w:val="21"/>
                    </w:rPr>
                    <w:t>40</w:t>
                  </w:r>
                </w:p>
              </w:tc>
              <w:tc>
                <w:tcPr>
                  <w:tcW w:w="1092" w:type="dxa"/>
                  <w:tcBorders>
                    <w:tl2br w:val="nil"/>
                    <w:tr2bl w:val="nil"/>
                  </w:tcBorders>
                  <w:vAlign w:val="center"/>
                </w:tcPr>
                <w:p>
                  <w:pPr>
                    <w:spacing w:line="300" w:lineRule="auto"/>
                    <w:jc w:val="center"/>
                    <w:rPr>
                      <w:sz w:val="18"/>
                      <w:szCs w:val="18"/>
                      <w:highlight w:val="yellow"/>
                    </w:rPr>
                  </w:pPr>
                  <w:r>
                    <w:rPr>
                      <w:rFonts w:hint="eastAsia"/>
                      <w:szCs w:val="21"/>
                    </w:rPr>
                    <w:t>南面</w:t>
                  </w:r>
                </w:p>
              </w:tc>
              <w:tc>
                <w:tcPr>
                  <w:tcW w:w="1352" w:type="dxa"/>
                  <w:tcBorders>
                    <w:tl2br w:val="nil"/>
                    <w:tr2bl w:val="nil"/>
                  </w:tcBorders>
                  <w:vAlign w:val="center"/>
                </w:tcPr>
                <w:p>
                  <w:pPr>
                    <w:spacing w:line="300" w:lineRule="auto"/>
                    <w:jc w:val="center"/>
                    <w:rPr>
                      <w:kern w:val="18"/>
                      <w:sz w:val="18"/>
                      <w:szCs w:val="18"/>
                      <w:highlight w:val="yellow"/>
                    </w:rPr>
                  </w:pPr>
                  <w:r>
                    <w:rPr>
                      <w:rFonts w:hint="eastAsia"/>
                      <w:kern w:val="18"/>
                      <w:szCs w:val="21"/>
                    </w:rPr>
                    <w:t>200</w:t>
                  </w:r>
                </w:p>
              </w:tc>
              <w:tc>
                <w:tcPr>
                  <w:tcW w:w="1691" w:type="dxa"/>
                  <w:tcBorders>
                    <w:tl2br w:val="nil"/>
                    <w:tr2bl w:val="nil"/>
                  </w:tcBorders>
                  <w:vAlign w:val="center"/>
                </w:tcPr>
                <w:p>
                  <w:pPr>
                    <w:spacing w:line="300" w:lineRule="auto"/>
                    <w:jc w:val="center"/>
                    <w:rPr>
                      <w:color w:val="FF0000"/>
                      <w:kern w:val="18"/>
                      <w:szCs w:val="21"/>
                    </w:rPr>
                  </w:pPr>
                  <w:r>
                    <w:rPr>
                      <w:szCs w:val="21"/>
                    </w:rPr>
                    <w:t>GB3096-2008中2类标准</w:t>
                  </w:r>
                </w:p>
              </w:tc>
            </w:tr>
            <w:tr>
              <w:tblPrEx>
                <w:tblW w:w="8684" w:type="dxa"/>
                <w:jc w:val="center"/>
                <w:tblLayout w:type="fixed"/>
                <w:tblCellMar>
                  <w:top w:w="0" w:type="dxa"/>
                  <w:left w:w="108" w:type="dxa"/>
                  <w:bottom w:w="0" w:type="dxa"/>
                  <w:right w:w="108" w:type="dxa"/>
                </w:tblCellMar>
              </w:tblPrEx>
              <w:trPr>
                <w:trHeight w:hRule="exact" w:val="665"/>
                <w:jc w:val="center"/>
              </w:trPr>
              <w:tc>
                <w:tcPr>
                  <w:tcW w:w="1146" w:type="dxa"/>
                  <w:tcBorders>
                    <w:tl2br w:val="nil"/>
                    <w:tr2bl w:val="nil"/>
                  </w:tcBorders>
                  <w:vAlign w:val="center"/>
                </w:tcPr>
                <w:p>
                  <w:pPr>
                    <w:widowControl/>
                    <w:spacing w:line="300" w:lineRule="auto"/>
                    <w:jc w:val="center"/>
                    <w:rPr>
                      <w:szCs w:val="21"/>
                    </w:rPr>
                  </w:pPr>
                  <w:r>
                    <w:rPr>
                      <w:rFonts w:hint="eastAsia"/>
                      <w:szCs w:val="21"/>
                    </w:rPr>
                    <w:t>水环境</w:t>
                  </w:r>
                </w:p>
              </w:tc>
              <w:tc>
                <w:tcPr>
                  <w:tcW w:w="2411" w:type="dxa"/>
                  <w:tcBorders>
                    <w:tl2br w:val="nil"/>
                    <w:tr2bl w:val="nil"/>
                  </w:tcBorders>
                  <w:vAlign w:val="center"/>
                </w:tcPr>
                <w:p>
                  <w:pPr>
                    <w:spacing w:line="300" w:lineRule="auto"/>
                    <w:jc w:val="center"/>
                    <w:rPr>
                      <w:kern w:val="18"/>
                      <w:szCs w:val="21"/>
                    </w:rPr>
                  </w:pPr>
                  <w:r>
                    <w:rPr>
                      <w:rFonts w:hint="eastAsia"/>
                      <w:kern w:val="18"/>
                      <w:szCs w:val="21"/>
                    </w:rPr>
                    <w:t>抚河</w:t>
                  </w:r>
                </w:p>
              </w:tc>
              <w:tc>
                <w:tcPr>
                  <w:tcW w:w="992" w:type="dxa"/>
                  <w:tcBorders>
                    <w:tl2br w:val="nil"/>
                    <w:tr2bl w:val="nil"/>
                  </w:tcBorders>
                  <w:vAlign w:val="center"/>
                </w:tcPr>
                <w:p>
                  <w:pPr>
                    <w:spacing w:line="300" w:lineRule="auto"/>
                    <w:jc w:val="center"/>
                    <w:rPr>
                      <w:kern w:val="18"/>
                      <w:szCs w:val="21"/>
                    </w:rPr>
                  </w:pPr>
                  <w:r>
                    <w:rPr>
                      <w:rFonts w:hint="eastAsia"/>
                      <w:kern w:val="18"/>
                      <w:szCs w:val="21"/>
                    </w:rPr>
                    <w:t>5420</w:t>
                  </w:r>
                </w:p>
              </w:tc>
              <w:tc>
                <w:tcPr>
                  <w:tcW w:w="1092" w:type="dxa"/>
                  <w:tcBorders>
                    <w:tl2br w:val="nil"/>
                    <w:tr2bl w:val="nil"/>
                  </w:tcBorders>
                  <w:vAlign w:val="center"/>
                </w:tcPr>
                <w:p>
                  <w:pPr>
                    <w:spacing w:line="300" w:lineRule="auto"/>
                    <w:jc w:val="center"/>
                    <w:rPr>
                      <w:kern w:val="18"/>
                      <w:szCs w:val="21"/>
                    </w:rPr>
                  </w:pPr>
                  <w:r>
                    <w:rPr>
                      <w:rFonts w:hint="eastAsia"/>
                      <w:kern w:val="18"/>
                      <w:szCs w:val="21"/>
                    </w:rPr>
                    <w:t>东北面</w:t>
                  </w:r>
                </w:p>
              </w:tc>
              <w:tc>
                <w:tcPr>
                  <w:tcW w:w="1352" w:type="dxa"/>
                  <w:tcBorders>
                    <w:tl2br w:val="nil"/>
                    <w:tr2bl w:val="nil"/>
                  </w:tcBorders>
                  <w:vAlign w:val="center"/>
                </w:tcPr>
                <w:p>
                  <w:pPr>
                    <w:spacing w:line="300" w:lineRule="auto"/>
                    <w:jc w:val="center"/>
                    <w:rPr>
                      <w:kern w:val="18"/>
                      <w:szCs w:val="21"/>
                      <w:highlight w:val="yellow"/>
                    </w:rPr>
                  </w:pPr>
                  <w:r>
                    <w:rPr>
                      <w:rFonts w:hint="eastAsia"/>
                      <w:kern w:val="18"/>
                      <w:szCs w:val="21"/>
                    </w:rPr>
                    <w:t>大河</w:t>
                  </w:r>
                </w:p>
              </w:tc>
              <w:tc>
                <w:tcPr>
                  <w:tcW w:w="1691" w:type="dxa"/>
                  <w:tcBorders>
                    <w:tl2br w:val="nil"/>
                    <w:tr2bl w:val="nil"/>
                  </w:tcBorders>
                  <w:vAlign w:val="center"/>
                </w:tcPr>
                <w:p>
                  <w:pPr>
                    <w:spacing w:line="300" w:lineRule="auto"/>
                    <w:jc w:val="center"/>
                    <w:rPr>
                      <w:szCs w:val="21"/>
                    </w:rPr>
                  </w:pPr>
                  <w:r>
                    <w:rPr>
                      <w:szCs w:val="21"/>
                    </w:rPr>
                    <w:t>GB3838-2002中Ⅲ类水体标准</w:t>
                  </w:r>
                </w:p>
              </w:tc>
            </w:tr>
          </w:tbl>
          <w:p>
            <w:pPr>
              <w:pStyle w:val="Default"/>
              <w:rPr>
                <w:rFonts w:ascii="宋体" w:hAnsi="宋体" w:cs="宋体" w:hint="default"/>
                <w:b/>
                <w:bCs/>
              </w:rPr>
            </w:pPr>
          </w:p>
          <w:p>
            <w:pPr>
              <w:snapToGrid w:val="0"/>
              <w:spacing w:line="360" w:lineRule="auto"/>
              <w:ind w:firstLine="480" w:firstLineChars="200"/>
              <w:rPr>
                <w:sz w:val="24"/>
                <w:szCs w:val="24"/>
              </w:rPr>
            </w:pPr>
            <w:r>
              <w:rPr>
                <w:sz w:val="24"/>
                <w:szCs w:val="24"/>
              </w:rPr>
              <w:t>营运期主要环境保护目标：</w:t>
            </w:r>
          </w:p>
          <w:p>
            <w:pPr>
              <w:snapToGrid w:val="0"/>
              <w:spacing w:line="360" w:lineRule="auto"/>
              <w:ind w:firstLine="480" w:firstLineChars="200"/>
              <w:rPr>
                <w:sz w:val="24"/>
                <w:szCs w:val="24"/>
              </w:rPr>
            </w:pPr>
            <w:r>
              <w:rPr>
                <w:sz w:val="24"/>
                <w:szCs w:val="24"/>
              </w:rPr>
              <w:t>一、保护当地大气环境达到《环境空气质量标准》(GB3095-2012)中二级标准。</w:t>
            </w:r>
          </w:p>
          <w:p>
            <w:pPr>
              <w:snapToGrid w:val="0"/>
              <w:spacing w:line="360" w:lineRule="auto"/>
              <w:ind w:firstLine="480" w:firstLineChars="200"/>
              <w:rPr>
                <w:sz w:val="24"/>
                <w:szCs w:val="24"/>
              </w:rPr>
            </w:pPr>
            <w:r>
              <w:rPr>
                <w:sz w:val="24"/>
                <w:szCs w:val="24"/>
              </w:rPr>
              <w:t>二、严格控制噪声源，确保其噪声满足《声环境质量标准》(GB3096-2008)中2类区标准要求，不对周围环境保护目标造成影响。</w:t>
            </w:r>
          </w:p>
          <w:p>
            <w:pPr>
              <w:spacing w:line="360" w:lineRule="auto"/>
              <w:ind w:firstLine="480" w:firstLineChars="200"/>
              <w:rPr>
                <w:sz w:val="24"/>
                <w:szCs w:val="24"/>
              </w:rPr>
            </w:pPr>
            <w:r>
              <w:rPr>
                <w:sz w:val="24"/>
                <w:szCs w:val="24"/>
              </w:rPr>
              <w:t>三、本项目产生的生活污水经隔油池、化粪池预处理后进入</w:t>
            </w:r>
            <w:r>
              <w:rPr>
                <w:rFonts w:hint="eastAsia"/>
                <w:sz w:val="24"/>
                <w:szCs w:val="24"/>
              </w:rPr>
              <w:t>抚州市污水处理厂</w:t>
            </w:r>
            <w:r>
              <w:rPr>
                <w:sz w:val="24"/>
                <w:szCs w:val="24"/>
              </w:rPr>
              <w:t>处理，处理后达到《城镇污水处理厂污染物排放标准》中一级B标准后外排进入</w:t>
            </w:r>
            <w:r>
              <w:rPr>
                <w:rFonts w:hint="eastAsia"/>
                <w:sz w:val="24"/>
                <w:szCs w:val="24"/>
              </w:rPr>
              <w:t>抚河</w:t>
            </w:r>
            <w:r>
              <w:rPr>
                <w:sz w:val="24"/>
                <w:szCs w:val="24"/>
              </w:rPr>
              <w:t>。</w:t>
            </w:r>
          </w:p>
          <w:p>
            <w:pPr>
              <w:spacing w:line="360" w:lineRule="auto"/>
              <w:ind w:firstLine="480" w:firstLineChars="200"/>
              <w:rPr>
                <w:sz w:val="24"/>
              </w:rPr>
            </w:pPr>
            <w:r>
              <w:rPr>
                <w:rFonts w:hint="eastAsia"/>
                <w:sz w:val="24"/>
              </w:rPr>
              <w:t>四、固体废物妥善处理与处置，不对外界环境造成不良影响。</w:t>
            </w:r>
          </w:p>
          <w:p>
            <w:pPr>
              <w:snapToGrid w:val="0"/>
              <w:spacing w:line="360" w:lineRule="auto"/>
              <w:ind w:firstLine="420" w:firstLineChars="200"/>
            </w:pPr>
          </w:p>
        </w:tc>
      </w:tr>
    </w:tbl>
    <w:p>
      <w:pPr>
        <w:sectPr>
          <w:footerReference w:type="default" r:id="rId21"/>
          <w:type w:val="nextPage"/>
          <w:pgSz w:w="11907" w:h="16840"/>
          <w:pgMar w:top="1418" w:right="1418" w:bottom="1418" w:left="1418" w:header="851" w:footer="992" w:gutter="113"/>
          <w:pgNumType w:start="17"/>
          <w:cols w:num="1" w:space="720"/>
          <w:titlePg w:val="0"/>
        </w:sectPr>
      </w:pPr>
    </w:p>
    <w:p>
      <w:pPr>
        <w:spacing w:line="360" w:lineRule="auto"/>
        <w:rPr>
          <w:kern w:val="21"/>
          <w:sz w:val="28"/>
        </w:rPr>
      </w:pPr>
      <w:r>
        <w:rPr>
          <w:rFonts w:hAnsi="宋体"/>
          <w:b/>
          <w:kern w:val="21"/>
          <w:sz w:val="30"/>
        </w:rPr>
        <w:t>评价适用标准</w:t>
      </w:r>
    </w:p>
    <w:tbl>
      <w:tblPr>
        <w:tblStyle w:val="TableNormal"/>
        <w:tblW w:w="9018" w:type="dxa"/>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459"/>
        <w:gridCol w:w="392"/>
        <w:gridCol w:w="283"/>
        <w:gridCol w:w="444"/>
        <w:gridCol w:w="673"/>
        <w:gridCol w:w="868"/>
        <w:gridCol w:w="443"/>
        <w:gridCol w:w="407"/>
        <w:gridCol w:w="287"/>
        <w:gridCol w:w="564"/>
        <w:gridCol w:w="626"/>
        <w:gridCol w:w="112"/>
        <w:gridCol w:w="950"/>
        <w:gridCol w:w="301"/>
        <w:gridCol w:w="285"/>
        <w:gridCol w:w="108"/>
        <w:gridCol w:w="615"/>
        <w:gridCol w:w="126"/>
        <w:gridCol w:w="1075"/>
      </w:tblGrid>
      <w:tr>
        <w:tblPrEx>
          <w:tblW w:w="9018" w:type="dxa"/>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cantSplit/>
        </w:trPr>
        <w:tc>
          <w:tcPr>
            <w:tcW w:w="459" w:type="dxa"/>
            <w:vMerge w:val="restart"/>
            <w:shd w:val="clear" w:color="auto" w:fill="auto"/>
            <w:vAlign w:val="center"/>
          </w:tcPr>
          <w:p>
            <w:pPr>
              <w:spacing w:line="360" w:lineRule="auto"/>
              <w:jc w:val="center"/>
              <w:rPr>
                <w:b/>
                <w:kern w:val="21"/>
                <w:szCs w:val="21"/>
              </w:rPr>
            </w:pPr>
            <w:r>
              <w:rPr>
                <w:rFonts w:hAnsi="宋体"/>
                <w:b/>
                <w:kern w:val="21"/>
                <w:szCs w:val="21"/>
              </w:rPr>
              <w:t>环</w:t>
            </w:r>
          </w:p>
          <w:p>
            <w:pPr>
              <w:spacing w:line="360" w:lineRule="auto"/>
              <w:jc w:val="center"/>
              <w:rPr>
                <w:b/>
                <w:kern w:val="21"/>
                <w:szCs w:val="21"/>
              </w:rPr>
            </w:pPr>
            <w:r>
              <w:rPr>
                <w:rFonts w:hAnsi="宋体"/>
                <w:b/>
                <w:kern w:val="21"/>
                <w:szCs w:val="21"/>
              </w:rPr>
              <w:t>境</w:t>
            </w:r>
          </w:p>
          <w:p>
            <w:pPr>
              <w:spacing w:line="360" w:lineRule="auto"/>
              <w:jc w:val="center"/>
              <w:rPr>
                <w:b/>
                <w:kern w:val="21"/>
                <w:szCs w:val="21"/>
              </w:rPr>
            </w:pPr>
            <w:r>
              <w:rPr>
                <w:rFonts w:hAnsi="宋体"/>
                <w:b/>
                <w:kern w:val="21"/>
                <w:szCs w:val="21"/>
              </w:rPr>
              <w:t>质</w:t>
            </w:r>
          </w:p>
          <w:p>
            <w:pPr>
              <w:spacing w:line="360" w:lineRule="auto"/>
              <w:jc w:val="center"/>
              <w:rPr>
                <w:b/>
                <w:kern w:val="21"/>
                <w:szCs w:val="21"/>
              </w:rPr>
            </w:pPr>
            <w:r>
              <w:rPr>
                <w:rFonts w:hAnsi="宋体"/>
                <w:b/>
                <w:kern w:val="21"/>
                <w:szCs w:val="21"/>
              </w:rPr>
              <w:t>量</w:t>
            </w:r>
          </w:p>
          <w:p>
            <w:pPr>
              <w:spacing w:line="360" w:lineRule="auto"/>
              <w:jc w:val="center"/>
              <w:rPr>
                <w:b/>
                <w:kern w:val="21"/>
                <w:szCs w:val="21"/>
              </w:rPr>
            </w:pPr>
            <w:r>
              <w:rPr>
                <w:rFonts w:hAnsi="宋体"/>
                <w:b/>
                <w:kern w:val="21"/>
                <w:szCs w:val="21"/>
              </w:rPr>
              <w:t>标</w:t>
            </w:r>
          </w:p>
          <w:p>
            <w:pPr>
              <w:spacing w:line="360" w:lineRule="auto"/>
              <w:jc w:val="center"/>
              <w:rPr>
                <w:b/>
                <w:kern w:val="21"/>
                <w:szCs w:val="21"/>
              </w:rPr>
            </w:pPr>
            <w:r>
              <w:rPr>
                <w:rFonts w:hAnsi="宋体"/>
                <w:b/>
                <w:kern w:val="21"/>
                <w:szCs w:val="21"/>
              </w:rPr>
              <w:t>准</w:t>
            </w:r>
          </w:p>
        </w:tc>
        <w:tc>
          <w:tcPr>
            <w:tcW w:w="8559" w:type="dxa"/>
            <w:gridSpan w:val="18"/>
            <w:tcBorders>
              <w:bottom w:val="single" w:sz="12" w:space="0" w:color="auto"/>
            </w:tcBorders>
            <w:shd w:val="clear" w:color="auto" w:fill="auto"/>
            <w:vAlign w:val="bottom"/>
          </w:tcPr>
          <w:p>
            <w:pPr>
              <w:spacing w:line="240" w:lineRule="auto"/>
              <w:jc w:val="center"/>
              <w:rPr>
                <w:kern w:val="21"/>
                <w:szCs w:val="21"/>
              </w:rPr>
            </w:pPr>
            <w:r>
              <w:rPr>
                <w:b/>
                <w:bCs/>
                <w:kern w:val="21"/>
                <w:sz w:val="24"/>
                <w:szCs w:val="24"/>
              </w:rPr>
              <w:t>表</w:t>
            </w:r>
            <w:r>
              <w:rPr>
                <w:rFonts w:hint="eastAsia"/>
                <w:b/>
                <w:bCs/>
                <w:kern w:val="21"/>
                <w:sz w:val="24"/>
                <w:szCs w:val="24"/>
              </w:rPr>
              <w:t>8</w:t>
            </w:r>
            <w:r>
              <w:rPr>
                <w:b/>
                <w:bCs/>
                <w:kern w:val="21"/>
                <w:sz w:val="24"/>
                <w:szCs w:val="24"/>
              </w:rPr>
              <w:t xml:space="preserve">  环境质量标准一览表</w:t>
            </w:r>
          </w:p>
        </w:tc>
      </w:tr>
      <w:tr>
        <w:tblPrEx>
          <w:tblW w:w="9018" w:type="dxa"/>
          <w:tblInd w:w="0" w:type="dxa"/>
          <w:tblLayout w:type="fixed"/>
          <w:tblCellMar>
            <w:top w:w="0" w:type="dxa"/>
            <w:left w:w="108" w:type="dxa"/>
            <w:bottom w:w="0" w:type="dxa"/>
            <w:right w:w="108" w:type="dxa"/>
          </w:tblCellMar>
        </w:tblPrEx>
        <w:trPr>
          <w:cantSplit/>
          <w:trHeight w:hRule="exact" w:val="340"/>
        </w:trPr>
        <w:tc>
          <w:tcPr>
            <w:tcW w:w="459" w:type="dxa"/>
            <w:vMerge/>
            <w:shd w:val="clear" w:color="auto" w:fill="auto"/>
            <w:vAlign w:val="center"/>
          </w:tcPr>
          <w:p>
            <w:pPr>
              <w:spacing w:line="360" w:lineRule="auto"/>
              <w:jc w:val="center"/>
              <w:rPr>
                <w:b/>
                <w:kern w:val="21"/>
                <w:szCs w:val="21"/>
              </w:rPr>
            </w:pPr>
          </w:p>
        </w:tc>
        <w:tc>
          <w:tcPr>
            <w:tcW w:w="675" w:type="dxa"/>
            <w:gridSpan w:val="2"/>
            <w:tcBorders>
              <w:top w:val="single" w:sz="12" w:space="0" w:color="auto"/>
            </w:tcBorders>
            <w:shd w:val="clear" w:color="auto" w:fill="auto"/>
            <w:vAlign w:val="center"/>
          </w:tcPr>
          <w:p>
            <w:pPr>
              <w:jc w:val="center"/>
              <w:rPr>
                <w:b/>
                <w:bCs/>
                <w:kern w:val="18"/>
                <w:szCs w:val="21"/>
              </w:rPr>
            </w:pPr>
            <w:r>
              <w:rPr>
                <w:b/>
                <w:bCs/>
                <w:kern w:val="18"/>
                <w:szCs w:val="21"/>
              </w:rPr>
              <w:t>项目</w:t>
            </w:r>
          </w:p>
        </w:tc>
        <w:tc>
          <w:tcPr>
            <w:tcW w:w="1985" w:type="dxa"/>
            <w:gridSpan w:val="3"/>
            <w:tcBorders>
              <w:top w:val="single" w:sz="12" w:space="0" w:color="auto"/>
            </w:tcBorders>
            <w:shd w:val="clear" w:color="auto" w:fill="auto"/>
            <w:vAlign w:val="center"/>
          </w:tcPr>
          <w:p>
            <w:pPr>
              <w:jc w:val="center"/>
              <w:rPr>
                <w:b/>
                <w:bCs/>
                <w:kern w:val="18"/>
                <w:szCs w:val="21"/>
              </w:rPr>
            </w:pPr>
            <w:r>
              <w:rPr>
                <w:b/>
                <w:bCs/>
                <w:kern w:val="18"/>
                <w:szCs w:val="21"/>
              </w:rPr>
              <w:t>标准</w:t>
            </w:r>
          </w:p>
        </w:tc>
        <w:tc>
          <w:tcPr>
            <w:tcW w:w="850" w:type="dxa"/>
            <w:gridSpan w:val="2"/>
            <w:tcBorders>
              <w:top w:val="single" w:sz="12" w:space="0" w:color="auto"/>
            </w:tcBorders>
            <w:shd w:val="clear" w:color="auto" w:fill="auto"/>
            <w:vAlign w:val="center"/>
          </w:tcPr>
          <w:p>
            <w:pPr>
              <w:jc w:val="center"/>
              <w:rPr>
                <w:b/>
                <w:bCs/>
                <w:kern w:val="18"/>
                <w:szCs w:val="21"/>
              </w:rPr>
            </w:pPr>
            <w:r>
              <w:rPr>
                <w:b/>
                <w:bCs/>
                <w:kern w:val="18"/>
                <w:szCs w:val="21"/>
              </w:rPr>
              <w:t>类别</w:t>
            </w:r>
          </w:p>
        </w:tc>
        <w:tc>
          <w:tcPr>
            <w:tcW w:w="5049" w:type="dxa"/>
            <w:gridSpan w:val="11"/>
            <w:tcBorders>
              <w:top w:val="single" w:sz="12" w:space="0" w:color="auto"/>
              <w:right w:val="single" w:sz="8" w:space="0" w:color="auto"/>
            </w:tcBorders>
            <w:shd w:val="clear" w:color="auto" w:fill="auto"/>
            <w:vAlign w:val="center"/>
          </w:tcPr>
          <w:p>
            <w:pPr>
              <w:jc w:val="center"/>
              <w:rPr>
                <w:b/>
                <w:bCs/>
                <w:kern w:val="18"/>
                <w:szCs w:val="21"/>
              </w:rPr>
            </w:pPr>
            <w:r>
              <w:rPr>
                <w:b/>
                <w:bCs/>
                <w:kern w:val="18"/>
                <w:szCs w:val="21"/>
              </w:rPr>
              <w:t>评价标准值</w:t>
            </w:r>
          </w:p>
        </w:tc>
      </w:tr>
      <w:tr>
        <w:tblPrEx>
          <w:tblW w:w="9018" w:type="dxa"/>
          <w:tblInd w:w="0" w:type="dxa"/>
          <w:tblLayout w:type="fixed"/>
          <w:tblCellMar>
            <w:top w:w="0" w:type="dxa"/>
            <w:left w:w="108" w:type="dxa"/>
            <w:bottom w:w="0" w:type="dxa"/>
            <w:right w:w="108" w:type="dxa"/>
          </w:tblCellMar>
        </w:tblPrEx>
        <w:trPr>
          <w:cantSplit/>
          <w:trHeight w:hRule="exact" w:val="340"/>
        </w:trPr>
        <w:tc>
          <w:tcPr>
            <w:tcW w:w="459" w:type="dxa"/>
            <w:vMerge/>
            <w:shd w:val="clear" w:color="auto" w:fill="auto"/>
            <w:vAlign w:val="center"/>
          </w:tcPr>
          <w:p>
            <w:pPr>
              <w:spacing w:line="360" w:lineRule="auto"/>
              <w:jc w:val="center"/>
              <w:rPr>
                <w:b/>
                <w:kern w:val="21"/>
                <w:szCs w:val="21"/>
              </w:rPr>
            </w:pPr>
          </w:p>
        </w:tc>
        <w:tc>
          <w:tcPr>
            <w:tcW w:w="675" w:type="dxa"/>
            <w:gridSpan w:val="2"/>
            <w:vMerge w:val="restart"/>
            <w:shd w:val="clear" w:color="auto" w:fill="auto"/>
            <w:vAlign w:val="center"/>
          </w:tcPr>
          <w:p>
            <w:pPr>
              <w:jc w:val="center"/>
              <w:rPr>
                <w:kern w:val="18"/>
                <w:szCs w:val="21"/>
              </w:rPr>
            </w:pPr>
            <w:r>
              <w:rPr>
                <w:kern w:val="18"/>
                <w:szCs w:val="21"/>
              </w:rPr>
              <w:t>环境</w:t>
            </w:r>
          </w:p>
          <w:p>
            <w:pPr>
              <w:jc w:val="center"/>
              <w:rPr>
                <w:kern w:val="18"/>
                <w:szCs w:val="21"/>
              </w:rPr>
            </w:pPr>
            <w:r>
              <w:rPr>
                <w:kern w:val="18"/>
                <w:szCs w:val="21"/>
              </w:rPr>
              <w:t>空气</w:t>
            </w:r>
          </w:p>
        </w:tc>
        <w:tc>
          <w:tcPr>
            <w:tcW w:w="1985" w:type="dxa"/>
            <w:gridSpan w:val="3"/>
            <w:vMerge w:val="restart"/>
            <w:shd w:val="clear" w:color="auto" w:fill="auto"/>
            <w:vAlign w:val="center"/>
          </w:tcPr>
          <w:p>
            <w:pPr>
              <w:jc w:val="center"/>
              <w:rPr>
                <w:kern w:val="18"/>
                <w:szCs w:val="21"/>
              </w:rPr>
            </w:pPr>
            <w:r>
              <w:rPr>
                <w:kern w:val="18"/>
                <w:szCs w:val="21"/>
              </w:rPr>
              <w:t>《环境空气质量标准》（GB3095-2012）</w:t>
            </w:r>
          </w:p>
        </w:tc>
        <w:tc>
          <w:tcPr>
            <w:tcW w:w="850" w:type="dxa"/>
            <w:gridSpan w:val="2"/>
            <w:vMerge w:val="restart"/>
            <w:shd w:val="clear" w:color="auto" w:fill="auto"/>
            <w:vAlign w:val="center"/>
          </w:tcPr>
          <w:p>
            <w:pPr>
              <w:jc w:val="center"/>
              <w:rPr>
                <w:kern w:val="18"/>
                <w:szCs w:val="21"/>
              </w:rPr>
            </w:pPr>
            <w:r>
              <w:rPr>
                <w:kern w:val="18"/>
                <w:szCs w:val="21"/>
              </w:rPr>
              <w:t>二级</w:t>
            </w:r>
          </w:p>
        </w:tc>
        <w:tc>
          <w:tcPr>
            <w:tcW w:w="1589" w:type="dxa"/>
            <w:gridSpan w:val="4"/>
            <w:shd w:val="clear" w:color="auto" w:fill="auto"/>
            <w:vAlign w:val="center"/>
          </w:tcPr>
          <w:p>
            <w:pPr>
              <w:jc w:val="center"/>
              <w:rPr>
                <w:kern w:val="18"/>
                <w:szCs w:val="21"/>
              </w:rPr>
            </w:pPr>
            <w:r>
              <w:rPr>
                <w:kern w:val="18"/>
                <w:szCs w:val="21"/>
              </w:rPr>
              <w:t>取值时间</w:t>
            </w:r>
          </w:p>
        </w:tc>
        <w:tc>
          <w:tcPr>
            <w:tcW w:w="1251" w:type="dxa"/>
            <w:gridSpan w:val="2"/>
            <w:shd w:val="clear" w:color="auto" w:fill="auto"/>
            <w:vAlign w:val="center"/>
          </w:tcPr>
          <w:p>
            <w:pPr>
              <w:jc w:val="center"/>
              <w:rPr>
                <w:kern w:val="18"/>
                <w:szCs w:val="21"/>
              </w:rPr>
            </w:pPr>
            <w:r>
              <w:rPr>
                <w:kern w:val="18"/>
                <w:szCs w:val="21"/>
              </w:rPr>
              <w:t>SO</w:t>
            </w:r>
            <w:r>
              <w:rPr>
                <w:kern w:val="18"/>
                <w:szCs w:val="21"/>
                <w:vertAlign w:val="subscript"/>
              </w:rPr>
              <w:t>2</w:t>
            </w:r>
          </w:p>
        </w:tc>
        <w:tc>
          <w:tcPr>
            <w:tcW w:w="1134" w:type="dxa"/>
            <w:gridSpan w:val="4"/>
            <w:shd w:val="clear" w:color="auto" w:fill="auto"/>
            <w:vAlign w:val="center"/>
          </w:tcPr>
          <w:p>
            <w:pPr>
              <w:jc w:val="center"/>
              <w:rPr>
                <w:kern w:val="18"/>
                <w:szCs w:val="21"/>
              </w:rPr>
            </w:pPr>
            <w:r>
              <w:rPr>
                <w:kern w:val="18"/>
                <w:szCs w:val="21"/>
              </w:rPr>
              <w:t>PM</w:t>
            </w:r>
            <w:r>
              <w:rPr>
                <w:kern w:val="18"/>
                <w:szCs w:val="21"/>
                <w:vertAlign w:val="subscript"/>
              </w:rPr>
              <w:t>10</w:t>
            </w:r>
          </w:p>
        </w:tc>
        <w:tc>
          <w:tcPr>
            <w:tcW w:w="1075" w:type="dxa"/>
            <w:tcBorders>
              <w:right w:val="single" w:sz="8" w:space="0" w:color="auto"/>
            </w:tcBorders>
            <w:shd w:val="clear" w:color="auto" w:fill="auto"/>
            <w:vAlign w:val="center"/>
          </w:tcPr>
          <w:p>
            <w:pPr>
              <w:jc w:val="center"/>
              <w:rPr>
                <w:kern w:val="18"/>
                <w:szCs w:val="21"/>
              </w:rPr>
            </w:pPr>
            <w:r>
              <w:rPr>
                <w:kern w:val="18"/>
                <w:szCs w:val="21"/>
              </w:rPr>
              <w:t>NO</w:t>
            </w:r>
            <w:r>
              <w:rPr>
                <w:kern w:val="18"/>
                <w:szCs w:val="21"/>
                <w:vertAlign w:val="subscript"/>
              </w:rPr>
              <w:t>2</w:t>
            </w:r>
          </w:p>
        </w:tc>
      </w:tr>
      <w:tr>
        <w:tblPrEx>
          <w:tblW w:w="9018" w:type="dxa"/>
          <w:tblInd w:w="0" w:type="dxa"/>
          <w:tblLayout w:type="fixed"/>
          <w:tblCellMar>
            <w:top w:w="0" w:type="dxa"/>
            <w:left w:w="108" w:type="dxa"/>
            <w:bottom w:w="0" w:type="dxa"/>
            <w:right w:w="108" w:type="dxa"/>
          </w:tblCellMar>
        </w:tblPrEx>
        <w:trPr>
          <w:cantSplit/>
          <w:trHeight w:hRule="exact" w:val="340"/>
        </w:trPr>
        <w:tc>
          <w:tcPr>
            <w:tcW w:w="459" w:type="dxa"/>
            <w:vMerge/>
            <w:shd w:val="clear" w:color="auto" w:fill="auto"/>
            <w:vAlign w:val="center"/>
          </w:tcPr>
          <w:p>
            <w:pPr>
              <w:spacing w:line="360" w:lineRule="auto"/>
              <w:jc w:val="center"/>
              <w:rPr>
                <w:b/>
                <w:kern w:val="21"/>
                <w:szCs w:val="21"/>
              </w:rPr>
            </w:pPr>
          </w:p>
        </w:tc>
        <w:tc>
          <w:tcPr>
            <w:tcW w:w="675" w:type="dxa"/>
            <w:gridSpan w:val="2"/>
            <w:vMerge/>
            <w:shd w:val="clear" w:color="auto" w:fill="auto"/>
            <w:vAlign w:val="center"/>
          </w:tcPr>
          <w:p>
            <w:pPr>
              <w:jc w:val="center"/>
              <w:rPr>
                <w:kern w:val="18"/>
                <w:szCs w:val="21"/>
              </w:rPr>
            </w:pPr>
          </w:p>
        </w:tc>
        <w:tc>
          <w:tcPr>
            <w:tcW w:w="1985" w:type="dxa"/>
            <w:gridSpan w:val="3"/>
            <w:vMerge/>
            <w:shd w:val="clear" w:color="auto" w:fill="auto"/>
            <w:vAlign w:val="center"/>
          </w:tcPr>
          <w:p>
            <w:pPr>
              <w:jc w:val="center"/>
              <w:rPr>
                <w:kern w:val="18"/>
                <w:szCs w:val="21"/>
              </w:rPr>
            </w:pPr>
          </w:p>
        </w:tc>
        <w:tc>
          <w:tcPr>
            <w:tcW w:w="850" w:type="dxa"/>
            <w:gridSpan w:val="2"/>
            <w:vMerge/>
            <w:shd w:val="clear" w:color="auto" w:fill="auto"/>
            <w:vAlign w:val="center"/>
          </w:tcPr>
          <w:p>
            <w:pPr>
              <w:jc w:val="center"/>
              <w:rPr>
                <w:kern w:val="18"/>
                <w:szCs w:val="21"/>
              </w:rPr>
            </w:pPr>
          </w:p>
        </w:tc>
        <w:tc>
          <w:tcPr>
            <w:tcW w:w="1589" w:type="dxa"/>
            <w:gridSpan w:val="4"/>
            <w:shd w:val="clear" w:color="auto" w:fill="auto"/>
            <w:vAlign w:val="center"/>
          </w:tcPr>
          <w:p>
            <w:pPr>
              <w:jc w:val="center"/>
              <w:rPr>
                <w:kern w:val="18"/>
                <w:szCs w:val="21"/>
              </w:rPr>
            </w:pPr>
            <w:r>
              <w:rPr>
                <w:kern w:val="18"/>
                <w:szCs w:val="21"/>
              </w:rPr>
              <w:t>年平均</w:t>
            </w:r>
          </w:p>
        </w:tc>
        <w:tc>
          <w:tcPr>
            <w:tcW w:w="1251" w:type="dxa"/>
            <w:gridSpan w:val="2"/>
            <w:shd w:val="clear" w:color="auto" w:fill="auto"/>
            <w:vAlign w:val="center"/>
          </w:tcPr>
          <w:p>
            <w:pPr>
              <w:jc w:val="center"/>
              <w:rPr>
                <w:kern w:val="18"/>
                <w:szCs w:val="21"/>
              </w:rPr>
            </w:pPr>
            <w:r>
              <w:rPr>
                <w:kern w:val="18"/>
                <w:szCs w:val="21"/>
              </w:rPr>
              <w:t>0.06</w:t>
            </w:r>
          </w:p>
        </w:tc>
        <w:tc>
          <w:tcPr>
            <w:tcW w:w="1134" w:type="dxa"/>
            <w:gridSpan w:val="4"/>
            <w:shd w:val="clear" w:color="auto" w:fill="auto"/>
            <w:vAlign w:val="center"/>
          </w:tcPr>
          <w:p>
            <w:pPr>
              <w:jc w:val="center"/>
              <w:rPr>
                <w:kern w:val="18"/>
                <w:szCs w:val="21"/>
              </w:rPr>
            </w:pPr>
            <w:r>
              <w:rPr>
                <w:kern w:val="18"/>
                <w:szCs w:val="21"/>
              </w:rPr>
              <w:t>0.07</w:t>
            </w:r>
          </w:p>
        </w:tc>
        <w:tc>
          <w:tcPr>
            <w:tcW w:w="1075" w:type="dxa"/>
            <w:tcBorders>
              <w:right w:val="single" w:sz="8" w:space="0" w:color="auto"/>
            </w:tcBorders>
            <w:shd w:val="clear" w:color="auto" w:fill="auto"/>
            <w:vAlign w:val="center"/>
          </w:tcPr>
          <w:p>
            <w:pPr>
              <w:jc w:val="center"/>
              <w:rPr>
                <w:kern w:val="18"/>
                <w:szCs w:val="21"/>
              </w:rPr>
            </w:pPr>
            <w:r>
              <w:rPr>
                <w:kern w:val="18"/>
                <w:szCs w:val="21"/>
              </w:rPr>
              <w:t>0.04</w:t>
            </w:r>
          </w:p>
        </w:tc>
      </w:tr>
      <w:tr>
        <w:tblPrEx>
          <w:tblW w:w="9018" w:type="dxa"/>
          <w:tblInd w:w="0" w:type="dxa"/>
          <w:tblLayout w:type="fixed"/>
          <w:tblCellMar>
            <w:top w:w="0" w:type="dxa"/>
            <w:left w:w="108" w:type="dxa"/>
            <w:bottom w:w="0" w:type="dxa"/>
            <w:right w:w="108" w:type="dxa"/>
          </w:tblCellMar>
        </w:tblPrEx>
        <w:trPr>
          <w:cantSplit/>
          <w:trHeight w:hRule="exact" w:val="340"/>
        </w:trPr>
        <w:tc>
          <w:tcPr>
            <w:tcW w:w="459" w:type="dxa"/>
            <w:vMerge/>
            <w:shd w:val="clear" w:color="auto" w:fill="auto"/>
            <w:vAlign w:val="center"/>
          </w:tcPr>
          <w:p>
            <w:pPr>
              <w:spacing w:line="360" w:lineRule="auto"/>
              <w:jc w:val="center"/>
              <w:rPr>
                <w:b/>
                <w:kern w:val="21"/>
                <w:szCs w:val="21"/>
              </w:rPr>
            </w:pPr>
          </w:p>
        </w:tc>
        <w:tc>
          <w:tcPr>
            <w:tcW w:w="675" w:type="dxa"/>
            <w:gridSpan w:val="2"/>
            <w:vMerge/>
            <w:shd w:val="clear" w:color="auto" w:fill="auto"/>
            <w:vAlign w:val="center"/>
          </w:tcPr>
          <w:p>
            <w:pPr>
              <w:jc w:val="center"/>
              <w:rPr>
                <w:kern w:val="18"/>
                <w:szCs w:val="21"/>
              </w:rPr>
            </w:pPr>
          </w:p>
        </w:tc>
        <w:tc>
          <w:tcPr>
            <w:tcW w:w="1985" w:type="dxa"/>
            <w:gridSpan w:val="3"/>
            <w:vMerge/>
            <w:shd w:val="clear" w:color="auto" w:fill="auto"/>
            <w:vAlign w:val="center"/>
          </w:tcPr>
          <w:p>
            <w:pPr>
              <w:jc w:val="center"/>
              <w:rPr>
                <w:kern w:val="18"/>
                <w:szCs w:val="21"/>
              </w:rPr>
            </w:pPr>
          </w:p>
        </w:tc>
        <w:tc>
          <w:tcPr>
            <w:tcW w:w="850" w:type="dxa"/>
            <w:gridSpan w:val="2"/>
            <w:vMerge/>
            <w:shd w:val="clear" w:color="auto" w:fill="auto"/>
            <w:vAlign w:val="center"/>
          </w:tcPr>
          <w:p>
            <w:pPr>
              <w:jc w:val="center"/>
              <w:rPr>
                <w:kern w:val="18"/>
                <w:szCs w:val="21"/>
              </w:rPr>
            </w:pPr>
          </w:p>
        </w:tc>
        <w:tc>
          <w:tcPr>
            <w:tcW w:w="1589" w:type="dxa"/>
            <w:gridSpan w:val="4"/>
            <w:shd w:val="clear" w:color="auto" w:fill="auto"/>
            <w:vAlign w:val="center"/>
          </w:tcPr>
          <w:p>
            <w:pPr>
              <w:jc w:val="center"/>
              <w:rPr>
                <w:kern w:val="18"/>
                <w:szCs w:val="21"/>
              </w:rPr>
            </w:pPr>
            <w:r>
              <w:rPr>
                <w:kern w:val="18"/>
                <w:szCs w:val="21"/>
              </w:rPr>
              <w:t>24小时平均</w:t>
            </w:r>
          </w:p>
        </w:tc>
        <w:tc>
          <w:tcPr>
            <w:tcW w:w="1251" w:type="dxa"/>
            <w:gridSpan w:val="2"/>
            <w:shd w:val="clear" w:color="auto" w:fill="auto"/>
            <w:vAlign w:val="center"/>
          </w:tcPr>
          <w:p>
            <w:pPr>
              <w:jc w:val="center"/>
              <w:rPr>
                <w:kern w:val="18"/>
                <w:szCs w:val="21"/>
              </w:rPr>
            </w:pPr>
            <w:r>
              <w:rPr>
                <w:kern w:val="18"/>
                <w:szCs w:val="21"/>
              </w:rPr>
              <w:t>0.15</w:t>
            </w:r>
          </w:p>
        </w:tc>
        <w:tc>
          <w:tcPr>
            <w:tcW w:w="1134" w:type="dxa"/>
            <w:gridSpan w:val="4"/>
            <w:shd w:val="clear" w:color="auto" w:fill="auto"/>
            <w:vAlign w:val="center"/>
          </w:tcPr>
          <w:p>
            <w:pPr>
              <w:jc w:val="center"/>
              <w:rPr>
                <w:kern w:val="18"/>
                <w:szCs w:val="21"/>
              </w:rPr>
            </w:pPr>
            <w:r>
              <w:rPr>
                <w:kern w:val="18"/>
                <w:szCs w:val="21"/>
              </w:rPr>
              <w:t>0.15</w:t>
            </w:r>
          </w:p>
        </w:tc>
        <w:tc>
          <w:tcPr>
            <w:tcW w:w="1075" w:type="dxa"/>
            <w:tcBorders>
              <w:right w:val="single" w:sz="8" w:space="0" w:color="auto"/>
            </w:tcBorders>
            <w:shd w:val="clear" w:color="auto" w:fill="auto"/>
            <w:vAlign w:val="center"/>
          </w:tcPr>
          <w:p>
            <w:pPr>
              <w:jc w:val="center"/>
              <w:rPr>
                <w:kern w:val="18"/>
                <w:szCs w:val="21"/>
              </w:rPr>
            </w:pPr>
            <w:r>
              <w:rPr>
                <w:kern w:val="18"/>
                <w:szCs w:val="21"/>
              </w:rPr>
              <w:t>0.08</w:t>
            </w:r>
          </w:p>
        </w:tc>
      </w:tr>
      <w:tr>
        <w:tblPrEx>
          <w:tblW w:w="9018" w:type="dxa"/>
          <w:tblInd w:w="0" w:type="dxa"/>
          <w:tblLayout w:type="fixed"/>
          <w:tblCellMar>
            <w:top w:w="0" w:type="dxa"/>
            <w:left w:w="108" w:type="dxa"/>
            <w:bottom w:w="0" w:type="dxa"/>
            <w:right w:w="108" w:type="dxa"/>
          </w:tblCellMar>
        </w:tblPrEx>
        <w:trPr>
          <w:cantSplit/>
          <w:trHeight w:hRule="exact" w:val="390"/>
        </w:trPr>
        <w:tc>
          <w:tcPr>
            <w:tcW w:w="459" w:type="dxa"/>
            <w:vMerge/>
            <w:shd w:val="clear" w:color="auto" w:fill="auto"/>
            <w:vAlign w:val="center"/>
          </w:tcPr>
          <w:p>
            <w:pPr>
              <w:spacing w:line="360" w:lineRule="auto"/>
              <w:jc w:val="center"/>
              <w:rPr>
                <w:b/>
                <w:kern w:val="21"/>
                <w:szCs w:val="21"/>
              </w:rPr>
            </w:pPr>
          </w:p>
        </w:tc>
        <w:tc>
          <w:tcPr>
            <w:tcW w:w="675" w:type="dxa"/>
            <w:gridSpan w:val="2"/>
            <w:vMerge/>
            <w:shd w:val="clear" w:color="auto" w:fill="auto"/>
            <w:vAlign w:val="center"/>
          </w:tcPr>
          <w:p>
            <w:pPr>
              <w:jc w:val="center"/>
              <w:rPr>
                <w:kern w:val="18"/>
                <w:szCs w:val="21"/>
              </w:rPr>
            </w:pPr>
          </w:p>
        </w:tc>
        <w:tc>
          <w:tcPr>
            <w:tcW w:w="1985" w:type="dxa"/>
            <w:gridSpan w:val="3"/>
            <w:vMerge/>
            <w:shd w:val="clear" w:color="auto" w:fill="auto"/>
            <w:vAlign w:val="center"/>
          </w:tcPr>
          <w:p>
            <w:pPr>
              <w:jc w:val="center"/>
              <w:rPr>
                <w:kern w:val="18"/>
                <w:szCs w:val="21"/>
              </w:rPr>
            </w:pPr>
          </w:p>
        </w:tc>
        <w:tc>
          <w:tcPr>
            <w:tcW w:w="850" w:type="dxa"/>
            <w:gridSpan w:val="2"/>
            <w:vMerge/>
            <w:shd w:val="clear" w:color="auto" w:fill="auto"/>
            <w:vAlign w:val="center"/>
          </w:tcPr>
          <w:p>
            <w:pPr>
              <w:jc w:val="center"/>
              <w:rPr>
                <w:kern w:val="18"/>
                <w:szCs w:val="21"/>
              </w:rPr>
            </w:pPr>
          </w:p>
        </w:tc>
        <w:tc>
          <w:tcPr>
            <w:tcW w:w="1589" w:type="dxa"/>
            <w:gridSpan w:val="4"/>
            <w:shd w:val="clear" w:color="auto" w:fill="auto"/>
            <w:vAlign w:val="center"/>
          </w:tcPr>
          <w:p>
            <w:pPr>
              <w:jc w:val="center"/>
              <w:rPr>
                <w:kern w:val="18"/>
                <w:szCs w:val="21"/>
              </w:rPr>
            </w:pPr>
            <w:r>
              <w:rPr>
                <w:kern w:val="18"/>
                <w:szCs w:val="21"/>
              </w:rPr>
              <w:t>1小时平均</w:t>
            </w:r>
          </w:p>
        </w:tc>
        <w:tc>
          <w:tcPr>
            <w:tcW w:w="1251" w:type="dxa"/>
            <w:gridSpan w:val="2"/>
            <w:shd w:val="clear" w:color="auto" w:fill="auto"/>
            <w:vAlign w:val="center"/>
          </w:tcPr>
          <w:p>
            <w:pPr>
              <w:jc w:val="center"/>
              <w:rPr>
                <w:kern w:val="18"/>
                <w:szCs w:val="21"/>
              </w:rPr>
            </w:pPr>
            <w:r>
              <w:rPr>
                <w:kern w:val="18"/>
                <w:szCs w:val="21"/>
              </w:rPr>
              <w:t>0.50</w:t>
            </w:r>
          </w:p>
        </w:tc>
        <w:tc>
          <w:tcPr>
            <w:tcW w:w="1134" w:type="dxa"/>
            <w:gridSpan w:val="4"/>
            <w:shd w:val="clear" w:color="auto" w:fill="auto"/>
            <w:vAlign w:val="center"/>
          </w:tcPr>
          <w:p>
            <w:pPr>
              <w:jc w:val="center"/>
              <w:rPr>
                <w:kern w:val="18"/>
                <w:szCs w:val="21"/>
              </w:rPr>
            </w:pPr>
            <w:r>
              <w:rPr>
                <w:kern w:val="18"/>
                <w:szCs w:val="21"/>
              </w:rPr>
              <w:t>/</w:t>
            </w:r>
          </w:p>
        </w:tc>
        <w:tc>
          <w:tcPr>
            <w:tcW w:w="1075" w:type="dxa"/>
            <w:tcBorders>
              <w:right w:val="single" w:sz="8" w:space="0" w:color="auto"/>
            </w:tcBorders>
            <w:shd w:val="clear" w:color="auto" w:fill="auto"/>
            <w:vAlign w:val="center"/>
          </w:tcPr>
          <w:p>
            <w:pPr>
              <w:jc w:val="center"/>
              <w:rPr>
                <w:kern w:val="18"/>
                <w:szCs w:val="21"/>
              </w:rPr>
            </w:pPr>
            <w:r>
              <w:rPr>
                <w:kern w:val="18"/>
                <w:szCs w:val="21"/>
              </w:rPr>
              <w:t>0.20</w:t>
            </w:r>
          </w:p>
        </w:tc>
      </w:tr>
      <w:tr>
        <w:tblPrEx>
          <w:tblW w:w="9018" w:type="dxa"/>
          <w:tblInd w:w="0" w:type="dxa"/>
          <w:tblLayout w:type="fixed"/>
          <w:tblCellMar>
            <w:top w:w="0" w:type="dxa"/>
            <w:left w:w="108" w:type="dxa"/>
            <w:bottom w:w="0" w:type="dxa"/>
            <w:right w:w="108" w:type="dxa"/>
          </w:tblCellMar>
        </w:tblPrEx>
        <w:trPr>
          <w:cantSplit/>
          <w:trHeight w:hRule="exact" w:val="390"/>
        </w:trPr>
        <w:tc>
          <w:tcPr>
            <w:tcW w:w="459" w:type="dxa"/>
            <w:vMerge/>
            <w:shd w:val="clear" w:color="auto" w:fill="auto"/>
            <w:vAlign w:val="center"/>
          </w:tcPr>
          <w:p>
            <w:pPr>
              <w:spacing w:line="360" w:lineRule="auto"/>
              <w:jc w:val="center"/>
              <w:rPr>
                <w:b/>
                <w:kern w:val="21"/>
                <w:szCs w:val="21"/>
              </w:rPr>
            </w:pPr>
          </w:p>
        </w:tc>
        <w:tc>
          <w:tcPr>
            <w:tcW w:w="675" w:type="dxa"/>
            <w:gridSpan w:val="2"/>
            <w:vMerge w:val="restart"/>
            <w:shd w:val="clear" w:color="auto" w:fill="auto"/>
            <w:vAlign w:val="center"/>
          </w:tcPr>
          <w:p>
            <w:pPr>
              <w:jc w:val="center"/>
              <w:rPr>
                <w:kern w:val="18"/>
                <w:szCs w:val="21"/>
              </w:rPr>
            </w:pPr>
            <w:r>
              <w:rPr>
                <w:kern w:val="18"/>
                <w:szCs w:val="21"/>
              </w:rPr>
              <w:t>地表水</w:t>
            </w:r>
          </w:p>
        </w:tc>
        <w:tc>
          <w:tcPr>
            <w:tcW w:w="1985" w:type="dxa"/>
            <w:gridSpan w:val="3"/>
            <w:vMerge w:val="restart"/>
            <w:shd w:val="clear" w:color="auto" w:fill="auto"/>
            <w:vAlign w:val="center"/>
          </w:tcPr>
          <w:p>
            <w:pPr>
              <w:jc w:val="center"/>
              <w:rPr>
                <w:kern w:val="18"/>
                <w:szCs w:val="21"/>
              </w:rPr>
            </w:pPr>
            <w:r>
              <w:rPr>
                <w:kern w:val="18"/>
                <w:szCs w:val="21"/>
              </w:rPr>
              <w:t>《地表水环境质量标准》（GB3838-2002）</w:t>
            </w:r>
          </w:p>
        </w:tc>
        <w:tc>
          <w:tcPr>
            <w:tcW w:w="850" w:type="dxa"/>
            <w:gridSpan w:val="2"/>
            <w:vMerge w:val="restart"/>
            <w:shd w:val="clear" w:color="auto" w:fill="auto"/>
            <w:vAlign w:val="center"/>
          </w:tcPr>
          <w:p>
            <w:pPr>
              <w:jc w:val="center"/>
              <w:rPr>
                <w:kern w:val="18"/>
                <w:szCs w:val="21"/>
              </w:rPr>
            </w:pPr>
            <w:r>
              <w:rPr>
                <w:kern w:val="18"/>
                <w:szCs w:val="21"/>
              </w:rPr>
              <w:t>Ⅲ类</w:t>
            </w:r>
          </w:p>
        </w:tc>
        <w:tc>
          <w:tcPr>
            <w:tcW w:w="1589" w:type="dxa"/>
            <w:gridSpan w:val="4"/>
            <w:shd w:val="clear" w:color="auto" w:fill="auto"/>
            <w:vAlign w:val="center"/>
          </w:tcPr>
          <w:p>
            <w:pPr>
              <w:jc w:val="center"/>
              <w:rPr>
                <w:kern w:val="18"/>
                <w:szCs w:val="21"/>
              </w:rPr>
            </w:pPr>
            <w:r>
              <w:rPr>
                <w:kern w:val="18"/>
                <w:szCs w:val="21"/>
              </w:rPr>
              <w:t>PH</w:t>
            </w:r>
          </w:p>
        </w:tc>
        <w:tc>
          <w:tcPr>
            <w:tcW w:w="1251" w:type="dxa"/>
            <w:gridSpan w:val="2"/>
            <w:shd w:val="clear" w:color="auto" w:fill="auto"/>
            <w:vAlign w:val="center"/>
          </w:tcPr>
          <w:p>
            <w:pPr>
              <w:jc w:val="center"/>
              <w:rPr>
                <w:kern w:val="18"/>
                <w:szCs w:val="21"/>
              </w:rPr>
            </w:pPr>
            <w:r>
              <w:rPr>
                <w:kern w:val="18"/>
                <w:szCs w:val="21"/>
              </w:rPr>
              <w:t>CODcr</w:t>
            </w:r>
          </w:p>
        </w:tc>
        <w:tc>
          <w:tcPr>
            <w:tcW w:w="1134" w:type="dxa"/>
            <w:gridSpan w:val="4"/>
            <w:shd w:val="clear" w:color="auto" w:fill="auto"/>
            <w:vAlign w:val="center"/>
          </w:tcPr>
          <w:p>
            <w:pPr>
              <w:jc w:val="center"/>
              <w:rPr>
                <w:kern w:val="18"/>
                <w:szCs w:val="21"/>
              </w:rPr>
            </w:pPr>
            <w:r>
              <w:rPr>
                <w:kern w:val="18"/>
                <w:szCs w:val="21"/>
              </w:rPr>
              <w:t>BOD</w:t>
            </w:r>
            <w:r>
              <w:rPr>
                <w:kern w:val="18"/>
                <w:szCs w:val="21"/>
                <w:vertAlign w:val="subscript"/>
              </w:rPr>
              <w:t>5</w:t>
            </w:r>
          </w:p>
        </w:tc>
        <w:tc>
          <w:tcPr>
            <w:tcW w:w="1075" w:type="dxa"/>
            <w:tcBorders>
              <w:right w:val="single" w:sz="8" w:space="0" w:color="auto"/>
            </w:tcBorders>
            <w:shd w:val="clear" w:color="auto" w:fill="auto"/>
            <w:vAlign w:val="center"/>
          </w:tcPr>
          <w:p>
            <w:pPr>
              <w:jc w:val="center"/>
              <w:rPr>
                <w:kern w:val="18"/>
                <w:szCs w:val="21"/>
              </w:rPr>
            </w:pPr>
            <w:r>
              <w:rPr>
                <w:kern w:val="18"/>
                <w:szCs w:val="21"/>
              </w:rPr>
              <w:t>NH</w:t>
            </w:r>
            <w:r>
              <w:rPr>
                <w:kern w:val="18"/>
                <w:szCs w:val="21"/>
                <w:vertAlign w:val="subscript"/>
              </w:rPr>
              <w:t>3</w:t>
            </w:r>
            <w:r>
              <w:rPr>
                <w:kern w:val="18"/>
                <w:szCs w:val="21"/>
              </w:rPr>
              <w:t>-N</w:t>
            </w:r>
          </w:p>
        </w:tc>
      </w:tr>
      <w:tr>
        <w:tblPrEx>
          <w:tblW w:w="9018" w:type="dxa"/>
          <w:tblInd w:w="0" w:type="dxa"/>
          <w:tblLayout w:type="fixed"/>
          <w:tblCellMar>
            <w:top w:w="0" w:type="dxa"/>
            <w:left w:w="108" w:type="dxa"/>
            <w:bottom w:w="0" w:type="dxa"/>
            <w:right w:w="108" w:type="dxa"/>
          </w:tblCellMar>
        </w:tblPrEx>
        <w:trPr>
          <w:cantSplit/>
          <w:trHeight w:hRule="exact" w:val="575"/>
        </w:trPr>
        <w:tc>
          <w:tcPr>
            <w:tcW w:w="459" w:type="dxa"/>
            <w:vMerge/>
            <w:shd w:val="clear" w:color="auto" w:fill="auto"/>
            <w:vAlign w:val="center"/>
          </w:tcPr>
          <w:p>
            <w:pPr>
              <w:spacing w:line="360" w:lineRule="auto"/>
              <w:jc w:val="center"/>
              <w:rPr>
                <w:b/>
                <w:kern w:val="21"/>
                <w:szCs w:val="21"/>
              </w:rPr>
            </w:pPr>
          </w:p>
        </w:tc>
        <w:tc>
          <w:tcPr>
            <w:tcW w:w="675" w:type="dxa"/>
            <w:gridSpan w:val="2"/>
            <w:vMerge/>
            <w:shd w:val="clear" w:color="auto" w:fill="auto"/>
            <w:vAlign w:val="center"/>
          </w:tcPr>
          <w:p>
            <w:pPr>
              <w:jc w:val="center"/>
              <w:rPr>
                <w:kern w:val="18"/>
                <w:szCs w:val="21"/>
              </w:rPr>
            </w:pPr>
          </w:p>
        </w:tc>
        <w:tc>
          <w:tcPr>
            <w:tcW w:w="1985" w:type="dxa"/>
            <w:gridSpan w:val="3"/>
            <w:vMerge/>
            <w:shd w:val="clear" w:color="auto" w:fill="auto"/>
            <w:vAlign w:val="center"/>
          </w:tcPr>
          <w:p>
            <w:pPr>
              <w:jc w:val="center"/>
              <w:rPr>
                <w:kern w:val="18"/>
                <w:szCs w:val="21"/>
              </w:rPr>
            </w:pPr>
          </w:p>
        </w:tc>
        <w:tc>
          <w:tcPr>
            <w:tcW w:w="850" w:type="dxa"/>
            <w:gridSpan w:val="2"/>
            <w:vMerge/>
            <w:shd w:val="clear" w:color="auto" w:fill="auto"/>
            <w:vAlign w:val="center"/>
          </w:tcPr>
          <w:p>
            <w:pPr>
              <w:jc w:val="center"/>
              <w:rPr>
                <w:kern w:val="18"/>
                <w:szCs w:val="21"/>
              </w:rPr>
            </w:pPr>
          </w:p>
        </w:tc>
        <w:tc>
          <w:tcPr>
            <w:tcW w:w="1589" w:type="dxa"/>
            <w:gridSpan w:val="4"/>
            <w:shd w:val="clear" w:color="auto" w:fill="auto"/>
            <w:vAlign w:val="center"/>
          </w:tcPr>
          <w:p>
            <w:pPr>
              <w:jc w:val="center"/>
              <w:rPr>
                <w:kern w:val="18"/>
                <w:szCs w:val="21"/>
              </w:rPr>
            </w:pPr>
            <w:r>
              <w:rPr>
                <w:kern w:val="18"/>
                <w:szCs w:val="21"/>
              </w:rPr>
              <w:t>6-9</w:t>
            </w:r>
          </w:p>
        </w:tc>
        <w:tc>
          <w:tcPr>
            <w:tcW w:w="1251" w:type="dxa"/>
            <w:gridSpan w:val="2"/>
            <w:shd w:val="clear" w:color="auto" w:fill="auto"/>
            <w:vAlign w:val="center"/>
          </w:tcPr>
          <w:p>
            <w:pPr>
              <w:jc w:val="center"/>
              <w:rPr>
                <w:kern w:val="18"/>
                <w:szCs w:val="21"/>
              </w:rPr>
            </w:pPr>
            <w:r>
              <w:rPr>
                <w:kern w:val="18"/>
                <w:szCs w:val="21"/>
              </w:rPr>
              <w:t>≤20</w:t>
            </w:r>
          </w:p>
        </w:tc>
        <w:tc>
          <w:tcPr>
            <w:tcW w:w="1134" w:type="dxa"/>
            <w:gridSpan w:val="4"/>
            <w:shd w:val="clear" w:color="auto" w:fill="auto"/>
            <w:vAlign w:val="center"/>
          </w:tcPr>
          <w:p>
            <w:pPr>
              <w:jc w:val="center"/>
              <w:rPr>
                <w:kern w:val="18"/>
                <w:szCs w:val="21"/>
              </w:rPr>
            </w:pPr>
            <w:r>
              <w:rPr>
                <w:kern w:val="18"/>
                <w:szCs w:val="21"/>
              </w:rPr>
              <w:t>≤4</w:t>
            </w:r>
          </w:p>
        </w:tc>
        <w:tc>
          <w:tcPr>
            <w:tcW w:w="1075" w:type="dxa"/>
            <w:tcBorders>
              <w:right w:val="single" w:sz="8" w:space="0" w:color="auto"/>
            </w:tcBorders>
            <w:shd w:val="clear" w:color="auto" w:fill="auto"/>
            <w:vAlign w:val="center"/>
          </w:tcPr>
          <w:p>
            <w:pPr>
              <w:jc w:val="center"/>
              <w:rPr>
                <w:kern w:val="18"/>
                <w:szCs w:val="21"/>
              </w:rPr>
            </w:pPr>
            <w:r>
              <w:rPr>
                <w:kern w:val="18"/>
                <w:szCs w:val="21"/>
              </w:rPr>
              <w:t>≤1.0</w:t>
            </w:r>
          </w:p>
        </w:tc>
      </w:tr>
      <w:tr>
        <w:tblPrEx>
          <w:tblW w:w="9018" w:type="dxa"/>
          <w:tblInd w:w="0" w:type="dxa"/>
          <w:tblLayout w:type="fixed"/>
          <w:tblCellMar>
            <w:top w:w="0" w:type="dxa"/>
            <w:left w:w="108" w:type="dxa"/>
            <w:bottom w:w="0" w:type="dxa"/>
            <w:right w:w="108" w:type="dxa"/>
          </w:tblCellMar>
        </w:tblPrEx>
        <w:trPr>
          <w:cantSplit/>
          <w:trHeight w:hRule="exact" w:val="420"/>
        </w:trPr>
        <w:tc>
          <w:tcPr>
            <w:tcW w:w="459" w:type="dxa"/>
            <w:vMerge/>
            <w:shd w:val="clear" w:color="auto" w:fill="auto"/>
            <w:vAlign w:val="center"/>
          </w:tcPr>
          <w:p>
            <w:pPr>
              <w:spacing w:line="360" w:lineRule="auto"/>
              <w:jc w:val="center"/>
              <w:rPr>
                <w:b/>
                <w:kern w:val="21"/>
                <w:szCs w:val="21"/>
              </w:rPr>
            </w:pPr>
          </w:p>
        </w:tc>
        <w:tc>
          <w:tcPr>
            <w:tcW w:w="675" w:type="dxa"/>
            <w:gridSpan w:val="2"/>
            <w:vMerge w:val="restart"/>
            <w:shd w:val="clear" w:color="auto" w:fill="auto"/>
            <w:vAlign w:val="center"/>
          </w:tcPr>
          <w:p>
            <w:pPr>
              <w:jc w:val="center"/>
              <w:rPr>
                <w:kern w:val="18"/>
                <w:szCs w:val="21"/>
                <w:highlight w:val="yellow"/>
              </w:rPr>
            </w:pPr>
            <w:r>
              <w:rPr>
                <w:kern w:val="18"/>
                <w:szCs w:val="21"/>
              </w:rPr>
              <w:t>声环境</w:t>
            </w:r>
          </w:p>
        </w:tc>
        <w:tc>
          <w:tcPr>
            <w:tcW w:w="1985" w:type="dxa"/>
            <w:gridSpan w:val="3"/>
            <w:vMerge w:val="restart"/>
            <w:shd w:val="clear" w:color="auto" w:fill="auto"/>
            <w:vAlign w:val="center"/>
          </w:tcPr>
          <w:p>
            <w:pPr>
              <w:jc w:val="center"/>
              <w:rPr>
                <w:kern w:val="18"/>
                <w:szCs w:val="21"/>
              </w:rPr>
            </w:pPr>
            <w:r>
              <w:rPr>
                <w:kern w:val="18"/>
                <w:szCs w:val="21"/>
              </w:rPr>
              <w:t>《声环境质量标准》（GB3096-2008）</w:t>
            </w:r>
          </w:p>
        </w:tc>
        <w:tc>
          <w:tcPr>
            <w:tcW w:w="850" w:type="dxa"/>
            <w:gridSpan w:val="2"/>
            <w:vMerge w:val="restart"/>
            <w:shd w:val="clear" w:color="auto" w:fill="auto"/>
            <w:vAlign w:val="center"/>
          </w:tcPr>
          <w:p>
            <w:pPr>
              <w:jc w:val="center"/>
              <w:rPr>
                <w:kern w:val="18"/>
                <w:szCs w:val="21"/>
              </w:rPr>
            </w:pPr>
            <w:r>
              <w:rPr>
                <w:kern w:val="18"/>
                <w:szCs w:val="21"/>
              </w:rPr>
              <w:t>2类</w:t>
            </w:r>
          </w:p>
        </w:tc>
        <w:tc>
          <w:tcPr>
            <w:tcW w:w="2840" w:type="dxa"/>
            <w:gridSpan w:val="6"/>
            <w:shd w:val="clear" w:color="auto" w:fill="auto"/>
            <w:vAlign w:val="center"/>
          </w:tcPr>
          <w:p>
            <w:pPr>
              <w:jc w:val="center"/>
              <w:rPr>
                <w:kern w:val="18"/>
                <w:szCs w:val="21"/>
              </w:rPr>
            </w:pPr>
            <w:r>
              <w:rPr>
                <w:kern w:val="18"/>
                <w:szCs w:val="21"/>
              </w:rPr>
              <w:t>昼间</w:t>
            </w:r>
          </w:p>
        </w:tc>
        <w:tc>
          <w:tcPr>
            <w:tcW w:w="2209" w:type="dxa"/>
            <w:gridSpan w:val="5"/>
            <w:tcBorders>
              <w:right w:val="single" w:sz="8" w:space="0" w:color="auto"/>
            </w:tcBorders>
            <w:shd w:val="clear" w:color="auto" w:fill="auto"/>
            <w:vAlign w:val="center"/>
          </w:tcPr>
          <w:p>
            <w:pPr>
              <w:jc w:val="center"/>
              <w:rPr>
                <w:kern w:val="18"/>
                <w:szCs w:val="21"/>
              </w:rPr>
            </w:pPr>
            <w:r>
              <w:rPr>
                <w:kern w:val="18"/>
                <w:szCs w:val="21"/>
              </w:rPr>
              <w:t>夜间</w:t>
            </w:r>
          </w:p>
        </w:tc>
      </w:tr>
      <w:tr>
        <w:tblPrEx>
          <w:tblW w:w="9018" w:type="dxa"/>
          <w:tblInd w:w="0" w:type="dxa"/>
          <w:tblLayout w:type="fixed"/>
          <w:tblCellMar>
            <w:top w:w="0" w:type="dxa"/>
            <w:left w:w="108" w:type="dxa"/>
            <w:bottom w:w="0" w:type="dxa"/>
            <w:right w:w="108" w:type="dxa"/>
          </w:tblCellMar>
        </w:tblPrEx>
        <w:trPr>
          <w:cantSplit/>
          <w:trHeight w:hRule="exact" w:val="420"/>
        </w:trPr>
        <w:tc>
          <w:tcPr>
            <w:tcW w:w="459" w:type="dxa"/>
            <w:vMerge/>
            <w:shd w:val="clear" w:color="auto" w:fill="auto"/>
            <w:vAlign w:val="center"/>
          </w:tcPr>
          <w:p>
            <w:pPr>
              <w:spacing w:line="360" w:lineRule="auto"/>
              <w:jc w:val="center"/>
              <w:rPr>
                <w:b/>
                <w:kern w:val="21"/>
                <w:szCs w:val="21"/>
              </w:rPr>
            </w:pPr>
          </w:p>
        </w:tc>
        <w:tc>
          <w:tcPr>
            <w:tcW w:w="675" w:type="dxa"/>
            <w:gridSpan w:val="2"/>
            <w:vMerge/>
            <w:shd w:val="clear" w:color="auto" w:fill="auto"/>
            <w:vAlign w:val="center"/>
          </w:tcPr>
          <w:p>
            <w:pPr>
              <w:jc w:val="center"/>
              <w:rPr>
                <w:kern w:val="18"/>
                <w:szCs w:val="21"/>
                <w:highlight w:val="yellow"/>
              </w:rPr>
            </w:pPr>
          </w:p>
        </w:tc>
        <w:tc>
          <w:tcPr>
            <w:tcW w:w="1985" w:type="dxa"/>
            <w:gridSpan w:val="3"/>
            <w:vMerge/>
            <w:shd w:val="clear" w:color="auto" w:fill="auto"/>
            <w:vAlign w:val="center"/>
          </w:tcPr>
          <w:p>
            <w:pPr>
              <w:jc w:val="center"/>
              <w:rPr>
                <w:kern w:val="18"/>
                <w:szCs w:val="21"/>
              </w:rPr>
            </w:pPr>
          </w:p>
        </w:tc>
        <w:tc>
          <w:tcPr>
            <w:tcW w:w="850" w:type="dxa"/>
            <w:gridSpan w:val="2"/>
            <w:vMerge/>
            <w:shd w:val="clear" w:color="auto" w:fill="auto"/>
            <w:vAlign w:val="center"/>
          </w:tcPr>
          <w:p>
            <w:pPr>
              <w:jc w:val="center"/>
              <w:rPr>
                <w:kern w:val="18"/>
                <w:szCs w:val="21"/>
              </w:rPr>
            </w:pPr>
          </w:p>
        </w:tc>
        <w:tc>
          <w:tcPr>
            <w:tcW w:w="2840" w:type="dxa"/>
            <w:gridSpan w:val="6"/>
            <w:shd w:val="clear" w:color="auto" w:fill="auto"/>
            <w:vAlign w:val="center"/>
          </w:tcPr>
          <w:p>
            <w:pPr>
              <w:jc w:val="center"/>
              <w:rPr>
                <w:kern w:val="18"/>
                <w:szCs w:val="21"/>
              </w:rPr>
            </w:pPr>
            <w:r>
              <w:rPr>
                <w:kern w:val="18"/>
                <w:szCs w:val="21"/>
              </w:rPr>
              <w:t>60</w:t>
            </w:r>
          </w:p>
        </w:tc>
        <w:tc>
          <w:tcPr>
            <w:tcW w:w="2209" w:type="dxa"/>
            <w:gridSpan w:val="5"/>
            <w:tcBorders>
              <w:right w:val="single" w:sz="8" w:space="0" w:color="auto"/>
            </w:tcBorders>
            <w:shd w:val="clear" w:color="auto" w:fill="auto"/>
            <w:vAlign w:val="center"/>
          </w:tcPr>
          <w:p>
            <w:pPr>
              <w:jc w:val="center"/>
              <w:rPr>
                <w:kern w:val="18"/>
                <w:szCs w:val="21"/>
              </w:rPr>
            </w:pPr>
            <w:r>
              <w:rPr>
                <w:kern w:val="18"/>
                <w:szCs w:val="21"/>
              </w:rPr>
              <w:t>50</w:t>
            </w:r>
          </w:p>
        </w:tc>
      </w:tr>
      <w:tr>
        <w:tblPrEx>
          <w:tblW w:w="9018" w:type="dxa"/>
          <w:tblInd w:w="0" w:type="dxa"/>
          <w:tblLayout w:type="fixed"/>
          <w:tblCellMar>
            <w:top w:w="0" w:type="dxa"/>
            <w:left w:w="108" w:type="dxa"/>
            <w:bottom w:w="0" w:type="dxa"/>
            <w:right w:w="108" w:type="dxa"/>
          </w:tblCellMar>
        </w:tblPrEx>
        <w:trPr>
          <w:cantSplit/>
          <w:trHeight w:val="659"/>
        </w:trPr>
        <w:tc>
          <w:tcPr>
            <w:tcW w:w="459" w:type="dxa"/>
            <w:vMerge/>
            <w:shd w:val="clear" w:color="auto" w:fill="auto"/>
            <w:vAlign w:val="center"/>
          </w:tcPr>
          <w:p>
            <w:pPr>
              <w:spacing w:line="360" w:lineRule="auto"/>
              <w:jc w:val="center"/>
              <w:rPr>
                <w:b/>
                <w:kern w:val="21"/>
                <w:szCs w:val="21"/>
              </w:rPr>
            </w:pPr>
          </w:p>
        </w:tc>
        <w:tc>
          <w:tcPr>
            <w:tcW w:w="8559" w:type="dxa"/>
            <w:gridSpan w:val="18"/>
            <w:tcBorders>
              <w:top w:val="single" w:sz="12" w:space="0" w:color="auto"/>
            </w:tcBorders>
            <w:shd w:val="clear" w:color="auto" w:fill="auto"/>
          </w:tcPr>
          <w:p>
            <w:pPr>
              <w:spacing w:line="240" w:lineRule="auto"/>
              <w:rPr>
                <w:w w:val="80"/>
                <w:kern w:val="21"/>
                <w:szCs w:val="21"/>
              </w:rPr>
            </w:pPr>
            <w:r>
              <w:rPr>
                <w:rFonts w:hAnsi="宋体"/>
                <w:szCs w:val="21"/>
              </w:rPr>
              <w:t>注：环境空气评价因子单位为</w:t>
            </w:r>
            <w:r>
              <w:rPr>
                <w:szCs w:val="21"/>
              </w:rPr>
              <w:t>mg/m</w:t>
            </w:r>
            <w:r>
              <w:rPr>
                <w:szCs w:val="21"/>
                <w:vertAlign w:val="superscript"/>
              </w:rPr>
              <w:t>3</w:t>
            </w:r>
            <w:r>
              <w:rPr>
                <w:rFonts w:hAnsi="宋体"/>
                <w:szCs w:val="21"/>
              </w:rPr>
              <w:t>；地表水单位为</w:t>
            </w:r>
            <w:r>
              <w:rPr>
                <w:szCs w:val="21"/>
              </w:rPr>
              <w:t>mg/L</w:t>
            </w:r>
            <w:r>
              <w:rPr>
                <w:rFonts w:hAnsi="宋体"/>
                <w:szCs w:val="21"/>
              </w:rPr>
              <w:t>；声环境评价因子单位为</w:t>
            </w:r>
            <w:r>
              <w:rPr>
                <w:szCs w:val="21"/>
              </w:rPr>
              <w:t>dB</w:t>
            </w:r>
            <w:r>
              <w:rPr>
                <w:rFonts w:hAnsi="宋体"/>
                <w:szCs w:val="21"/>
              </w:rPr>
              <w:t>（</w:t>
            </w:r>
            <w:r>
              <w:rPr>
                <w:szCs w:val="21"/>
              </w:rPr>
              <w:t>A</w:t>
            </w:r>
            <w:r>
              <w:rPr>
                <w:rFonts w:hAnsi="宋体"/>
                <w:szCs w:val="21"/>
              </w:rPr>
              <w:t>）。</w:t>
            </w:r>
          </w:p>
        </w:tc>
      </w:tr>
      <w:tr>
        <w:tblPrEx>
          <w:tblW w:w="9018" w:type="dxa"/>
          <w:tblInd w:w="0" w:type="dxa"/>
          <w:tblLayout w:type="fixed"/>
          <w:tblCellMar>
            <w:top w:w="0" w:type="dxa"/>
            <w:left w:w="108" w:type="dxa"/>
            <w:bottom w:w="0" w:type="dxa"/>
            <w:right w:w="108" w:type="dxa"/>
          </w:tblCellMar>
        </w:tblPrEx>
        <w:trPr>
          <w:cantSplit/>
          <w:trHeight w:val="169"/>
        </w:trPr>
        <w:tc>
          <w:tcPr>
            <w:tcW w:w="459" w:type="dxa"/>
            <w:vMerge w:val="restart"/>
            <w:shd w:val="clear" w:color="auto" w:fill="auto"/>
            <w:vAlign w:val="center"/>
          </w:tcPr>
          <w:p>
            <w:pPr>
              <w:spacing w:line="360" w:lineRule="auto"/>
              <w:jc w:val="center"/>
              <w:rPr>
                <w:b/>
                <w:kern w:val="21"/>
                <w:szCs w:val="21"/>
              </w:rPr>
            </w:pPr>
            <w:r>
              <w:rPr>
                <w:rFonts w:hAnsi="宋体"/>
                <w:b/>
                <w:kern w:val="21"/>
                <w:szCs w:val="21"/>
              </w:rPr>
              <w:t>污</w:t>
            </w:r>
          </w:p>
          <w:p>
            <w:pPr>
              <w:spacing w:line="360" w:lineRule="auto"/>
              <w:jc w:val="center"/>
              <w:rPr>
                <w:b/>
                <w:kern w:val="21"/>
                <w:szCs w:val="21"/>
              </w:rPr>
            </w:pPr>
            <w:r>
              <w:rPr>
                <w:rFonts w:hAnsi="宋体"/>
                <w:b/>
                <w:kern w:val="21"/>
                <w:szCs w:val="21"/>
              </w:rPr>
              <w:t>染</w:t>
            </w:r>
          </w:p>
          <w:p>
            <w:pPr>
              <w:spacing w:line="360" w:lineRule="auto"/>
              <w:jc w:val="center"/>
              <w:rPr>
                <w:b/>
                <w:kern w:val="21"/>
                <w:szCs w:val="21"/>
              </w:rPr>
            </w:pPr>
            <w:r>
              <w:rPr>
                <w:rFonts w:hAnsi="宋体"/>
                <w:b/>
                <w:kern w:val="21"/>
                <w:szCs w:val="21"/>
              </w:rPr>
              <w:t>物</w:t>
            </w:r>
          </w:p>
          <w:p>
            <w:pPr>
              <w:spacing w:line="360" w:lineRule="auto"/>
              <w:jc w:val="center"/>
              <w:rPr>
                <w:b/>
                <w:kern w:val="21"/>
                <w:szCs w:val="21"/>
              </w:rPr>
            </w:pPr>
            <w:r>
              <w:rPr>
                <w:rFonts w:hAnsi="宋体"/>
                <w:b/>
                <w:kern w:val="21"/>
                <w:szCs w:val="21"/>
              </w:rPr>
              <w:t>排</w:t>
            </w:r>
          </w:p>
          <w:p>
            <w:pPr>
              <w:spacing w:line="360" w:lineRule="auto"/>
              <w:jc w:val="center"/>
              <w:rPr>
                <w:b/>
                <w:kern w:val="21"/>
                <w:szCs w:val="21"/>
              </w:rPr>
            </w:pPr>
            <w:r>
              <w:rPr>
                <w:rFonts w:hAnsi="宋体"/>
                <w:b/>
                <w:kern w:val="21"/>
                <w:szCs w:val="21"/>
              </w:rPr>
              <w:t>放</w:t>
            </w:r>
          </w:p>
          <w:p>
            <w:pPr>
              <w:spacing w:line="360" w:lineRule="auto"/>
              <w:jc w:val="center"/>
              <w:rPr>
                <w:b/>
                <w:kern w:val="21"/>
                <w:szCs w:val="21"/>
              </w:rPr>
            </w:pPr>
            <w:r>
              <w:rPr>
                <w:rFonts w:hAnsi="宋体"/>
                <w:b/>
                <w:kern w:val="21"/>
                <w:szCs w:val="21"/>
              </w:rPr>
              <w:t>标</w:t>
            </w:r>
          </w:p>
          <w:p>
            <w:pPr>
              <w:spacing w:line="360" w:lineRule="auto"/>
              <w:jc w:val="center"/>
              <w:rPr>
                <w:b/>
                <w:kern w:val="21"/>
                <w:szCs w:val="21"/>
              </w:rPr>
            </w:pPr>
            <w:r>
              <w:rPr>
                <w:rFonts w:hAnsi="宋体"/>
                <w:b/>
                <w:kern w:val="21"/>
                <w:szCs w:val="21"/>
              </w:rPr>
              <w:t>准</w:t>
            </w:r>
          </w:p>
          <w:p>
            <w:pPr>
              <w:spacing w:line="240" w:lineRule="auto"/>
              <w:jc w:val="center"/>
              <w:rPr>
                <w:b/>
                <w:kern w:val="21"/>
                <w:szCs w:val="21"/>
              </w:rPr>
            </w:pPr>
          </w:p>
        </w:tc>
        <w:tc>
          <w:tcPr>
            <w:tcW w:w="8559" w:type="dxa"/>
            <w:gridSpan w:val="18"/>
            <w:tcBorders>
              <w:bottom w:val="single" w:sz="12" w:space="0" w:color="auto"/>
            </w:tcBorders>
            <w:shd w:val="clear" w:color="auto" w:fill="auto"/>
            <w:vAlign w:val="bottom"/>
          </w:tcPr>
          <w:p>
            <w:pPr>
              <w:snapToGrid w:val="0"/>
              <w:spacing w:line="240" w:lineRule="auto"/>
              <w:jc w:val="center"/>
              <w:rPr>
                <w:kern w:val="21"/>
                <w:szCs w:val="21"/>
              </w:rPr>
            </w:pPr>
            <w:r>
              <w:rPr>
                <w:rFonts w:ascii="宋体" w:hAnsi="宋体" w:cs="宋体" w:hint="eastAsia"/>
                <w:b/>
                <w:bCs/>
                <w:kern w:val="21"/>
                <w:sz w:val="24"/>
                <w:szCs w:val="24"/>
              </w:rPr>
              <w:t>表9 污染物排放标准一览表</w:t>
            </w:r>
          </w:p>
        </w:tc>
      </w:tr>
      <w:tr>
        <w:tblPrEx>
          <w:tblW w:w="9018" w:type="dxa"/>
          <w:tblInd w:w="0" w:type="dxa"/>
          <w:tblLayout w:type="fixed"/>
          <w:tblCellMar>
            <w:top w:w="0" w:type="dxa"/>
            <w:left w:w="108" w:type="dxa"/>
            <w:bottom w:w="0" w:type="dxa"/>
            <w:right w:w="108" w:type="dxa"/>
          </w:tblCellMar>
        </w:tblPrEx>
        <w:trPr>
          <w:cantSplit/>
          <w:trHeight w:hRule="exact" w:val="371"/>
        </w:trPr>
        <w:tc>
          <w:tcPr>
            <w:tcW w:w="459" w:type="dxa"/>
            <w:vMerge/>
            <w:shd w:val="clear" w:color="auto" w:fill="auto"/>
            <w:vAlign w:val="center"/>
          </w:tcPr>
          <w:p>
            <w:pPr>
              <w:rPr>
                <w:b/>
                <w:kern w:val="21"/>
                <w:szCs w:val="21"/>
              </w:rPr>
            </w:pPr>
          </w:p>
        </w:tc>
        <w:tc>
          <w:tcPr>
            <w:tcW w:w="1119" w:type="dxa"/>
            <w:gridSpan w:val="3"/>
            <w:tcBorders>
              <w:top w:val="single" w:sz="12" w:space="0" w:color="auto"/>
            </w:tcBorders>
            <w:shd w:val="clear" w:color="auto" w:fill="auto"/>
            <w:vAlign w:val="center"/>
          </w:tcPr>
          <w:p>
            <w:pPr>
              <w:jc w:val="center"/>
              <w:rPr>
                <w:b/>
                <w:bCs/>
                <w:kern w:val="18"/>
                <w:szCs w:val="21"/>
              </w:rPr>
            </w:pPr>
            <w:r>
              <w:rPr>
                <w:b/>
                <w:bCs/>
                <w:kern w:val="18"/>
                <w:szCs w:val="21"/>
              </w:rPr>
              <w:t>项目</w:t>
            </w:r>
          </w:p>
        </w:tc>
        <w:tc>
          <w:tcPr>
            <w:tcW w:w="2678" w:type="dxa"/>
            <w:gridSpan w:val="5"/>
            <w:tcBorders>
              <w:top w:val="single" w:sz="12" w:space="0" w:color="auto"/>
            </w:tcBorders>
            <w:shd w:val="clear" w:color="auto" w:fill="auto"/>
            <w:vAlign w:val="center"/>
          </w:tcPr>
          <w:p>
            <w:pPr>
              <w:jc w:val="center"/>
              <w:rPr>
                <w:b/>
                <w:bCs/>
                <w:kern w:val="18"/>
                <w:szCs w:val="21"/>
              </w:rPr>
            </w:pPr>
            <w:r>
              <w:rPr>
                <w:b/>
                <w:bCs/>
                <w:kern w:val="18"/>
                <w:szCs w:val="21"/>
              </w:rPr>
              <w:t>标准</w:t>
            </w:r>
          </w:p>
        </w:tc>
        <w:tc>
          <w:tcPr>
            <w:tcW w:w="1190" w:type="dxa"/>
            <w:gridSpan w:val="2"/>
            <w:tcBorders>
              <w:top w:val="single" w:sz="12" w:space="0" w:color="auto"/>
            </w:tcBorders>
            <w:shd w:val="clear" w:color="auto" w:fill="auto"/>
            <w:vAlign w:val="center"/>
          </w:tcPr>
          <w:p>
            <w:pPr>
              <w:jc w:val="center"/>
              <w:rPr>
                <w:b/>
                <w:bCs/>
                <w:kern w:val="18"/>
                <w:szCs w:val="21"/>
              </w:rPr>
            </w:pPr>
            <w:r>
              <w:rPr>
                <w:b/>
                <w:bCs/>
                <w:kern w:val="18"/>
                <w:szCs w:val="21"/>
              </w:rPr>
              <w:t>类别</w:t>
            </w:r>
          </w:p>
        </w:tc>
        <w:tc>
          <w:tcPr>
            <w:tcW w:w="3572" w:type="dxa"/>
            <w:gridSpan w:val="8"/>
            <w:tcBorders>
              <w:top w:val="single" w:sz="12" w:space="0" w:color="auto"/>
              <w:right w:val="single" w:sz="8" w:space="0" w:color="auto"/>
            </w:tcBorders>
            <w:shd w:val="clear" w:color="auto" w:fill="auto"/>
            <w:vAlign w:val="center"/>
          </w:tcPr>
          <w:p>
            <w:pPr>
              <w:jc w:val="center"/>
              <w:rPr>
                <w:b/>
                <w:bCs/>
                <w:kern w:val="18"/>
                <w:szCs w:val="21"/>
              </w:rPr>
            </w:pPr>
            <w:r>
              <w:rPr>
                <w:b/>
                <w:bCs/>
                <w:kern w:val="18"/>
                <w:szCs w:val="21"/>
              </w:rPr>
              <w:t>排放标准值</w:t>
            </w:r>
          </w:p>
        </w:tc>
      </w:tr>
      <w:tr>
        <w:tblPrEx>
          <w:tblW w:w="9018" w:type="dxa"/>
          <w:tblInd w:w="0" w:type="dxa"/>
          <w:tblLayout w:type="fixed"/>
          <w:tblCellMar>
            <w:top w:w="0" w:type="dxa"/>
            <w:left w:w="108" w:type="dxa"/>
            <w:bottom w:w="0" w:type="dxa"/>
            <w:right w:w="108" w:type="dxa"/>
          </w:tblCellMar>
        </w:tblPrEx>
        <w:trPr>
          <w:cantSplit/>
          <w:trHeight w:hRule="exact" w:val="360"/>
        </w:trPr>
        <w:tc>
          <w:tcPr>
            <w:tcW w:w="459" w:type="dxa"/>
            <w:vMerge/>
            <w:shd w:val="clear" w:color="auto" w:fill="auto"/>
            <w:vAlign w:val="center"/>
          </w:tcPr>
          <w:p>
            <w:pPr>
              <w:rPr>
                <w:b/>
                <w:kern w:val="21"/>
                <w:szCs w:val="21"/>
              </w:rPr>
            </w:pPr>
          </w:p>
        </w:tc>
        <w:tc>
          <w:tcPr>
            <w:tcW w:w="392" w:type="dxa"/>
            <w:vMerge w:val="restart"/>
            <w:shd w:val="clear" w:color="auto" w:fill="auto"/>
            <w:vAlign w:val="center"/>
          </w:tcPr>
          <w:p>
            <w:pPr>
              <w:jc w:val="center"/>
              <w:rPr>
                <w:kern w:val="18"/>
                <w:szCs w:val="21"/>
              </w:rPr>
            </w:pPr>
            <w:r>
              <w:rPr>
                <w:kern w:val="18"/>
                <w:szCs w:val="21"/>
              </w:rPr>
              <w:t>废气</w:t>
            </w:r>
          </w:p>
        </w:tc>
        <w:tc>
          <w:tcPr>
            <w:tcW w:w="727" w:type="dxa"/>
            <w:gridSpan w:val="2"/>
            <w:vMerge w:val="restart"/>
            <w:shd w:val="clear" w:color="auto" w:fill="auto"/>
            <w:vAlign w:val="center"/>
          </w:tcPr>
          <w:p>
            <w:pPr>
              <w:jc w:val="center"/>
              <w:rPr>
                <w:kern w:val="18"/>
                <w:szCs w:val="21"/>
              </w:rPr>
            </w:pPr>
            <w:r>
              <w:rPr>
                <w:kern w:val="18"/>
                <w:szCs w:val="21"/>
              </w:rPr>
              <w:t>施工期</w:t>
            </w:r>
          </w:p>
        </w:tc>
        <w:tc>
          <w:tcPr>
            <w:tcW w:w="2678" w:type="dxa"/>
            <w:gridSpan w:val="5"/>
            <w:vMerge w:val="restart"/>
            <w:shd w:val="clear" w:color="auto" w:fill="auto"/>
            <w:vAlign w:val="center"/>
          </w:tcPr>
          <w:p>
            <w:pPr>
              <w:jc w:val="center"/>
              <w:rPr>
                <w:kern w:val="18"/>
                <w:szCs w:val="21"/>
              </w:rPr>
            </w:pPr>
            <w:r>
              <w:rPr>
                <w:kern w:val="18"/>
                <w:szCs w:val="21"/>
              </w:rPr>
              <w:t>《大气污染物综合排放标准》(GB16297-1996)</w:t>
            </w:r>
          </w:p>
        </w:tc>
        <w:tc>
          <w:tcPr>
            <w:tcW w:w="1190" w:type="dxa"/>
            <w:gridSpan w:val="2"/>
            <w:vMerge w:val="restart"/>
            <w:shd w:val="clear" w:color="auto" w:fill="auto"/>
            <w:vAlign w:val="center"/>
          </w:tcPr>
          <w:p>
            <w:pPr>
              <w:jc w:val="center"/>
              <w:rPr>
                <w:kern w:val="18"/>
                <w:szCs w:val="21"/>
              </w:rPr>
            </w:pPr>
            <w:r>
              <w:rPr>
                <w:kern w:val="18"/>
                <w:szCs w:val="21"/>
              </w:rPr>
              <w:t>无组织</w:t>
            </w:r>
          </w:p>
        </w:tc>
        <w:tc>
          <w:tcPr>
            <w:tcW w:w="3572" w:type="dxa"/>
            <w:gridSpan w:val="8"/>
            <w:tcBorders>
              <w:right w:val="single" w:sz="8" w:space="0" w:color="auto"/>
            </w:tcBorders>
            <w:shd w:val="clear" w:color="auto" w:fill="auto"/>
            <w:vAlign w:val="center"/>
          </w:tcPr>
          <w:p>
            <w:pPr>
              <w:jc w:val="center"/>
              <w:rPr>
                <w:kern w:val="18"/>
                <w:szCs w:val="21"/>
              </w:rPr>
            </w:pPr>
            <w:r>
              <w:rPr>
                <w:kern w:val="18"/>
                <w:szCs w:val="21"/>
              </w:rPr>
              <w:t>颗粒物</w:t>
            </w:r>
          </w:p>
        </w:tc>
      </w:tr>
      <w:tr>
        <w:tblPrEx>
          <w:tblW w:w="9018" w:type="dxa"/>
          <w:tblInd w:w="0" w:type="dxa"/>
          <w:tblLayout w:type="fixed"/>
          <w:tblCellMar>
            <w:top w:w="0" w:type="dxa"/>
            <w:left w:w="108" w:type="dxa"/>
            <w:bottom w:w="0" w:type="dxa"/>
            <w:right w:w="108" w:type="dxa"/>
          </w:tblCellMar>
        </w:tblPrEx>
        <w:trPr>
          <w:cantSplit/>
          <w:trHeight w:hRule="exact" w:val="431"/>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2678" w:type="dxa"/>
            <w:gridSpan w:val="5"/>
            <w:vMerge/>
            <w:shd w:val="clear" w:color="auto" w:fill="auto"/>
            <w:vAlign w:val="center"/>
          </w:tcPr>
          <w:p>
            <w:pPr>
              <w:jc w:val="center"/>
              <w:rPr>
                <w:kern w:val="18"/>
                <w:szCs w:val="21"/>
              </w:rPr>
            </w:pPr>
          </w:p>
        </w:tc>
        <w:tc>
          <w:tcPr>
            <w:tcW w:w="1190" w:type="dxa"/>
            <w:gridSpan w:val="2"/>
            <w:vMerge/>
            <w:shd w:val="clear" w:color="auto" w:fill="auto"/>
            <w:vAlign w:val="center"/>
          </w:tcPr>
          <w:p>
            <w:pPr>
              <w:jc w:val="center"/>
              <w:rPr>
                <w:kern w:val="18"/>
                <w:szCs w:val="21"/>
              </w:rPr>
            </w:pPr>
          </w:p>
        </w:tc>
        <w:tc>
          <w:tcPr>
            <w:tcW w:w="3572" w:type="dxa"/>
            <w:gridSpan w:val="8"/>
            <w:tcBorders>
              <w:right w:val="single" w:sz="8" w:space="0" w:color="auto"/>
            </w:tcBorders>
            <w:shd w:val="clear" w:color="auto" w:fill="auto"/>
            <w:vAlign w:val="center"/>
          </w:tcPr>
          <w:p>
            <w:pPr>
              <w:jc w:val="center"/>
              <w:rPr>
                <w:kern w:val="18"/>
                <w:szCs w:val="21"/>
              </w:rPr>
            </w:pPr>
            <w:r>
              <w:rPr>
                <w:kern w:val="18"/>
                <w:szCs w:val="21"/>
              </w:rPr>
              <w:t>1.0mg/m</w:t>
            </w:r>
            <w:r>
              <w:rPr>
                <w:kern w:val="18"/>
                <w:szCs w:val="21"/>
                <w:vertAlign w:val="superscript"/>
              </w:rPr>
              <w:t>3</w:t>
            </w:r>
          </w:p>
        </w:tc>
      </w:tr>
      <w:tr>
        <w:tblPrEx>
          <w:tblW w:w="9018" w:type="dxa"/>
          <w:tblInd w:w="0" w:type="dxa"/>
          <w:tblLayout w:type="fixed"/>
          <w:tblCellMar>
            <w:top w:w="0" w:type="dxa"/>
            <w:left w:w="108" w:type="dxa"/>
            <w:bottom w:w="0" w:type="dxa"/>
            <w:right w:w="108" w:type="dxa"/>
          </w:tblCellMar>
        </w:tblPrEx>
        <w:trPr>
          <w:cantSplit/>
          <w:trHeight w:val="412"/>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val="restart"/>
            <w:shd w:val="clear" w:color="auto" w:fill="auto"/>
            <w:vAlign w:val="center"/>
          </w:tcPr>
          <w:p>
            <w:pPr>
              <w:jc w:val="center"/>
              <w:rPr>
                <w:kern w:val="18"/>
                <w:szCs w:val="21"/>
              </w:rPr>
            </w:pPr>
            <w:r>
              <w:rPr>
                <w:kern w:val="18"/>
                <w:szCs w:val="21"/>
              </w:rPr>
              <w:t>营运期</w:t>
            </w:r>
          </w:p>
        </w:tc>
        <w:tc>
          <w:tcPr>
            <w:tcW w:w="2678" w:type="dxa"/>
            <w:gridSpan w:val="5"/>
            <w:vMerge w:val="restart"/>
            <w:shd w:val="clear" w:color="auto" w:fill="auto"/>
            <w:vAlign w:val="center"/>
          </w:tcPr>
          <w:p>
            <w:pPr>
              <w:pStyle w:val="Heading1"/>
              <w:shd w:val="clear" w:color="auto" w:fill="FFFFFF"/>
              <w:spacing w:before="0" w:after="0" w:line="267" w:lineRule="atLeast"/>
              <w:jc w:val="center"/>
              <w:rPr>
                <w:rFonts w:ascii="Times New Roman" w:eastAsia="宋体" w:hAnsi="Times New Roman"/>
                <w:b w:val="0"/>
                <w:kern w:val="21"/>
                <w:sz w:val="21"/>
                <w:szCs w:val="21"/>
              </w:rPr>
            </w:pPr>
            <w:r>
              <w:rPr>
                <w:rFonts w:ascii="Times New Roman" w:eastAsia="宋体" w:hAnsi="Times New Roman"/>
                <w:b w:val="0"/>
                <w:sz w:val="21"/>
                <w:szCs w:val="21"/>
              </w:rPr>
              <w:t>《工作场所有害因素职业接触限值化学有害因素》(GBZ2.1-2007）</w:t>
            </w:r>
          </w:p>
        </w:tc>
        <w:tc>
          <w:tcPr>
            <w:tcW w:w="1190" w:type="dxa"/>
            <w:gridSpan w:val="2"/>
            <w:vMerge w:val="restart"/>
            <w:shd w:val="clear" w:color="auto" w:fill="auto"/>
            <w:vAlign w:val="center"/>
          </w:tcPr>
          <w:p>
            <w:pPr>
              <w:pStyle w:val="a0"/>
              <w:rPr>
                <w:rFonts w:ascii="Times New Roman"/>
                <w:bCs/>
                <w:snapToGrid/>
                <w:spacing w:val="0"/>
                <w:w w:val="100"/>
                <w:sz w:val="21"/>
                <w:szCs w:val="21"/>
              </w:rPr>
            </w:pPr>
            <w:r>
              <w:rPr>
                <w:rFonts w:ascii="Times New Roman"/>
                <w:bCs/>
                <w:snapToGrid/>
                <w:spacing w:val="0"/>
                <w:w w:val="100"/>
                <w:sz w:val="21"/>
                <w:szCs w:val="21"/>
              </w:rPr>
              <w:t>最高允许排放浓度</w:t>
            </w:r>
          </w:p>
        </w:tc>
        <w:tc>
          <w:tcPr>
            <w:tcW w:w="1756" w:type="dxa"/>
            <w:gridSpan w:val="5"/>
            <w:shd w:val="clear" w:color="auto" w:fill="auto"/>
            <w:vAlign w:val="center"/>
          </w:tcPr>
          <w:p>
            <w:pPr>
              <w:pStyle w:val="16"/>
              <w:rPr>
                <w:kern w:val="21"/>
                <w:szCs w:val="21"/>
                <w:highlight w:val="yellow"/>
              </w:rPr>
            </w:pPr>
            <w:r>
              <w:t>NOx</w:t>
            </w:r>
          </w:p>
        </w:tc>
        <w:tc>
          <w:tcPr>
            <w:tcW w:w="1816" w:type="dxa"/>
            <w:gridSpan w:val="3"/>
            <w:tcBorders>
              <w:right w:val="single" w:sz="8" w:space="0" w:color="auto"/>
            </w:tcBorders>
            <w:shd w:val="clear" w:color="auto" w:fill="auto"/>
            <w:vAlign w:val="center"/>
          </w:tcPr>
          <w:p>
            <w:pPr>
              <w:pStyle w:val="16"/>
              <w:rPr>
                <w:kern w:val="21"/>
                <w:szCs w:val="21"/>
                <w:highlight w:val="yellow"/>
              </w:rPr>
            </w:pPr>
            <w:r>
              <w:t>CO</w:t>
            </w:r>
          </w:p>
        </w:tc>
      </w:tr>
      <w:tr>
        <w:tblPrEx>
          <w:tblW w:w="9018" w:type="dxa"/>
          <w:tblInd w:w="0" w:type="dxa"/>
          <w:tblLayout w:type="fixed"/>
          <w:tblCellMar>
            <w:top w:w="0" w:type="dxa"/>
            <w:left w:w="108" w:type="dxa"/>
            <w:bottom w:w="0" w:type="dxa"/>
            <w:right w:w="108" w:type="dxa"/>
          </w:tblCellMar>
        </w:tblPrEx>
        <w:trPr>
          <w:cantSplit/>
          <w:trHeight w:val="167"/>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2678" w:type="dxa"/>
            <w:gridSpan w:val="5"/>
            <w:vMerge/>
            <w:shd w:val="clear" w:color="auto" w:fill="auto"/>
            <w:vAlign w:val="center"/>
          </w:tcPr>
          <w:p>
            <w:pPr>
              <w:jc w:val="center"/>
              <w:rPr>
                <w:kern w:val="18"/>
                <w:szCs w:val="21"/>
              </w:rPr>
            </w:pPr>
          </w:p>
        </w:tc>
        <w:tc>
          <w:tcPr>
            <w:tcW w:w="1190" w:type="dxa"/>
            <w:gridSpan w:val="2"/>
            <w:vMerge/>
            <w:shd w:val="clear" w:color="auto" w:fill="auto"/>
            <w:vAlign w:val="center"/>
          </w:tcPr>
          <w:p>
            <w:pPr>
              <w:pStyle w:val="a0"/>
              <w:rPr>
                <w:rFonts w:ascii="Times New Roman"/>
                <w:snapToGrid/>
                <w:spacing w:val="0"/>
                <w:w w:val="100"/>
                <w:kern w:val="21"/>
                <w:sz w:val="21"/>
                <w:szCs w:val="21"/>
                <w:highlight w:val="yellow"/>
              </w:rPr>
            </w:pPr>
          </w:p>
        </w:tc>
        <w:tc>
          <w:tcPr>
            <w:tcW w:w="1756" w:type="dxa"/>
            <w:gridSpan w:val="5"/>
            <w:shd w:val="clear" w:color="auto" w:fill="auto"/>
            <w:vAlign w:val="center"/>
          </w:tcPr>
          <w:p>
            <w:pPr>
              <w:pStyle w:val="16"/>
              <w:rPr>
                <w:kern w:val="21"/>
                <w:szCs w:val="21"/>
                <w:highlight w:val="yellow"/>
              </w:rPr>
            </w:pPr>
            <w:r>
              <w:t>5</w:t>
            </w:r>
          </w:p>
        </w:tc>
        <w:tc>
          <w:tcPr>
            <w:tcW w:w="1816" w:type="dxa"/>
            <w:gridSpan w:val="3"/>
            <w:tcBorders>
              <w:right w:val="single" w:sz="8" w:space="0" w:color="auto"/>
            </w:tcBorders>
            <w:shd w:val="clear" w:color="auto" w:fill="auto"/>
            <w:vAlign w:val="center"/>
          </w:tcPr>
          <w:p>
            <w:pPr>
              <w:pStyle w:val="16"/>
              <w:rPr>
                <w:kern w:val="21"/>
                <w:szCs w:val="21"/>
                <w:highlight w:val="yellow"/>
              </w:rPr>
            </w:pPr>
            <w:r>
              <w:t>30</w:t>
            </w:r>
          </w:p>
        </w:tc>
      </w:tr>
      <w:tr>
        <w:tblPrEx>
          <w:tblW w:w="9018" w:type="dxa"/>
          <w:tblInd w:w="0" w:type="dxa"/>
          <w:tblLayout w:type="fixed"/>
          <w:tblCellMar>
            <w:top w:w="0" w:type="dxa"/>
            <w:left w:w="108" w:type="dxa"/>
            <w:bottom w:w="0" w:type="dxa"/>
            <w:right w:w="108" w:type="dxa"/>
          </w:tblCellMar>
        </w:tblPrEx>
        <w:trPr>
          <w:cantSplit/>
          <w:trHeight w:val="412"/>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2678" w:type="dxa"/>
            <w:gridSpan w:val="5"/>
            <w:vMerge w:val="restart"/>
            <w:shd w:val="clear" w:color="auto" w:fill="auto"/>
            <w:vAlign w:val="center"/>
          </w:tcPr>
          <w:p>
            <w:pPr>
              <w:pStyle w:val="a0"/>
              <w:spacing w:line="300" w:lineRule="exact"/>
              <w:rPr>
                <w:rFonts w:ascii="Times New Roman"/>
                <w:snapToGrid/>
                <w:spacing w:val="0"/>
                <w:w w:val="100"/>
                <w:sz w:val="21"/>
                <w:szCs w:val="21"/>
              </w:rPr>
            </w:pPr>
            <w:r>
              <w:rPr>
                <w:rFonts w:ascii="Times New Roman"/>
                <w:snapToGrid/>
                <w:spacing w:val="0"/>
                <w:w w:val="100"/>
                <w:sz w:val="21"/>
                <w:szCs w:val="21"/>
              </w:rPr>
              <w:t>《饮食业油烟排放标准（试行）》（GB18483-2001）</w:t>
            </w:r>
          </w:p>
        </w:tc>
        <w:tc>
          <w:tcPr>
            <w:tcW w:w="1190" w:type="dxa"/>
            <w:gridSpan w:val="2"/>
            <w:vMerge w:val="restart"/>
            <w:shd w:val="clear" w:color="auto" w:fill="auto"/>
            <w:vAlign w:val="center"/>
          </w:tcPr>
          <w:p>
            <w:pPr>
              <w:pStyle w:val="a0"/>
              <w:spacing w:line="300" w:lineRule="exact"/>
              <w:rPr>
                <w:rFonts w:ascii="Times New Roman"/>
                <w:snapToGrid/>
                <w:spacing w:val="0"/>
                <w:w w:val="100"/>
                <w:sz w:val="21"/>
                <w:szCs w:val="21"/>
              </w:rPr>
            </w:pPr>
            <w:r>
              <w:rPr>
                <w:rFonts w:ascii="Times New Roman"/>
                <w:snapToGrid/>
                <w:spacing w:val="0"/>
                <w:w w:val="100"/>
                <w:sz w:val="21"/>
                <w:szCs w:val="21"/>
              </w:rPr>
              <w:t>中型</w:t>
            </w:r>
          </w:p>
        </w:tc>
        <w:tc>
          <w:tcPr>
            <w:tcW w:w="1756" w:type="dxa"/>
            <w:gridSpan w:val="5"/>
            <w:shd w:val="clear" w:color="auto" w:fill="auto"/>
            <w:vAlign w:val="center"/>
          </w:tcPr>
          <w:p>
            <w:pPr>
              <w:pStyle w:val="16"/>
            </w:pPr>
            <w:r>
              <w:t>最高允许排放浓度</w:t>
            </w:r>
          </w:p>
        </w:tc>
        <w:tc>
          <w:tcPr>
            <w:tcW w:w="1816" w:type="dxa"/>
            <w:gridSpan w:val="3"/>
            <w:tcBorders>
              <w:right w:val="single" w:sz="8" w:space="0" w:color="auto"/>
            </w:tcBorders>
            <w:shd w:val="clear" w:color="auto" w:fill="auto"/>
            <w:vAlign w:val="center"/>
          </w:tcPr>
          <w:p>
            <w:pPr>
              <w:pStyle w:val="16"/>
            </w:pPr>
            <w:r>
              <w:t>最低去处效率</w:t>
            </w:r>
          </w:p>
        </w:tc>
      </w:tr>
      <w:tr>
        <w:tblPrEx>
          <w:tblW w:w="9018" w:type="dxa"/>
          <w:tblInd w:w="0" w:type="dxa"/>
          <w:tblLayout w:type="fixed"/>
          <w:tblCellMar>
            <w:top w:w="0" w:type="dxa"/>
            <w:left w:w="108" w:type="dxa"/>
            <w:bottom w:w="0" w:type="dxa"/>
            <w:right w:w="108" w:type="dxa"/>
          </w:tblCellMar>
        </w:tblPrEx>
        <w:trPr>
          <w:cantSplit/>
          <w:trHeight w:val="412"/>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2678" w:type="dxa"/>
            <w:gridSpan w:val="5"/>
            <w:vMerge/>
            <w:shd w:val="clear" w:color="auto" w:fill="auto"/>
            <w:vAlign w:val="center"/>
          </w:tcPr>
          <w:p>
            <w:pPr>
              <w:pStyle w:val="a0"/>
              <w:spacing w:line="300" w:lineRule="exact"/>
              <w:rPr>
                <w:rFonts w:ascii="Times New Roman"/>
                <w:sz w:val="21"/>
                <w:szCs w:val="21"/>
                <w:highlight w:val="yellow"/>
              </w:rPr>
            </w:pPr>
          </w:p>
        </w:tc>
        <w:tc>
          <w:tcPr>
            <w:tcW w:w="1190" w:type="dxa"/>
            <w:gridSpan w:val="2"/>
            <w:vMerge/>
            <w:shd w:val="clear" w:color="auto" w:fill="auto"/>
            <w:vAlign w:val="center"/>
          </w:tcPr>
          <w:p>
            <w:pPr>
              <w:pStyle w:val="a0"/>
              <w:spacing w:line="300" w:lineRule="exact"/>
              <w:rPr>
                <w:rFonts w:ascii="Times New Roman"/>
                <w:sz w:val="21"/>
                <w:szCs w:val="21"/>
                <w:highlight w:val="yellow"/>
              </w:rPr>
            </w:pPr>
          </w:p>
        </w:tc>
        <w:tc>
          <w:tcPr>
            <w:tcW w:w="1756" w:type="dxa"/>
            <w:gridSpan w:val="5"/>
            <w:shd w:val="clear" w:color="auto" w:fill="auto"/>
            <w:vAlign w:val="center"/>
          </w:tcPr>
          <w:p>
            <w:pPr>
              <w:pStyle w:val="16"/>
            </w:pPr>
            <w:r>
              <w:t>2.0mg/m³</w:t>
            </w:r>
          </w:p>
        </w:tc>
        <w:tc>
          <w:tcPr>
            <w:tcW w:w="1816" w:type="dxa"/>
            <w:gridSpan w:val="3"/>
            <w:tcBorders>
              <w:right w:val="single" w:sz="8" w:space="0" w:color="auto"/>
            </w:tcBorders>
            <w:shd w:val="clear" w:color="auto" w:fill="auto"/>
            <w:vAlign w:val="center"/>
          </w:tcPr>
          <w:p>
            <w:pPr>
              <w:pStyle w:val="16"/>
            </w:pPr>
            <w:r>
              <w:t>75%</w:t>
            </w:r>
          </w:p>
        </w:tc>
      </w:tr>
      <w:tr>
        <w:tblPrEx>
          <w:tblW w:w="9018" w:type="dxa"/>
          <w:tblInd w:w="0" w:type="dxa"/>
          <w:tblLayout w:type="fixed"/>
          <w:tblCellMar>
            <w:top w:w="0" w:type="dxa"/>
            <w:left w:w="108" w:type="dxa"/>
            <w:bottom w:w="0" w:type="dxa"/>
            <w:right w:w="108" w:type="dxa"/>
          </w:tblCellMar>
        </w:tblPrEx>
        <w:trPr>
          <w:cantSplit/>
          <w:trHeight w:val="842"/>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673" w:type="dxa"/>
            <w:vMerge w:val="restart"/>
            <w:shd w:val="clear" w:color="auto" w:fill="auto"/>
            <w:vAlign w:val="center"/>
          </w:tcPr>
          <w:p>
            <w:pPr>
              <w:pStyle w:val="Char2"/>
              <w:rPr>
                <w:rFonts w:ascii="Times New Roman"/>
                <w:color w:val="auto"/>
                <w:sz w:val="21"/>
                <w:szCs w:val="21"/>
                <w:highlight w:val="yellow"/>
              </w:rPr>
            </w:pPr>
            <w:r>
              <w:rPr>
                <w:rFonts w:ascii="Times New Roman"/>
                <w:color w:val="auto"/>
                <w:spacing w:val="0"/>
                <w:w w:val="100"/>
                <w:sz w:val="21"/>
                <w:szCs w:val="21"/>
              </w:rPr>
              <w:t>备用发电机废气</w:t>
            </w:r>
          </w:p>
        </w:tc>
        <w:tc>
          <w:tcPr>
            <w:tcW w:w="2005" w:type="dxa"/>
            <w:gridSpan w:val="4"/>
            <w:vMerge w:val="restart"/>
            <w:shd w:val="clear" w:color="auto" w:fill="auto"/>
            <w:vAlign w:val="center"/>
          </w:tcPr>
          <w:p>
            <w:pPr>
              <w:pStyle w:val="Char2"/>
              <w:rPr>
                <w:rFonts w:ascii="Times New Roman"/>
                <w:color w:val="auto"/>
                <w:sz w:val="21"/>
                <w:szCs w:val="21"/>
                <w:highlight w:val="yellow"/>
              </w:rPr>
            </w:pPr>
            <w:r>
              <w:rPr>
                <w:rFonts w:ascii="Times New Roman"/>
                <w:color w:val="auto"/>
                <w:spacing w:val="0"/>
                <w:w w:val="100"/>
                <w:sz w:val="21"/>
                <w:szCs w:val="21"/>
              </w:rPr>
              <w:t>《非道路移动机械用柴油机排气污染物排放限值及测量方法(中国第三、四阶段）》（GB 20891—2014）</w:t>
            </w:r>
          </w:p>
        </w:tc>
        <w:tc>
          <w:tcPr>
            <w:tcW w:w="1190" w:type="dxa"/>
            <w:gridSpan w:val="2"/>
            <w:shd w:val="clear" w:color="auto" w:fill="auto"/>
            <w:vAlign w:val="center"/>
          </w:tcPr>
          <w:p>
            <w:pPr>
              <w:widowControl/>
              <w:jc w:val="center"/>
              <w:rPr>
                <w:szCs w:val="21"/>
                <w:highlight w:val="yellow"/>
              </w:rPr>
            </w:pPr>
            <w:r>
              <w:rPr>
                <w:szCs w:val="21"/>
              </w:rPr>
              <w:t>第三阶段</w:t>
            </w:r>
          </w:p>
        </w:tc>
        <w:tc>
          <w:tcPr>
            <w:tcW w:w="1062" w:type="dxa"/>
            <w:gridSpan w:val="2"/>
            <w:shd w:val="clear" w:color="auto" w:fill="auto"/>
            <w:vAlign w:val="center"/>
          </w:tcPr>
          <w:p>
            <w:pPr>
              <w:widowControl/>
              <w:jc w:val="center"/>
            </w:pPr>
            <w:r>
              <w:rPr>
                <w:szCs w:val="21"/>
              </w:rPr>
              <w:t>CO</w:t>
            </w:r>
          </w:p>
        </w:tc>
        <w:tc>
          <w:tcPr>
            <w:tcW w:w="1309" w:type="dxa"/>
            <w:gridSpan w:val="4"/>
            <w:shd w:val="clear" w:color="auto" w:fill="auto"/>
            <w:vAlign w:val="center"/>
          </w:tcPr>
          <w:p>
            <w:pPr>
              <w:widowControl/>
              <w:jc w:val="center"/>
            </w:pPr>
            <w:r>
              <w:t>HC+NOx</w:t>
            </w:r>
          </w:p>
        </w:tc>
        <w:tc>
          <w:tcPr>
            <w:tcW w:w="1201" w:type="dxa"/>
            <w:gridSpan w:val="2"/>
            <w:tcBorders>
              <w:right w:val="single" w:sz="8" w:space="0" w:color="auto"/>
            </w:tcBorders>
            <w:shd w:val="clear" w:color="auto" w:fill="auto"/>
            <w:vAlign w:val="center"/>
          </w:tcPr>
          <w:p>
            <w:pPr>
              <w:widowControl/>
              <w:jc w:val="center"/>
            </w:pPr>
            <w:r>
              <w:rPr>
                <w:szCs w:val="21"/>
              </w:rPr>
              <w:t>PM</w:t>
            </w:r>
          </w:p>
        </w:tc>
      </w:tr>
      <w:tr>
        <w:tblPrEx>
          <w:tblW w:w="9018" w:type="dxa"/>
          <w:tblInd w:w="0" w:type="dxa"/>
          <w:tblLayout w:type="fixed"/>
          <w:tblCellMar>
            <w:top w:w="0" w:type="dxa"/>
            <w:left w:w="108" w:type="dxa"/>
            <w:bottom w:w="0" w:type="dxa"/>
            <w:right w:w="108" w:type="dxa"/>
          </w:tblCellMar>
        </w:tblPrEx>
        <w:trPr>
          <w:cantSplit/>
          <w:trHeight w:val="412"/>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673" w:type="dxa"/>
            <w:vMerge/>
            <w:shd w:val="clear" w:color="auto" w:fill="auto"/>
            <w:vAlign w:val="center"/>
          </w:tcPr>
          <w:p>
            <w:pPr>
              <w:widowControl/>
              <w:jc w:val="center"/>
              <w:rPr>
                <w:b/>
                <w:kern w:val="21"/>
                <w:szCs w:val="21"/>
              </w:rPr>
            </w:pPr>
          </w:p>
        </w:tc>
        <w:tc>
          <w:tcPr>
            <w:tcW w:w="2005" w:type="dxa"/>
            <w:gridSpan w:val="4"/>
            <w:vMerge/>
            <w:shd w:val="clear" w:color="auto" w:fill="auto"/>
            <w:vAlign w:val="center"/>
          </w:tcPr>
          <w:p>
            <w:pPr>
              <w:widowControl/>
              <w:jc w:val="center"/>
              <w:rPr>
                <w:szCs w:val="21"/>
                <w:highlight w:val="yellow"/>
              </w:rPr>
            </w:pPr>
          </w:p>
        </w:tc>
        <w:tc>
          <w:tcPr>
            <w:tcW w:w="1190" w:type="dxa"/>
            <w:gridSpan w:val="2"/>
            <w:shd w:val="clear" w:color="auto" w:fill="auto"/>
            <w:vAlign w:val="center"/>
          </w:tcPr>
          <w:p>
            <w:pPr>
              <w:widowControl/>
              <w:jc w:val="center"/>
              <w:rPr>
                <w:szCs w:val="21"/>
                <w:highlight w:val="yellow"/>
              </w:rPr>
            </w:pPr>
            <w:r>
              <w:rPr>
                <w:szCs w:val="21"/>
              </w:rPr>
              <w:t>Pmax＞560</w:t>
            </w:r>
          </w:p>
        </w:tc>
        <w:tc>
          <w:tcPr>
            <w:tcW w:w="1062" w:type="dxa"/>
            <w:gridSpan w:val="2"/>
            <w:shd w:val="clear" w:color="auto" w:fill="auto"/>
            <w:vAlign w:val="center"/>
          </w:tcPr>
          <w:p>
            <w:pPr>
              <w:widowControl/>
              <w:jc w:val="center"/>
            </w:pPr>
            <w:r>
              <w:rPr>
                <w:szCs w:val="21"/>
              </w:rPr>
              <w:t>3.5</w:t>
            </w:r>
          </w:p>
        </w:tc>
        <w:tc>
          <w:tcPr>
            <w:tcW w:w="1309" w:type="dxa"/>
            <w:gridSpan w:val="4"/>
            <w:shd w:val="clear" w:color="auto" w:fill="auto"/>
            <w:vAlign w:val="center"/>
          </w:tcPr>
          <w:p>
            <w:pPr>
              <w:widowControl/>
              <w:jc w:val="center"/>
            </w:pPr>
            <w:r>
              <w:rPr>
                <w:szCs w:val="21"/>
              </w:rPr>
              <w:t>6.4</w:t>
            </w:r>
          </w:p>
        </w:tc>
        <w:tc>
          <w:tcPr>
            <w:tcW w:w="1201" w:type="dxa"/>
            <w:gridSpan w:val="2"/>
            <w:tcBorders>
              <w:right w:val="single" w:sz="8" w:space="0" w:color="auto"/>
            </w:tcBorders>
            <w:shd w:val="clear" w:color="auto" w:fill="auto"/>
            <w:vAlign w:val="center"/>
          </w:tcPr>
          <w:p>
            <w:pPr>
              <w:widowControl/>
              <w:jc w:val="center"/>
            </w:pPr>
            <w:r>
              <w:rPr>
                <w:szCs w:val="21"/>
              </w:rPr>
              <w:t>0.20</w:t>
            </w:r>
          </w:p>
        </w:tc>
      </w:tr>
      <w:tr>
        <w:tblPrEx>
          <w:tblW w:w="9018" w:type="dxa"/>
          <w:tblInd w:w="0" w:type="dxa"/>
          <w:tblLayout w:type="fixed"/>
          <w:tblCellMar>
            <w:top w:w="0" w:type="dxa"/>
            <w:left w:w="108" w:type="dxa"/>
            <w:bottom w:w="0" w:type="dxa"/>
            <w:right w:w="108" w:type="dxa"/>
          </w:tblCellMar>
        </w:tblPrEx>
        <w:trPr>
          <w:cantSplit/>
          <w:trHeight w:hRule="exact" w:val="444"/>
        </w:trPr>
        <w:tc>
          <w:tcPr>
            <w:tcW w:w="459" w:type="dxa"/>
            <w:vMerge/>
            <w:shd w:val="clear" w:color="auto" w:fill="auto"/>
            <w:vAlign w:val="center"/>
          </w:tcPr>
          <w:p>
            <w:pPr>
              <w:rPr>
                <w:b/>
                <w:kern w:val="21"/>
                <w:szCs w:val="21"/>
              </w:rPr>
            </w:pPr>
            <w:bookmarkStart w:id="8" w:name="_Hlk456804237"/>
            <w:bookmarkStart w:id="9" w:name="OLE_LINK65" w:colFirst="2" w:colLast="7"/>
            <w:bookmarkStart w:id="10" w:name="OLE_LINK64" w:colFirst="2" w:colLast="7"/>
          </w:p>
        </w:tc>
        <w:tc>
          <w:tcPr>
            <w:tcW w:w="1119" w:type="dxa"/>
            <w:gridSpan w:val="3"/>
            <w:vMerge w:val="restart"/>
            <w:shd w:val="clear" w:color="auto" w:fill="auto"/>
            <w:vAlign w:val="center"/>
          </w:tcPr>
          <w:p>
            <w:pPr>
              <w:jc w:val="center"/>
              <w:rPr>
                <w:kern w:val="18"/>
                <w:szCs w:val="21"/>
              </w:rPr>
            </w:pPr>
            <w:r>
              <w:rPr>
                <w:kern w:val="18"/>
                <w:szCs w:val="21"/>
              </w:rPr>
              <w:t>废水</w:t>
            </w:r>
          </w:p>
        </w:tc>
        <w:tc>
          <w:tcPr>
            <w:tcW w:w="1984" w:type="dxa"/>
            <w:gridSpan w:val="3"/>
            <w:vMerge w:val="restart"/>
            <w:shd w:val="clear" w:color="auto" w:fill="auto"/>
            <w:vAlign w:val="center"/>
          </w:tcPr>
          <w:p>
            <w:pPr>
              <w:jc w:val="center"/>
              <w:rPr>
                <w:kern w:val="18"/>
                <w:szCs w:val="21"/>
              </w:rPr>
            </w:pPr>
            <w:r>
              <w:rPr>
                <w:kern w:val="18"/>
                <w:szCs w:val="21"/>
              </w:rPr>
              <w:t>《污水综合排放标准》(GB8978-1996)三级标准</w:t>
            </w:r>
          </w:p>
        </w:tc>
        <w:tc>
          <w:tcPr>
            <w:tcW w:w="694" w:type="dxa"/>
            <w:gridSpan w:val="2"/>
            <w:shd w:val="clear" w:color="auto" w:fill="auto"/>
            <w:vAlign w:val="center"/>
          </w:tcPr>
          <w:p>
            <w:pPr>
              <w:jc w:val="center"/>
              <w:rPr>
                <w:kern w:val="18"/>
                <w:szCs w:val="21"/>
              </w:rPr>
            </w:pPr>
            <w:r>
              <w:rPr>
                <w:kern w:val="18"/>
                <w:szCs w:val="21"/>
              </w:rPr>
              <w:t>COD</w:t>
            </w:r>
          </w:p>
        </w:tc>
        <w:tc>
          <w:tcPr>
            <w:tcW w:w="564" w:type="dxa"/>
            <w:shd w:val="clear" w:color="auto" w:fill="auto"/>
            <w:vAlign w:val="center"/>
          </w:tcPr>
          <w:p>
            <w:pPr>
              <w:jc w:val="center"/>
              <w:rPr>
                <w:kern w:val="18"/>
                <w:szCs w:val="21"/>
              </w:rPr>
            </w:pPr>
            <w:r>
              <w:rPr>
                <w:kern w:val="18"/>
                <w:szCs w:val="21"/>
              </w:rPr>
              <w:t>SS</w:t>
            </w:r>
          </w:p>
        </w:tc>
        <w:tc>
          <w:tcPr>
            <w:tcW w:w="738" w:type="dxa"/>
            <w:gridSpan w:val="2"/>
            <w:tcBorders>
              <w:right w:val="single" w:sz="4" w:space="0" w:color="auto"/>
            </w:tcBorders>
            <w:shd w:val="clear" w:color="auto" w:fill="auto"/>
            <w:vAlign w:val="center"/>
          </w:tcPr>
          <w:p>
            <w:pPr>
              <w:jc w:val="center"/>
              <w:rPr>
                <w:kern w:val="18"/>
                <w:szCs w:val="21"/>
              </w:rPr>
            </w:pPr>
            <w:r>
              <w:rPr>
                <w:kern w:val="18"/>
                <w:szCs w:val="21"/>
              </w:rPr>
              <w:t>BOD</w:t>
            </w:r>
            <w:r>
              <w:rPr>
                <w:kern w:val="18"/>
                <w:szCs w:val="21"/>
                <w:vertAlign w:val="subscript"/>
              </w:rPr>
              <w:t>5</w:t>
            </w:r>
          </w:p>
        </w:tc>
        <w:tc>
          <w:tcPr>
            <w:tcW w:w="950" w:type="dxa"/>
            <w:tcBorders>
              <w:left w:val="single" w:sz="4" w:space="0" w:color="auto"/>
            </w:tcBorders>
            <w:shd w:val="clear" w:color="auto" w:fill="auto"/>
            <w:vAlign w:val="center"/>
          </w:tcPr>
          <w:p>
            <w:pPr>
              <w:jc w:val="center"/>
              <w:rPr>
                <w:kern w:val="18"/>
                <w:szCs w:val="21"/>
              </w:rPr>
            </w:pPr>
            <w:r>
              <w:rPr>
                <w:szCs w:val="21"/>
              </w:rPr>
              <w:t>*</w:t>
            </w:r>
            <w:r>
              <w:rPr>
                <w:kern w:val="18"/>
                <w:szCs w:val="21"/>
              </w:rPr>
              <w:t>NH</w:t>
            </w:r>
            <w:r>
              <w:rPr>
                <w:kern w:val="18"/>
                <w:szCs w:val="21"/>
                <w:vertAlign w:val="subscript"/>
              </w:rPr>
              <w:t>3</w:t>
            </w:r>
            <w:r>
              <w:rPr>
                <w:kern w:val="18"/>
                <w:szCs w:val="21"/>
              </w:rPr>
              <w:t>-N</w:t>
            </w:r>
          </w:p>
          <w:p>
            <w:pPr>
              <w:jc w:val="center"/>
              <w:rPr>
                <w:kern w:val="18"/>
                <w:szCs w:val="21"/>
              </w:rPr>
            </w:pPr>
          </w:p>
        </w:tc>
        <w:tc>
          <w:tcPr>
            <w:tcW w:w="586" w:type="dxa"/>
            <w:gridSpan w:val="2"/>
            <w:tcBorders>
              <w:right w:val="single" w:sz="4" w:space="0" w:color="auto"/>
            </w:tcBorders>
            <w:shd w:val="clear" w:color="auto" w:fill="auto"/>
            <w:vAlign w:val="center"/>
          </w:tcPr>
          <w:p>
            <w:pPr>
              <w:jc w:val="center"/>
              <w:rPr>
                <w:kern w:val="18"/>
                <w:szCs w:val="21"/>
              </w:rPr>
            </w:pPr>
            <w:r>
              <w:rPr>
                <w:szCs w:val="21"/>
              </w:rPr>
              <w:t>*</w:t>
            </w:r>
            <w:r>
              <w:rPr>
                <w:rFonts w:hint="eastAsia"/>
                <w:kern w:val="18"/>
                <w:szCs w:val="21"/>
              </w:rPr>
              <w:t>TP</w:t>
            </w:r>
          </w:p>
        </w:tc>
        <w:tc>
          <w:tcPr>
            <w:tcW w:w="723" w:type="dxa"/>
            <w:gridSpan w:val="2"/>
            <w:tcBorders>
              <w:left w:val="single" w:sz="4" w:space="0" w:color="auto"/>
            </w:tcBorders>
            <w:shd w:val="clear" w:color="auto" w:fill="auto"/>
            <w:vAlign w:val="center"/>
          </w:tcPr>
          <w:p>
            <w:pPr>
              <w:jc w:val="center"/>
              <w:rPr>
                <w:kern w:val="18"/>
                <w:szCs w:val="21"/>
              </w:rPr>
            </w:pPr>
            <w:r>
              <w:rPr>
                <w:szCs w:val="21"/>
              </w:rPr>
              <w:t>*</w:t>
            </w:r>
            <w:r>
              <w:rPr>
                <w:rFonts w:hint="eastAsia"/>
                <w:kern w:val="18"/>
                <w:szCs w:val="21"/>
              </w:rPr>
              <w:t>LAS</w:t>
            </w:r>
          </w:p>
        </w:tc>
        <w:tc>
          <w:tcPr>
            <w:tcW w:w="1201" w:type="dxa"/>
            <w:gridSpan w:val="2"/>
            <w:tcBorders>
              <w:right w:val="single" w:sz="8" w:space="0" w:color="auto"/>
            </w:tcBorders>
            <w:shd w:val="clear" w:color="auto" w:fill="auto"/>
            <w:vAlign w:val="center"/>
          </w:tcPr>
          <w:p>
            <w:pPr>
              <w:jc w:val="center"/>
              <w:rPr>
                <w:kern w:val="18"/>
                <w:szCs w:val="21"/>
              </w:rPr>
            </w:pPr>
            <w:r>
              <w:rPr>
                <w:szCs w:val="21"/>
              </w:rPr>
              <w:t>*</w:t>
            </w:r>
            <w:r>
              <w:rPr>
                <w:kern w:val="18"/>
                <w:szCs w:val="21"/>
              </w:rPr>
              <w:t>动植物油</w:t>
            </w:r>
          </w:p>
        </w:tc>
      </w:tr>
      <w:tr>
        <w:tblPrEx>
          <w:tblW w:w="9018" w:type="dxa"/>
          <w:tblInd w:w="0" w:type="dxa"/>
          <w:tblLayout w:type="fixed"/>
          <w:tblCellMar>
            <w:top w:w="0" w:type="dxa"/>
            <w:left w:w="108" w:type="dxa"/>
            <w:bottom w:w="0" w:type="dxa"/>
            <w:right w:w="108" w:type="dxa"/>
          </w:tblCellMar>
        </w:tblPrEx>
        <w:trPr>
          <w:cantSplit/>
          <w:trHeight w:val="454"/>
        </w:trPr>
        <w:tc>
          <w:tcPr>
            <w:tcW w:w="459" w:type="dxa"/>
            <w:vMerge/>
            <w:shd w:val="clear" w:color="auto" w:fill="auto"/>
            <w:vAlign w:val="center"/>
          </w:tcPr>
          <w:p>
            <w:pPr>
              <w:rPr>
                <w:b/>
                <w:kern w:val="21"/>
                <w:szCs w:val="21"/>
              </w:rPr>
            </w:pPr>
          </w:p>
        </w:tc>
        <w:tc>
          <w:tcPr>
            <w:tcW w:w="1119" w:type="dxa"/>
            <w:gridSpan w:val="3"/>
            <w:vMerge/>
            <w:shd w:val="clear" w:color="auto" w:fill="auto"/>
            <w:vAlign w:val="center"/>
          </w:tcPr>
          <w:p>
            <w:pPr>
              <w:jc w:val="center"/>
              <w:rPr>
                <w:kern w:val="18"/>
                <w:szCs w:val="21"/>
              </w:rPr>
            </w:pPr>
          </w:p>
        </w:tc>
        <w:tc>
          <w:tcPr>
            <w:tcW w:w="1984" w:type="dxa"/>
            <w:gridSpan w:val="3"/>
            <w:vMerge/>
            <w:shd w:val="clear" w:color="auto" w:fill="auto"/>
            <w:vAlign w:val="center"/>
          </w:tcPr>
          <w:p>
            <w:pPr>
              <w:jc w:val="center"/>
              <w:rPr>
                <w:kern w:val="18"/>
                <w:szCs w:val="21"/>
              </w:rPr>
            </w:pPr>
          </w:p>
        </w:tc>
        <w:tc>
          <w:tcPr>
            <w:tcW w:w="694" w:type="dxa"/>
            <w:gridSpan w:val="2"/>
            <w:shd w:val="clear" w:color="auto" w:fill="auto"/>
            <w:vAlign w:val="center"/>
          </w:tcPr>
          <w:p>
            <w:pPr>
              <w:jc w:val="center"/>
              <w:rPr>
                <w:kern w:val="18"/>
                <w:szCs w:val="21"/>
              </w:rPr>
            </w:pPr>
            <w:r>
              <w:rPr>
                <w:kern w:val="18"/>
                <w:szCs w:val="21"/>
              </w:rPr>
              <w:t>500</w:t>
            </w:r>
          </w:p>
        </w:tc>
        <w:tc>
          <w:tcPr>
            <w:tcW w:w="564" w:type="dxa"/>
            <w:shd w:val="clear" w:color="auto" w:fill="auto"/>
            <w:vAlign w:val="center"/>
          </w:tcPr>
          <w:p>
            <w:pPr>
              <w:jc w:val="center"/>
              <w:rPr>
                <w:kern w:val="18"/>
                <w:szCs w:val="21"/>
              </w:rPr>
            </w:pPr>
            <w:r>
              <w:rPr>
                <w:kern w:val="18"/>
                <w:szCs w:val="21"/>
              </w:rPr>
              <w:t>400</w:t>
            </w:r>
          </w:p>
        </w:tc>
        <w:tc>
          <w:tcPr>
            <w:tcW w:w="738" w:type="dxa"/>
            <w:gridSpan w:val="2"/>
            <w:tcBorders>
              <w:right w:val="single" w:sz="4" w:space="0" w:color="auto"/>
            </w:tcBorders>
            <w:shd w:val="clear" w:color="auto" w:fill="auto"/>
            <w:vAlign w:val="center"/>
          </w:tcPr>
          <w:p>
            <w:pPr>
              <w:jc w:val="center"/>
              <w:rPr>
                <w:kern w:val="18"/>
                <w:szCs w:val="21"/>
              </w:rPr>
            </w:pPr>
            <w:r>
              <w:rPr>
                <w:kern w:val="18"/>
                <w:szCs w:val="21"/>
              </w:rPr>
              <w:t>300</w:t>
            </w:r>
          </w:p>
        </w:tc>
        <w:tc>
          <w:tcPr>
            <w:tcW w:w="950" w:type="dxa"/>
            <w:tcBorders>
              <w:left w:val="single" w:sz="4" w:space="0" w:color="auto"/>
            </w:tcBorders>
            <w:shd w:val="clear" w:color="auto" w:fill="auto"/>
            <w:vAlign w:val="center"/>
          </w:tcPr>
          <w:p>
            <w:pPr>
              <w:jc w:val="center"/>
              <w:rPr>
                <w:kern w:val="18"/>
                <w:szCs w:val="21"/>
              </w:rPr>
            </w:pPr>
            <w:r>
              <w:rPr>
                <w:kern w:val="18"/>
                <w:szCs w:val="21"/>
              </w:rPr>
              <w:t>45</w:t>
            </w:r>
          </w:p>
        </w:tc>
        <w:tc>
          <w:tcPr>
            <w:tcW w:w="586" w:type="dxa"/>
            <w:gridSpan w:val="2"/>
            <w:tcBorders>
              <w:right w:val="single" w:sz="4" w:space="0" w:color="auto"/>
            </w:tcBorders>
            <w:shd w:val="clear" w:color="auto" w:fill="auto"/>
            <w:vAlign w:val="center"/>
          </w:tcPr>
          <w:p>
            <w:pPr>
              <w:jc w:val="center"/>
              <w:rPr>
                <w:kern w:val="18"/>
                <w:szCs w:val="21"/>
              </w:rPr>
            </w:pPr>
            <w:r>
              <w:rPr>
                <w:rFonts w:hint="eastAsia"/>
                <w:kern w:val="18"/>
                <w:szCs w:val="21"/>
              </w:rPr>
              <w:t>8</w:t>
            </w:r>
          </w:p>
        </w:tc>
        <w:tc>
          <w:tcPr>
            <w:tcW w:w="723" w:type="dxa"/>
            <w:gridSpan w:val="2"/>
            <w:tcBorders>
              <w:left w:val="single" w:sz="4" w:space="0" w:color="auto"/>
            </w:tcBorders>
            <w:shd w:val="clear" w:color="auto" w:fill="auto"/>
            <w:vAlign w:val="center"/>
          </w:tcPr>
          <w:p>
            <w:pPr>
              <w:jc w:val="center"/>
              <w:rPr>
                <w:kern w:val="18"/>
                <w:szCs w:val="21"/>
              </w:rPr>
            </w:pPr>
            <w:r>
              <w:rPr>
                <w:rFonts w:hint="eastAsia"/>
                <w:kern w:val="18"/>
                <w:szCs w:val="21"/>
              </w:rPr>
              <w:t>20</w:t>
            </w:r>
          </w:p>
        </w:tc>
        <w:tc>
          <w:tcPr>
            <w:tcW w:w="1201" w:type="dxa"/>
            <w:gridSpan w:val="2"/>
            <w:tcBorders>
              <w:right w:val="single" w:sz="8" w:space="0" w:color="auto"/>
            </w:tcBorders>
            <w:shd w:val="clear" w:color="auto" w:fill="auto"/>
            <w:vAlign w:val="center"/>
          </w:tcPr>
          <w:p>
            <w:pPr>
              <w:jc w:val="center"/>
              <w:rPr>
                <w:kern w:val="18"/>
                <w:szCs w:val="21"/>
              </w:rPr>
            </w:pPr>
            <w:r>
              <w:rPr>
                <w:kern w:val="18"/>
                <w:szCs w:val="21"/>
              </w:rPr>
              <w:t>10</w:t>
            </w:r>
          </w:p>
        </w:tc>
      </w:tr>
      <w:bookmarkEnd w:id="8"/>
      <w:bookmarkEnd w:id="9"/>
      <w:bookmarkEnd w:id="10"/>
      <w:tr>
        <w:tblPrEx>
          <w:tblW w:w="9018" w:type="dxa"/>
          <w:tblInd w:w="0" w:type="dxa"/>
          <w:tblLayout w:type="fixed"/>
          <w:tblCellMar>
            <w:top w:w="0" w:type="dxa"/>
            <w:left w:w="108" w:type="dxa"/>
            <w:bottom w:w="0" w:type="dxa"/>
            <w:right w:w="108" w:type="dxa"/>
          </w:tblCellMar>
        </w:tblPrEx>
        <w:trPr>
          <w:cantSplit/>
          <w:trHeight w:hRule="exact" w:val="417"/>
        </w:trPr>
        <w:tc>
          <w:tcPr>
            <w:tcW w:w="459" w:type="dxa"/>
            <w:vMerge/>
            <w:shd w:val="clear" w:color="auto" w:fill="auto"/>
            <w:vAlign w:val="center"/>
          </w:tcPr>
          <w:p>
            <w:pPr>
              <w:rPr>
                <w:b/>
                <w:kern w:val="21"/>
                <w:szCs w:val="21"/>
              </w:rPr>
            </w:pPr>
          </w:p>
        </w:tc>
        <w:tc>
          <w:tcPr>
            <w:tcW w:w="392" w:type="dxa"/>
            <w:vMerge w:val="restart"/>
            <w:shd w:val="clear" w:color="auto" w:fill="auto"/>
            <w:vAlign w:val="center"/>
          </w:tcPr>
          <w:p>
            <w:pPr>
              <w:jc w:val="center"/>
              <w:rPr>
                <w:kern w:val="18"/>
                <w:szCs w:val="21"/>
              </w:rPr>
            </w:pPr>
            <w:r>
              <w:rPr>
                <w:kern w:val="18"/>
                <w:szCs w:val="21"/>
              </w:rPr>
              <w:t>噪声</w:t>
            </w:r>
          </w:p>
        </w:tc>
        <w:tc>
          <w:tcPr>
            <w:tcW w:w="727" w:type="dxa"/>
            <w:gridSpan w:val="2"/>
            <w:vMerge w:val="restart"/>
            <w:shd w:val="clear" w:color="auto" w:fill="auto"/>
            <w:vAlign w:val="center"/>
          </w:tcPr>
          <w:p>
            <w:pPr>
              <w:jc w:val="center"/>
              <w:rPr>
                <w:kern w:val="18"/>
                <w:szCs w:val="21"/>
              </w:rPr>
            </w:pPr>
            <w:r>
              <w:rPr>
                <w:kern w:val="18"/>
                <w:szCs w:val="21"/>
              </w:rPr>
              <w:t>施工期</w:t>
            </w:r>
          </w:p>
        </w:tc>
        <w:tc>
          <w:tcPr>
            <w:tcW w:w="3242" w:type="dxa"/>
            <w:gridSpan w:val="6"/>
            <w:vMerge w:val="restart"/>
            <w:shd w:val="clear" w:color="auto" w:fill="auto"/>
            <w:vAlign w:val="center"/>
          </w:tcPr>
          <w:p>
            <w:pPr>
              <w:jc w:val="center"/>
              <w:rPr>
                <w:kern w:val="18"/>
                <w:szCs w:val="21"/>
              </w:rPr>
            </w:pPr>
            <w:r>
              <w:rPr>
                <w:kern w:val="18"/>
                <w:szCs w:val="21"/>
              </w:rPr>
              <w:t>《建筑施工场界环境噪声排放标准》（GB12523-2011）</w:t>
            </w:r>
          </w:p>
        </w:tc>
        <w:tc>
          <w:tcPr>
            <w:tcW w:w="1688" w:type="dxa"/>
            <w:gridSpan w:val="3"/>
            <w:shd w:val="clear" w:color="auto" w:fill="auto"/>
            <w:vAlign w:val="center"/>
          </w:tcPr>
          <w:p>
            <w:pPr>
              <w:jc w:val="center"/>
              <w:rPr>
                <w:kern w:val="18"/>
                <w:szCs w:val="21"/>
              </w:rPr>
            </w:pPr>
            <w:r>
              <w:rPr>
                <w:kern w:val="18"/>
                <w:szCs w:val="21"/>
              </w:rPr>
              <w:t>昼间</w:t>
            </w:r>
          </w:p>
        </w:tc>
        <w:tc>
          <w:tcPr>
            <w:tcW w:w="2510" w:type="dxa"/>
            <w:gridSpan w:val="6"/>
            <w:tcBorders>
              <w:right w:val="single" w:sz="8" w:space="0" w:color="auto"/>
            </w:tcBorders>
            <w:shd w:val="clear" w:color="auto" w:fill="auto"/>
            <w:vAlign w:val="center"/>
          </w:tcPr>
          <w:p>
            <w:pPr>
              <w:jc w:val="center"/>
              <w:rPr>
                <w:kern w:val="18"/>
                <w:szCs w:val="21"/>
              </w:rPr>
            </w:pPr>
            <w:r>
              <w:rPr>
                <w:kern w:val="18"/>
                <w:szCs w:val="21"/>
              </w:rPr>
              <w:t>夜间</w:t>
            </w:r>
          </w:p>
        </w:tc>
      </w:tr>
      <w:tr>
        <w:tblPrEx>
          <w:tblW w:w="9018" w:type="dxa"/>
          <w:tblInd w:w="0" w:type="dxa"/>
          <w:tblLayout w:type="fixed"/>
          <w:tblCellMar>
            <w:top w:w="0" w:type="dxa"/>
            <w:left w:w="108" w:type="dxa"/>
            <w:bottom w:w="0" w:type="dxa"/>
            <w:right w:w="108" w:type="dxa"/>
          </w:tblCellMar>
        </w:tblPrEx>
        <w:trPr>
          <w:cantSplit/>
          <w:trHeight w:val="412"/>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vMerge/>
            <w:shd w:val="clear" w:color="auto" w:fill="auto"/>
            <w:vAlign w:val="center"/>
          </w:tcPr>
          <w:p>
            <w:pPr>
              <w:jc w:val="center"/>
              <w:rPr>
                <w:kern w:val="18"/>
                <w:szCs w:val="21"/>
              </w:rPr>
            </w:pPr>
          </w:p>
        </w:tc>
        <w:tc>
          <w:tcPr>
            <w:tcW w:w="3242" w:type="dxa"/>
            <w:gridSpan w:val="6"/>
            <w:vMerge/>
            <w:shd w:val="clear" w:color="auto" w:fill="auto"/>
            <w:vAlign w:val="center"/>
          </w:tcPr>
          <w:p>
            <w:pPr>
              <w:jc w:val="center"/>
              <w:rPr>
                <w:kern w:val="18"/>
                <w:szCs w:val="21"/>
              </w:rPr>
            </w:pPr>
          </w:p>
        </w:tc>
        <w:tc>
          <w:tcPr>
            <w:tcW w:w="1688" w:type="dxa"/>
            <w:gridSpan w:val="3"/>
            <w:shd w:val="clear" w:color="auto" w:fill="auto"/>
            <w:vAlign w:val="center"/>
          </w:tcPr>
          <w:p>
            <w:pPr>
              <w:jc w:val="center"/>
              <w:rPr>
                <w:kern w:val="18"/>
                <w:szCs w:val="21"/>
              </w:rPr>
            </w:pPr>
            <w:r>
              <w:rPr>
                <w:kern w:val="18"/>
                <w:szCs w:val="21"/>
              </w:rPr>
              <w:t>70</w:t>
            </w:r>
          </w:p>
        </w:tc>
        <w:tc>
          <w:tcPr>
            <w:tcW w:w="2510" w:type="dxa"/>
            <w:gridSpan w:val="6"/>
            <w:tcBorders>
              <w:right w:val="single" w:sz="8" w:space="0" w:color="auto"/>
            </w:tcBorders>
            <w:shd w:val="clear" w:color="auto" w:fill="auto"/>
            <w:vAlign w:val="center"/>
          </w:tcPr>
          <w:p>
            <w:pPr>
              <w:jc w:val="center"/>
              <w:rPr>
                <w:kern w:val="18"/>
                <w:szCs w:val="21"/>
              </w:rPr>
            </w:pPr>
            <w:r>
              <w:rPr>
                <w:kern w:val="18"/>
                <w:szCs w:val="21"/>
              </w:rPr>
              <w:t>55</w:t>
            </w:r>
          </w:p>
        </w:tc>
      </w:tr>
      <w:tr>
        <w:tblPrEx>
          <w:tblW w:w="9018" w:type="dxa"/>
          <w:tblInd w:w="0" w:type="dxa"/>
          <w:tblLayout w:type="fixed"/>
          <w:tblCellMar>
            <w:top w:w="0" w:type="dxa"/>
            <w:left w:w="108" w:type="dxa"/>
            <w:bottom w:w="0" w:type="dxa"/>
            <w:right w:w="108" w:type="dxa"/>
          </w:tblCellMar>
        </w:tblPrEx>
        <w:trPr>
          <w:cantSplit/>
          <w:trHeight w:val="238"/>
        </w:trPr>
        <w:tc>
          <w:tcPr>
            <w:tcW w:w="459" w:type="dxa"/>
            <w:vMerge/>
            <w:shd w:val="clear" w:color="auto" w:fill="auto"/>
            <w:vAlign w:val="center"/>
          </w:tcPr>
          <w:p>
            <w:pPr>
              <w:rPr>
                <w:b/>
                <w:kern w:val="21"/>
                <w:szCs w:val="21"/>
              </w:rPr>
            </w:pPr>
          </w:p>
        </w:tc>
        <w:tc>
          <w:tcPr>
            <w:tcW w:w="392" w:type="dxa"/>
            <w:vMerge/>
            <w:shd w:val="clear" w:color="auto" w:fill="auto"/>
            <w:vAlign w:val="center"/>
          </w:tcPr>
          <w:p>
            <w:pPr>
              <w:jc w:val="center"/>
              <w:rPr>
                <w:kern w:val="18"/>
                <w:szCs w:val="21"/>
              </w:rPr>
            </w:pPr>
          </w:p>
        </w:tc>
        <w:tc>
          <w:tcPr>
            <w:tcW w:w="727" w:type="dxa"/>
            <w:gridSpan w:val="2"/>
            <w:shd w:val="clear" w:color="auto" w:fill="auto"/>
            <w:vAlign w:val="center"/>
          </w:tcPr>
          <w:p>
            <w:pPr>
              <w:jc w:val="center"/>
              <w:rPr>
                <w:kern w:val="18"/>
                <w:szCs w:val="21"/>
              </w:rPr>
            </w:pPr>
            <w:r>
              <w:rPr>
                <w:kern w:val="18"/>
                <w:szCs w:val="21"/>
              </w:rPr>
              <w:t>营运期</w:t>
            </w:r>
          </w:p>
        </w:tc>
        <w:tc>
          <w:tcPr>
            <w:tcW w:w="2678" w:type="dxa"/>
            <w:gridSpan w:val="5"/>
            <w:shd w:val="clear" w:color="auto" w:fill="auto"/>
            <w:vAlign w:val="center"/>
          </w:tcPr>
          <w:p>
            <w:pPr>
              <w:jc w:val="center"/>
              <w:rPr>
                <w:kern w:val="18"/>
                <w:szCs w:val="21"/>
              </w:rPr>
            </w:pPr>
            <w:r>
              <w:rPr>
                <w:kern w:val="18"/>
                <w:szCs w:val="21"/>
              </w:rPr>
              <w:t>《工业企业厂界环境噪声排放标准》(GB12348-2008)</w:t>
            </w:r>
          </w:p>
        </w:tc>
        <w:tc>
          <w:tcPr>
            <w:tcW w:w="564" w:type="dxa"/>
            <w:shd w:val="clear" w:color="auto" w:fill="auto"/>
            <w:vAlign w:val="center"/>
          </w:tcPr>
          <w:p>
            <w:pPr>
              <w:jc w:val="center"/>
              <w:rPr>
                <w:kern w:val="18"/>
                <w:szCs w:val="21"/>
              </w:rPr>
            </w:pPr>
            <w:r>
              <w:rPr>
                <w:kern w:val="18"/>
                <w:szCs w:val="21"/>
              </w:rPr>
              <w:t>2类</w:t>
            </w:r>
          </w:p>
        </w:tc>
        <w:tc>
          <w:tcPr>
            <w:tcW w:w="1688" w:type="dxa"/>
            <w:gridSpan w:val="3"/>
            <w:shd w:val="clear" w:color="auto" w:fill="auto"/>
            <w:vAlign w:val="center"/>
          </w:tcPr>
          <w:p>
            <w:pPr>
              <w:jc w:val="center"/>
              <w:rPr>
                <w:kern w:val="18"/>
                <w:szCs w:val="21"/>
              </w:rPr>
            </w:pPr>
            <w:r>
              <w:rPr>
                <w:kern w:val="18"/>
                <w:szCs w:val="21"/>
              </w:rPr>
              <w:t>60</w:t>
            </w:r>
          </w:p>
        </w:tc>
        <w:tc>
          <w:tcPr>
            <w:tcW w:w="2510" w:type="dxa"/>
            <w:gridSpan w:val="6"/>
            <w:tcBorders>
              <w:right w:val="single" w:sz="8" w:space="0" w:color="auto"/>
            </w:tcBorders>
            <w:shd w:val="clear" w:color="auto" w:fill="auto"/>
            <w:vAlign w:val="center"/>
          </w:tcPr>
          <w:p>
            <w:pPr>
              <w:jc w:val="center"/>
              <w:rPr>
                <w:kern w:val="18"/>
                <w:szCs w:val="21"/>
              </w:rPr>
            </w:pPr>
            <w:r>
              <w:rPr>
                <w:kern w:val="18"/>
                <w:szCs w:val="21"/>
              </w:rPr>
              <w:t>50</w:t>
            </w:r>
          </w:p>
        </w:tc>
      </w:tr>
      <w:tr>
        <w:tblPrEx>
          <w:tblW w:w="9018" w:type="dxa"/>
          <w:tblInd w:w="0" w:type="dxa"/>
          <w:tblLayout w:type="fixed"/>
          <w:tblCellMar>
            <w:top w:w="0" w:type="dxa"/>
            <w:left w:w="108" w:type="dxa"/>
            <w:bottom w:w="0" w:type="dxa"/>
            <w:right w:w="108" w:type="dxa"/>
          </w:tblCellMar>
        </w:tblPrEx>
        <w:trPr>
          <w:cantSplit/>
          <w:trHeight w:val="769"/>
        </w:trPr>
        <w:tc>
          <w:tcPr>
            <w:tcW w:w="459" w:type="dxa"/>
            <w:vMerge/>
            <w:shd w:val="clear" w:color="auto" w:fill="auto"/>
            <w:vAlign w:val="center"/>
          </w:tcPr>
          <w:p>
            <w:pPr>
              <w:rPr>
                <w:b/>
                <w:kern w:val="21"/>
                <w:szCs w:val="21"/>
              </w:rPr>
            </w:pPr>
          </w:p>
        </w:tc>
        <w:tc>
          <w:tcPr>
            <w:tcW w:w="1119" w:type="dxa"/>
            <w:gridSpan w:val="3"/>
            <w:tcBorders>
              <w:bottom w:val="single" w:sz="12" w:space="0" w:color="auto"/>
            </w:tcBorders>
            <w:shd w:val="clear" w:color="auto" w:fill="auto"/>
            <w:vAlign w:val="center"/>
          </w:tcPr>
          <w:p>
            <w:pPr>
              <w:rPr>
                <w:kern w:val="18"/>
                <w:szCs w:val="21"/>
              </w:rPr>
            </w:pPr>
            <w:r>
              <w:rPr>
                <w:kern w:val="18"/>
                <w:szCs w:val="21"/>
              </w:rPr>
              <w:t>固体废物</w:t>
            </w:r>
          </w:p>
        </w:tc>
        <w:tc>
          <w:tcPr>
            <w:tcW w:w="7440" w:type="dxa"/>
            <w:gridSpan w:val="15"/>
            <w:tcBorders>
              <w:bottom w:val="single" w:sz="12" w:space="0" w:color="auto"/>
              <w:right w:val="single" w:sz="8" w:space="0" w:color="auto"/>
            </w:tcBorders>
            <w:shd w:val="clear" w:color="auto" w:fill="auto"/>
            <w:vAlign w:val="center"/>
          </w:tcPr>
          <w:p>
            <w:pPr>
              <w:rPr>
                <w:kern w:val="18"/>
                <w:szCs w:val="21"/>
              </w:rPr>
            </w:pPr>
            <w:r>
              <w:rPr>
                <w:kern w:val="18"/>
                <w:szCs w:val="21"/>
              </w:rPr>
              <w:t>执行《中华人民共和国固体废物污染环境防治法》中有关规定以及</w:t>
            </w:r>
            <w:r>
              <w:rPr>
                <w:szCs w:val="21"/>
              </w:rPr>
              <w:t>《环境卫生设施设置标准》（CJJ27-2012）中的要求。</w:t>
            </w:r>
          </w:p>
        </w:tc>
      </w:tr>
    </w:tbl>
    <w:p>
      <w:pPr>
        <w:sectPr>
          <w:footerReference w:type="default" r:id="rId22"/>
          <w:type w:val="nextPage"/>
          <w:pgSz w:w="11907" w:h="16840"/>
          <w:pgMar w:top="1418" w:right="1418" w:bottom="1418" w:left="1418" w:header="851" w:footer="992" w:gutter="113"/>
          <w:pgNumType w:start="18"/>
          <w:cols w:num="1" w:space="720"/>
          <w:titlePg w:val="0"/>
        </w:sectPr>
      </w:pPr>
    </w:p>
    <w:tbl>
      <w:tblPr>
        <w:tblStyle w:val="TableNormal"/>
        <w:tblW w:w="9018" w:type="dxa"/>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
      <w:tblGrid>
        <w:gridCol w:w="459"/>
        <w:gridCol w:w="8559"/>
      </w:tblGrid>
      <w:tr>
        <w:tblPrEx>
          <w:tblW w:w="9018" w:type="dxa"/>
          <w:tblInd w:w="0"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top w:w="0" w:type="dxa"/>
            <w:left w:w="108" w:type="dxa"/>
            <w:bottom w:w="0" w:type="dxa"/>
            <w:right w:w="108" w:type="dxa"/>
          </w:tblCellMar>
        </w:tblPrEx>
        <w:trPr>
          <w:trHeight w:val="1099"/>
        </w:trPr>
        <w:tc>
          <w:tcPr>
            <w:tcW w:w="459" w:type="dxa"/>
            <w:shd w:val="clear" w:color="auto" w:fill="auto"/>
            <w:vAlign w:val="center"/>
          </w:tcPr>
          <w:p>
            <w:pPr>
              <w:spacing w:line="240" w:lineRule="auto"/>
              <w:jc w:val="center"/>
              <w:rPr>
                <w:b/>
                <w:kern w:val="21"/>
                <w:szCs w:val="21"/>
              </w:rPr>
            </w:pPr>
          </w:p>
        </w:tc>
        <w:tc>
          <w:tcPr>
            <w:tcW w:w="8559" w:type="dxa"/>
            <w:tcBorders>
              <w:top w:val="single" w:sz="12" w:space="0" w:color="auto"/>
            </w:tcBorders>
            <w:shd w:val="clear" w:color="auto" w:fill="auto"/>
          </w:tcPr>
          <w:p>
            <w:pPr>
              <w:rPr>
                <w:kern w:val="10"/>
                <w:szCs w:val="21"/>
              </w:rPr>
            </w:pPr>
            <w:r>
              <w:rPr>
                <w:kern w:val="10"/>
                <w:szCs w:val="21"/>
              </w:rPr>
              <w:t>*注：（1）环境空气单位为mg/m</w:t>
            </w:r>
            <w:r>
              <w:rPr>
                <w:kern w:val="10"/>
                <w:szCs w:val="21"/>
                <w:vertAlign w:val="superscript"/>
              </w:rPr>
              <w:t>3</w:t>
            </w:r>
            <w:r>
              <w:rPr>
                <w:kern w:val="10"/>
                <w:szCs w:val="21"/>
              </w:rPr>
              <w:t>：（2）地表水单位为mg/L：（3）声环境单位为dB(A)。</w:t>
            </w:r>
          </w:p>
          <w:p>
            <w:pPr>
              <w:tabs>
                <w:tab w:val="left" w:pos="7680"/>
              </w:tabs>
              <w:spacing w:before="120" w:beforeLines="50" w:line="360" w:lineRule="auto"/>
              <w:rPr>
                <w:spacing w:val="3"/>
                <w:szCs w:val="21"/>
              </w:rPr>
            </w:pPr>
            <w:r>
              <w:rPr>
                <w:kern w:val="10"/>
                <w:szCs w:val="21"/>
              </w:rPr>
              <w:t>（4）</w:t>
            </w:r>
            <w:bookmarkStart w:id="11" w:name="OLE_LINK71"/>
            <w:r>
              <w:rPr>
                <w:kern w:val="18"/>
              </w:rPr>
              <w:t>NH</w:t>
            </w:r>
            <w:r>
              <w:rPr>
                <w:kern w:val="18"/>
                <w:vertAlign w:val="subscript"/>
              </w:rPr>
              <w:t>3</w:t>
            </w:r>
            <w:r>
              <w:rPr>
                <w:kern w:val="18"/>
              </w:rPr>
              <w:t>-N</w:t>
            </w:r>
            <w:r>
              <w:rPr>
                <w:rFonts w:hint="eastAsia"/>
                <w:kern w:val="18"/>
              </w:rPr>
              <w:t>、TP、LAS</w:t>
            </w:r>
            <w:r>
              <w:rPr>
                <w:kern w:val="18"/>
              </w:rPr>
              <w:t>执行《污水排入城镇下水道水质标准》（GB/T 31962-2015）表1中B级标准</w:t>
            </w:r>
            <w:r>
              <w:rPr>
                <w:kern w:val="10"/>
                <w:szCs w:val="21"/>
              </w:rPr>
              <w:t>；</w:t>
            </w:r>
            <w:r>
              <w:rPr>
                <w:bCs/>
                <w:szCs w:val="21"/>
              </w:rPr>
              <w:t>动植物油参照《污水综合排放标准》(GB 8978-1996)一级标准；</w:t>
            </w:r>
            <w:bookmarkEnd w:id="11"/>
          </w:p>
        </w:tc>
      </w:tr>
      <w:tr>
        <w:tblPrEx>
          <w:tblW w:w="9018" w:type="dxa"/>
          <w:tblInd w:w="0" w:type="dxa"/>
          <w:tblLayout w:type="fixed"/>
          <w:tblCellMar>
            <w:top w:w="0" w:type="dxa"/>
            <w:left w:w="108" w:type="dxa"/>
            <w:bottom w:w="0" w:type="dxa"/>
            <w:right w:w="108" w:type="dxa"/>
          </w:tblCellMar>
        </w:tblPrEx>
        <w:trPr>
          <w:trHeight w:val="6519"/>
        </w:trPr>
        <w:tc>
          <w:tcPr>
            <w:tcW w:w="459" w:type="dxa"/>
            <w:shd w:val="clear" w:color="auto" w:fill="auto"/>
            <w:vAlign w:val="center"/>
          </w:tcPr>
          <w:p>
            <w:pPr>
              <w:spacing w:line="240" w:lineRule="auto"/>
              <w:jc w:val="center"/>
              <w:rPr>
                <w:b/>
                <w:kern w:val="21"/>
                <w:szCs w:val="21"/>
              </w:rPr>
            </w:pPr>
            <w:r>
              <w:rPr>
                <w:rFonts w:hAnsi="宋体"/>
                <w:b/>
                <w:kern w:val="21"/>
                <w:szCs w:val="21"/>
              </w:rPr>
              <w:t>总</w:t>
            </w:r>
          </w:p>
          <w:p>
            <w:pPr>
              <w:spacing w:line="240" w:lineRule="auto"/>
              <w:jc w:val="center"/>
              <w:rPr>
                <w:b/>
                <w:kern w:val="21"/>
                <w:szCs w:val="21"/>
              </w:rPr>
            </w:pPr>
            <w:r>
              <w:rPr>
                <w:rFonts w:hAnsi="宋体"/>
                <w:b/>
                <w:kern w:val="21"/>
                <w:szCs w:val="21"/>
              </w:rPr>
              <w:t>量</w:t>
            </w:r>
          </w:p>
          <w:p>
            <w:pPr>
              <w:spacing w:line="240" w:lineRule="auto"/>
              <w:jc w:val="center"/>
              <w:rPr>
                <w:b/>
                <w:kern w:val="21"/>
                <w:szCs w:val="21"/>
              </w:rPr>
            </w:pPr>
            <w:r>
              <w:rPr>
                <w:rFonts w:hAnsi="宋体"/>
                <w:b/>
                <w:kern w:val="21"/>
                <w:szCs w:val="21"/>
              </w:rPr>
              <w:t>控</w:t>
            </w:r>
          </w:p>
          <w:p>
            <w:pPr>
              <w:spacing w:line="240" w:lineRule="auto"/>
              <w:jc w:val="center"/>
              <w:rPr>
                <w:b/>
                <w:kern w:val="21"/>
                <w:szCs w:val="21"/>
              </w:rPr>
            </w:pPr>
            <w:r>
              <w:rPr>
                <w:rFonts w:hAnsi="宋体"/>
                <w:b/>
                <w:kern w:val="21"/>
                <w:szCs w:val="21"/>
              </w:rPr>
              <w:t>制</w:t>
            </w:r>
          </w:p>
          <w:p>
            <w:pPr>
              <w:jc w:val="center"/>
              <w:rPr>
                <w:b/>
                <w:kern w:val="21"/>
                <w:szCs w:val="21"/>
              </w:rPr>
            </w:pPr>
            <w:r>
              <w:rPr>
                <w:rFonts w:hAnsi="宋体"/>
                <w:b/>
                <w:kern w:val="21"/>
                <w:szCs w:val="21"/>
              </w:rPr>
              <w:t>指标</w:t>
            </w:r>
          </w:p>
        </w:tc>
        <w:tc>
          <w:tcPr>
            <w:tcW w:w="8559" w:type="dxa"/>
            <w:shd w:val="clear" w:color="auto" w:fill="auto"/>
          </w:tcPr>
          <w:p>
            <w:pPr>
              <w:spacing w:line="360" w:lineRule="auto"/>
              <w:ind w:firstLine="480" w:firstLineChars="200"/>
              <w:jc w:val="left"/>
              <w:rPr>
                <w:sz w:val="24"/>
                <w:szCs w:val="24"/>
              </w:rPr>
            </w:pPr>
            <w:r>
              <w:rPr>
                <w:sz w:val="24"/>
                <w:szCs w:val="24"/>
              </w:rPr>
              <w:t>根据国家对实施污染物排放总量控制的要求以及本项目的工艺特点，确定此项目污染物排放总量控制因子为COD和NH</w:t>
            </w:r>
            <w:r>
              <w:rPr>
                <w:sz w:val="24"/>
                <w:szCs w:val="24"/>
                <w:vertAlign w:val="subscript"/>
              </w:rPr>
              <w:t>3</w:t>
            </w:r>
            <w:r>
              <w:rPr>
                <w:sz w:val="24"/>
                <w:szCs w:val="24"/>
              </w:rPr>
              <w:t>-N。根据工程分析本项目废水量为</w:t>
            </w:r>
            <w:r>
              <w:rPr>
                <w:rFonts w:hint="eastAsia"/>
                <w:sz w:val="24"/>
                <w:szCs w:val="24"/>
              </w:rPr>
              <w:t>253731</w:t>
            </w:r>
            <w:r>
              <w:rPr>
                <w:sz w:val="24"/>
                <w:szCs w:val="24"/>
              </w:rPr>
              <w:t>t/a，COD、NH</w:t>
            </w:r>
            <w:r>
              <w:rPr>
                <w:sz w:val="24"/>
                <w:szCs w:val="24"/>
                <w:vertAlign w:val="subscript"/>
              </w:rPr>
              <w:t>3</w:t>
            </w:r>
            <w:r>
              <w:rPr>
                <w:sz w:val="24"/>
                <w:szCs w:val="24"/>
              </w:rPr>
              <w:t>-N的排入污水处理厂的浓度分别为200mg/L，20mg/L，污水处理厂出水标准执行《城镇污水处理厂污染物排放标准》中一级B标准的要求，其对应的COD、NH</w:t>
            </w:r>
            <w:r>
              <w:rPr>
                <w:sz w:val="24"/>
                <w:szCs w:val="24"/>
                <w:vertAlign w:val="subscript"/>
              </w:rPr>
              <w:t>3</w:t>
            </w:r>
            <w:r>
              <w:rPr>
                <w:sz w:val="24"/>
                <w:szCs w:val="24"/>
              </w:rPr>
              <w:t>-N的浓度为60mg/L，8mg/L。</w:t>
            </w:r>
          </w:p>
          <w:p>
            <w:pPr>
              <w:spacing w:line="360" w:lineRule="auto"/>
              <w:ind w:firstLine="480" w:firstLineChars="200"/>
              <w:rPr>
                <w:sz w:val="24"/>
                <w:szCs w:val="24"/>
              </w:rPr>
            </w:pPr>
            <w:r>
              <w:rPr>
                <w:sz w:val="24"/>
                <w:szCs w:val="24"/>
              </w:rPr>
              <w:t>本项目总量控制指标为：</w:t>
            </w:r>
          </w:p>
          <w:p>
            <w:pPr>
              <w:spacing w:line="360" w:lineRule="auto"/>
              <w:ind w:firstLine="480" w:firstLineChars="200"/>
              <w:rPr>
                <w:sz w:val="24"/>
                <w:szCs w:val="24"/>
              </w:rPr>
            </w:pPr>
            <w:r>
              <w:rPr>
                <w:sz w:val="24"/>
                <w:szCs w:val="24"/>
              </w:rPr>
              <w:t>考核指标：COD为</w:t>
            </w:r>
            <w:r>
              <w:rPr>
                <w:rFonts w:hint="eastAsia"/>
                <w:sz w:val="24"/>
                <w:szCs w:val="24"/>
              </w:rPr>
              <w:t>253731</w:t>
            </w:r>
            <w:r>
              <w:rPr>
                <w:sz w:val="24"/>
                <w:szCs w:val="24"/>
              </w:rPr>
              <w:t>t/a×200mg/L=</w:t>
            </w:r>
            <w:r>
              <w:rPr>
                <w:rFonts w:hint="eastAsia"/>
                <w:sz w:val="24"/>
                <w:szCs w:val="24"/>
              </w:rPr>
              <w:t>50.75</w:t>
            </w:r>
            <w:r>
              <w:rPr>
                <w:sz w:val="24"/>
                <w:szCs w:val="24"/>
              </w:rPr>
              <w:t>t/a；</w:t>
            </w:r>
          </w:p>
          <w:p>
            <w:pPr>
              <w:spacing w:line="360" w:lineRule="auto"/>
              <w:ind w:firstLine="1690" w:firstLineChars="704"/>
              <w:rPr>
                <w:sz w:val="24"/>
                <w:szCs w:val="24"/>
              </w:rPr>
            </w:pPr>
            <w:r>
              <w:rPr>
                <w:sz w:val="24"/>
                <w:szCs w:val="24"/>
              </w:rPr>
              <w:t>NH</w:t>
            </w:r>
            <w:r>
              <w:rPr>
                <w:sz w:val="24"/>
                <w:szCs w:val="24"/>
                <w:vertAlign w:val="subscript"/>
              </w:rPr>
              <w:t>3</w:t>
            </w:r>
            <w:r>
              <w:rPr>
                <w:sz w:val="24"/>
                <w:szCs w:val="24"/>
              </w:rPr>
              <w:t>-N为</w:t>
            </w:r>
            <w:r>
              <w:rPr>
                <w:rFonts w:hint="eastAsia"/>
                <w:sz w:val="24"/>
                <w:szCs w:val="24"/>
              </w:rPr>
              <w:t>253731</w:t>
            </w:r>
            <w:r>
              <w:rPr>
                <w:sz w:val="24"/>
                <w:szCs w:val="24"/>
              </w:rPr>
              <w:t>t/a×20mg/L=</w:t>
            </w:r>
            <w:r>
              <w:rPr>
                <w:rFonts w:hint="eastAsia"/>
                <w:sz w:val="24"/>
                <w:szCs w:val="24"/>
              </w:rPr>
              <w:t>5.07</w:t>
            </w:r>
            <w:r>
              <w:rPr>
                <w:sz w:val="24"/>
                <w:szCs w:val="24"/>
              </w:rPr>
              <w:t>t/a。</w:t>
            </w:r>
          </w:p>
          <w:p>
            <w:pPr>
              <w:spacing w:line="360" w:lineRule="auto"/>
              <w:ind w:firstLine="480" w:firstLineChars="200"/>
              <w:rPr>
                <w:sz w:val="24"/>
                <w:szCs w:val="24"/>
              </w:rPr>
            </w:pPr>
            <w:r>
              <w:rPr>
                <w:sz w:val="24"/>
                <w:szCs w:val="24"/>
              </w:rPr>
              <w:t>控制指标：COD为</w:t>
            </w:r>
            <w:r>
              <w:rPr>
                <w:rFonts w:hint="eastAsia"/>
                <w:sz w:val="24"/>
                <w:szCs w:val="24"/>
              </w:rPr>
              <w:t>253731</w:t>
            </w:r>
            <w:r>
              <w:rPr>
                <w:sz w:val="24"/>
                <w:szCs w:val="24"/>
              </w:rPr>
              <w:t>t/a×60mg/L=</w:t>
            </w:r>
            <w:r>
              <w:rPr>
                <w:rFonts w:hint="eastAsia"/>
                <w:sz w:val="24"/>
                <w:szCs w:val="24"/>
              </w:rPr>
              <w:t>15.22</w:t>
            </w:r>
            <w:r>
              <w:rPr>
                <w:sz w:val="24"/>
                <w:szCs w:val="24"/>
              </w:rPr>
              <w:t>t/a；</w:t>
            </w:r>
          </w:p>
          <w:p>
            <w:pPr>
              <w:spacing w:line="360" w:lineRule="auto"/>
              <w:ind w:firstLine="1690" w:firstLineChars="704"/>
              <w:rPr>
                <w:sz w:val="24"/>
                <w:szCs w:val="24"/>
                <w:highlight w:val="yellow"/>
              </w:rPr>
            </w:pPr>
            <w:r>
              <w:rPr>
                <w:sz w:val="24"/>
                <w:szCs w:val="24"/>
              </w:rPr>
              <w:t>NH</w:t>
            </w:r>
            <w:r>
              <w:rPr>
                <w:sz w:val="24"/>
                <w:szCs w:val="24"/>
                <w:vertAlign w:val="subscript"/>
              </w:rPr>
              <w:t>3</w:t>
            </w:r>
            <w:r>
              <w:rPr>
                <w:sz w:val="24"/>
                <w:szCs w:val="24"/>
              </w:rPr>
              <w:t>-N为</w:t>
            </w:r>
            <w:r>
              <w:rPr>
                <w:rFonts w:hint="eastAsia"/>
                <w:sz w:val="24"/>
                <w:szCs w:val="24"/>
              </w:rPr>
              <w:t>253731</w:t>
            </w:r>
            <w:r>
              <w:rPr>
                <w:sz w:val="24"/>
                <w:szCs w:val="24"/>
              </w:rPr>
              <w:t>t/a×8mg/L=</w:t>
            </w:r>
            <w:r>
              <w:rPr>
                <w:rFonts w:hint="eastAsia"/>
                <w:sz w:val="24"/>
                <w:szCs w:val="24"/>
              </w:rPr>
              <w:t>2.03</w:t>
            </w:r>
            <w:r>
              <w:rPr>
                <w:sz w:val="24"/>
                <w:szCs w:val="24"/>
              </w:rPr>
              <w:t>t/a。</w:t>
            </w:r>
          </w:p>
          <w:p>
            <w:pPr>
              <w:spacing w:line="360" w:lineRule="auto"/>
              <w:ind w:firstLine="480" w:firstLineChars="200"/>
              <w:rPr>
                <w:sz w:val="24"/>
                <w:szCs w:val="24"/>
              </w:rPr>
            </w:pPr>
            <w:r>
              <w:rPr>
                <w:sz w:val="24"/>
                <w:szCs w:val="24"/>
              </w:rPr>
              <w:t xml:space="preserve">因此，本项目的总量为指标为：COD </w:t>
            </w:r>
            <w:r>
              <w:rPr>
                <w:rFonts w:hint="eastAsia"/>
                <w:sz w:val="24"/>
                <w:szCs w:val="24"/>
              </w:rPr>
              <w:t>15.22</w:t>
            </w:r>
            <w:r>
              <w:rPr>
                <w:sz w:val="24"/>
                <w:szCs w:val="24"/>
              </w:rPr>
              <w:t>t/a，NH</w:t>
            </w:r>
            <w:r>
              <w:rPr>
                <w:sz w:val="24"/>
                <w:szCs w:val="24"/>
                <w:vertAlign w:val="subscript"/>
              </w:rPr>
              <w:t>3</w:t>
            </w:r>
            <w:r>
              <w:rPr>
                <w:sz w:val="24"/>
                <w:szCs w:val="24"/>
              </w:rPr>
              <w:t>-N</w:t>
            </w:r>
            <w:r>
              <w:rPr>
                <w:rFonts w:hint="eastAsia"/>
                <w:sz w:val="24"/>
                <w:szCs w:val="24"/>
              </w:rPr>
              <w:t>2.03</w:t>
            </w:r>
            <w:r>
              <w:rPr>
                <w:sz w:val="24"/>
                <w:szCs w:val="24"/>
              </w:rPr>
              <w:t>t/a。由</w:t>
            </w:r>
            <w:r>
              <w:rPr>
                <w:rFonts w:hint="eastAsia"/>
                <w:sz w:val="24"/>
                <w:szCs w:val="24"/>
              </w:rPr>
              <w:t>抚州市污水处理厂</w:t>
            </w:r>
            <w:r>
              <w:rPr>
                <w:sz w:val="24"/>
                <w:szCs w:val="24"/>
              </w:rPr>
              <w:t>总量中提供。</w:t>
            </w:r>
          </w:p>
          <w:p>
            <w:pPr>
              <w:spacing w:line="360" w:lineRule="auto"/>
              <w:ind w:firstLine="480" w:firstLineChars="200"/>
              <w:rPr>
                <w:rFonts w:ascii="宋体" w:hAnsi="宋体" w:cs="宋体"/>
                <w:kern w:val="21"/>
                <w:sz w:val="24"/>
                <w:szCs w:val="24"/>
              </w:rPr>
            </w:pPr>
          </w:p>
          <w:p>
            <w:pPr>
              <w:spacing w:line="360" w:lineRule="auto"/>
              <w:ind w:firstLine="480" w:firstLineChars="200"/>
              <w:rPr>
                <w:rFonts w:hAnsi="宋体"/>
                <w:kern w:val="21"/>
                <w:sz w:val="24"/>
                <w:szCs w:val="24"/>
              </w:rPr>
            </w:pPr>
          </w:p>
          <w:p>
            <w:pPr>
              <w:spacing w:line="360" w:lineRule="auto"/>
              <w:ind w:firstLine="480" w:firstLineChars="200"/>
              <w:rPr>
                <w:rFonts w:hAnsi="宋体"/>
                <w:kern w:val="21"/>
                <w:sz w:val="24"/>
                <w:szCs w:val="24"/>
              </w:rPr>
            </w:pPr>
          </w:p>
          <w:p>
            <w:pPr>
              <w:spacing w:line="360" w:lineRule="auto"/>
              <w:ind w:firstLine="480" w:firstLineChars="200"/>
              <w:rPr>
                <w:rFonts w:hAnsi="宋体"/>
                <w:kern w:val="21"/>
                <w:sz w:val="24"/>
                <w:szCs w:val="24"/>
              </w:rPr>
            </w:pPr>
          </w:p>
          <w:p>
            <w:pPr>
              <w:spacing w:line="360" w:lineRule="auto"/>
              <w:ind w:firstLine="480" w:firstLineChars="200"/>
              <w:rPr>
                <w:rFonts w:hAnsi="宋体"/>
                <w:kern w:val="21"/>
                <w:sz w:val="24"/>
                <w:szCs w:val="24"/>
              </w:rPr>
            </w:pPr>
          </w:p>
          <w:p>
            <w:pPr>
              <w:pStyle w:val="Default"/>
              <w:spacing w:line="360" w:lineRule="auto"/>
              <w:rPr>
                <w:rFonts w:hint="default"/>
                <w:color w:val="auto"/>
                <w:szCs w:val="24"/>
              </w:rPr>
            </w:pPr>
          </w:p>
          <w:p>
            <w:pPr>
              <w:pStyle w:val="Default"/>
              <w:spacing w:line="360" w:lineRule="auto"/>
              <w:rPr>
                <w:rFonts w:hint="default"/>
                <w:color w:val="auto"/>
                <w:szCs w:val="24"/>
              </w:rPr>
            </w:pPr>
          </w:p>
          <w:p>
            <w:pPr>
              <w:spacing w:line="360" w:lineRule="auto"/>
              <w:ind w:firstLine="480" w:firstLineChars="200"/>
              <w:rPr>
                <w:rFonts w:hAnsi="宋体"/>
                <w:kern w:val="21"/>
                <w:sz w:val="24"/>
                <w:szCs w:val="24"/>
              </w:rPr>
            </w:pPr>
          </w:p>
          <w:p>
            <w:pPr>
              <w:spacing w:line="360" w:lineRule="auto"/>
              <w:rPr>
                <w:rFonts w:hAnsi="宋体"/>
                <w:kern w:val="21"/>
                <w:sz w:val="24"/>
                <w:szCs w:val="24"/>
              </w:rPr>
            </w:pPr>
          </w:p>
          <w:p>
            <w:pPr>
              <w:spacing w:line="360" w:lineRule="auto"/>
              <w:rPr>
                <w:rFonts w:hAnsi="宋体"/>
                <w:kern w:val="21"/>
                <w:sz w:val="24"/>
                <w:szCs w:val="24"/>
              </w:rPr>
            </w:pPr>
          </w:p>
          <w:p>
            <w:pPr>
              <w:spacing w:line="360" w:lineRule="auto"/>
              <w:rPr>
                <w:rFonts w:hAnsi="宋体"/>
                <w:kern w:val="21"/>
                <w:sz w:val="24"/>
                <w:szCs w:val="24"/>
              </w:rPr>
            </w:pPr>
          </w:p>
          <w:p>
            <w:pPr>
              <w:spacing w:line="360" w:lineRule="auto"/>
              <w:rPr>
                <w:sz w:val="24"/>
                <w:szCs w:val="24"/>
              </w:rPr>
            </w:pPr>
          </w:p>
          <w:p>
            <w:pPr>
              <w:pStyle w:val="Default"/>
              <w:rPr>
                <w:rFonts w:hint="default"/>
              </w:rPr>
            </w:pPr>
          </w:p>
          <w:p>
            <w:pPr>
              <w:spacing w:line="360" w:lineRule="auto"/>
              <w:rPr>
                <w:szCs w:val="21"/>
              </w:rPr>
            </w:pPr>
          </w:p>
        </w:tc>
      </w:tr>
    </w:tbl>
    <w:p>
      <w:pPr>
        <w:sectPr>
          <w:footerReference w:type="default" r:id="rId23"/>
          <w:type w:val="nextPage"/>
          <w:pgSz w:w="11907" w:h="16840"/>
          <w:pgMar w:top="1418" w:right="1418" w:bottom="1418" w:left="1418" w:header="851" w:footer="992" w:gutter="113"/>
          <w:pgNumType w:start="19"/>
          <w:cols w:num="1" w:space="720"/>
          <w:titlePg w:val="0"/>
        </w:sectPr>
      </w:pPr>
    </w:p>
    <w:p>
      <w:pPr>
        <w:spacing w:line="360" w:lineRule="auto"/>
        <w:rPr>
          <w:b/>
          <w:sz w:val="30"/>
        </w:rPr>
      </w:pPr>
      <w:r>
        <w:rPr>
          <w:rFonts w:hAnsi="宋体"/>
          <w:b/>
          <w:kern w:val="21"/>
          <w:sz w:val="30"/>
        </w:rPr>
        <w:t>建设项目工程分析</w:t>
      </w:r>
    </w:p>
    <w:tbl>
      <w:tblPr>
        <w:tblStyle w:val="TableNormal"/>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
      <w:tblGrid>
        <w:gridCol w:w="9026"/>
      </w:tblGrid>
      <w:tr>
        <w:tblPrEx>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Ex>
        <w:trPr>
          <w:trHeight w:val="13289"/>
        </w:trPr>
        <w:tc>
          <w:tcPr>
            <w:tcW w:w="9026" w:type="dxa"/>
          </w:tcPr>
          <w:p>
            <w:pPr>
              <w:spacing w:line="360" w:lineRule="auto"/>
              <w:rPr>
                <w:b/>
                <w:sz w:val="30"/>
              </w:rPr>
            </w:pPr>
            <w:r>
              <w:rPr>
                <w:rFonts w:hAnsi="宋体"/>
                <w:b/>
                <w:sz w:val="30"/>
              </w:rPr>
              <w:t>工艺流程简述（图示）</w:t>
            </w:r>
            <w:r>
              <w:rPr>
                <w:kern w:val="21"/>
                <w:sz w:val="24"/>
              </w:rPr>
              <w:tab/>
            </w:r>
          </w:p>
          <w:p>
            <w:pPr>
              <w:tabs>
                <w:tab w:val="left" w:pos="1721"/>
              </w:tabs>
              <w:spacing w:line="360" w:lineRule="auto"/>
              <w:ind w:firstLine="480" w:firstLineChars="200"/>
              <w:rPr>
                <w:b/>
                <w:kern w:val="21"/>
                <w:sz w:val="24"/>
              </w:rPr>
            </w:pPr>
            <w:r>
              <w:rPr>
                <w:rFonts w:hAnsi="宋体"/>
                <w:b/>
                <w:kern w:val="21"/>
                <w:sz w:val="24"/>
              </w:rPr>
              <w:t>一、施工期</w:t>
            </w:r>
          </w:p>
          <w:p>
            <w:pPr>
              <w:tabs>
                <w:tab w:val="left" w:pos="1721"/>
              </w:tabs>
              <w:spacing w:line="360" w:lineRule="auto"/>
              <w:ind w:left="480"/>
              <w:rPr>
                <w:kern w:val="21"/>
                <w:sz w:val="24"/>
              </w:rPr>
            </w:pPr>
            <w:r>
              <w:rPr>
                <w:rFonts w:hAnsi="宋体"/>
                <w:kern w:val="21"/>
                <w:sz w:val="24"/>
              </w:rPr>
              <w:t>工艺流程图</w:t>
            </w:r>
          </w:p>
          <w:p>
            <w:pPr>
              <w:tabs>
                <w:tab w:val="left" w:pos="1721"/>
              </w:tabs>
              <w:spacing w:line="360" w:lineRule="auto"/>
              <w:ind w:left="480"/>
              <w:rPr>
                <w:kern w:val="21"/>
                <w:sz w:val="24"/>
              </w:rPr>
            </w:pPr>
            <w:r>
              <w:rPr>
                <w:b/>
                <w:sz w:val="30"/>
              </w:rPr>
              <w:pict>
                <v:group id="Group 2" o:spid="_x0000_s1026" style="width:416.25pt;height:70.65pt;margin-top:9.35pt;margin-left:16.4pt;mso-height-relative:page;mso-width-relative:page;position:absolute;z-index:251669504" coordsize="8325,1413">
                  <v:group id="Group 3" o:spid="_x0000_s1027" style="width:1165;height:1059;position:absolute;top:1" coordsize="1165,1059">
                    <v:rect id="Rectangle 4" o:spid="_x0000_s1028" style="width:1165;height:520;position:absolute" coordsize="21600,21600" filled="f">
                      <v:textbox>
                        <w:txbxContent>
                          <w:p>
                            <w:pPr>
                              <w:rPr>
                                <w:rFonts w:ascii="仿宋_GB2312" w:eastAsia="仿宋_GB2312"/>
                              </w:rPr>
                            </w:pPr>
                            <w:r>
                              <w:rPr>
                                <w:rFonts w:ascii="仿宋_GB2312" w:eastAsia="仿宋_GB2312" w:hint="eastAsia"/>
                              </w:rPr>
                              <w:t>材料运输</w:t>
                            </w:r>
                          </w:p>
                        </w:txbxContent>
                      </v:textbox>
                    </v:rect>
                    <v:shapetype id="_x0000_t32" coordsize="21600,21600" o:spt="32" o:oned="t" path="m,l21600,21600e" filled="f">
                      <v:path arrowok="t" fillok="f" o:connecttype="none"/>
                      <o:lock v:ext="edit" shapetype="t"/>
                    </v:shapetype>
                    <v:shape id="AutoShape 5" o:spid="_x0000_s1029" type="#_x0000_t32" style="width:0;height:540;left:585;position:absolute;top:519" coordsize="21600,21600" o:connectortype="straight" filled="f">
                      <v:stroke dashstyle="dashDot" endarrow="block"/>
                      <v:path arrowok="t"/>
                    </v:shape>
                  </v:group>
                  <v:shape id="AutoShape 6" o:spid="_x0000_s1030" type="#_x0000_t32" style="width:360;height:5;left:1165;position:absolute;top:211" coordsize="21600,21600" o:connectortype="straight" filled="f">
                    <v:stroke endarrow="block"/>
                    <v:path arrowok="t"/>
                  </v:shape>
                  <v:rect id="Rectangle 7" o:spid="_x0000_s1031" style="width:1380;height:520;left:1485;position:absolute" coordsize="21600,21600" filled="f">
                    <v:textbox>
                      <w:txbxContent>
                        <w:p>
                          <w:r>
                            <w:rPr>
                              <w:rFonts w:ascii="仿宋_GB2312" w:eastAsia="仿宋_GB2312" w:hint="eastAsia"/>
                            </w:rPr>
                            <w:t>土石方阶段</w:t>
                          </w:r>
                        </w:p>
                      </w:txbxContent>
                    </v:textbox>
                  </v:rect>
                  <v:rect id="Rectangle 8" o:spid="_x0000_s1032" style="width:745;height:520;left:3225;position:absolute;top:1" coordsize="21600,21600" filled="f">
                    <v:textbox>
                      <w:txbxContent>
                        <w:p>
                          <w:pPr>
                            <w:rPr>
                              <w:rFonts w:ascii="仿宋_GB2312" w:eastAsia="仿宋_GB2312"/>
                            </w:rPr>
                          </w:pPr>
                          <w:r>
                            <w:rPr>
                              <w:rFonts w:ascii="仿宋_GB2312" w:eastAsia="仿宋_GB2312" w:hint="eastAsia"/>
                            </w:rPr>
                            <w:t>打桩</w:t>
                          </w:r>
                        </w:p>
                      </w:txbxContent>
                    </v:textbox>
                  </v:rect>
                  <v:shape id="AutoShape 9" o:spid="_x0000_s1033" type="#_x0000_t32" style="width:360;height:2;flip:y;left:2865;position:absolute;top:227" coordsize="21600,21600" o:connectortype="straight" filled="f">
                    <v:stroke endarrow="block"/>
                    <v:path arrowok="t"/>
                  </v:shape>
                  <v:shape id="AutoShape 10" o:spid="_x0000_s1034" type="#_x0000_t32" style="width:520;height:13;flip:y;left:3970;position:absolute;top:221" coordsize="21600,21600" o:connectortype="straight" filled="f">
                    <v:stroke endarrow="block"/>
                    <v:path arrowok="t"/>
                  </v:shape>
                  <v:rect id="Rectangle 11" o:spid="_x0000_s1035" style="width:2035;height:520;left:4490;position:absolute;top:1" coordsize="21600,21600" filled="f">
                    <v:textbox>
                      <w:txbxContent>
                        <w:p>
                          <w:pPr>
                            <w:ind w:firstLine="210" w:firstLineChars="100"/>
                          </w:pPr>
                          <w:r>
                            <w:rPr>
                              <w:rFonts w:ascii="仿宋_GB2312" w:eastAsia="仿宋_GB2312" w:hint="eastAsia"/>
                            </w:rPr>
                            <w:t>主体框架工程</w:t>
                          </w:r>
                        </w:p>
                      </w:txbxContent>
                    </v:textbox>
                  </v:rect>
                  <v:shape id="AutoShape 12" o:spid="_x0000_s1036" type="#_x0000_t32" style="width:1;height:540;left:2189;position:absolute;top:520" coordsize="21600,21600" o:connectortype="straight" filled="f">
                    <v:stroke dashstyle="dashDot" endarrow="block"/>
                    <v:path arrowok="t"/>
                  </v:shape>
                  <v:shape id="AutoShape 13" o:spid="_x0000_s1037" type="#_x0000_t32" style="width:0;height:539;left:3645;position:absolute;top:521" coordsize="21600,21600" o:connectortype="straight" filled="f">
                    <v:stroke dashstyle="dashDot" endarrow="block"/>
                    <v:path arrowok="t"/>
                  </v:shape>
                  <v:shape id="AutoShape 14" o:spid="_x0000_s1038" type="#_x0000_t32" style="width:1;height:540;left:5444;position:absolute;top:520" coordsize="21600,21600" o:connectortype="straight" filled="f">
                    <v:stroke dashstyle="dashDot" endarrow="block"/>
                    <v:path arrowok="t"/>
                  </v:shape>
                  <v:rect id="Rectangle 15" o:spid="_x0000_s1039" style="width:1425;height:520;left:6900;position:absolute;top:1" coordsize="21600,21600" filled="f">
                    <v:textbox>
                      <w:txbxContent>
                        <w:p>
                          <w:r>
                            <w:rPr>
                              <w:rFonts w:ascii="仿宋_GB2312" w:eastAsia="仿宋_GB2312" w:hint="eastAsia"/>
                            </w:rPr>
                            <w:t>室内外装修</w:t>
                          </w:r>
                        </w:p>
                      </w:txbxContent>
                    </v:textbox>
                  </v:rect>
                  <v:shape id="AutoShape 16" o:spid="_x0000_s1040" type="#_x0000_t32" style="width:1;height:540;left:7620;position:absolute;top:520" coordsize="21600,21600" o:connectortype="straight" filled="f">
                    <v:stroke dashstyle="dashDot" endarrow="block"/>
                    <v:path arrowok="t"/>
                  </v:shape>
                  <v:shape id="AutoShape 17" o:spid="_x0000_s1041" type="#_x0000_t32" style="width:375;height:0;left:6525;position:absolute;top:229" coordsize="21600,21600" o:connectortype="straight" filled="f">
                    <v:stroke endarrow="block"/>
                    <v:path arrowok="t"/>
                  </v:shape>
                  <v:group id="Group 18" o:spid="_x0000_s1042" style="width:360;height:312;left:390;position:absolute;top:1060" coordsize="360,312">
                    <v:oval id="Oval 19" o:spid="_x0000_s1043" style="width:360;height:312;position:absolute" coordsize="21600,21600" filled="f"/>
                    <v:shape id="未知" o:spid="_x0000_s1044" style="width:1;height:100;left:80;position:absolute;top:102" coordsize="1,100" path="m,hdc,33,,67,,100e" filled="f">
                      <v:path arrowok="t"/>
                    </v:shape>
                    <v:line id="Line 21" o:spid="_x0000_s1045" style="position:absolute" from="180,70" to="180,226" coordsize="21600,21600"/>
                    <v:shape id="未知" o:spid="_x0000_s1046" style="width:90;height:30;left:75;position:absolute;top:80" coordsize="90,30" path="m,30hdc33,19,52,,90,e" filled="f">
                      <v:path arrowok="t"/>
                    </v:shape>
                    <v:shape id="未知" o:spid="_x0000_s1047" style="width:82;height:38;left:83;position:absolute;top:192" coordsize="82,38" path="m,hdc23,16,68,22,82,38e" filled="f">
                      <v:path arrowok="t"/>
                    </v:shape>
                    <v:shape id="未知" o:spid="_x0000_s1048" style="width:38;height:23;left:225;position:absolute;top:57" coordsize="38,23" path="m,23hdc30,13,17,21,38,e" filled="f">
                      <v:path arrowok="t"/>
                    </v:shape>
                    <v:shape id="未知" o:spid="_x0000_s1049" style="width:60;height:1;left:218;position:absolute;top:140" coordsize="60,1" path="m,hdc20,,40,,60,e" filled="f">
                      <v:path arrowok="t"/>
                    </v:shape>
                    <v:shape id="未知" o:spid="_x0000_s1050" style="width:60;height:30;left:203;position:absolute;top:215" coordsize="60,30" path="m,hdc23,7,39,19,60,30e" filled="f">
                      <v:path arrowok="t"/>
                    </v:shape>
                  </v:group>
                  <v:group id="Group 27" o:spid="_x0000_s1051" style="width:312;height:221;left:853;position:absolute;top:1117" coordsize="720,468">
                    <v:rect id="Rectangle 28" o:spid="_x0000_s1052" style="width:720;height:468;position:absolute" coordsize="21600,21600" filled="f"/>
                    <v:line id="Line 29" o:spid="_x0000_s1053" style="position:absolute" from="0,156" to="720,156" coordsize="21600,21600"/>
                    <v:line id="Line 30" o:spid="_x0000_s1054" style="position:absolute" from="180,156" to="180,468" coordsize="21600,21600"/>
                    <v:line id="Line 31" o:spid="_x0000_s1055" style="position:absolute" from="360,156" to="360,468" coordsize="21600,21600"/>
                    <v:line id="Line 32" o:spid="_x0000_s1056" style="position:absolute" from="540,156" to="540,468" coordsize="21600,21600"/>
                  </v:group>
                  <v:group id="Group 33" o:spid="_x0000_s1057" style="width:180;height:312;left:110;position:absolute;top:1060" coordsize="360,468">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4" o:spid="_x0000_s1058" type="#_x0000_t5" style="width:360;height:156;position:absolute" coordsize="21600,21600">
                      <v:stroke joinstyle="miter"/>
                    </v:shape>
                    <v:rect id="Rectangle 35" o:spid="_x0000_s1059" style="width:180;height:312;left:80;position:absolute;top:156" coordsize="21600,21600" filled="t" fillcolor="black"/>
                  </v:group>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36" o:spid="_x0000_s1060" type="#_x0000_t123" style="width:315;height:312;left:4887;position:absolute;top:1092" coordsize="21600,21600" filled="f"/>
                  <v:group id="Group 37" o:spid="_x0000_s1061" style="width:360;height:312;left:2048;position:absolute;top:1068" coordsize="360,312">
                    <v:oval id="Oval 38" o:spid="_x0000_s1062" style="width:360;height:312;position:absolute" coordsize="21600,21600" filled="f"/>
                    <v:shape id="未知" o:spid="_x0000_s1063" style="width:1;height:100;left:80;position:absolute;top:102" coordsize="1,100" path="m,hdc,33,,67,,100e" filled="f">
                      <v:path arrowok="t"/>
                    </v:shape>
                    <v:line id="Line 40" o:spid="_x0000_s1064" style="position:absolute" from="180,70" to="180,226" coordsize="21600,21600"/>
                    <v:shape id="未知" o:spid="_x0000_s1065" style="width:90;height:30;left:75;position:absolute;top:80" coordsize="90,30" path="m,30hdc33,19,52,,90,e" filled="f">
                      <v:path arrowok="t"/>
                    </v:shape>
                    <v:shape id="未知" o:spid="_x0000_s1066" style="width:82;height:38;left:83;position:absolute;top:192" coordsize="82,38" path="m,hdc23,16,68,22,82,38e" filled="f">
                      <v:path arrowok="t"/>
                    </v:shape>
                    <v:shape id="未知" o:spid="_x0000_s1067" style="width:38;height:23;left:225;position:absolute;top:57" coordsize="38,23" path="m,23hdc30,13,17,21,38,e" filled="f">
                      <v:path arrowok="t"/>
                    </v:shape>
                    <v:shape id="未知" o:spid="_x0000_s1068" style="width:60;height:1;left:218;position:absolute;top:140" coordsize="60,1" path="m,hdc20,,40,,60,e" filled="f">
                      <v:path arrowok="t"/>
                    </v:shape>
                    <v:shape id="未知" o:spid="_x0000_s1069" style="width:60;height:30;left:203;position:absolute;top:215" coordsize="60,30" path="m,hdc23,7,39,19,60,30e" filled="f">
                      <v:path arrowok="t"/>
                    </v:shape>
                  </v:group>
                  <v:group id="Group 46" o:spid="_x0000_s1070" style="width:312;height:221;left:2470;position:absolute;top:1097" coordsize="720,468">
                    <v:rect id="Rectangle 47" o:spid="_x0000_s1071" style="width:720;height:468;position:absolute" coordsize="21600,21600" filled="f"/>
                    <v:line id="Line 48" o:spid="_x0000_s1072" style="position:absolute" from="0,156" to="720,156" coordsize="21600,21600"/>
                    <v:line id="Line 49" o:spid="_x0000_s1073" style="position:absolute" from="180,156" to="180,468" coordsize="21600,21600"/>
                    <v:line id="Line 50" o:spid="_x0000_s1074" style="position:absolute" from="360,156" to="360,468" coordsize="21600,21600"/>
                    <v:line id="Line 51" o:spid="_x0000_s1075" style="position:absolute" from="540,156" to="540,468" coordsize="21600,21600"/>
                  </v:group>
                  <v:group id="Group 52" o:spid="_x0000_s1076" style="width:312;height:221;left:5706;position:absolute;top:1125" coordsize="720,468">
                    <v:rect id="Rectangle 53" o:spid="_x0000_s1077" style="width:720;height:468;position:absolute" coordsize="21600,21600" filled="f"/>
                    <v:line id="Line 54" o:spid="_x0000_s1078" style="position:absolute" from="0,156" to="720,156" coordsize="21600,21600"/>
                    <v:line id="Line 55" o:spid="_x0000_s1079" style="position:absolute" from="180,156" to="180,468" coordsize="21600,21600"/>
                    <v:line id="Line 56" o:spid="_x0000_s1080" style="position:absolute" from="360,156" to="360,468" coordsize="21600,21600"/>
                    <v:line id="Line 57" o:spid="_x0000_s1081" style="position:absolute" from="540,156" to="540,468" coordsize="21600,21600"/>
                  </v:group>
                  <v:group id="Group 58" o:spid="_x0000_s1082" style="width:360;height:312;left:3503;position:absolute;top:1092" coordsize="360,312">
                    <v:oval id="Oval 59" o:spid="_x0000_s1083" style="width:360;height:312;position:absolute" coordsize="21600,21600" filled="f"/>
                    <v:shape id="未知" o:spid="_x0000_s1084" style="width:1;height:100;left:80;position:absolute;top:102" coordsize="1,100" path="m,hdc,33,,67,,100e" filled="f">
                      <v:path arrowok="t"/>
                    </v:shape>
                    <v:line id="Line 61" o:spid="_x0000_s1085" style="position:absolute" from="180,70" to="180,226" coordsize="21600,21600"/>
                    <v:shape id="未知" o:spid="_x0000_s1086" style="width:90;height:30;left:75;position:absolute;top:80" coordsize="90,30" path="m,30hdc33,19,52,,90,e" filled="f">
                      <v:path arrowok="t"/>
                    </v:shape>
                    <v:shape id="未知" o:spid="_x0000_s1087" style="width:82;height:38;left:83;position:absolute;top:192" coordsize="82,38" path="m,hdc23,16,68,22,82,38e" filled="f">
                      <v:path arrowok="t"/>
                    </v:shape>
                    <v:shape id="未知" o:spid="_x0000_s1088" style="width:38;height:23;left:225;position:absolute;top:57" coordsize="38,23" path="m,23hdc30,13,17,21,38,e" filled="f">
                      <v:path arrowok="t"/>
                    </v:shape>
                    <v:shape id="未知" o:spid="_x0000_s1089" style="width:60;height:1;left:218;position:absolute;top:140" coordsize="60,1" path="m,hdc20,,40,,60,e" filled="f">
                      <v:path arrowok="t"/>
                    </v:shape>
                    <v:shape id="未知" o:spid="_x0000_s1090" style="width:60;height:30;left:203;position:absolute;top:215" coordsize="60,30" path="m,hdc23,7,39,19,60,30e" filled="f">
                      <v:path arrowok="t"/>
                    </v:shape>
                  </v:group>
                  <v:group id="Group 67" o:spid="_x0000_s1091" style="width:360;height:312;left:5271;position:absolute;top:1092" coordsize="360,312">
                    <v:oval id="Oval 68" o:spid="_x0000_s1092" style="width:360;height:312;position:absolute" coordsize="21600,21600" filled="f"/>
                    <v:shape id="未知" o:spid="_x0000_s1093" style="width:1;height:100;left:80;position:absolute;top:102" coordsize="1,100" path="m,hdc,33,,67,,100e" filled="f">
                      <v:path arrowok="t"/>
                    </v:shape>
                    <v:line id="Line 70" o:spid="_x0000_s1094" style="position:absolute" from="180,70" to="180,226" coordsize="21600,21600"/>
                    <v:shape id="未知" o:spid="_x0000_s1095" style="width:90;height:30;left:75;position:absolute;top:80" coordsize="90,30" path="m,30hdc33,19,52,,90,e" filled="f">
                      <v:path arrowok="t"/>
                    </v:shape>
                    <v:shape id="未知" o:spid="_x0000_s1096" style="width:82;height:38;left:83;position:absolute;top:192" coordsize="82,38" path="m,hdc23,16,68,22,82,38e" filled="f">
                      <v:path arrowok="t"/>
                    </v:shape>
                    <v:shape id="未知" o:spid="_x0000_s1097" style="width:38;height:23;left:225;position:absolute;top:57" coordsize="38,23" path="m,23hdc30,13,17,21,38,e" filled="f">
                      <v:path arrowok="t"/>
                    </v:shape>
                    <v:shape id="未知" o:spid="_x0000_s1098" style="width:60;height:1;left:218;position:absolute;top:140" coordsize="60,1" path="m,hdc20,,40,,60,e" filled="f">
                      <v:path arrowok="t"/>
                    </v:shape>
                    <v:shape id="未知" o:spid="_x0000_s1099" style="width:60;height:30;left:203;position:absolute;top:215" coordsize="60,30" path="m,hdc23,7,39,19,60,30e" filled="f">
                      <v:path arrowok="t"/>
                    </v:shape>
                  </v:group>
                  <v:group id="Group 76" o:spid="_x0000_s1100" style="width:312;height:221;left:7854;position:absolute;top:1159" coordsize="720,468">
                    <v:rect id="Rectangle 77" o:spid="_x0000_s1101" style="width:720;height:468;position:absolute" coordsize="21600,21600" filled="f"/>
                    <v:line id="Line 78" o:spid="_x0000_s1102" style="position:absolute" from="0,156" to="720,156" coordsize="21600,21600"/>
                    <v:line id="Line 79" o:spid="_x0000_s1103" style="position:absolute" from="180,156" to="180,468" coordsize="21600,21600"/>
                    <v:line id="Line 80" o:spid="_x0000_s1104" style="position:absolute" from="360,156" to="360,468" coordsize="21600,21600"/>
                    <v:line id="Line 81" o:spid="_x0000_s1105" style="position:absolute" from="540,156" to="540,468" coordsize="21600,21600"/>
                  </v:group>
                  <v:group id="Group 82" o:spid="_x0000_s1106" style="width:360;height:312;left:7416;position:absolute;top:1101" coordsize="360,312">
                    <v:oval id="Oval 83" o:spid="_x0000_s1107" style="width:360;height:312;position:absolute" coordsize="21600,21600" filled="f"/>
                    <v:shape id="未知" o:spid="_x0000_s1108" style="width:1;height:100;left:80;position:absolute;top:102" coordsize="1,100" path="m,hdc,33,,67,,100e" filled="f">
                      <v:path arrowok="t"/>
                    </v:shape>
                    <v:line id="Line 85" o:spid="_x0000_s1109" style="position:absolute" from="180,70" to="180,226" coordsize="21600,21600"/>
                    <v:shape id="未知" o:spid="_x0000_s1110" style="width:90;height:30;left:75;position:absolute;top:80" coordsize="90,30" path="m,30hdc33,19,52,,90,e" filled="f">
                      <v:path arrowok="t"/>
                    </v:shape>
                    <v:shape id="未知" o:spid="_x0000_s1111" style="width:82;height:38;left:83;position:absolute;top:192" coordsize="82,38" path="m,hdc23,16,68,22,82,38e" filled="f">
                      <v:path arrowok="t"/>
                    </v:shape>
                    <v:shape id="未知" o:spid="_x0000_s1112" style="width:38;height:23;left:225;position:absolute;top:57" coordsize="38,23" path="m,23hdc30,13,17,21,38,e" filled="f">
                      <v:path arrowok="t"/>
                    </v:shape>
                    <v:shape id="未知" o:spid="_x0000_s1113" style="width:60;height:1;left:218;position:absolute;top:140" coordsize="60,1" path="m,hdc20,,40,,60,e" filled="f">
                      <v:path arrowok="t"/>
                    </v:shape>
                    <v:shape id="未知" o:spid="_x0000_s1114" style="width:60;height:30;left:203;position:absolute;top:215" coordsize="60,30" path="m,hdc23,7,39,19,60,30e" filled="f">
                      <v:path arrowok="t"/>
                    </v:shape>
                  </v:group>
                  <v:group id="Group 91" o:spid="_x0000_s1115" style="width:180;height:312;left:7136;position:absolute;top:1060" coordsize="360,468">
                    <v:shape id="AutoShape 92" o:spid="_x0000_s1116" type="#_x0000_t5" style="width:360;height:156;position:absolute" coordsize="21600,21600">
                      <v:stroke joinstyle="miter"/>
                    </v:shape>
                    <v:rect id="Rectangle 93" o:spid="_x0000_s1117" style="width:180;height:312;left:80;position:absolute;top:156" coordsize="21600,21600" filled="t" fillcolor="black"/>
                  </v:group>
                  <v:group id="Group 94" o:spid="_x0000_s1118" style="width:180;height:312;left:1813;position:absolute;top:1060" coordsize="360,468">
                    <v:shape id="AutoShape 95" o:spid="_x0000_s1119" type="#_x0000_t5" style="width:360;height:156;position:absolute" coordsize="21600,21600">
                      <v:stroke joinstyle="miter"/>
                    </v:shape>
                    <v:rect id="Rectangle 96" o:spid="_x0000_s1120" style="width:180;height:312;left:80;position:absolute;top:156" coordsize="21600,21600" filled="t" fillcolor="black"/>
                  </v:group>
                  <v:group id="Group 97" o:spid="_x0000_s1121" style="width:180;height:312;left:3285;position:absolute;top:1068" coordsize="360,468">
                    <v:shape id="AutoShape 98" o:spid="_x0000_s1122" type="#_x0000_t5" style="width:360;height:156;position:absolute" coordsize="21600,21600">
                      <v:stroke joinstyle="miter"/>
                    </v:shape>
                    <v:rect id="Rectangle 99" o:spid="_x0000_s1123" style="width:180;height:312;left:80;position:absolute;top:156" coordsize="21600,21600" filled="t" fillcolor="black"/>
                  </v:group>
                </v:group>
              </w:pict>
            </w:r>
          </w:p>
          <w:p>
            <w:pPr>
              <w:tabs>
                <w:tab w:val="left" w:pos="1721"/>
              </w:tabs>
              <w:spacing w:line="360" w:lineRule="auto"/>
              <w:ind w:left="480"/>
              <w:rPr>
                <w:kern w:val="21"/>
                <w:sz w:val="24"/>
              </w:rPr>
            </w:pPr>
          </w:p>
          <w:p>
            <w:pPr>
              <w:tabs>
                <w:tab w:val="left" w:pos="1721"/>
              </w:tabs>
              <w:spacing w:line="360" w:lineRule="auto"/>
              <w:ind w:left="480"/>
              <w:rPr>
                <w:kern w:val="21"/>
                <w:sz w:val="24"/>
              </w:rPr>
            </w:pPr>
          </w:p>
          <w:p>
            <w:pPr>
              <w:tabs>
                <w:tab w:val="left" w:pos="1721"/>
              </w:tabs>
              <w:spacing w:line="360" w:lineRule="auto"/>
              <w:ind w:left="480"/>
              <w:rPr>
                <w:kern w:val="21"/>
                <w:sz w:val="24"/>
              </w:rPr>
            </w:pPr>
          </w:p>
          <w:p>
            <w:pPr>
              <w:tabs>
                <w:tab w:val="left" w:pos="1721"/>
                <w:tab w:val="center" w:pos="4590"/>
              </w:tabs>
              <w:spacing w:line="360" w:lineRule="auto"/>
              <w:ind w:firstLine="2597" w:firstLineChars="1082"/>
              <w:rPr>
                <w:b/>
                <w:sz w:val="24"/>
              </w:rPr>
            </w:pPr>
          </w:p>
          <w:p>
            <w:pPr>
              <w:tabs>
                <w:tab w:val="left" w:pos="1721"/>
                <w:tab w:val="center" w:pos="4590"/>
              </w:tabs>
              <w:spacing w:line="360" w:lineRule="auto"/>
              <w:ind w:firstLine="3393" w:firstLineChars="1131"/>
              <w:rPr>
                <w:b/>
                <w:kern w:val="21"/>
                <w:sz w:val="24"/>
              </w:rPr>
            </w:pPr>
            <w:r>
              <w:rPr>
                <w:b/>
                <w:sz w:val="30"/>
              </w:rPr>
              <w:pict>
                <v:group id="Group 104" o:spid="_x0000_s1124" style="width:18pt;height:15.6pt;margin-top:21.85pt;margin-left:260.15pt;mso-height-relative:page;mso-width-relative:page;position:absolute;z-index:251683840" coordsize="360,312">
                  <v:oval id="Oval 105" o:spid="_x0000_s1125" style="width:360;height:312;position:absolute" coordsize="21600,21600" filled="f"/>
                  <v:shape id="未知" o:spid="_x0000_s1126" style="width:1;height:100;left:80;position:absolute;top:102" coordsize="1,100" path="m,hdc,33,,67,,100e" filled="f">
                    <v:path arrowok="t"/>
                  </v:shape>
                  <v:line id="Line 107" o:spid="_x0000_s1127" style="position:absolute" from="180,70" to="180,226" coordsize="21600,21600"/>
                  <v:shape id="未知" o:spid="_x0000_s1128" style="width:90;height:30;left:75;position:absolute;top:80" coordsize="90,30" path="m,30hdc33,19,52,,90,e" filled="f">
                    <v:path arrowok="t"/>
                  </v:shape>
                  <v:shape id="未知" o:spid="_x0000_s1129" style="width:82;height:38;left:83;position:absolute;top:192" coordsize="82,38" path="m,hdc23,16,68,22,82,38e" filled="f">
                    <v:path arrowok="t"/>
                  </v:shape>
                  <v:shape id="未知" o:spid="_x0000_s1130" style="width:38;height:23;left:225;position:absolute;top:57" coordsize="38,23" path="m,23hdc30,13,17,21,38,e" filled="f">
                    <v:path arrowok="t"/>
                  </v:shape>
                  <v:shape id="未知" o:spid="_x0000_s1131" style="width:60;height:1;left:218;position:absolute;top:140" coordsize="60,1" path="m,hdc20,,40,,60,e" filled="f">
                    <v:path arrowok="t"/>
                  </v:shape>
                  <v:shape id="未知" o:spid="_x0000_s1132" style="width:60;height:30;left:203;position:absolute;top:215" coordsize="60,30" path="m,hdc23,7,39,19,60,30e" filled="f">
                    <v:path arrowok="t"/>
                  </v:shape>
                </v:group>
              </w:pict>
            </w:r>
            <w:r>
              <w:rPr>
                <w:b/>
                <w:sz w:val="30"/>
              </w:rPr>
              <w:pict>
                <v:group id="Group 100" o:spid="_x0000_s1133" style="width:9pt;height:15.6pt;margin-top:21.85pt;margin-left:125.4pt;mso-height-relative:page;mso-width-relative:page;position:absolute;z-index:251667456" coordsize="360,468">
                  <v:shape id="AutoShape 101" o:spid="_x0000_s1134" type="#_x0000_t5" style="width:360;height:156;position:absolute" coordsize="21600,21600">
                    <v:stroke joinstyle="miter"/>
                  </v:shape>
                  <v:rect id="Rectangle 102" o:spid="_x0000_s1135" style="width:180;height:312;left:80;position:absolute;top:156" coordsize="21600,21600" filled="t" fillcolor="black"/>
                </v:group>
              </w:pict>
            </w:r>
            <w:r>
              <w:rPr>
                <w:rFonts w:hAnsi="宋体"/>
                <w:b/>
                <w:sz w:val="24"/>
              </w:rPr>
              <w:t>图</w:t>
            </w:r>
            <w:r>
              <w:rPr>
                <w:b/>
                <w:sz w:val="24"/>
              </w:rPr>
              <w:t xml:space="preserve">1  </w:t>
            </w:r>
            <w:r>
              <w:rPr>
                <w:rFonts w:hAnsi="宋体"/>
                <w:b/>
                <w:kern w:val="21"/>
                <w:sz w:val="24"/>
              </w:rPr>
              <w:t>施工期产污流程图</w:t>
            </w:r>
          </w:p>
          <w:p>
            <w:pPr>
              <w:tabs>
                <w:tab w:val="left" w:pos="1721"/>
              </w:tabs>
              <w:spacing w:line="360" w:lineRule="auto"/>
              <w:rPr>
                <w:b/>
                <w:kern w:val="21"/>
                <w:sz w:val="24"/>
              </w:rPr>
            </w:pPr>
            <w:r>
              <w:rPr>
                <w:b/>
                <w:sz w:val="30"/>
              </w:rPr>
              <w:pict>
                <v:shape id="AutoShape 103" o:spid="_x0000_s1136" type="#_x0000_t123" style="width:15.75pt;height:15.6pt;margin-top:0.6pt;margin-left:67.1pt;mso-height-relative:page;mso-width-relative:page;position:absolute;z-index:251668480" coordsize="21600,21600"/>
              </w:pict>
            </w:r>
            <w:r>
              <w:rPr>
                <w:b/>
                <w:kern w:val="21"/>
                <w:sz w:val="28"/>
              </w:rPr>
              <w:pict>
                <v:group id="Group 113" o:spid="_x0000_s1137" style="width:15.6pt;height:11.05pt;margin-top:2.25pt;margin-left:199.8pt;mso-height-relative:page;mso-width-relative:page;position:absolute;z-index:251682816" coordsize="720,468">
                  <v:rect id="Rectangle 114" o:spid="_x0000_s1138" style="width:720;height:468;position:absolute" coordsize="21600,21600"/>
                  <v:line id="Line 115" o:spid="_x0000_s1139" style="position:absolute" from="0,156" to="720,156" coordsize="21600,21600"/>
                  <v:line id="Line 116" o:spid="_x0000_s1140" style="position:absolute" from="180,156" to="180,468" coordsize="21600,21600"/>
                  <v:line id="Line 117" o:spid="_x0000_s1141" style="position:absolute" from="360,156" to="360,468" coordsize="21600,21600"/>
                  <v:line id="Line 118" o:spid="_x0000_s1142" style="position:absolute" from="540,156" to="540,468" coordsize="21600,21600"/>
                </v:group>
              </w:pict>
            </w:r>
            <w:r>
              <w:rPr>
                <w:rFonts w:hAnsi="宋体"/>
                <w:b/>
                <w:kern w:val="21"/>
                <w:sz w:val="24"/>
              </w:rPr>
              <w:t>图例：废水</w:t>
            </w:r>
            <w:r>
              <w:rPr>
                <w:b/>
                <w:kern w:val="21"/>
                <w:sz w:val="24"/>
              </w:rPr>
              <w:t xml:space="preserve">     </w:t>
            </w:r>
            <w:r>
              <w:rPr>
                <w:rFonts w:hAnsi="宋体"/>
                <w:b/>
                <w:kern w:val="21"/>
                <w:sz w:val="24"/>
              </w:rPr>
              <w:t>废气</w:t>
            </w:r>
            <w:r>
              <w:rPr>
                <w:rFonts w:hAnsi="宋体" w:hint="eastAsia"/>
                <w:b/>
                <w:kern w:val="21"/>
                <w:sz w:val="24"/>
              </w:rPr>
              <w:t xml:space="preserve">     </w:t>
            </w:r>
            <w:r>
              <w:rPr>
                <w:rFonts w:hAnsi="宋体"/>
                <w:b/>
                <w:kern w:val="21"/>
                <w:sz w:val="24"/>
              </w:rPr>
              <w:t>固体废物</w:t>
            </w:r>
            <w:r>
              <w:rPr>
                <w:b/>
                <w:kern w:val="21"/>
                <w:sz w:val="24"/>
              </w:rPr>
              <w:t xml:space="preserve">       </w:t>
            </w:r>
            <w:r>
              <w:rPr>
                <w:rFonts w:hAnsi="宋体"/>
                <w:b/>
                <w:kern w:val="21"/>
                <w:sz w:val="24"/>
              </w:rPr>
              <w:t>噪声</w:t>
            </w:r>
          </w:p>
          <w:p>
            <w:pPr>
              <w:spacing w:line="360" w:lineRule="auto"/>
              <w:ind w:firstLine="480" w:firstLineChars="200"/>
              <w:rPr>
                <w:b/>
                <w:kern w:val="21"/>
                <w:sz w:val="24"/>
              </w:rPr>
            </w:pPr>
            <w:r>
              <w:rPr>
                <w:rFonts w:hAnsi="宋体"/>
                <w:b/>
                <w:kern w:val="21"/>
                <w:sz w:val="24"/>
              </w:rPr>
              <w:t>二、营运期</w:t>
            </w:r>
          </w:p>
          <w:p>
            <w:pPr>
              <w:spacing w:line="360" w:lineRule="auto"/>
              <w:ind w:firstLine="600" w:firstLineChars="200"/>
              <w:rPr>
                <w:sz w:val="18"/>
                <w:szCs w:val="18"/>
              </w:rPr>
            </w:pPr>
            <w:r>
              <w:rPr>
                <w:rFonts w:hAnsi="宋体"/>
                <w:b/>
                <w:sz w:val="30"/>
              </w:rPr>
              <w:pict>
                <v:shape id="AutoShape 187" o:spid="_x0000_s1143" type="#_x0000_t32" style="width:0.05pt;height:27pt;margin-top:28.7pt;margin-left:345.3pt;mso-height-relative:page;mso-width-relative:page;position:absolute;z-index:251677696" coordsize="21600,21600" o:connectortype="straight" filled="f">
                  <v:stroke dashstyle="dashDot" endarrow="block"/>
                  <v:path arrowok="t"/>
                </v:shape>
              </w:pict>
            </w:r>
            <w:r>
              <w:rPr>
                <w:rFonts w:hAnsi="宋体"/>
                <w:b/>
                <w:sz w:val="30"/>
              </w:rPr>
              <w:pict>
                <v:rect id="Rectangle 183" o:spid="_x0000_s1144" style="width:58.25pt;height:26pt;margin-top:1.7pt;margin-left:316.6pt;mso-height-relative:page;mso-width-relative:page;position:absolute;z-index:251676672" coordsize="21600,21600" filled="f">
                  <v:textbox>
                    <w:txbxContent>
                      <w:p>
                        <w:pPr>
                          <w:jc w:val="center"/>
                          <w:rPr>
                            <w:rFonts w:ascii="仿宋_GB2312" w:eastAsia="仿宋_GB2312"/>
                          </w:rPr>
                        </w:pPr>
                        <w:r>
                          <w:rPr>
                            <w:rFonts w:ascii="仿宋_GB2312" w:eastAsia="仿宋_GB2312" w:hint="eastAsia"/>
                          </w:rPr>
                          <w:t>酒店</w:t>
                        </w:r>
                      </w:p>
                    </w:txbxContent>
                  </v:textbox>
                </v:rect>
              </w:pict>
            </w:r>
            <w:r>
              <w:rPr>
                <w:kern w:val="21"/>
                <w:sz w:val="24"/>
              </w:rPr>
              <w:pict>
                <v:rect id="Rectangle 119" o:spid="_x0000_s1145" style="width:68.15pt;height:26pt;margin-top:-0.4pt;margin-left:130.5pt;mso-height-relative:page;mso-width-relative:page;position:absolute;z-index:251670528" coordsize="21600,21600" filled="f">
                  <v:textbox>
                    <w:txbxContent>
                      <w:p>
                        <w:pPr>
                          <w:ind w:firstLine="105" w:firstLineChars="50"/>
                          <w:rPr>
                            <w:rFonts w:ascii="仿宋_GB2312" w:eastAsia="仿宋_GB2312"/>
                          </w:rPr>
                        </w:pPr>
                        <w:r>
                          <w:rPr>
                            <w:rFonts w:ascii="仿宋_GB2312" w:eastAsia="仿宋_GB2312" w:hint="eastAsia"/>
                          </w:rPr>
                          <w:t>日常办公</w:t>
                        </w:r>
                      </w:p>
                    </w:txbxContent>
                  </v:textbox>
                </v:rect>
              </w:pict>
            </w:r>
            <w:r>
              <w:rPr>
                <w:b/>
                <w:sz w:val="30"/>
              </w:rPr>
              <w:pict>
                <v:shape id="AutoShape 120" o:spid="_x0000_s1146" type="#_x0000_t32" style="width:0.05pt;height:27pt;margin-top:25.65pt;margin-left:166.55pt;mso-height-relative:page;mso-width-relative:page;position:absolute;z-index:251673600" coordsize="21600,21600" o:connectortype="straight" filled="f">
                  <v:stroke dashstyle="dashDot" endarrow="block"/>
                  <v:path arrowok="t"/>
                </v:shape>
              </w:pict>
            </w:r>
            <w:r>
              <w:rPr>
                <w:kern w:val="21"/>
                <w:sz w:val="24"/>
              </w:rPr>
              <w:pict>
                <v:shape id="AutoShape 121" o:spid="_x0000_s1147" type="#_x0000_t32" style="width:0.05pt;height:27pt;margin-top:27.2pt;margin-left:76.4pt;mso-height-relative:page;mso-width-relative:page;position:absolute;z-index:251672576" coordsize="21600,21600" o:connectortype="straight" filled="f">
                  <v:stroke dashstyle="dashDot" endarrow="block"/>
                  <v:path arrowok="t"/>
                </v:shape>
              </w:pict>
            </w:r>
            <w:r>
              <w:rPr>
                <w:kern w:val="21"/>
                <w:sz w:val="24"/>
              </w:rPr>
              <w:pict>
                <v:rect id="Rectangle 122" o:spid="_x0000_s1148" style="width:58.25pt;height:26pt;margin-top:1.25pt;margin-left:47.15pt;mso-height-relative:page;mso-width-relative:page;position:absolute;z-index:251671552" coordsize="21600,21600" filled="f">
                  <v:textbox>
                    <w:txbxContent>
                      <w:p>
                        <w:pPr>
                          <w:rPr>
                            <w:rFonts w:ascii="仿宋_GB2312" w:eastAsia="仿宋_GB2312"/>
                          </w:rPr>
                        </w:pPr>
                        <w:r>
                          <w:rPr>
                            <w:rFonts w:ascii="仿宋_GB2312" w:eastAsia="仿宋_GB2312" w:hint="eastAsia"/>
                          </w:rPr>
                          <w:t>商业服务</w:t>
                        </w:r>
                      </w:p>
                    </w:txbxContent>
                  </v:textbox>
                </v:rect>
              </w:pict>
            </w:r>
            <w:r>
              <w:rPr>
                <w:kern w:val="21"/>
                <w:sz w:val="24"/>
              </w:rPr>
              <w:pict>
                <v:group id="Group 123" o:spid="_x0000_s1149" style="width:58.25pt;height:52.95pt;margin-top:1.3pt;margin-left:225.45pt;mso-height-relative:page;mso-width-relative:page;position:absolute;z-index:251661312" coordsize="1165,1059">
                  <v:rect id="Rectangle 124" o:spid="_x0000_s1150" style="width:1165;height:520;position:absolute" coordsize="21600,21600" filled="f">
                    <v:textbox>
                      <w:txbxContent>
                        <w:p>
                          <w:pPr>
                            <w:ind w:firstLine="105" w:firstLineChars="50"/>
                            <w:rPr>
                              <w:rFonts w:ascii="仿宋_GB2312" w:eastAsia="仿宋_GB2312"/>
                            </w:rPr>
                          </w:pPr>
                          <w:r>
                            <w:rPr>
                              <w:rFonts w:ascii="仿宋_GB2312" w:eastAsia="仿宋_GB2312" w:hint="eastAsia"/>
                            </w:rPr>
                            <w:t>停车场</w:t>
                          </w:r>
                        </w:p>
                      </w:txbxContent>
                    </v:textbox>
                  </v:rect>
                  <v:shape id="AutoShape 125" o:spid="_x0000_s1151" type="#_x0000_t32" style="width:0;height:540;left:585;position:absolute;top:519" coordsize="21600,21600" o:connectortype="straight" filled="f">
                    <v:stroke dashstyle="dashDot" endarrow="block"/>
                    <v:path arrowok="t"/>
                  </v:shape>
                </v:group>
              </w:pict>
            </w:r>
            <w:r>
              <w:rPr>
                <w:sz w:val="18"/>
                <w:szCs w:val="18"/>
              </w:rPr>
              <w:br/>
            </w:r>
          </w:p>
          <w:p>
            <w:pPr>
              <w:spacing w:line="360" w:lineRule="auto"/>
              <w:ind w:firstLine="480" w:firstLineChars="200"/>
              <w:rPr>
                <w:kern w:val="21"/>
                <w:sz w:val="24"/>
              </w:rPr>
            </w:pPr>
          </w:p>
          <w:p>
            <w:pPr>
              <w:tabs>
                <w:tab w:val="center" w:pos="4590"/>
              </w:tabs>
              <w:spacing w:line="360" w:lineRule="auto"/>
              <w:rPr>
                <w:b/>
                <w:sz w:val="24"/>
              </w:rPr>
            </w:pPr>
            <w:r>
              <w:rPr>
                <w:rFonts w:hAnsi="宋体"/>
                <w:b/>
                <w:sz w:val="30"/>
              </w:rPr>
              <w:pict>
                <v:group id="Group 197" o:spid="_x0000_s1152" style="width:9pt;height:15.6pt;margin-top:3.65pt;margin-left:338.9pt;mso-height-relative:page;mso-width-relative:page;position:absolute;z-index:251679744" coordsize="360,468">
                  <v:shape id="AutoShape 198" o:spid="_x0000_s1153" type="#_x0000_t5" style="width:360;height:156;position:absolute" coordsize="21600,21600">
                    <v:stroke joinstyle="miter"/>
                  </v:shape>
                  <v:rect id="Rectangle 199" o:spid="_x0000_s1154" style="width:180;height:312;left:80;position:absolute;top:156" coordsize="21600,21600" filled="t" fillcolor="black"/>
                </v:group>
              </w:pict>
            </w:r>
            <w:r>
              <w:rPr>
                <w:rFonts w:hAnsi="宋体"/>
                <w:b/>
                <w:sz w:val="30"/>
              </w:rPr>
              <w:pict>
                <v:group id="_x0000_s2177" o:spid="_x0000_s1155" style="width:18pt;height:15.6pt;margin-top:4.05pt;margin-left:101.1pt;mso-height-relative:page;mso-width-relative:page;position:absolute;z-index:251686912" coordsize="360,312">
                  <v:oval id="Oval 189" o:spid="_x0000_s1156" style="width:360;height:312;position:absolute" coordsize="21600,21600" filled="f"/>
                  <v:shape id="未知" o:spid="_x0000_s1157" style="width:1;height:100;left:80;position:absolute;top:102" coordsize="1,100" path="m,hdc,33,,67,,100e" filled="f">
                    <v:path arrowok="t"/>
                  </v:shape>
                  <v:line id="Line 191" o:spid="_x0000_s1158" style="position:absolute" from="180,70" to="180,226" coordsize="21600,21600"/>
                  <v:shape id="未知" o:spid="_x0000_s1159" style="width:90;height:30;left:75;position:absolute;top:80" coordsize="90,30" path="m,30hdc33,19,52,,90,e" filled="f">
                    <v:path arrowok="t"/>
                  </v:shape>
                  <v:shape id="未知" o:spid="_x0000_s1160" style="width:82;height:38;left:83;position:absolute;top:192" coordsize="82,38" path="m,hdc23,16,68,22,82,38e" filled="f">
                    <v:path arrowok="t"/>
                  </v:shape>
                  <v:shape id="未知" o:spid="_x0000_s1161" style="width:38;height:23;left:225;position:absolute;top:57" coordsize="38,23" path="m,23hdc30,13,17,21,38,e" filled="f">
                    <v:path arrowok="t"/>
                  </v:shape>
                  <v:shape id="未知" o:spid="_x0000_s1162" style="width:60;height:1;left:218;position:absolute;top:140" coordsize="60,1" path="m,hdc20,,40,,60,e" filled="f">
                    <v:path arrowok="t"/>
                  </v:shape>
                  <v:shape id="未知" o:spid="_x0000_s1163" style="width:60;height:30;left:203;position:absolute;top:215" coordsize="60,30" path="m,hdc23,7,39,19,60,30e" filled="f">
                    <v:path arrowok="t"/>
                  </v:shape>
                </v:group>
              </w:pict>
            </w:r>
            <w:r>
              <w:rPr>
                <w:rFonts w:hAnsi="宋体"/>
                <w:b/>
                <w:sz w:val="30"/>
              </w:rPr>
              <w:pict>
                <v:group id="Group 201" o:spid="_x0000_s1164" style="width:15.6pt;height:15.6pt;margin-top:3.55pt;margin-left:376.3pt;mso-height-relative:page;mso-width-relative:page;position:absolute;z-index:251681792" coordsize="720,468">
                  <v:rect id="Rectangle 202" o:spid="_x0000_s1165" style="width:720;height:468;position:absolute" coordsize="21600,21600" filled="f"/>
                  <v:line id="Line 203" o:spid="_x0000_s1166" style="position:absolute" from="0,156" to="720,156" coordsize="21600,21600"/>
                  <v:line id="Line 204" o:spid="_x0000_s1167" style="position:absolute" from="180,156" to="180,468" coordsize="21600,21600"/>
                  <v:line id="Line 205" o:spid="_x0000_s1168" style="position:absolute" from="360,156" to="360,468" coordsize="21600,21600"/>
                  <v:line id="Line 206" o:spid="_x0000_s1169" style="position:absolute" from="540,156" to="540,468" coordsize="21600,21600"/>
                </v:group>
              </w:pict>
            </w:r>
            <w:r>
              <w:rPr>
                <w:rFonts w:hAnsi="宋体"/>
                <w:b/>
                <w:sz w:val="30"/>
              </w:rPr>
              <w:pict>
                <v:shape id="AutoShape 200" o:spid="_x0000_s1170" type="#_x0000_t123" style="width:15.75pt;height:15.6pt;margin-top:3.95pt;margin-left:318.9pt;mso-height-relative:page;mso-width-relative:page;position:absolute;z-index:251680768" coordsize="21600,21600" filled="f"/>
              </w:pict>
            </w:r>
            <w:r>
              <w:rPr>
                <w:rFonts w:hAnsi="宋体"/>
                <w:b/>
                <w:sz w:val="30"/>
              </w:rPr>
              <w:pict>
                <v:group id="Group 188" o:spid="_x0000_s1171" style="width:18pt;height:15.6pt;margin-top:5.05pt;margin-left:351.1pt;mso-height-relative:page;mso-width-relative:page;position:absolute;z-index:251678720" coordsize="360,312">
                  <v:oval id="Oval 189" o:spid="_x0000_s1172" style="width:360;height:312;position:absolute" coordsize="21600,21600" filled="f"/>
                  <v:shape id="未知" o:spid="_x0000_s1173" style="width:1;height:100;left:80;position:absolute;top:102" coordsize="1,100" path="m,hdc,33,,67,,100e" filled="f">
                    <v:path arrowok="t"/>
                  </v:shape>
                  <v:line id="Line 191" o:spid="_x0000_s1174" style="position:absolute" from="180,70" to="180,226" coordsize="21600,21600"/>
                  <v:shape id="未知" o:spid="_x0000_s1175" style="width:90;height:30;left:75;position:absolute;top:80" coordsize="90,30" path="m,30hdc33,19,52,,90,e" filled="f">
                    <v:path arrowok="t"/>
                  </v:shape>
                  <v:shape id="未知" o:spid="_x0000_s1176" style="width:82;height:38;left:83;position:absolute;top:192" coordsize="82,38" path="m,hdc23,16,68,22,82,38e" filled="f">
                    <v:path arrowok="t"/>
                  </v:shape>
                  <v:shape id="未知" o:spid="_x0000_s1177" style="width:38;height:23;left:225;position:absolute;top:57" coordsize="38,23" path="m,23hdc30,13,17,21,38,e" filled="f">
                    <v:path arrowok="t"/>
                  </v:shape>
                  <v:shape id="未知" o:spid="_x0000_s1178" style="width:60;height:1;left:218;position:absolute;top:140" coordsize="60,1" path="m,hdc20,,40,,60,e" filled="f">
                    <v:path arrowok="t"/>
                  </v:shape>
                  <v:shape id="未知" o:spid="_x0000_s1179" style="width:60;height:30;left:203;position:absolute;top:215" coordsize="60,30" path="m,hdc23,7,39,19,60,30e" filled="f">
                    <v:path arrowok="t"/>
                  </v:shape>
                </v:group>
              </w:pict>
            </w:r>
            <w:r>
              <w:rPr>
                <w:kern w:val="21"/>
                <w:sz w:val="24"/>
              </w:rPr>
              <w:pict>
                <v:group id="Group 126" o:spid="_x0000_s1180" style="width:9pt;height:15.6pt;margin-top:2.45pt;margin-left:44.15pt;mso-height-relative:page;mso-width-relative:page;position:absolute;z-index:251658240" coordsize="360,468">
                  <v:shape id="AutoShape 127" o:spid="_x0000_s1181" type="#_x0000_t5" style="width:360;height:156;position:absolute" coordsize="21600,21600">
                    <v:stroke joinstyle="miter"/>
                  </v:shape>
                  <v:rect id="Rectangle 128" o:spid="_x0000_s1182" style="width:180;height:312;left:80;position:absolute;top:156" coordsize="21600,21600" filled="t" fillcolor="black"/>
                </v:group>
              </w:pict>
            </w:r>
            <w:r>
              <w:rPr>
                <w:b/>
                <w:sz w:val="30"/>
              </w:rPr>
              <w:pict>
                <v:group id="Group 129" o:spid="_x0000_s1183" style="width:15.6pt;height:11.05pt;margin-top:5.05pt;margin-left:81.75pt;mso-height-relative:page;mso-width-relative:page;position:absolute;z-index:251674624" coordsize="720,468">
                  <v:rect id="Rectangle 130" o:spid="_x0000_s1184" style="width:720;height:468;position:absolute" coordsize="21600,21600"/>
                  <v:line id="Line 131" o:spid="_x0000_s1185" style="position:absolute" from="0,156" to="720,156" coordsize="21600,21600"/>
                  <v:line id="Line 132" o:spid="_x0000_s1186" style="position:absolute" from="180,156" to="180,468" coordsize="21600,21600"/>
                  <v:line id="Line 133" o:spid="_x0000_s1187" style="position:absolute" from="360,156" to="360,468" coordsize="21600,21600"/>
                  <v:line id="Line 134" o:spid="_x0000_s1188" style="position:absolute" from="540,156" to="540,468" coordsize="21600,21600"/>
                </v:group>
              </w:pict>
            </w:r>
            <w:r>
              <w:rPr>
                <w:b/>
                <w:sz w:val="30"/>
              </w:rPr>
              <w:pict>
                <v:group id="Group 135" o:spid="_x0000_s1189" style="width:18pt;height:15.6pt;margin-top:1.4pt;margin-left:256.35pt;mso-height-relative:page;mso-width-relative:page;position:absolute;z-index:251675648" coordsize="360,312">
                  <v:oval id="Oval 136" o:spid="_x0000_s1190" style="width:360;height:312;position:absolute" coordsize="21600,21600" filled="f"/>
                  <v:shape id="未知" o:spid="_x0000_s1191" style="width:1;height:100;left:80;position:absolute;top:102" coordsize="1,100" path="m,hdc,33,,67,,100e" filled="f">
                    <v:path arrowok="t"/>
                  </v:shape>
                  <v:line id="Line 138" o:spid="_x0000_s1192" style="position:absolute" from="180,70" to="180,226" coordsize="21600,21600"/>
                  <v:shape id="未知" o:spid="_x0000_s1193" style="width:90;height:30;left:75;position:absolute;top:80" coordsize="90,30" path="m,30hdc33,19,52,,90,e" filled="f">
                    <v:path arrowok="t"/>
                  </v:shape>
                  <v:shape id="未知" o:spid="_x0000_s1194" style="width:82;height:38;left:83;position:absolute;top:192" coordsize="82,38" path="m,hdc23,16,68,22,82,38e" filled="f">
                    <v:path arrowok="t"/>
                  </v:shape>
                  <v:shape id="未知" o:spid="_x0000_s1195" style="width:38;height:23;left:225;position:absolute;top:57" coordsize="38,23" path="m,23hdc30,13,17,21,38,e" filled="f">
                    <v:path arrowok="t"/>
                  </v:shape>
                  <v:shape id="未知" o:spid="_x0000_s1196" style="width:60;height:1;left:218;position:absolute;top:140" coordsize="60,1" path="m,hdc20,,40,,60,e" filled="f">
                    <v:path arrowok="t"/>
                  </v:shape>
                  <v:shape id="未知" o:spid="_x0000_s1197" style="width:60;height:30;left:203;position:absolute;top:215" coordsize="60,30" path="m,hdc23,7,39,19,60,30e" filled="f">
                    <v:path arrowok="t"/>
                  </v:shape>
                </v:group>
              </w:pict>
            </w:r>
            <w:r>
              <w:rPr>
                <w:kern w:val="21"/>
                <w:sz w:val="24"/>
              </w:rPr>
              <w:pict>
                <v:group id="Group 144" o:spid="_x0000_s1198" style="width:9pt;height:15.6pt;margin-top:0.4pt;margin-left:242.75pt;mso-height-relative:page;mso-width-relative:page;position:absolute;z-index:251662336" coordsize="360,468">
                  <v:shape id="AutoShape 145" o:spid="_x0000_s1199" type="#_x0000_t5" style="width:360;height:156;position:absolute" coordsize="21600,21600">
                    <v:stroke joinstyle="miter"/>
                  </v:shape>
                  <v:rect id="Rectangle 146" o:spid="_x0000_s1200" style="width:180;height:312;left:80;position:absolute;top:156" coordsize="21600,21600" filled="t" fillcolor="black"/>
                </v:group>
              </w:pict>
            </w:r>
            <w:r>
              <w:rPr>
                <w:kern w:val="21"/>
                <w:sz w:val="24"/>
              </w:rPr>
              <w:pict>
                <v:group id="Group 147" o:spid="_x0000_s1201" style="width:15.6pt;height:15.6pt;margin-top:-0.15pt;margin-left:171.55pt;mso-height-relative:page;mso-width-relative:page;position:absolute;z-index:251660288" coordsize="720,468">
                  <v:rect id="Rectangle 148" o:spid="_x0000_s1202" style="width:720;height:468;position:absolute" coordsize="21600,21600" filled="f"/>
                  <v:line id="Line 149" o:spid="_x0000_s1203" style="position:absolute" from="0,156" to="720,156" coordsize="21600,21600"/>
                  <v:line id="Line 150" o:spid="_x0000_s1204" style="position:absolute" from="180,156" to="180,468" coordsize="21600,21600"/>
                  <v:line id="Line 151" o:spid="_x0000_s1205" style="position:absolute" from="360,156" to="360,468" coordsize="21600,21600"/>
                  <v:line id="Line 152" o:spid="_x0000_s1206" style="position:absolute" from="540,156" to="540,468" coordsize="21600,21600"/>
                </v:group>
              </w:pict>
            </w:r>
            <w:r>
              <w:rPr>
                <w:kern w:val="21"/>
                <w:sz w:val="24"/>
              </w:rPr>
              <w:pict>
                <v:shape id="AutoShape 153" o:spid="_x0000_s1207" type="#_x0000_t123" style="width:15.75pt;height:15.6pt;margin-top:0.95pt;margin-left:150.8pt;mso-height-relative:page;mso-width-relative:page;position:absolute;z-index:251659264" coordsize="21600,21600" filled="f"/>
              </w:pict>
            </w:r>
            <w:r>
              <w:rPr>
                <w:kern w:val="21"/>
                <w:sz w:val="24"/>
              </w:rPr>
              <w:pict>
                <v:shape id="AutoShape 154" o:spid="_x0000_s1208" type="#_x0000_t123" style="width:15.75pt;height:15.6pt;margin-top:4.05pt;margin-left:59.15pt;mso-height-relative:page;mso-width-relative:page;position:absolute;z-index:251663360" coordsize="21600,21600" filled="f"/>
              </w:pict>
            </w:r>
          </w:p>
          <w:p>
            <w:pPr>
              <w:tabs>
                <w:tab w:val="center" w:pos="4590"/>
              </w:tabs>
              <w:spacing w:line="360" w:lineRule="auto"/>
              <w:ind w:firstLine="2234" w:firstLineChars="931"/>
              <w:rPr>
                <w:b/>
                <w:sz w:val="24"/>
              </w:rPr>
            </w:pPr>
          </w:p>
          <w:p>
            <w:pPr>
              <w:tabs>
                <w:tab w:val="center" w:pos="4590"/>
              </w:tabs>
              <w:spacing w:line="360" w:lineRule="auto"/>
              <w:ind w:firstLine="2234" w:firstLineChars="931"/>
              <w:rPr>
                <w:rFonts w:ascii="宋体" w:hAnsi="宋体" w:cs="宋体"/>
                <w:b/>
                <w:kern w:val="21"/>
                <w:sz w:val="24"/>
                <w:szCs w:val="24"/>
              </w:rPr>
            </w:pPr>
            <w:r>
              <w:rPr>
                <w:rFonts w:ascii="宋体" w:hAnsi="宋体" w:cs="宋体" w:hint="eastAsia"/>
                <w:b/>
                <w:sz w:val="24"/>
                <w:szCs w:val="24"/>
              </w:rPr>
              <w:t xml:space="preserve"> </w:t>
            </w:r>
            <w:r>
              <w:rPr>
                <w:rFonts w:ascii="宋体" w:hAnsi="宋体" w:cs="宋体"/>
                <w:b/>
                <w:sz w:val="24"/>
                <w:szCs w:val="24"/>
              </w:rPr>
              <w:pict>
                <v:group id="Group 155" o:spid="_x0000_s1209" style="width:9pt;height:15.6pt;margin-top:22.25pt;margin-left:119.95pt;mso-height-relative:page;mso-width-relative:page;position:absolute;z-index:251665408" coordsize="360,468">
                  <v:shape id="AutoShape 156" o:spid="_x0000_s1210" type="#_x0000_t5" style="width:360;height:156;position:absolute" coordsize="21600,21600">
                    <v:stroke joinstyle="miter"/>
                  </v:shape>
                  <v:rect id="Rectangle 157" o:spid="_x0000_s1211" style="width:180;height:312;left:80;position:absolute;top:156" coordsize="21600,21600" filled="t" fillcolor="black"/>
                </v:group>
              </w:pict>
            </w:r>
            <w:r>
              <w:rPr>
                <w:rFonts w:ascii="宋体" w:hAnsi="宋体" w:cs="宋体"/>
                <w:b/>
                <w:sz w:val="24"/>
                <w:szCs w:val="24"/>
              </w:rPr>
              <w:pict>
                <v:shape id="AutoShape 158" o:spid="_x0000_s1212" type="#_x0000_t123" style="width:15.75pt;height:15.6pt;margin-top:22.3pt;margin-left:67.1pt;mso-height-relative:page;mso-width-relative:page;position:absolute;z-index:251666432" coordsize="21600,21600"/>
              </w:pict>
            </w:r>
            <w:r>
              <w:rPr>
                <w:rFonts w:ascii="宋体" w:hAnsi="宋体" w:cs="宋体" w:hint="eastAsia"/>
                <w:b/>
                <w:sz w:val="24"/>
                <w:szCs w:val="24"/>
              </w:rPr>
              <w:t>图</w:t>
            </w:r>
            <w:r>
              <w:rPr>
                <w:b/>
                <w:sz w:val="24"/>
                <w:szCs w:val="24"/>
              </w:rPr>
              <w:t>2</w:t>
            </w:r>
            <w:r>
              <w:rPr>
                <w:rFonts w:ascii="宋体" w:hAnsi="宋体" w:cs="宋体" w:hint="eastAsia"/>
                <w:b/>
                <w:sz w:val="24"/>
                <w:szCs w:val="24"/>
              </w:rPr>
              <w:t xml:space="preserve">  </w:t>
            </w:r>
            <w:r>
              <w:rPr>
                <w:rFonts w:ascii="宋体" w:hAnsi="宋体" w:cs="宋体" w:hint="eastAsia"/>
                <w:b/>
                <w:kern w:val="21"/>
                <w:sz w:val="24"/>
                <w:szCs w:val="24"/>
              </w:rPr>
              <w:t>营运期产污流程图</w:t>
            </w:r>
          </w:p>
          <w:p>
            <w:pPr>
              <w:spacing w:line="360" w:lineRule="auto"/>
              <w:rPr>
                <w:b/>
                <w:kern w:val="21"/>
                <w:sz w:val="24"/>
              </w:rPr>
            </w:pPr>
            <w:r>
              <w:rPr>
                <w:b/>
                <w:sz w:val="30"/>
              </w:rPr>
              <w:pict>
                <v:group id="Group 159" o:spid="_x0000_s1213" style="width:18pt;height:15.6pt;margin-top:0.2pt;margin-left:264.25pt;mso-height-relative:page;mso-width-relative:page;position:absolute;z-index:251664384" coordsize="360,312">
                  <v:oval id="Oval 160" o:spid="_x0000_s1214" style="width:360;height:312;position:absolute" coordsize="21600,21600" filled="f"/>
                  <v:shape id="未知" o:spid="_x0000_s1215" style="width:1;height:100;left:80;position:absolute;top:102" coordsize="1,100" path="m,hdc,33,,67,,100e" filled="f">
                    <v:path arrowok="t"/>
                  </v:shape>
                  <v:line id="Line 162" o:spid="_x0000_s1216" style="position:absolute" from="180,70" to="180,226" coordsize="21600,21600"/>
                  <v:shape id="未知" o:spid="_x0000_s1217" style="width:90;height:30;left:75;position:absolute;top:80" coordsize="90,30" path="m,30hdc33,19,52,,90,e" filled="f">
                    <v:path arrowok="t"/>
                  </v:shape>
                  <v:shape id="未知" o:spid="_x0000_s1218" style="width:82;height:38;left:83;position:absolute;top:192" coordsize="82,38" path="m,hdc23,16,68,22,82,38e" filled="f">
                    <v:path arrowok="t"/>
                  </v:shape>
                  <v:shape id="未知" o:spid="_x0000_s1219" style="width:38;height:23;left:225;position:absolute;top:57" coordsize="38,23" path="m,23hdc30,13,17,21,38,e" filled="f">
                    <v:path arrowok="t"/>
                  </v:shape>
                  <v:shape id="未知" o:spid="_x0000_s1220" style="width:60;height:1;left:218;position:absolute;top:140" coordsize="60,1" path="m,hdc20,,40,,60,e" filled="f">
                    <v:path arrowok="t"/>
                  </v:shape>
                  <v:shape id="未知" o:spid="_x0000_s1221" style="width:60;height:30;left:203;position:absolute;top:215" coordsize="60,30" path="m,hdc23,7,39,19,60,30e" filled="f">
                    <v:path arrowok="t"/>
                  </v:shape>
                </v:group>
              </w:pict>
            </w:r>
            <w:r>
              <w:rPr>
                <w:b/>
                <w:kern w:val="21"/>
                <w:sz w:val="28"/>
              </w:rPr>
              <w:pict>
                <v:group id="Group 168" o:spid="_x0000_s1222" style="width:15.6pt;height:11.05pt;margin-top:2.35pt;margin-left:200.85pt;mso-height-relative:page;mso-width-relative:page;position:absolute;z-index:251684864" coordsize="720,468">
                  <v:rect id="Rectangle 169" o:spid="_x0000_s1223" style="width:720;height:468;position:absolute" coordsize="21600,21600"/>
                  <v:line id="Line 170" o:spid="_x0000_s1224" style="position:absolute" from="0,156" to="720,156" coordsize="21600,21600"/>
                  <v:line id="Line 171" o:spid="_x0000_s1225" style="position:absolute" from="180,156" to="180,468" coordsize="21600,21600"/>
                  <v:line id="Line 172" o:spid="_x0000_s1226" style="position:absolute" from="360,156" to="360,468" coordsize="21600,21600"/>
                  <v:line id="Line 173" o:spid="_x0000_s1227" style="position:absolute" from="540,156" to="540,468" coordsize="21600,21600"/>
                </v:group>
              </w:pict>
            </w:r>
            <w:r>
              <w:rPr>
                <w:rFonts w:hAnsi="宋体"/>
                <w:b/>
                <w:kern w:val="21"/>
                <w:sz w:val="24"/>
              </w:rPr>
              <w:t>图例：废水</w:t>
            </w:r>
            <w:r>
              <w:rPr>
                <w:b/>
                <w:kern w:val="21"/>
                <w:sz w:val="24"/>
              </w:rPr>
              <w:t xml:space="preserve">     </w:t>
            </w:r>
            <w:r>
              <w:rPr>
                <w:rFonts w:hAnsi="宋体"/>
                <w:b/>
                <w:kern w:val="21"/>
                <w:sz w:val="24"/>
              </w:rPr>
              <w:t>废气</w:t>
            </w:r>
            <w:r>
              <w:rPr>
                <w:rFonts w:hAnsi="宋体" w:hint="eastAsia"/>
                <w:b/>
                <w:kern w:val="21"/>
                <w:sz w:val="24"/>
              </w:rPr>
              <w:t xml:space="preserve">     </w:t>
            </w:r>
            <w:r>
              <w:rPr>
                <w:b/>
                <w:sz w:val="24"/>
              </w:rPr>
              <w:pict>
                <v:shape id="AutoShape 174" o:spid="_x0000_s1228" type="#_x0000_t32" style="width:450pt;height:0.05pt;margin-top:21.15pt;margin-left:-4pt;mso-height-relative:page;mso-width-relative:page;position:absolute;z-index:251685888" coordsize="21600,21600" o:connectortype="straight" filled="f">
                  <v:path arrowok="t"/>
                </v:shape>
              </w:pict>
            </w:r>
            <w:r>
              <w:rPr>
                <w:rFonts w:hAnsi="宋体"/>
                <w:b/>
                <w:kern w:val="21"/>
                <w:sz w:val="24"/>
              </w:rPr>
              <w:t>固体废物</w:t>
            </w:r>
            <w:r>
              <w:rPr>
                <w:b/>
                <w:kern w:val="21"/>
                <w:sz w:val="24"/>
              </w:rPr>
              <w:t xml:space="preserve">       </w:t>
            </w:r>
            <w:r>
              <w:rPr>
                <w:rFonts w:hAnsi="宋体"/>
                <w:b/>
                <w:kern w:val="21"/>
                <w:sz w:val="24"/>
              </w:rPr>
              <w:t>噪声</w:t>
            </w:r>
          </w:p>
          <w:p>
            <w:pPr>
              <w:tabs>
                <w:tab w:val="left" w:pos="0"/>
                <w:tab w:val="left" w:pos="3744"/>
              </w:tabs>
              <w:spacing w:line="360" w:lineRule="auto"/>
              <w:rPr>
                <w:rFonts w:ascii="宋体" w:hAnsi="宋体" w:cs="宋体"/>
                <w:b/>
                <w:sz w:val="24"/>
              </w:rPr>
            </w:pPr>
            <w:r>
              <w:rPr>
                <w:rFonts w:ascii="宋体" w:hAnsi="宋体" w:cs="宋体" w:hint="eastAsia"/>
                <w:b/>
                <w:sz w:val="24"/>
                <w:szCs w:val="24"/>
              </w:rPr>
              <w:t>主要污染工序：</w:t>
            </w:r>
          </w:p>
          <w:p>
            <w:pPr>
              <w:spacing w:line="360" w:lineRule="auto"/>
              <w:ind w:firstLine="480" w:firstLineChars="200"/>
              <w:rPr>
                <w:rFonts w:ascii="宋体" w:hAnsi="宋体" w:cs="宋体"/>
                <w:b/>
                <w:bCs/>
                <w:kern w:val="21"/>
                <w:sz w:val="24"/>
              </w:rPr>
            </w:pPr>
            <w:r>
              <w:rPr>
                <w:rFonts w:ascii="宋体" w:hAnsi="宋体" w:cs="宋体" w:hint="eastAsia"/>
                <w:sz w:val="24"/>
              </w:rPr>
              <w:t>项目主要污染物种类、来源、排放方式等详见下表。</w:t>
            </w:r>
          </w:p>
          <w:p>
            <w:pPr>
              <w:spacing w:line="360" w:lineRule="auto"/>
              <w:jc w:val="center"/>
              <w:rPr>
                <w:rFonts w:ascii="宋体" w:hAnsi="宋体" w:cs="宋体"/>
                <w:b/>
                <w:bCs/>
                <w:kern w:val="21"/>
                <w:sz w:val="24"/>
              </w:rPr>
            </w:pPr>
            <w:r>
              <w:rPr>
                <w:rFonts w:ascii="宋体" w:hAnsi="宋体" w:cs="宋体" w:hint="eastAsia"/>
                <w:b/>
                <w:bCs/>
                <w:kern w:val="21"/>
                <w:sz w:val="24"/>
              </w:rPr>
              <w:t>表10  主要污染工序一览表</w:t>
            </w:r>
          </w:p>
          <w:tbl>
            <w:tblPr>
              <w:tblStyle w:val="TableNormal"/>
              <w:tblW w:w="881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1190"/>
              <w:gridCol w:w="1925"/>
              <w:gridCol w:w="3815"/>
              <w:gridCol w:w="1151"/>
            </w:tblGrid>
            <w:tr>
              <w:tblPrEx>
                <w:tblW w:w="881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cantSplit/>
                <w:jc w:val="center"/>
              </w:trPr>
              <w:tc>
                <w:tcPr>
                  <w:tcW w:w="729" w:type="dxa"/>
                  <w:tcBorders>
                    <w:tl2br w:val="nil"/>
                    <w:tr2bl w:val="nil"/>
                  </w:tcBorders>
                  <w:vAlign w:val="center"/>
                </w:tcPr>
                <w:p>
                  <w:pPr>
                    <w:jc w:val="center"/>
                    <w:rPr>
                      <w:b/>
                      <w:bCs/>
                      <w:kern w:val="18"/>
                      <w:szCs w:val="21"/>
                    </w:rPr>
                  </w:pPr>
                  <w:r>
                    <w:rPr>
                      <w:b/>
                      <w:bCs/>
                      <w:kern w:val="18"/>
                      <w:szCs w:val="21"/>
                    </w:rPr>
                    <w:t>时段</w:t>
                  </w:r>
                </w:p>
              </w:tc>
              <w:tc>
                <w:tcPr>
                  <w:tcW w:w="1190" w:type="dxa"/>
                  <w:tcBorders>
                    <w:tl2br w:val="nil"/>
                    <w:tr2bl w:val="nil"/>
                  </w:tcBorders>
                  <w:vAlign w:val="center"/>
                </w:tcPr>
                <w:p>
                  <w:pPr>
                    <w:jc w:val="center"/>
                    <w:rPr>
                      <w:b/>
                      <w:bCs/>
                      <w:kern w:val="18"/>
                      <w:szCs w:val="21"/>
                    </w:rPr>
                  </w:pPr>
                  <w:r>
                    <w:rPr>
                      <w:b/>
                      <w:bCs/>
                      <w:kern w:val="18"/>
                      <w:szCs w:val="21"/>
                    </w:rPr>
                    <w:t>污染因子</w:t>
                  </w:r>
                </w:p>
              </w:tc>
              <w:tc>
                <w:tcPr>
                  <w:tcW w:w="1925" w:type="dxa"/>
                  <w:tcBorders>
                    <w:tl2br w:val="nil"/>
                    <w:tr2bl w:val="nil"/>
                  </w:tcBorders>
                  <w:vAlign w:val="center"/>
                </w:tcPr>
                <w:p>
                  <w:pPr>
                    <w:jc w:val="center"/>
                    <w:rPr>
                      <w:b/>
                      <w:bCs/>
                      <w:kern w:val="18"/>
                      <w:szCs w:val="21"/>
                    </w:rPr>
                  </w:pPr>
                  <w:r>
                    <w:rPr>
                      <w:b/>
                      <w:bCs/>
                      <w:kern w:val="18"/>
                      <w:szCs w:val="21"/>
                    </w:rPr>
                    <w:t>来  源</w:t>
                  </w:r>
                </w:p>
              </w:tc>
              <w:tc>
                <w:tcPr>
                  <w:tcW w:w="3815" w:type="dxa"/>
                  <w:tcBorders>
                    <w:tl2br w:val="nil"/>
                    <w:tr2bl w:val="nil"/>
                  </w:tcBorders>
                  <w:vAlign w:val="center"/>
                </w:tcPr>
                <w:p>
                  <w:pPr>
                    <w:jc w:val="center"/>
                    <w:rPr>
                      <w:b/>
                      <w:bCs/>
                      <w:kern w:val="18"/>
                      <w:szCs w:val="21"/>
                    </w:rPr>
                  </w:pPr>
                  <w:r>
                    <w:rPr>
                      <w:b/>
                      <w:bCs/>
                      <w:kern w:val="18"/>
                      <w:szCs w:val="21"/>
                    </w:rPr>
                    <w:t>污染物种类</w:t>
                  </w:r>
                </w:p>
              </w:tc>
              <w:tc>
                <w:tcPr>
                  <w:tcW w:w="1151" w:type="dxa"/>
                  <w:tcBorders>
                    <w:tl2br w:val="nil"/>
                    <w:tr2bl w:val="nil"/>
                  </w:tcBorders>
                  <w:vAlign w:val="center"/>
                </w:tcPr>
                <w:p>
                  <w:pPr>
                    <w:jc w:val="center"/>
                    <w:rPr>
                      <w:b/>
                      <w:bCs/>
                      <w:kern w:val="18"/>
                      <w:szCs w:val="21"/>
                    </w:rPr>
                  </w:pPr>
                  <w:r>
                    <w:rPr>
                      <w:b/>
                      <w:bCs/>
                      <w:kern w:val="18"/>
                      <w:szCs w:val="21"/>
                    </w:rPr>
                    <w:t>排放方式</w:t>
                  </w:r>
                </w:p>
              </w:tc>
            </w:tr>
            <w:tr>
              <w:tblPrEx>
                <w:tblW w:w="8810" w:type="dxa"/>
                <w:jc w:val="center"/>
                <w:tblLayout w:type="fixed"/>
                <w:tblCellMar>
                  <w:top w:w="0" w:type="dxa"/>
                  <w:left w:w="108" w:type="dxa"/>
                  <w:bottom w:w="0" w:type="dxa"/>
                  <w:right w:w="108" w:type="dxa"/>
                </w:tblCellMar>
              </w:tblPrEx>
              <w:trPr>
                <w:cantSplit/>
                <w:trHeight w:val="316"/>
                <w:jc w:val="center"/>
              </w:trPr>
              <w:tc>
                <w:tcPr>
                  <w:tcW w:w="729" w:type="dxa"/>
                  <w:vMerge w:val="restart"/>
                  <w:tcBorders>
                    <w:tl2br w:val="nil"/>
                    <w:tr2bl w:val="nil"/>
                  </w:tcBorders>
                  <w:vAlign w:val="center"/>
                </w:tcPr>
                <w:p>
                  <w:pPr>
                    <w:jc w:val="center"/>
                    <w:rPr>
                      <w:kern w:val="18"/>
                      <w:szCs w:val="21"/>
                    </w:rPr>
                  </w:pPr>
                  <w:r>
                    <w:rPr>
                      <w:kern w:val="18"/>
                      <w:szCs w:val="21"/>
                    </w:rPr>
                    <w:t>施</w:t>
                  </w:r>
                </w:p>
                <w:p>
                  <w:pPr>
                    <w:jc w:val="center"/>
                    <w:rPr>
                      <w:kern w:val="18"/>
                      <w:szCs w:val="21"/>
                    </w:rPr>
                  </w:pPr>
                  <w:r>
                    <w:rPr>
                      <w:kern w:val="18"/>
                      <w:szCs w:val="21"/>
                    </w:rPr>
                    <w:t>工</w:t>
                  </w:r>
                </w:p>
                <w:p>
                  <w:pPr>
                    <w:jc w:val="center"/>
                    <w:rPr>
                      <w:kern w:val="18"/>
                      <w:szCs w:val="21"/>
                    </w:rPr>
                  </w:pPr>
                  <w:r>
                    <w:rPr>
                      <w:kern w:val="18"/>
                      <w:szCs w:val="21"/>
                    </w:rPr>
                    <w:t>期</w:t>
                  </w:r>
                </w:p>
              </w:tc>
              <w:tc>
                <w:tcPr>
                  <w:tcW w:w="1190" w:type="dxa"/>
                  <w:tcBorders>
                    <w:tl2br w:val="nil"/>
                    <w:tr2bl w:val="nil"/>
                  </w:tcBorders>
                  <w:vAlign w:val="center"/>
                </w:tcPr>
                <w:p>
                  <w:pPr>
                    <w:jc w:val="center"/>
                    <w:rPr>
                      <w:kern w:val="18"/>
                      <w:szCs w:val="21"/>
                    </w:rPr>
                  </w:pPr>
                  <w:r>
                    <w:rPr>
                      <w:kern w:val="18"/>
                      <w:szCs w:val="21"/>
                    </w:rPr>
                    <w:t>废气</w:t>
                  </w:r>
                </w:p>
              </w:tc>
              <w:tc>
                <w:tcPr>
                  <w:tcW w:w="1925" w:type="dxa"/>
                  <w:tcBorders>
                    <w:tl2br w:val="nil"/>
                    <w:tr2bl w:val="nil"/>
                  </w:tcBorders>
                  <w:vAlign w:val="center"/>
                </w:tcPr>
                <w:p>
                  <w:pPr>
                    <w:jc w:val="center"/>
                    <w:rPr>
                      <w:kern w:val="18"/>
                      <w:szCs w:val="21"/>
                    </w:rPr>
                  </w:pPr>
                  <w:r>
                    <w:rPr>
                      <w:kern w:val="18"/>
                      <w:szCs w:val="21"/>
                    </w:rPr>
                    <w:t>施工过程</w:t>
                  </w:r>
                </w:p>
              </w:tc>
              <w:tc>
                <w:tcPr>
                  <w:tcW w:w="3815" w:type="dxa"/>
                  <w:tcBorders>
                    <w:tl2br w:val="nil"/>
                    <w:tr2bl w:val="nil"/>
                  </w:tcBorders>
                  <w:vAlign w:val="center"/>
                </w:tcPr>
                <w:p>
                  <w:pPr>
                    <w:jc w:val="center"/>
                    <w:rPr>
                      <w:kern w:val="18"/>
                      <w:szCs w:val="21"/>
                    </w:rPr>
                  </w:pPr>
                  <w:r>
                    <w:rPr>
                      <w:kern w:val="18"/>
                      <w:szCs w:val="21"/>
                    </w:rPr>
                    <w:t>扬尘、施工机械尾气、装修有机废气</w:t>
                  </w:r>
                </w:p>
              </w:tc>
              <w:tc>
                <w:tcPr>
                  <w:tcW w:w="1151" w:type="dxa"/>
                  <w:tcBorders>
                    <w:tl2br w:val="nil"/>
                    <w:tr2bl w:val="nil"/>
                  </w:tcBorders>
                  <w:vAlign w:val="center"/>
                </w:tcPr>
                <w:p>
                  <w:pPr>
                    <w:jc w:val="center"/>
                    <w:rPr>
                      <w:kern w:val="18"/>
                      <w:szCs w:val="21"/>
                    </w:rPr>
                  </w:pPr>
                  <w:r>
                    <w:rPr>
                      <w:kern w:val="18"/>
                      <w:szCs w:val="21"/>
                    </w:rPr>
                    <w:t>间断、无组织</w:t>
                  </w:r>
                </w:p>
              </w:tc>
            </w:tr>
            <w:tr>
              <w:tblPrEx>
                <w:tblW w:w="8810" w:type="dxa"/>
                <w:jc w:val="center"/>
                <w:tblLayout w:type="fixed"/>
                <w:tblCellMar>
                  <w:top w:w="0" w:type="dxa"/>
                  <w:left w:w="108" w:type="dxa"/>
                  <w:bottom w:w="0" w:type="dxa"/>
                  <w:right w:w="108" w:type="dxa"/>
                </w:tblCellMar>
              </w:tblPrEx>
              <w:trPr>
                <w:cantSplit/>
                <w:trHeight w:val="356"/>
                <w:jc w:val="center"/>
              </w:trPr>
              <w:tc>
                <w:tcPr>
                  <w:tcW w:w="729" w:type="dxa"/>
                  <w:vMerge/>
                  <w:tcBorders>
                    <w:tl2br w:val="nil"/>
                    <w:tr2bl w:val="nil"/>
                  </w:tcBorders>
                  <w:vAlign w:val="center"/>
                </w:tcPr>
                <w:p>
                  <w:pPr>
                    <w:jc w:val="center"/>
                    <w:rPr>
                      <w:kern w:val="18"/>
                      <w:szCs w:val="21"/>
                    </w:rPr>
                  </w:pPr>
                </w:p>
              </w:tc>
              <w:tc>
                <w:tcPr>
                  <w:tcW w:w="1190" w:type="dxa"/>
                  <w:tcBorders>
                    <w:tl2br w:val="nil"/>
                    <w:tr2bl w:val="nil"/>
                  </w:tcBorders>
                  <w:vAlign w:val="center"/>
                </w:tcPr>
                <w:p>
                  <w:pPr>
                    <w:jc w:val="center"/>
                    <w:rPr>
                      <w:kern w:val="18"/>
                      <w:szCs w:val="21"/>
                    </w:rPr>
                  </w:pPr>
                  <w:r>
                    <w:rPr>
                      <w:kern w:val="18"/>
                      <w:szCs w:val="21"/>
                    </w:rPr>
                    <w:t>废水</w:t>
                  </w:r>
                </w:p>
              </w:tc>
              <w:tc>
                <w:tcPr>
                  <w:tcW w:w="1925" w:type="dxa"/>
                  <w:tcBorders>
                    <w:tl2br w:val="nil"/>
                    <w:tr2bl w:val="nil"/>
                  </w:tcBorders>
                  <w:vAlign w:val="center"/>
                </w:tcPr>
                <w:p>
                  <w:pPr>
                    <w:jc w:val="center"/>
                    <w:rPr>
                      <w:kern w:val="18"/>
                      <w:szCs w:val="21"/>
                    </w:rPr>
                  </w:pPr>
                  <w:r>
                    <w:rPr>
                      <w:kern w:val="18"/>
                      <w:szCs w:val="21"/>
                    </w:rPr>
                    <w:t>施工过程</w:t>
                  </w:r>
                </w:p>
              </w:tc>
              <w:tc>
                <w:tcPr>
                  <w:tcW w:w="3815" w:type="dxa"/>
                  <w:tcBorders>
                    <w:tl2br w:val="nil"/>
                    <w:tr2bl w:val="nil"/>
                  </w:tcBorders>
                  <w:vAlign w:val="center"/>
                </w:tcPr>
                <w:p>
                  <w:pPr>
                    <w:jc w:val="center"/>
                    <w:rPr>
                      <w:kern w:val="18"/>
                      <w:szCs w:val="21"/>
                    </w:rPr>
                  </w:pPr>
                  <w:r>
                    <w:rPr>
                      <w:kern w:val="18"/>
                      <w:szCs w:val="21"/>
                    </w:rPr>
                    <w:t>CODcr、BOD</w:t>
                  </w:r>
                  <w:r>
                    <w:rPr>
                      <w:kern w:val="18"/>
                      <w:szCs w:val="21"/>
                      <w:vertAlign w:val="subscript"/>
                    </w:rPr>
                    <w:t>5</w:t>
                  </w:r>
                  <w:r>
                    <w:rPr>
                      <w:kern w:val="18"/>
                      <w:szCs w:val="21"/>
                    </w:rPr>
                    <w:t>、SS、NH</w:t>
                  </w:r>
                  <w:r>
                    <w:rPr>
                      <w:kern w:val="18"/>
                      <w:szCs w:val="21"/>
                      <w:vertAlign w:val="subscript"/>
                    </w:rPr>
                    <w:t>3</w:t>
                  </w:r>
                  <w:r>
                    <w:rPr>
                      <w:kern w:val="18"/>
                      <w:szCs w:val="21"/>
                    </w:rPr>
                    <w:t>-N、石油类</w:t>
                  </w:r>
                </w:p>
              </w:tc>
              <w:tc>
                <w:tcPr>
                  <w:tcW w:w="1151" w:type="dxa"/>
                  <w:tcBorders>
                    <w:tl2br w:val="nil"/>
                    <w:tr2bl w:val="nil"/>
                  </w:tcBorders>
                  <w:vAlign w:val="center"/>
                </w:tcPr>
                <w:p>
                  <w:pPr>
                    <w:jc w:val="center"/>
                    <w:rPr>
                      <w:kern w:val="18"/>
                      <w:szCs w:val="21"/>
                    </w:rPr>
                  </w:pPr>
                  <w:r>
                    <w:rPr>
                      <w:kern w:val="18"/>
                      <w:szCs w:val="21"/>
                    </w:rPr>
                    <w:t>连续</w:t>
                  </w:r>
                </w:p>
              </w:tc>
            </w:tr>
            <w:tr>
              <w:tblPrEx>
                <w:tblW w:w="8810" w:type="dxa"/>
                <w:jc w:val="center"/>
                <w:tblLayout w:type="fixed"/>
                <w:tblCellMar>
                  <w:top w:w="0" w:type="dxa"/>
                  <w:left w:w="108" w:type="dxa"/>
                  <w:bottom w:w="0" w:type="dxa"/>
                  <w:right w:w="108" w:type="dxa"/>
                </w:tblCellMar>
              </w:tblPrEx>
              <w:trPr>
                <w:cantSplit/>
                <w:trHeight w:val="319"/>
                <w:jc w:val="center"/>
              </w:trPr>
              <w:tc>
                <w:tcPr>
                  <w:tcW w:w="729" w:type="dxa"/>
                  <w:vMerge/>
                  <w:tcBorders>
                    <w:tl2br w:val="nil"/>
                    <w:tr2bl w:val="nil"/>
                  </w:tcBorders>
                  <w:vAlign w:val="center"/>
                </w:tcPr>
                <w:p>
                  <w:pPr>
                    <w:jc w:val="center"/>
                    <w:rPr>
                      <w:kern w:val="18"/>
                      <w:szCs w:val="21"/>
                    </w:rPr>
                  </w:pPr>
                </w:p>
              </w:tc>
              <w:tc>
                <w:tcPr>
                  <w:tcW w:w="1190" w:type="dxa"/>
                  <w:tcBorders>
                    <w:tl2br w:val="nil"/>
                    <w:tr2bl w:val="nil"/>
                  </w:tcBorders>
                  <w:vAlign w:val="center"/>
                </w:tcPr>
                <w:p>
                  <w:pPr>
                    <w:jc w:val="center"/>
                    <w:rPr>
                      <w:kern w:val="18"/>
                      <w:szCs w:val="21"/>
                    </w:rPr>
                  </w:pPr>
                  <w:r>
                    <w:rPr>
                      <w:kern w:val="18"/>
                      <w:szCs w:val="21"/>
                    </w:rPr>
                    <w:t>噪声</w:t>
                  </w:r>
                </w:p>
              </w:tc>
              <w:tc>
                <w:tcPr>
                  <w:tcW w:w="1925" w:type="dxa"/>
                  <w:tcBorders>
                    <w:tl2br w:val="nil"/>
                    <w:tr2bl w:val="nil"/>
                  </w:tcBorders>
                  <w:vAlign w:val="center"/>
                </w:tcPr>
                <w:p>
                  <w:pPr>
                    <w:jc w:val="center"/>
                    <w:rPr>
                      <w:kern w:val="18"/>
                      <w:szCs w:val="21"/>
                    </w:rPr>
                  </w:pPr>
                  <w:r>
                    <w:rPr>
                      <w:kern w:val="18"/>
                      <w:szCs w:val="21"/>
                    </w:rPr>
                    <w:t>施工机械</w:t>
                  </w:r>
                </w:p>
              </w:tc>
              <w:tc>
                <w:tcPr>
                  <w:tcW w:w="3815" w:type="dxa"/>
                  <w:tcBorders>
                    <w:tl2br w:val="nil"/>
                    <w:tr2bl w:val="nil"/>
                  </w:tcBorders>
                  <w:vAlign w:val="center"/>
                </w:tcPr>
                <w:p>
                  <w:pPr>
                    <w:jc w:val="center"/>
                    <w:rPr>
                      <w:kern w:val="18"/>
                      <w:szCs w:val="21"/>
                    </w:rPr>
                  </w:pPr>
                  <w:r>
                    <w:rPr>
                      <w:kern w:val="18"/>
                      <w:szCs w:val="21"/>
                    </w:rPr>
                    <w:t>机械噪声</w:t>
                  </w:r>
                </w:p>
              </w:tc>
              <w:tc>
                <w:tcPr>
                  <w:tcW w:w="1151" w:type="dxa"/>
                  <w:tcBorders>
                    <w:tl2br w:val="nil"/>
                    <w:tr2bl w:val="nil"/>
                  </w:tcBorders>
                  <w:vAlign w:val="center"/>
                </w:tcPr>
                <w:p>
                  <w:pPr>
                    <w:jc w:val="center"/>
                    <w:rPr>
                      <w:kern w:val="18"/>
                      <w:szCs w:val="21"/>
                    </w:rPr>
                  </w:pPr>
                  <w:r>
                    <w:rPr>
                      <w:kern w:val="18"/>
                      <w:szCs w:val="21"/>
                    </w:rPr>
                    <w:t>连续</w:t>
                  </w:r>
                </w:p>
              </w:tc>
            </w:tr>
            <w:tr>
              <w:tblPrEx>
                <w:tblW w:w="8810" w:type="dxa"/>
                <w:jc w:val="center"/>
                <w:tblLayout w:type="fixed"/>
                <w:tblCellMar>
                  <w:top w:w="0" w:type="dxa"/>
                  <w:left w:w="108" w:type="dxa"/>
                  <w:bottom w:w="0" w:type="dxa"/>
                  <w:right w:w="108" w:type="dxa"/>
                </w:tblCellMar>
              </w:tblPrEx>
              <w:trPr>
                <w:cantSplit/>
                <w:trHeight w:val="302"/>
                <w:jc w:val="center"/>
              </w:trPr>
              <w:tc>
                <w:tcPr>
                  <w:tcW w:w="729" w:type="dxa"/>
                  <w:vMerge/>
                  <w:tcBorders>
                    <w:tl2br w:val="nil"/>
                    <w:tr2bl w:val="nil"/>
                  </w:tcBorders>
                  <w:vAlign w:val="center"/>
                </w:tcPr>
                <w:p>
                  <w:pPr>
                    <w:jc w:val="center"/>
                    <w:rPr>
                      <w:kern w:val="18"/>
                      <w:szCs w:val="21"/>
                    </w:rPr>
                  </w:pPr>
                </w:p>
              </w:tc>
              <w:tc>
                <w:tcPr>
                  <w:tcW w:w="1190" w:type="dxa"/>
                  <w:tcBorders>
                    <w:tl2br w:val="nil"/>
                    <w:tr2bl w:val="nil"/>
                  </w:tcBorders>
                  <w:vAlign w:val="center"/>
                </w:tcPr>
                <w:p>
                  <w:pPr>
                    <w:jc w:val="center"/>
                    <w:rPr>
                      <w:kern w:val="18"/>
                      <w:szCs w:val="21"/>
                    </w:rPr>
                  </w:pPr>
                  <w:r>
                    <w:rPr>
                      <w:kern w:val="18"/>
                      <w:szCs w:val="21"/>
                    </w:rPr>
                    <w:t>固体废物</w:t>
                  </w:r>
                </w:p>
              </w:tc>
              <w:tc>
                <w:tcPr>
                  <w:tcW w:w="1925" w:type="dxa"/>
                  <w:tcBorders>
                    <w:tl2br w:val="nil"/>
                    <w:tr2bl w:val="nil"/>
                  </w:tcBorders>
                  <w:vAlign w:val="center"/>
                </w:tcPr>
                <w:p>
                  <w:pPr>
                    <w:jc w:val="center"/>
                    <w:rPr>
                      <w:kern w:val="18"/>
                      <w:szCs w:val="21"/>
                    </w:rPr>
                  </w:pPr>
                  <w:r>
                    <w:rPr>
                      <w:kern w:val="18"/>
                      <w:szCs w:val="21"/>
                    </w:rPr>
                    <w:t>施工过程</w:t>
                  </w:r>
                </w:p>
              </w:tc>
              <w:tc>
                <w:tcPr>
                  <w:tcW w:w="3815" w:type="dxa"/>
                  <w:tcBorders>
                    <w:tl2br w:val="nil"/>
                    <w:tr2bl w:val="nil"/>
                  </w:tcBorders>
                  <w:vAlign w:val="center"/>
                </w:tcPr>
                <w:p>
                  <w:pPr>
                    <w:jc w:val="center"/>
                    <w:rPr>
                      <w:kern w:val="18"/>
                      <w:szCs w:val="21"/>
                    </w:rPr>
                  </w:pPr>
                  <w:r>
                    <w:rPr>
                      <w:kern w:val="18"/>
                      <w:szCs w:val="21"/>
                    </w:rPr>
                    <w:t>施工余土、建筑垃圾、生活垃圾</w:t>
                  </w:r>
                </w:p>
              </w:tc>
              <w:tc>
                <w:tcPr>
                  <w:tcW w:w="1151" w:type="dxa"/>
                  <w:tcBorders>
                    <w:tl2br w:val="nil"/>
                    <w:tr2bl w:val="nil"/>
                  </w:tcBorders>
                  <w:vAlign w:val="center"/>
                </w:tcPr>
                <w:p>
                  <w:pPr>
                    <w:jc w:val="center"/>
                    <w:rPr>
                      <w:kern w:val="18"/>
                      <w:szCs w:val="21"/>
                    </w:rPr>
                  </w:pPr>
                  <w:r>
                    <w:rPr>
                      <w:kern w:val="18"/>
                      <w:szCs w:val="21"/>
                    </w:rPr>
                    <w:t>间断</w:t>
                  </w:r>
                </w:p>
              </w:tc>
            </w:tr>
            <w:tr>
              <w:tblPrEx>
                <w:tblW w:w="8810" w:type="dxa"/>
                <w:jc w:val="center"/>
                <w:tblLayout w:type="fixed"/>
                <w:tblCellMar>
                  <w:top w:w="0" w:type="dxa"/>
                  <w:left w:w="108" w:type="dxa"/>
                  <w:bottom w:w="0" w:type="dxa"/>
                  <w:right w:w="108" w:type="dxa"/>
                </w:tblCellMar>
              </w:tblPrEx>
              <w:trPr>
                <w:cantSplit/>
                <w:trHeight w:val="452"/>
                <w:jc w:val="center"/>
              </w:trPr>
              <w:tc>
                <w:tcPr>
                  <w:tcW w:w="729" w:type="dxa"/>
                  <w:vMerge w:val="restart"/>
                  <w:tcBorders>
                    <w:tl2br w:val="nil"/>
                    <w:tr2bl w:val="nil"/>
                  </w:tcBorders>
                  <w:vAlign w:val="center"/>
                </w:tcPr>
                <w:p>
                  <w:pPr>
                    <w:jc w:val="center"/>
                    <w:rPr>
                      <w:kern w:val="18"/>
                      <w:szCs w:val="21"/>
                    </w:rPr>
                  </w:pPr>
                  <w:r>
                    <w:rPr>
                      <w:kern w:val="18"/>
                      <w:szCs w:val="21"/>
                    </w:rPr>
                    <w:t>营</w:t>
                  </w:r>
                </w:p>
                <w:p>
                  <w:pPr>
                    <w:jc w:val="center"/>
                    <w:rPr>
                      <w:kern w:val="18"/>
                      <w:szCs w:val="21"/>
                    </w:rPr>
                  </w:pPr>
                  <w:r>
                    <w:rPr>
                      <w:kern w:val="18"/>
                      <w:szCs w:val="21"/>
                    </w:rPr>
                    <w:t>运</w:t>
                  </w:r>
                </w:p>
                <w:p>
                  <w:pPr>
                    <w:jc w:val="center"/>
                    <w:rPr>
                      <w:kern w:val="18"/>
                      <w:szCs w:val="21"/>
                    </w:rPr>
                  </w:pPr>
                  <w:r>
                    <w:rPr>
                      <w:kern w:val="18"/>
                      <w:szCs w:val="21"/>
                    </w:rPr>
                    <w:t>期</w:t>
                  </w:r>
                </w:p>
              </w:tc>
              <w:tc>
                <w:tcPr>
                  <w:tcW w:w="1190" w:type="dxa"/>
                  <w:vMerge w:val="restart"/>
                  <w:tcBorders>
                    <w:tl2br w:val="nil"/>
                    <w:tr2bl w:val="nil"/>
                  </w:tcBorders>
                  <w:vAlign w:val="center"/>
                </w:tcPr>
                <w:p>
                  <w:pPr>
                    <w:jc w:val="center"/>
                    <w:rPr>
                      <w:kern w:val="18"/>
                      <w:szCs w:val="21"/>
                    </w:rPr>
                  </w:pPr>
                  <w:r>
                    <w:rPr>
                      <w:kern w:val="18"/>
                      <w:szCs w:val="21"/>
                    </w:rPr>
                    <w:t>废气</w:t>
                  </w:r>
                </w:p>
              </w:tc>
              <w:tc>
                <w:tcPr>
                  <w:tcW w:w="1925" w:type="dxa"/>
                  <w:tcBorders>
                    <w:tl2br w:val="nil"/>
                    <w:tr2bl w:val="nil"/>
                  </w:tcBorders>
                  <w:vAlign w:val="center"/>
                </w:tcPr>
                <w:p>
                  <w:pPr>
                    <w:jc w:val="center"/>
                    <w:rPr>
                      <w:kern w:val="18"/>
                      <w:szCs w:val="21"/>
                    </w:rPr>
                  </w:pPr>
                  <w:r>
                    <w:rPr>
                      <w:kern w:val="18"/>
                      <w:szCs w:val="21"/>
                    </w:rPr>
                    <w:t>停车场</w:t>
                  </w:r>
                </w:p>
              </w:tc>
              <w:tc>
                <w:tcPr>
                  <w:tcW w:w="3815" w:type="dxa"/>
                  <w:tcBorders>
                    <w:tl2br w:val="nil"/>
                    <w:tr2bl w:val="nil"/>
                  </w:tcBorders>
                  <w:vAlign w:val="center"/>
                </w:tcPr>
                <w:p>
                  <w:pPr>
                    <w:jc w:val="center"/>
                    <w:rPr>
                      <w:kern w:val="18"/>
                      <w:szCs w:val="21"/>
                    </w:rPr>
                  </w:pPr>
                  <w:r>
                    <w:rPr>
                      <w:kern w:val="18"/>
                      <w:szCs w:val="21"/>
                    </w:rPr>
                    <w:t>汽车尾气（CO、NOx和碳氢化合物(HC)）</w:t>
                  </w:r>
                </w:p>
              </w:tc>
              <w:tc>
                <w:tcPr>
                  <w:tcW w:w="1151" w:type="dxa"/>
                  <w:tcBorders>
                    <w:tl2br w:val="nil"/>
                    <w:tr2bl w:val="nil"/>
                  </w:tcBorders>
                  <w:vAlign w:val="center"/>
                </w:tcPr>
                <w:p>
                  <w:pPr>
                    <w:jc w:val="center"/>
                    <w:rPr>
                      <w:kern w:val="18"/>
                      <w:szCs w:val="21"/>
                    </w:rPr>
                  </w:pPr>
                  <w:r>
                    <w:rPr>
                      <w:kern w:val="18"/>
                      <w:szCs w:val="21"/>
                    </w:rPr>
                    <w:t>有组织</w:t>
                  </w:r>
                </w:p>
              </w:tc>
            </w:tr>
            <w:tr>
              <w:tblPrEx>
                <w:tblW w:w="8810" w:type="dxa"/>
                <w:jc w:val="center"/>
                <w:tblLayout w:type="fixed"/>
                <w:tblCellMar>
                  <w:top w:w="0" w:type="dxa"/>
                  <w:left w:w="108" w:type="dxa"/>
                  <w:bottom w:w="0" w:type="dxa"/>
                  <w:right w:w="108" w:type="dxa"/>
                </w:tblCellMar>
              </w:tblPrEx>
              <w:trPr>
                <w:cantSplit/>
                <w:trHeight w:val="281"/>
                <w:jc w:val="center"/>
              </w:trPr>
              <w:tc>
                <w:tcPr>
                  <w:tcW w:w="729" w:type="dxa"/>
                  <w:vMerge/>
                  <w:tcBorders>
                    <w:tl2br w:val="nil"/>
                    <w:tr2bl w:val="nil"/>
                  </w:tcBorders>
                  <w:vAlign w:val="center"/>
                </w:tcPr>
                <w:p>
                  <w:pPr>
                    <w:jc w:val="center"/>
                    <w:rPr>
                      <w:kern w:val="18"/>
                      <w:szCs w:val="21"/>
                    </w:rPr>
                  </w:pPr>
                </w:p>
              </w:tc>
              <w:tc>
                <w:tcPr>
                  <w:tcW w:w="1190" w:type="dxa"/>
                  <w:vMerge/>
                  <w:tcBorders>
                    <w:tl2br w:val="nil"/>
                    <w:tr2bl w:val="nil"/>
                  </w:tcBorders>
                  <w:vAlign w:val="center"/>
                </w:tcPr>
                <w:p>
                  <w:pPr>
                    <w:jc w:val="center"/>
                    <w:rPr>
                      <w:kern w:val="18"/>
                      <w:szCs w:val="21"/>
                    </w:rPr>
                  </w:pPr>
                </w:p>
              </w:tc>
              <w:tc>
                <w:tcPr>
                  <w:tcW w:w="1925" w:type="dxa"/>
                  <w:tcBorders>
                    <w:tl2br w:val="nil"/>
                    <w:tr2bl w:val="nil"/>
                  </w:tcBorders>
                  <w:vAlign w:val="center"/>
                </w:tcPr>
                <w:p>
                  <w:pPr>
                    <w:jc w:val="center"/>
                    <w:rPr>
                      <w:kern w:val="18"/>
                      <w:szCs w:val="21"/>
                    </w:rPr>
                  </w:pPr>
                  <w:r>
                    <w:rPr>
                      <w:kern w:val="18"/>
                      <w:szCs w:val="21"/>
                    </w:rPr>
                    <w:t>发电机</w:t>
                  </w:r>
                </w:p>
              </w:tc>
              <w:tc>
                <w:tcPr>
                  <w:tcW w:w="3815" w:type="dxa"/>
                  <w:tcBorders>
                    <w:tl2br w:val="nil"/>
                    <w:tr2bl w:val="nil"/>
                  </w:tcBorders>
                  <w:vAlign w:val="center"/>
                </w:tcPr>
                <w:p>
                  <w:pPr>
                    <w:jc w:val="center"/>
                    <w:rPr>
                      <w:kern w:val="18"/>
                      <w:szCs w:val="21"/>
                    </w:rPr>
                  </w:pPr>
                  <w:r>
                    <w:rPr>
                      <w:kern w:val="18"/>
                      <w:szCs w:val="21"/>
                    </w:rPr>
                    <w:t>备用发电机尾气</w:t>
                  </w:r>
                </w:p>
              </w:tc>
              <w:tc>
                <w:tcPr>
                  <w:tcW w:w="1151" w:type="dxa"/>
                  <w:tcBorders>
                    <w:tl2br w:val="nil"/>
                    <w:tr2bl w:val="nil"/>
                  </w:tcBorders>
                  <w:vAlign w:val="center"/>
                </w:tcPr>
                <w:p>
                  <w:pPr>
                    <w:jc w:val="center"/>
                    <w:rPr>
                      <w:kern w:val="18"/>
                      <w:szCs w:val="21"/>
                    </w:rPr>
                  </w:pPr>
                  <w:r>
                    <w:rPr>
                      <w:kern w:val="18"/>
                      <w:szCs w:val="21"/>
                    </w:rPr>
                    <w:t>无组织</w:t>
                  </w:r>
                </w:p>
              </w:tc>
            </w:tr>
            <w:tr>
              <w:tblPrEx>
                <w:tblW w:w="8810" w:type="dxa"/>
                <w:jc w:val="center"/>
                <w:tblLayout w:type="fixed"/>
                <w:tblCellMar>
                  <w:top w:w="0" w:type="dxa"/>
                  <w:left w:w="108" w:type="dxa"/>
                  <w:bottom w:w="0" w:type="dxa"/>
                  <w:right w:w="108" w:type="dxa"/>
                </w:tblCellMar>
              </w:tblPrEx>
              <w:trPr>
                <w:cantSplit/>
                <w:trHeight w:val="386"/>
                <w:jc w:val="center"/>
              </w:trPr>
              <w:tc>
                <w:tcPr>
                  <w:tcW w:w="729" w:type="dxa"/>
                  <w:vMerge/>
                  <w:tcBorders>
                    <w:tl2br w:val="nil"/>
                    <w:tr2bl w:val="nil"/>
                  </w:tcBorders>
                  <w:vAlign w:val="center"/>
                </w:tcPr>
                <w:p>
                  <w:pPr>
                    <w:jc w:val="center"/>
                    <w:rPr>
                      <w:kern w:val="18"/>
                      <w:szCs w:val="21"/>
                    </w:rPr>
                  </w:pPr>
                </w:p>
              </w:tc>
              <w:tc>
                <w:tcPr>
                  <w:tcW w:w="1190" w:type="dxa"/>
                  <w:tcBorders>
                    <w:tl2br w:val="nil"/>
                    <w:tr2bl w:val="nil"/>
                  </w:tcBorders>
                  <w:vAlign w:val="center"/>
                </w:tcPr>
                <w:p>
                  <w:pPr>
                    <w:jc w:val="center"/>
                    <w:rPr>
                      <w:kern w:val="18"/>
                      <w:szCs w:val="21"/>
                    </w:rPr>
                  </w:pPr>
                  <w:r>
                    <w:rPr>
                      <w:kern w:val="18"/>
                      <w:szCs w:val="21"/>
                    </w:rPr>
                    <w:t>废水</w:t>
                  </w:r>
                </w:p>
              </w:tc>
              <w:tc>
                <w:tcPr>
                  <w:tcW w:w="1925" w:type="dxa"/>
                  <w:tcBorders>
                    <w:tl2br w:val="nil"/>
                    <w:tr2bl w:val="nil"/>
                  </w:tcBorders>
                  <w:vAlign w:val="center"/>
                </w:tcPr>
                <w:p>
                  <w:pPr>
                    <w:jc w:val="center"/>
                    <w:rPr>
                      <w:kern w:val="18"/>
                      <w:szCs w:val="21"/>
                    </w:rPr>
                  </w:pPr>
                  <w:r>
                    <w:rPr>
                      <w:rFonts w:hint="eastAsia"/>
                      <w:kern w:val="18"/>
                      <w:szCs w:val="21"/>
                    </w:rPr>
                    <w:t>酒店</w:t>
                  </w:r>
                  <w:r>
                    <w:rPr>
                      <w:kern w:val="18"/>
                      <w:szCs w:val="21"/>
                    </w:rPr>
                    <w:t>、办公、商业</w:t>
                  </w:r>
                </w:p>
              </w:tc>
              <w:tc>
                <w:tcPr>
                  <w:tcW w:w="3815" w:type="dxa"/>
                  <w:tcBorders>
                    <w:tl2br w:val="nil"/>
                    <w:tr2bl w:val="nil"/>
                  </w:tcBorders>
                  <w:vAlign w:val="center"/>
                </w:tcPr>
                <w:p>
                  <w:pPr>
                    <w:jc w:val="center"/>
                    <w:rPr>
                      <w:kern w:val="18"/>
                      <w:szCs w:val="21"/>
                    </w:rPr>
                  </w:pPr>
                  <w:r>
                    <w:rPr>
                      <w:kern w:val="18"/>
                      <w:szCs w:val="21"/>
                    </w:rPr>
                    <w:t>CODcr、BOD</w:t>
                  </w:r>
                  <w:r>
                    <w:rPr>
                      <w:kern w:val="18"/>
                      <w:szCs w:val="21"/>
                      <w:vertAlign w:val="subscript"/>
                    </w:rPr>
                    <w:t>5</w:t>
                  </w:r>
                  <w:r>
                    <w:rPr>
                      <w:kern w:val="18"/>
                      <w:szCs w:val="21"/>
                    </w:rPr>
                    <w:t>、SS、NH</w:t>
                  </w:r>
                  <w:r>
                    <w:rPr>
                      <w:kern w:val="18"/>
                      <w:szCs w:val="21"/>
                      <w:vertAlign w:val="subscript"/>
                    </w:rPr>
                    <w:t>3</w:t>
                  </w:r>
                  <w:r>
                    <w:rPr>
                      <w:kern w:val="18"/>
                      <w:szCs w:val="21"/>
                    </w:rPr>
                    <w:t>-N、</w:t>
                  </w:r>
                  <w:r>
                    <w:rPr>
                      <w:rFonts w:hint="eastAsia"/>
                      <w:kern w:val="18"/>
                      <w:szCs w:val="21"/>
                    </w:rPr>
                    <w:t>TP、LAS、</w:t>
                  </w:r>
                  <w:r>
                    <w:rPr>
                      <w:kern w:val="18"/>
                      <w:szCs w:val="21"/>
                    </w:rPr>
                    <w:t>动植物油</w:t>
                  </w:r>
                </w:p>
              </w:tc>
              <w:tc>
                <w:tcPr>
                  <w:tcW w:w="1151" w:type="dxa"/>
                  <w:tcBorders>
                    <w:tl2br w:val="nil"/>
                    <w:tr2bl w:val="nil"/>
                  </w:tcBorders>
                  <w:vAlign w:val="center"/>
                </w:tcPr>
                <w:p>
                  <w:pPr>
                    <w:jc w:val="center"/>
                    <w:rPr>
                      <w:kern w:val="18"/>
                      <w:szCs w:val="21"/>
                    </w:rPr>
                  </w:pPr>
                  <w:r>
                    <w:rPr>
                      <w:kern w:val="18"/>
                      <w:szCs w:val="21"/>
                    </w:rPr>
                    <w:t>间断</w:t>
                  </w:r>
                </w:p>
              </w:tc>
            </w:tr>
            <w:tr>
              <w:tblPrEx>
                <w:tblW w:w="8810" w:type="dxa"/>
                <w:jc w:val="center"/>
                <w:tblLayout w:type="fixed"/>
                <w:tblCellMar>
                  <w:top w:w="0" w:type="dxa"/>
                  <w:left w:w="108" w:type="dxa"/>
                  <w:bottom w:w="0" w:type="dxa"/>
                  <w:right w:w="108" w:type="dxa"/>
                </w:tblCellMar>
              </w:tblPrEx>
              <w:trPr>
                <w:cantSplit/>
                <w:trHeight w:val="313"/>
                <w:jc w:val="center"/>
              </w:trPr>
              <w:tc>
                <w:tcPr>
                  <w:tcW w:w="729" w:type="dxa"/>
                  <w:tcBorders>
                    <w:tl2br w:val="nil"/>
                    <w:tr2bl w:val="nil"/>
                  </w:tcBorders>
                  <w:vAlign w:val="center"/>
                </w:tcPr>
                <w:p>
                  <w:pPr>
                    <w:jc w:val="center"/>
                    <w:rPr>
                      <w:kern w:val="18"/>
                      <w:szCs w:val="21"/>
                    </w:rPr>
                  </w:pPr>
                  <w:r>
                    <w:rPr>
                      <w:kern w:val="18"/>
                      <w:szCs w:val="21"/>
                    </w:rPr>
                    <w:t>营</w:t>
                  </w:r>
                </w:p>
                <w:p>
                  <w:pPr>
                    <w:jc w:val="center"/>
                    <w:rPr>
                      <w:kern w:val="18"/>
                      <w:szCs w:val="21"/>
                    </w:rPr>
                  </w:pPr>
                  <w:r>
                    <w:rPr>
                      <w:kern w:val="18"/>
                      <w:szCs w:val="21"/>
                    </w:rPr>
                    <w:t>运</w:t>
                  </w:r>
                </w:p>
              </w:tc>
              <w:tc>
                <w:tcPr>
                  <w:tcW w:w="1190" w:type="dxa"/>
                  <w:tcBorders>
                    <w:tl2br w:val="nil"/>
                    <w:tr2bl w:val="nil"/>
                  </w:tcBorders>
                  <w:vAlign w:val="center"/>
                </w:tcPr>
                <w:p>
                  <w:pPr>
                    <w:jc w:val="center"/>
                    <w:rPr>
                      <w:kern w:val="18"/>
                      <w:szCs w:val="21"/>
                    </w:rPr>
                  </w:pPr>
                  <w:r>
                    <w:rPr>
                      <w:rFonts w:hint="eastAsia"/>
                      <w:kern w:val="18"/>
                      <w:szCs w:val="21"/>
                    </w:rPr>
                    <w:t>噪声</w:t>
                  </w:r>
                </w:p>
              </w:tc>
              <w:tc>
                <w:tcPr>
                  <w:tcW w:w="1925" w:type="dxa"/>
                  <w:tcBorders>
                    <w:tl2br w:val="nil"/>
                    <w:tr2bl w:val="nil"/>
                  </w:tcBorders>
                  <w:vAlign w:val="center"/>
                </w:tcPr>
                <w:p>
                  <w:pPr>
                    <w:jc w:val="center"/>
                    <w:rPr>
                      <w:kern w:val="18"/>
                      <w:szCs w:val="21"/>
                    </w:rPr>
                  </w:pPr>
                  <w:r>
                    <w:rPr>
                      <w:rFonts w:hint="eastAsia"/>
                      <w:kern w:val="18"/>
                      <w:szCs w:val="21"/>
                    </w:rPr>
                    <w:t>风机、水泵、备用发电机等</w:t>
                  </w:r>
                </w:p>
              </w:tc>
              <w:tc>
                <w:tcPr>
                  <w:tcW w:w="3815" w:type="dxa"/>
                  <w:tcBorders>
                    <w:tl2br w:val="nil"/>
                    <w:tr2bl w:val="nil"/>
                  </w:tcBorders>
                  <w:vAlign w:val="center"/>
                </w:tcPr>
                <w:p>
                  <w:pPr>
                    <w:jc w:val="center"/>
                    <w:rPr>
                      <w:kern w:val="18"/>
                      <w:szCs w:val="21"/>
                    </w:rPr>
                  </w:pPr>
                  <w:r>
                    <w:rPr>
                      <w:rFonts w:hint="eastAsia"/>
                      <w:kern w:val="18"/>
                      <w:szCs w:val="21"/>
                    </w:rPr>
                    <w:t>机械噪声</w:t>
                  </w:r>
                </w:p>
              </w:tc>
              <w:tc>
                <w:tcPr>
                  <w:tcW w:w="1151" w:type="dxa"/>
                  <w:tcBorders>
                    <w:tl2br w:val="nil"/>
                    <w:tr2bl w:val="nil"/>
                  </w:tcBorders>
                  <w:vAlign w:val="center"/>
                </w:tcPr>
                <w:p>
                  <w:pPr>
                    <w:jc w:val="center"/>
                    <w:rPr>
                      <w:kern w:val="18"/>
                      <w:szCs w:val="21"/>
                    </w:rPr>
                  </w:pPr>
                  <w:r>
                    <w:rPr>
                      <w:rFonts w:hint="eastAsia"/>
                      <w:kern w:val="18"/>
                      <w:szCs w:val="21"/>
                    </w:rPr>
                    <w:t>连续</w:t>
                  </w:r>
                </w:p>
              </w:tc>
            </w:tr>
          </w:tbl>
          <w:p/>
        </w:tc>
      </w:tr>
    </w:tbl>
    <w:p>
      <w:pPr>
        <w:sectPr>
          <w:footerReference w:type="default" r:id="rId24"/>
          <w:type w:val="nextPage"/>
          <w:pgSz w:w="11907" w:h="16840"/>
          <w:pgMar w:top="1418" w:right="1418" w:bottom="1418" w:left="1418" w:header="851" w:footer="992" w:gutter="113"/>
          <w:pgNumType w:start="20"/>
          <w:cols w:num="1" w:space="720"/>
          <w:titlePg w:val="0"/>
        </w:sectPr>
      </w:pPr>
    </w:p>
    <w:tbl>
      <w:tblPr>
        <w:tblStyle w:val="TableNormal"/>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
      <w:tblGrid>
        <w:gridCol w:w="9026"/>
      </w:tblGrid>
      <w:tr>
        <w:tblPrEx>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Ex>
        <w:trPr>
          <w:trHeight w:val="13289"/>
        </w:trPr>
        <w:tc>
          <w:tcPr>
            <w:tcW w:w="9026" w:type="dxa"/>
          </w:tcPr>
          <w:tbl>
            <w:tblPr>
              <w:tblStyle w:val="TableNormal"/>
              <w:tblW w:w="881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29"/>
              <w:gridCol w:w="1190"/>
              <w:gridCol w:w="1925"/>
              <w:gridCol w:w="3815"/>
              <w:gridCol w:w="1151"/>
            </w:tblGrid>
            <w:tr>
              <w:tblPrEx>
                <w:tblW w:w="881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13"/>
                <w:jc w:val="center"/>
              </w:trPr>
              <w:tc>
                <w:tcPr>
                  <w:tcW w:w="729" w:type="dxa"/>
                  <w:vMerge w:val="restart"/>
                  <w:tcBorders>
                    <w:tl2br w:val="nil"/>
                    <w:tr2bl w:val="nil"/>
                  </w:tcBorders>
                  <w:vAlign w:val="center"/>
                </w:tcPr>
                <w:p>
                  <w:pPr>
                    <w:jc w:val="center"/>
                    <w:rPr>
                      <w:kern w:val="18"/>
                      <w:szCs w:val="21"/>
                    </w:rPr>
                  </w:pPr>
                  <w:r>
                    <w:rPr>
                      <w:kern w:val="18"/>
                      <w:szCs w:val="21"/>
                    </w:rPr>
                    <w:t>期</w:t>
                  </w:r>
                </w:p>
              </w:tc>
              <w:tc>
                <w:tcPr>
                  <w:tcW w:w="1190" w:type="dxa"/>
                  <w:tcBorders>
                    <w:tl2br w:val="nil"/>
                    <w:tr2bl w:val="nil"/>
                  </w:tcBorders>
                  <w:vAlign w:val="center"/>
                </w:tcPr>
                <w:p/>
              </w:tc>
              <w:tc>
                <w:tcPr>
                  <w:tcW w:w="1925" w:type="dxa"/>
                  <w:tcBorders>
                    <w:tl2br w:val="nil"/>
                    <w:tr2bl w:val="nil"/>
                  </w:tcBorders>
                  <w:vAlign w:val="center"/>
                </w:tcPr>
                <w:p/>
              </w:tc>
              <w:tc>
                <w:tcPr>
                  <w:tcW w:w="3815" w:type="dxa"/>
                  <w:tcBorders>
                    <w:tl2br w:val="nil"/>
                    <w:tr2bl w:val="nil"/>
                  </w:tcBorders>
                  <w:vAlign w:val="center"/>
                </w:tcPr>
                <w:p/>
              </w:tc>
              <w:tc>
                <w:tcPr>
                  <w:tcW w:w="1151" w:type="dxa"/>
                  <w:vMerge w:val="restart"/>
                  <w:tcBorders>
                    <w:tl2br w:val="nil"/>
                    <w:tr2bl w:val="nil"/>
                  </w:tcBorders>
                  <w:vAlign w:val="center"/>
                </w:tcPr>
                <w:p/>
              </w:tc>
            </w:tr>
            <w:tr>
              <w:tblPrEx>
                <w:tblW w:w="8810" w:type="dxa"/>
                <w:jc w:val="center"/>
                <w:tblLayout w:type="fixed"/>
                <w:tblCellMar>
                  <w:top w:w="0" w:type="dxa"/>
                  <w:left w:w="108" w:type="dxa"/>
                  <w:bottom w:w="0" w:type="dxa"/>
                  <w:right w:w="108" w:type="dxa"/>
                </w:tblCellMar>
              </w:tblPrEx>
              <w:trPr>
                <w:cantSplit/>
                <w:trHeight w:val="275"/>
                <w:jc w:val="center"/>
              </w:trPr>
              <w:tc>
                <w:tcPr>
                  <w:tcW w:w="729" w:type="dxa"/>
                  <w:vMerge/>
                  <w:tcBorders>
                    <w:tl2br w:val="nil"/>
                    <w:tr2bl w:val="nil"/>
                  </w:tcBorders>
                  <w:vAlign w:val="center"/>
                </w:tcPr>
                <w:p>
                  <w:pPr>
                    <w:spacing w:line="240" w:lineRule="auto"/>
                    <w:jc w:val="center"/>
                    <w:rPr>
                      <w:rFonts w:ascii="宋体" w:hAnsi="宋体" w:cs="宋体"/>
                      <w:kern w:val="18"/>
                      <w:szCs w:val="21"/>
                    </w:rPr>
                  </w:pPr>
                </w:p>
              </w:tc>
              <w:tc>
                <w:tcPr>
                  <w:tcW w:w="1190" w:type="dxa"/>
                  <w:tcBorders>
                    <w:tl2br w:val="nil"/>
                    <w:tr2bl w:val="nil"/>
                  </w:tcBorders>
                  <w:vAlign w:val="center"/>
                </w:tcPr>
                <w:p>
                  <w:pPr>
                    <w:jc w:val="center"/>
                    <w:rPr>
                      <w:kern w:val="18"/>
                      <w:szCs w:val="21"/>
                    </w:rPr>
                  </w:pPr>
                  <w:r>
                    <w:rPr>
                      <w:rFonts w:hint="eastAsia"/>
                      <w:kern w:val="18"/>
                      <w:szCs w:val="21"/>
                    </w:rPr>
                    <w:t>固体废物</w:t>
                  </w:r>
                </w:p>
              </w:tc>
              <w:tc>
                <w:tcPr>
                  <w:tcW w:w="1925" w:type="dxa"/>
                  <w:tcBorders>
                    <w:tl2br w:val="nil"/>
                    <w:tr2bl w:val="nil"/>
                  </w:tcBorders>
                  <w:vAlign w:val="center"/>
                </w:tcPr>
                <w:p>
                  <w:pPr>
                    <w:jc w:val="center"/>
                    <w:rPr>
                      <w:kern w:val="18"/>
                      <w:szCs w:val="21"/>
                    </w:rPr>
                  </w:pPr>
                  <w:r>
                    <w:rPr>
                      <w:rFonts w:hint="eastAsia"/>
                      <w:kern w:val="18"/>
                      <w:szCs w:val="21"/>
                    </w:rPr>
                    <w:t>办公、商业、酒店等</w:t>
                  </w:r>
                </w:p>
              </w:tc>
              <w:tc>
                <w:tcPr>
                  <w:tcW w:w="3815" w:type="dxa"/>
                  <w:tcBorders>
                    <w:tl2br w:val="nil"/>
                    <w:tr2bl w:val="nil"/>
                  </w:tcBorders>
                  <w:vAlign w:val="center"/>
                </w:tcPr>
                <w:p>
                  <w:pPr>
                    <w:jc w:val="center"/>
                    <w:rPr>
                      <w:kern w:val="18"/>
                      <w:szCs w:val="21"/>
                    </w:rPr>
                  </w:pPr>
                  <w:r>
                    <w:rPr>
                      <w:rFonts w:hint="eastAsia"/>
                      <w:kern w:val="18"/>
                      <w:szCs w:val="21"/>
                    </w:rPr>
                    <w:t>生活垃圾、商业垃圾</w:t>
                  </w:r>
                </w:p>
              </w:tc>
              <w:tc>
                <w:tcPr>
                  <w:tcW w:w="1151" w:type="dxa"/>
                  <w:vMerge/>
                  <w:tcBorders>
                    <w:tl2br w:val="nil"/>
                    <w:tr2bl w:val="nil"/>
                  </w:tcBorders>
                  <w:vAlign w:val="center"/>
                </w:tcPr>
                <w:p>
                  <w:pPr>
                    <w:jc w:val="center"/>
                    <w:rPr>
                      <w:rFonts w:ascii="宋体" w:hAnsi="宋体" w:cs="宋体"/>
                      <w:szCs w:val="21"/>
                    </w:rPr>
                  </w:pPr>
                </w:p>
              </w:tc>
            </w:tr>
          </w:tbl>
          <w:p>
            <w:pPr>
              <w:tabs>
                <w:tab w:val="left" w:pos="0"/>
                <w:tab w:val="left" w:pos="3744"/>
              </w:tabs>
              <w:spacing w:before="120" w:beforeLines="50" w:line="360" w:lineRule="auto"/>
              <w:ind w:firstLine="480" w:firstLineChars="200"/>
              <w:rPr>
                <w:rFonts w:ascii="宋体" w:hAnsi="宋体" w:cs="宋体"/>
                <w:b/>
                <w:sz w:val="24"/>
                <w:szCs w:val="24"/>
              </w:rPr>
            </w:pPr>
            <w:r>
              <w:rPr>
                <w:rFonts w:ascii="宋体" w:hAnsi="宋体" w:cs="宋体" w:hint="eastAsia"/>
                <w:b/>
                <w:sz w:val="24"/>
                <w:szCs w:val="24"/>
              </w:rPr>
              <w:t>一、施工期</w:t>
            </w:r>
          </w:p>
          <w:p>
            <w:pPr>
              <w:spacing w:line="360" w:lineRule="auto"/>
              <w:ind w:firstLine="480" w:firstLineChars="200"/>
              <w:rPr>
                <w:rFonts w:ascii="宋体" w:hAnsi="宋体" w:cs="宋体"/>
                <w:b/>
                <w:sz w:val="24"/>
                <w:szCs w:val="24"/>
              </w:rPr>
            </w:pPr>
            <w:r>
              <w:rPr>
                <w:rFonts w:ascii="宋体" w:hAnsi="宋体" w:cs="宋体" w:hint="eastAsia"/>
                <w:b/>
                <w:sz w:val="24"/>
                <w:szCs w:val="24"/>
              </w:rPr>
              <w:t>1、废水</w:t>
            </w:r>
          </w:p>
          <w:p>
            <w:pPr>
              <w:spacing w:line="500" w:lineRule="exact"/>
              <w:ind w:left="466" w:hanging="12" w:leftChars="216" w:hangingChars="5"/>
              <w:rPr>
                <w:rFonts w:ascii="宋体" w:hAnsi="宋体" w:cs="宋体"/>
                <w:sz w:val="24"/>
                <w:szCs w:val="24"/>
              </w:rPr>
            </w:pPr>
            <w:r>
              <w:rPr>
                <w:rFonts w:ascii="宋体" w:hAnsi="宋体" w:cs="宋体" w:hint="eastAsia"/>
                <w:sz w:val="24"/>
                <w:szCs w:val="24"/>
              </w:rPr>
              <w:t>施工期的废水排放主要来自于施工人员的生活污水及施工废水。</w:t>
            </w:r>
          </w:p>
          <w:p>
            <w:pPr>
              <w:spacing w:line="500" w:lineRule="exact"/>
              <w:ind w:firstLine="480" w:firstLineChars="200"/>
              <w:rPr>
                <w:rFonts w:ascii="宋体" w:hAnsi="宋体" w:cs="宋体"/>
                <w:sz w:val="24"/>
                <w:szCs w:val="24"/>
              </w:rPr>
            </w:pPr>
            <w:r>
              <w:rPr>
                <w:rFonts w:ascii="宋体" w:hAnsi="宋体" w:cs="宋体" w:hint="eastAsia"/>
                <w:sz w:val="24"/>
                <w:szCs w:val="24"/>
              </w:rPr>
              <w:t>(1)生活污水</w:t>
            </w:r>
          </w:p>
          <w:p>
            <w:pPr>
              <w:spacing w:line="500" w:lineRule="exact"/>
              <w:ind w:firstLine="480" w:firstLineChars="200"/>
              <w:rPr>
                <w:sz w:val="24"/>
                <w:szCs w:val="24"/>
              </w:rPr>
            </w:pPr>
            <w:r>
              <w:rPr>
                <w:sz w:val="24"/>
                <w:szCs w:val="24"/>
              </w:rPr>
              <w:t>按施工组织，施工人员在工地内搭设简易施工房，本项目施工人员为150人。本项目施工场地不设置食堂，施工人员的餐饮均由项目附近餐饮提供。施工人员生活污水排放量Q</w:t>
            </w:r>
            <w:r>
              <w:rPr>
                <w:sz w:val="24"/>
                <w:szCs w:val="24"/>
                <w:vertAlign w:val="subscript"/>
              </w:rPr>
              <w:t>S</w:t>
            </w:r>
            <w:r>
              <w:rPr>
                <w:sz w:val="24"/>
                <w:szCs w:val="24"/>
              </w:rPr>
              <w:t xml:space="preserve"> 按下式计算：</w:t>
            </w:r>
          </w:p>
          <w:p>
            <w:pPr>
              <w:spacing w:line="500" w:lineRule="exact"/>
              <w:ind w:firstLine="480" w:firstLineChars="200"/>
              <w:jc w:val="center"/>
              <w:rPr>
                <w:sz w:val="24"/>
                <w:szCs w:val="24"/>
              </w:rPr>
            </w:pPr>
            <w:r>
              <w:rPr>
                <w:sz w:val="24"/>
                <w:szCs w:val="24"/>
                <w:shd w:val="clear" w:color="auto" w:fill="FFFFFF"/>
              </w:rPr>
              <w:t>Qs=Kq</w:t>
            </w:r>
            <w:r>
              <w:rPr>
                <w:sz w:val="24"/>
                <w:szCs w:val="24"/>
                <w:shd w:val="clear" w:color="auto" w:fill="FFFFFF"/>
                <w:vertAlign w:val="subscript"/>
              </w:rPr>
              <w:t>i</w:t>
            </w:r>
            <w:r>
              <w:rPr>
                <w:sz w:val="24"/>
                <w:szCs w:val="24"/>
                <w:shd w:val="clear" w:color="auto" w:fill="FFFFFF"/>
              </w:rPr>
              <w:t>V</w:t>
            </w:r>
            <w:r>
              <w:rPr>
                <w:sz w:val="24"/>
                <w:szCs w:val="24"/>
                <w:shd w:val="clear" w:color="auto" w:fill="FFFFFF"/>
                <w:vertAlign w:val="subscript"/>
              </w:rPr>
              <w:t>i</w:t>
            </w:r>
            <w:r>
              <w:rPr>
                <w:sz w:val="24"/>
                <w:szCs w:val="24"/>
                <w:shd w:val="clear" w:color="auto" w:fill="FFFFFF"/>
              </w:rPr>
              <w:t>/1000</w:t>
            </w:r>
          </w:p>
          <w:p>
            <w:pPr>
              <w:spacing w:line="500" w:lineRule="exact"/>
              <w:ind w:left="468" w:hanging="134" w:leftChars="159" w:hangingChars="56"/>
              <w:rPr>
                <w:sz w:val="24"/>
                <w:szCs w:val="24"/>
              </w:rPr>
            </w:pPr>
            <w:r>
              <w:rPr>
                <w:sz w:val="24"/>
                <w:szCs w:val="24"/>
              </w:rPr>
              <w:t>式中：Q</w:t>
            </w:r>
            <w:r>
              <w:rPr>
                <w:sz w:val="24"/>
                <w:szCs w:val="24"/>
                <w:vertAlign w:val="subscript"/>
              </w:rPr>
              <w:t>S</w:t>
            </w:r>
            <w:r>
              <w:rPr>
                <w:sz w:val="24"/>
                <w:szCs w:val="24"/>
              </w:rPr>
              <w:t>—生活区污水排放量，t/d；</w:t>
            </w:r>
          </w:p>
          <w:p>
            <w:pPr>
              <w:spacing w:line="500" w:lineRule="exact"/>
              <w:ind w:left="468" w:hanging="134" w:leftChars="159" w:hangingChars="56"/>
              <w:rPr>
                <w:sz w:val="24"/>
                <w:szCs w:val="24"/>
              </w:rPr>
            </w:pPr>
            <w:r>
              <w:rPr>
                <w:sz w:val="24"/>
                <w:szCs w:val="24"/>
              </w:rPr>
              <w:t xml:space="preserve">      q</w:t>
            </w:r>
            <w:r>
              <w:rPr>
                <w:sz w:val="24"/>
                <w:szCs w:val="24"/>
                <w:vertAlign w:val="subscript"/>
              </w:rPr>
              <w:t>i</w:t>
            </w:r>
            <w:r>
              <w:rPr>
                <w:sz w:val="24"/>
                <w:szCs w:val="24"/>
              </w:rPr>
              <w:t>—每人每天生活用水量，（取q</w:t>
            </w:r>
            <w:r>
              <w:rPr>
                <w:sz w:val="24"/>
                <w:szCs w:val="24"/>
                <w:vertAlign w:val="subscript"/>
              </w:rPr>
              <w:t>I</w:t>
            </w:r>
            <w:r>
              <w:rPr>
                <w:sz w:val="24"/>
                <w:szCs w:val="24"/>
              </w:rPr>
              <w:t>=120L）；</w:t>
            </w:r>
          </w:p>
          <w:p>
            <w:pPr>
              <w:spacing w:line="500" w:lineRule="exact"/>
              <w:ind w:left="468" w:hanging="134" w:leftChars="159" w:hangingChars="56"/>
              <w:rPr>
                <w:sz w:val="24"/>
                <w:szCs w:val="24"/>
              </w:rPr>
            </w:pPr>
            <w:r>
              <w:rPr>
                <w:sz w:val="24"/>
                <w:szCs w:val="24"/>
              </w:rPr>
              <w:t xml:space="preserve">      V</w:t>
            </w:r>
            <w:r>
              <w:rPr>
                <w:sz w:val="24"/>
                <w:szCs w:val="24"/>
                <w:vertAlign w:val="subscript"/>
              </w:rPr>
              <w:t>i</w:t>
            </w:r>
            <w:r>
              <w:rPr>
                <w:sz w:val="24"/>
                <w:szCs w:val="24"/>
              </w:rPr>
              <w:t>—生活区人数，人；</w:t>
            </w:r>
          </w:p>
          <w:p>
            <w:pPr>
              <w:spacing w:line="500" w:lineRule="exact"/>
              <w:ind w:left="468" w:hanging="134" w:leftChars="159" w:hangingChars="56"/>
              <w:rPr>
                <w:sz w:val="24"/>
                <w:szCs w:val="24"/>
              </w:rPr>
            </w:pPr>
            <w:r>
              <w:rPr>
                <w:sz w:val="24"/>
                <w:szCs w:val="24"/>
              </w:rPr>
              <w:t xml:space="preserve">      K—生活区污水排放系数，一般为0.80</w:t>
            </w:r>
          </w:p>
          <w:p>
            <w:pPr>
              <w:spacing w:line="500" w:lineRule="exact"/>
              <w:ind w:firstLine="480" w:firstLineChars="200"/>
              <w:rPr>
                <w:sz w:val="24"/>
                <w:szCs w:val="24"/>
              </w:rPr>
            </w:pPr>
            <w:r>
              <w:rPr>
                <w:sz w:val="24"/>
                <w:szCs w:val="24"/>
              </w:rPr>
              <w:t>按150人计，CODcr浓度值约250mg/L、BOD</w:t>
            </w:r>
            <w:r>
              <w:rPr>
                <w:sz w:val="24"/>
                <w:szCs w:val="24"/>
                <w:vertAlign w:val="subscript"/>
              </w:rPr>
              <w:t>5</w:t>
            </w:r>
            <w:r>
              <w:rPr>
                <w:sz w:val="24"/>
                <w:szCs w:val="24"/>
              </w:rPr>
              <w:t>约100mg/L，SS约100mg/L，NH</w:t>
            </w:r>
            <w:r>
              <w:rPr>
                <w:sz w:val="24"/>
                <w:szCs w:val="24"/>
                <w:vertAlign w:val="subscript"/>
              </w:rPr>
              <w:t>3</w:t>
            </w:r>
            <w:r>
              <w:rPr>
                <w:sz w:val="24"/>
                <w:szCs w:val="24"/>
              </w:rPr>
              <w:t>-N约25mg/L，则施工人员生活污水排放情况见下表。</w:t>
            </w:r>
          </w:p>
          <w:p>
            <w:pPr>
              <w:snapToGrid w:val="0"/>
              <w:spacing w:line="360" w:lineRule="auto"/>
              <w:jc w:val="center"/>
              <w:rPr>
                <w:rFonts w:ascii="宋体" w:hAnsi="宋体" w:cs="宋体"/>
                <w:b/>
                <w:bCs/>
                <w:kern w:val="21"/>
                <w:sz w:val="24"/>
                <w:szCs w:val="24"/>
              </w:rPr>
            </w:pPr>
            <w:r>
              <w:rPr>
                <w:rFonts w:ascii="宋体" w:hAnsi="宋体" w:cs="宋体" w:hint="eastAsia"/>
                <w:b/>
                <w:bCs/>
                <w:kern w:val="21"/>
                <w:sz w:val="24"/>
                <w:szCs w:val="24"/>
              </w:rPr>
              <w:t>表</w:t>
            </w:r>
            <w:r>
              <w:rPr>
                <w:b/>
                <w:bCs/>
                <w:kern w:val="21"/>
                <w:sz w:val="24"/>
                <w:szCs w:val="24"/>
              </w:rPr>
              <w:t>1</w:t>
            </w:r>
            <w:r>
              <w:rPr>
                <w:rFonts w:hint="eastAsia"/>
                <w:b/>
                <w:bCs/>
                <w:kern w:val="21"/>
                <w:sz w:val="24"/>
                <w:szCs w:val="24"/>
              </w:rPr>
              <w:t>1</w:t>
            </w:r>
            <w:r>
              <w:rPr>
                <w:b/>
                <w:bCs/>
                <w:kern w:val="21"/>
                <w:sz w:val="24"/>
                <w:szCs w:val="24"/>
              </w:rPr>
              <w:t xml:space="preserve"> </w:t>
            </w:r>
            <w:r>
              <w:rPr>
                <w:rFonts w:ascii="宋体" w:hAnsi="宋体" w:cs="宋体" w:hint="eastAsia"/>
                <w:b/>
                <w:bCs/>
                <w:kern w:val="21"/>
                <w:sz w:val="24"/>
                <w:szCs w:val="24"/>
              </w:rPr>
              <w:t xml:space="preserve"> 施工人员生活污水及污染物排放量</w:t>
            </w:r>
          </w:p>
          <w:tbl>
            <w:tblPr>
              <w:tblStyle w:val="TableNormal"/>
              <w:tblW w:w="881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455"/>
              <w:gridCol w:w="1579"/>
              <w:gridCol w:w="1579"/>
              <w:gridCol w:w="1436"/>
              <w:gridCol w:w="1149"/>
              <w:gridCol w:w="1612"/>
            </w:tblGrid>
            <w:tr>
              <w:tblPrEx>
                <w:tblW w:w="881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455" w:type="dxa"/>
                  <w:tcBorders>
                    <w:tl2br w:val="nil"/>
                    <w:tr2bl w:val="nil"/>
                  </w:tcBorders>
                  <w:vAlign w:val="center"/>
                </w:tcPr>
                <w:p>
                  <w:pPr>
                    <w:spacing w:line="300" w:lineRule="auto"/>
                    <w:jc w:val="center"/>
                    <w:rPr>
                      <w:b/>
                      <w:bCs/>
                      <w:spacing w:val="3"/>
                      <w:szCs w:val="21"/>
                    </w:rPr>
                  </w:pPr>
                  <w:r>
                    <w:rPr>
                      <w:b/>
                      <w:bCs/>
                      <w:spacing w:val="3"/>
                      <w:szCs w:val="21"/>
                    </w:rPr>
                    <w:t>生活用水量</w:t>
                  </w:r>
                </w:p>
              </w:tc>
              <w:tc>
                <w:tcPr>
                  <w:tcW w:w="1579" w:type="dxa"/>
                  <w:tcBorders>
                    <w:tl2br w:val="nil"/>
                    <w:tr2bl w:val="nil"/>
                  </w:tcBorders>
                  <w:vAlign w:val="center"/>
                </w:tcPr>
                <w:p>
                  <w:pPr>
                    <w:spacing w:line="240" w:lineRule="auto"/>
                    <w:jc w:val="center"/>
                    <w:rPr>
                      <w:b/>
                      <w:bCs/>
                      <w:spacing w:val="3"/>
                      <w:szCs w:val="21"/>
                    </w:rPr>
                  </w:pPr>
                  <w:r>
                    <w:rPr>
                      <w:b/>
                      <w:bCs/>
                      <w:spacing w:val="3"/>
                      <w:szCs w:val="21"/>
                    </w:rPr>
                    <w:t>污水排放量</w:t>
                  </w:r>
                </w:p>
              </w:tc>
              <w:tc>
                <w:tcPr>
                  <w:tcW w:w="1579" w:type="dxa"/>
                  <w:tcBorders>
                    <w:tl2br w:val="nil"/>
                    <w:tr2bl w:val="nil"/>
                  </w:tcBorders>
                  <w:vAlign w:val="center"/>
                </w:tcPr>
                <w:p>
                  <w:pPr>
                    <w:spacing w:line="240" w:lineRule="auto"/>
                    <w:jc w:val="center"/>
                    <w:rPr>
                      <w:b/>
                      <w:bCs/>
                      <w:spacing w:val="3"/>
                      <w:szCs w:val="21"/>
                    </w:rPr>
                  </w:pPr>
                  <w:r>
                    <w:rPr>
                      <w:b/>
                      <w:bCs/>
                      <w:spacing w:val="3"/>
                      <w:szCs w:val="21"/>
                    </w:rPr>
                    <w:t>CODcr排放量</w:t>
                  </w:r>
                </w:p>
              </w:tc>
              <w:tc>
                <w:tcPr>
                  <w:tcW w:w="1436" w:type="dxa"/>
                  <w:tcBorders>
                    <w:tl2br w:val="nil"/>
                    <w:tr2bl w:val="nil"/>
                  </w:tcBorders>
                  <w:vAlign w:val="center"/>
                </w:tcPr>
                <w:p>
                  <w:pPr>
                    <w:spacing w:line="240" w:lineRule="auto"/>
                    <w:jc w:val="center"/>
                    <w:rPr>
                      <w:b/>
                      <w:bCs/>
                      <w:spacing w:val="3"/>
                      <w:szCs w:val="21"/>
                    </w:rPr>
                  </w:pPr>
                  <w:r>
                    <w:rPr>
                      <w:b/>
                      <w:bCs/>
                      <w:spacing w:val="3"/>
                      <w:szCs w:val="21"/>
                    </w:rPr>
                    <w:t>BOD</w:t>
                  </w:r>
                  <w:r>
                    <w:rPr>
                      <w:b/>
                      <w:bCs/>
                      <w:spacing w:val="3"/>
                      <w:szCs w:val="21"/>
                      <w:vertAlign w:val="subscript"/>
                    </w:rPr>
                    <w:t>5</w:t>
                  </w:r>
                  <w:r>
                    <w:rPr>
                      <w:b/>
                      <w:bCs/>
                      <w:spacing w:val="3"/>
                      <w:szCs w:val="21"/>
                    </w:rPr>
                    <w:t>排放量</w:t>
                  </w:r>
                </w:p>
              </w:tc>
              <w:tc>
                <w:tcPr>
                  <w:tcW w:w="1149" w:type="dxa"/>
                  <w:tcBorders>
                    <w:tl2br w:val="nil"/>
                    <w:tr2bl w:val="nil"/>
                  </w:tcBorders>
                  <w:vAlign w:val="center"/>
                </w:tcPr>
                <w:p>
                  <w:pPr>
                    <w:spacing w:line="240" w:lineRule="auto"/>
                    <w:jc w:val="center"/>
                    <w:rPr>
                      <w:b/>
                      <w:bCs/>
                      <w:spacing w:val="3"/>
                      <w:szCs w:val="21"/>
                    </w:rPr>
                  </w:pPr>
                  <w:r>
                    <w:rPr>
                      <w:b/>
                      <w:bCs/>
                      <w:spacing w:val="3"/>
                      <w:szCs w:val="21"/>
                    </w:rPr>
                    <w:t>SS排放量</w:t>
                  </w:r>
                </w:p>
              </w:tc>
              <w:tc>
                <w:tcPr>
                  <w:tcW w:w="1612" w:type="dxa"/>
                  <w:tcBorders>
                    <w:tl2br w:val="nil"/>
                    <w:tr2bl w:val="nil"/>
                  </w:tcBorders>
                  <w:vAlign w:val="center"/>
                </w:tcPr>
                <w:p>
                  <w:pPr>
                    <w:spacing w:line="240" w:lineRule="auto"/>
                    <w:jc w:val="center"/>
                    <w:rPr>
                      <w:b/>
                      <w:bCs/>
                      <w:spacing w:val="3"/>
                      <w:szCs w:val="21"/>
                    </w:rPr>
                  </w:pPr>
                  <w:r>
                    <w:rPr>
                      <w:b/>
                      <w:bCs/>
                      <w:spacing w:val="3"/>
                      <w:szCs w:val="21"/>
                    </w:rPr>
                    <w:t>NH</w:t>
                  </w:r>
                  <w:r>
                    <w:rPr>
                      <w:b/>
                      <w:bCs/>
                      <w:spacing w:val="3"/>
                      <w:szCs w:val="21"/>
                      <w:vertAlign w:val="subscript"/>
                    </w:rPr>
                    <w:t>3</w:t>
                  </w:r>
                  <w:r>
                    <w:rPr>
                      <w:b/>
                      <w:bCs/>
                      <w:spacing w:val="3"/>
                      <w:szCs w:val="21"/>
                    </w:rPr>
                    <w:t>-N排放量</w:t>
                  </w:r>
                </w:p>
              </w:tc>
            </w:tr>
            <w:tr>
              <w:tblPrEx>
                <w:tblW w:w="8810" w:type="dxa"/>
                <w:jc w:val="center"/>
                <w:tblLayout w:type="fixed"/>
                <w:tblCellMar>
                  <w:top w:w="0" w:type="dxa"/>
                  <w:left w:w="108" w:type="dxa"/>
                  <w:bottom w:w="0" w:type="dxa"/>
                  <w:right w:w="108" w:type="dxa"/>
                </w:tblCellMar>
              </w:tblPrEx>
              <w:trPr>
                <w:trHeight w:val="272"/>
                <w:jc w:val="center"/>
              </w:trPr>
              <w:tc>
                <w:tcPr>
                  <w:tcW w:w="1455" w:type="dxa"/>
                  <w:tcBorders>
                    <w:tl2br w:val="nil"/>
                    <w:tr2bl w:val="nil"/>
                  </w:tcBorders>
                  <w:vAlign w:val="center"/>
                </w:tcPr>
                <w:p>
                  <w:pPr>
                    <w:spacing w:line="300" w:lineRule="auto"/>
                    <w:jc w:val="center"/>
                    <w:rPr>
                      <w:spacing w:val="3"/>
                      <w:szCs w:val="21"/>
                    </w:rPr>
                  </w:pPr>
                  <w:r>
                    <w:rPr>
                      <w:spacing w:val="3"/>
                      <w:szCs w:val="21"/>
                    </w:rPr>
                    <w:t>18t/d</w:t>
                  </w:r>
                </w:p>
              </w:tc>
              <w:tc>
                <w:tcPr>
                  <w:tcW w:w="1579" w:type="dxa"/>
                  <w:tcBorders>
                    <w:tl2br w:val="nil"/>
                    <w:tr2bl w:val="nil"/>
                  </w:tcBorders>
                  <w:vAlign w:val="center"/>
                </w:tcPr>
                <w:p>
                  <w:pPr>
                    <w:spacing w:line="300" w:lineRule="auto"/>
                    <w:jc w:val="center"/>
                    <w:rPr>
                      <w:spacing w:val="3"/>
                      <w:szCs w:val="21"/>
                    </w:rPr>
                  </w:pPr>
                  <w:r>
                    <w:rPr>
                      <w:spacing w:val="3"/>
                      <w:szCs w:val="21"/>
                    </w:rPr>
                    <w:t>14.4t/d</w:t>
                  </w:r>
                </w:p>
              </w:tc>
              <w:tc>
                <w:tcPr>
                  <w:tcW w:w="1579" w:type="dxa"/>
                  <w:tcBorders>
                    <w:tl2br w:val="nil"/>
                    <w:tr2bl w:val="nil"/>
                  </w:tcBorders>
                  <w:vAlign w:val="center"/>
                </w:tcPr>
                <w:p>
                  <w:pPr>
                    <w:spacing w:line="300" w:lineRule="auto"/>
                    <w:jc w:val="center"/>
                    <w:rPr>
                      <w:spacing w:val="3"/>
                      <w:szCs w:val="21"/>
                    </w:rPr>
                  </w:pPr>
                  <w:r>
                    <w:rPr>
                      <w:spacing w:val="3"/>
                      <w:szCs w:val="21"/>
                    </w:rPr>
                    <w:t>3.6kg/d</w:t>
                  </w:r>
                </w:p>
              </w:tc>
              <w:tc>
                <w:tcPr>
                  <w:tcW w:w="1436" w:type="dxa"/>
                  <w:tcBorders>
                    <w:tl2br w:val="nil"/>
                    <w:tr2bl w:val="nil"/>
                  </w:tcBorders>
                  <w:vAlign w:val="center"/>
                </w:tcPr>
                <w:p>
                  <w:pPr>
                    <w:spacing w:line="300" w:lineRule="auto"/>
                    <w:jc w:val="center"/>
                    <w:rPr>
                      <w:spacing w:val="3"/>
                      <w:szCs w:val="21"/>
                    </w:rPr>
                  </w:pPr>
                  <w:r>
                    <w:rPr>
                      <w:spacing w:val="3"/>
                      <w:szCs w:val="21"/>
                    </w:rPr>
                    <w:t>1.44kg/d</w:t>
                  </w:r>
                </w:p>
              </w:tc>
              <w:tc>
                <w:tcPr>
                  <w:tcW w:w="1149" w:type="dxa"/>
                  <w:tcBorders>
                    <w:tl2br w:val="nil"/>
                    <w:tr2bl w:val="nil"/>
                  </w:tcBorders>
                  <w:vAlign w:val="center"/>
                </w:tcPr>
                <w:p>
                  <w:pPr>
                    <w:spacing w:line="300" w:lineRule="auto"/>
                    <w:jc w:val="center"/>
                    <w:rPr>
                      <w:spacing w:val="3"/>
                      <w:szCs w:val="21"/>
                    </w:rPr>
                  </w:pPr>
                  <w:r>
                    <w:rPr>
                      <w:spacing w:val="3"/>
                      <w:szCs w:val="21"/>
                    </w:rPr>
                    <w:t>1.44kg/d</w:t>
                  </w:r>
                </w:p>
              </w:tc>
              <w:tc>
                <w:tcPr>
                  <w:tcW w:w="1612" w:type="dxa"/>
                  <w:tcBorders>
                    <w:tl2br w:val="nil"/>
                    <w:tr2bl w:val="nil"/>
                  </w:tcBorders>
                  <w:vAlign w:val="center"/>
                </w:tcPr>
                <w:p>
                  <w:pPr>
                    <w:spacing w:line="300" w:lineRule="auto"/>
                    <w:jc w:val="center"/>
                    <w:rPr>
                      <w:spacing w:val="3"/>
                      <w:szCs w:val="21"/>
                    </w:rPr>
                  </w:pPr>
                  <w:r>
                    <w:rPr>
                      <w:spacing w:val="3"/>
                      <w:szCs w:val="21"/>
                    </w:rPr>
                    <w:t>0.36kg/d</w:t>
                  </w:r>
                </w:p>
              </w:tc>
            </w:tr>
          </w:tbl>
          <w:p>
            <w:pPr>
              <w:spacing w:before="120" w:beforeLines="50" w:line="360" w:lineRule="auto"/>
              <w:ind w:firstLine="480" w:firstLineChars="200"/>
              <w:rPr>
                <w:sz w:val="24"/>
              </w:rPr>
            </w:pPr>
            <w:r>
              <w:rPr>
                <w:rFonts w:hAnsi="宋体"/>
                <w:sz w:val="24"/>
              </w:rPr>
              <w:t>施工人员生活污水采用临时性化粪池预处理后排入</w:t>
            </w:r>
            <w:r>
              <w:rPr>
                <w:rFonts w:hAnsi="宋体" w:hint="eastAsia"/>
                <w:sz w:val="24"/>
              </w:rPr>
              <w:t>抚州市污水处理厂</w:t>
            </w:r>
            <w:r>
              <w:rPr>
                <w:rFonts w:hAnsi="宋体"/>
                <w:sz w:val="24"/>
              </w:rPr>
              <w:t>，最终排入</w:t>
            </w:r>
            <w:r>
              <w:rPr>
                <w:rFonts w:ascii="宋体" w:hAnsi="宋体" w:cs="宋体" w:hint="eastAsia"/>
                <w:bCs/>
                <w:sz w:val="24"/>
              </w:rPr>
              <w:t>抚河。</w:t>
            </w:r>
          </w:p>
          <w:p>
            <w:pPr>
              <w:spacing w:line="360" w:lineRule="auto"/>
              <w:ind w:left="468" w:hanging="134" w:leftChars="159" w:hangingChars="56"/>
              <w:rPr>
                <w:sz w:val="24"/>
              </w:rPr>
            </w:pPr>
            <w:r>
              <w:rPr>
                <w:sz w:val="24"/>
              </w:rPr>
              <w:t>(2)施工生产废水</w:t>
            </w:r>
          </w:p>
          <w:p>
            <w:pPr>
              <w:pStyle w:val="PlainText"/>
              <w:adjustRightInd w:val="0"/>
              <w:snapToGrid w:val="0"/>
              <w:spacing w:line="360" w:lineRule="auto"/>
              <w:ind w:firstLine="480" w:firstLineChars="200"/>
              <w:rPr>
                <w:rFonts w:ascii="Times New Roman" w:hAnsi="Times New Roman"/>
                <w:sz w:val="24"/>
              </w:rPr>
            </w:pPr>
            <w:r>
              <w:rPr>
                <w:rFonts w:ascii="Times New Roman" w:hAnsi="Times New Roman"/>
                <w:bCs/>
                <w:sz w:val="24"/>
              </w:rPr>
              <w:t>施工期产生的废水主要为工地开挖、钻孔等产生的泥浆水，各种施工机械运转的冷却和冲洗水，施工现场清洗水，混凝土养护产生的废水，这些废水含有少量油污及大量泥沙。根据《江西省城市生活用水定额》（DB 36/T419-2011），房屋工程建筑（砖混）用水量按1.5t/m</w:t>
            </w:r>
            <w:r>
              <w:rPr>
                <w:rFonts w:ascii="Times New Roman" w:hAnsi="Times New Roman"/>
                <w:bCs/>
                <w:sz w:val="24"/>
                <w:vertAlign w:val="superscript"/>
              </w:rPr>
              <w:t>2</w:t>
            </w:r>
            <w:r>
              <w:rPr>
                <w:rFonts w:ascii="Times New Roman" w:hAnsi="Times New Roman"/>
                <w:bCs/>
                <w:sz w:val="24"/>
              </w:rPr>
              <w:t>计，本项目总建筑面积为</w:t>
            </w:r>
            <w:r>
              <w:rPr>
                <w:rFonts w:ascii="Times New Roman" w:hAnsi="Times New Roman" w:hint="eastAsia"/>
                <w:kern w:val="21"/>
                <w:sz w:val="24"/>
              </w:rPr>
              <w:t>113620</w:t>
            </w:r>
            <w:r>
              <w:rPr>
                <w:rFonts w:ascii="Times New Roman" w:hAnsi="Times New Roman"/>
                <w:bCs/>
                <w:sz w:val="24"/>
              </w:rPr>
              <w:t>m</w:t>
            </w:r>
            <w:r>
              <w:rPr>
                <w:rFonts w:ascii="Times New Roman" w:hAnsi="Times New Roman"/>
                <w:bCs/>
                <w:sz w:val="24"/>
                <w:vertAlign w:val="superscript"/>
              </w:rPr>
              <w:t>2</w:t>
            </w:r>
            <w:r>
              <w:rPr>
                <w:rFonts w:ascii="Times New Roman" w:hAnsi="Times New Roman"/>
                <w:bCs/>
                <w:sz w:val="24"/>
              </w:rPr>
              <w:t>，用水量共</w:t>
            </w:r>
            <w:r>
              <w:rPr>
                <w:rFonts w:ascii="Times New Roman" w:hAnsi="Times New Roman" w:hint="eastAsia"/>
                <w:bCs/>
                <w:sz w:val="24"/>
              </w:rPr>
              <w:t>17.04</w:t>
            </w:r>
            <w:r>
              <w:rPr>
                <w:rFonts w:ascii="Times New Roman" w:hAnsi="Times New Roman"/>
                <w:bCs/>
                <w:sz w:val="24"/>
              </w:rPr>
              <w:t>万t，排污系数以0.8计，则施工期预计产生施工废水量约为</w:t>
            </w:r>
            <w:r>
              <w:rPr>
                <w:rFonts w:ascii="Times New Roman" w:hAnsi="Times New Roman" w:hint="eastAsia"/>
                <w:bCs/>
                <w:sz w:val="24"/>
              </w:rPr>
              <w:t>13.63</w:t>
            </w:r>
            <w:r>
              <w:rPr>
                <w:rFonts w:ascii="Times New Roman" w:hAnsi="Times New Roman"/>
                <w:bCs/>
                <w:sz w:val="24"/>
              </w:rPr>
              <w:t>万t。经类比分析，此类废水中主要污染物为SS、石油类等。</w:t>
            </w:r>
            <w:r>
              <w:rPr>
                <w:rFonts w:ascii="Times New Roman" w:hAnsi="Times New Roman"/>
                <w:sz w:val="24"/>
              </w:rPr>
              <w:t>施工单位应设临时沉砂池，经沉淀处理后回用，池底泥沙作为固废运往建筑垃圾堆放场。</w:t>
            </w:r>
          </w:p>
        </w:tc>
      </w:tr>
    </w:tbl>
    <w:p>
      <w:pPr>
        <w:sectPr>
          <w:footerReference w:type="default" r:id="rId25"/>
          <w:type w:val="nextPage"/>
          <w:pgSz w:w="11907" w:h="16840"/>
          <w:pgMar w:top="1418" w:right="1418" w:bottom="1418" w:left="1418" w:header="851" w:footer="992" w:gutter="113"/>
          <w:pgNumType w:start="21"/>
          <w:cols w:num="1" w:space="720"/>
          <w:titlePg w:val="0"/>
        </w:sectPr>
      </w:pPr>
    </w:p>
    <w:tbl>
      <w:tblPr>
        <w:tblStyle w:val="TableNormal"/>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
      <w:tblGrid>
        <w:gridCol w:w="9026"/>
      </w:tblGrid>
      <w:tr>
        <w:tblPrEx>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Ex>
        <w:trPr>
          <w:trHeight w:val="13289"/>
        </w:trPr>
        <w:tc>
          <w:tcPr>
            <w:tcW w:w="9026" w:type="dxa"/>
          </w:tcPr>
          <w:p>
            <w:pPr>
              <w:spacing w:line="360" w:lineRule="auto"/>
              <w:ind w:left="352"/>
              <w:rPr>
                <w:rFonts w:ascii="宋体" w:hAnsi="宋体" w:cs="宋体"/>
                <w:b/>
                <w:sz w:val="24"/>
              </w:rPr>
            </w:pPr>
            <w:r>
              <w:rPr>
                <w:rFonts w:ascii="宋体" w:hAnsi="宋体" w:cs="宋体" w:hint="eastAsia"/>
                <w:b/>
                <w:sz w:val="24"/>
              </w:rPr>
              <w:t>2、废气</w:t>
            </w:r>
          </w:p>
          <w:p>
            <w:pPr>
              <w:spacing w:line="360" w:lineRule="auto"/>
              <w:ind w:firstLine="480" w:firstLineChars="200"/>
              <w:rPr>
                <w:rFonts w:ascii="宋体" w:hAnsi="宋体" w:cs="宋体"/>
                <w:sz w:val="24"/>
              </w:rPr>
            </w:pPr>
            <w:r>
              <w:rPr>
                <w:rFonts w:ascii="宋体" w:hAnsi="宋体" w:cs="宋体" w:hint="eastAsia"/>
                <w:sz w:val="24"/>
              </w:rPr>
              <w:t>项目施工期间对环境空气的污染主要来自施工扬尘、施工机械废气以及少量的油漆废气。</w:t>
            </w:r>
          </w:p>
          <w:p>
            <w:pPr>
              <w:spacing w:line="360" w:lineRule="auto"/>
              <w:ind w:firstLine="480" w:firstLineChars="200"/>
              <w:rPr>
                <w:bCs/>
                <w:sz w:val="24"/>
              </w:rPr>
            </w:pPr>
            <w:r>
              <w:rPr>
                <w:bCs/>
                <w:sz w:val="24"/>
              </w:rPr>
              <w:t>(1)扬尘</w:t>
            </w:r>
          </w:p>
          <w:p>
            <w:pPr>
              <w:pStyle w:val="aa"/>
              <w:ind w:firstLine="480"/>
              <w:rPr>
                <w:rFonts w:eastAsiaTheme="minorEastAsia"/>
              </w:rPr>
            </w:pPr>
            <w:r>
              <w:rPr>
                <w:rFonts w:eastAsiaTheme="minorEastAsia"/>
              </w:rPr>
              <w:t>在项目建设过程中，由于土地开挖、平整等易产生扬尘，造成局部大气环境污染。除此之外，产生扬尘的环节有建筑材料（尤其是石灰等）的装卸、运输、堆放等。上述各环节在受风力作用下将对施工现场产生TSP污染。</w:t>
            </w:r>
          </w:p>
          <w:p>
            <w:pPr>
              <w:pStyle w:val="aa"/>
              <w:ind w:firstLine="480"/>
              <w:rPr>
                <w:rFonts w:eastAsiaTheme="minorEastAsia"/>
              </w:rPr>
            </w:pPr>
            <w:r>
              <w:rPr>
                <w:rFonts w:eastAsiaTheme="minorEastAsia"/>
              </w:rPr>
              <w:t>尘土在空气动力的作用下漂浮在空气中，粒径较大的尘粒在空气中滞留的时间较短，而粒径较小的尘粒则能在空气中长时间滞留。参考对大型土建工程现场扬尘的监测结果，TSP产生系数为0.1mg/m</w:t>
            </w:r>
            <w:r>
              <w:rPr>
                <w:rFonts w:eastAsiaTheme="minorEastAsia"/>
                <w:vertAlign w:val="superscript"/>
              </w:rPr>
              <w:t>2</w:t>
            </w:r>
            <w:r>
              <w:rPr>
                <w:rFonts w:eastAsiaTheme="minorEastAsia"/>
              </w:rPr>
              <w:t>·s，本项目规划用地面积约为</w:t>
            </w:r>
            <w:r>
              <w:rPr>
                <w:rFonts w:eastAsiaTheme="minorEastAsia" w:hint="eastAsia"/>
                <w:kern w:val="21"/>
                <w:szCs w:val="24"/>
              </w:rPr>
              <w:t>60000</w:t>
            </w:r>
            <w:r>
              <w:rPr>
                <w:rFonts w:eastAsiaTheme="minorEastAsia"/>
              </w:rPr>
              <w:t>m</w:t>
            </w:r>
            <w:r>
              <w:rPr>
                <w:rFonts w:eastAsiaTheme="minorEastAsia"/>
                <w:vertAlign w:val="superscript"/>
              </w:rPr>
              <w:t>2</w:t>
            </w:r>
            <w:r>
              <w:rPr>
                <w:rFonts w:eastAsiaTheme="minorEastAsia"/>
                <w:color w:val="0000FF"/>
              </w:rPr>
              <w:t>，</w:t>
            </w:r>
            <w:r>
              <w:rPr>
                <w:rFonts w:eastAsiaTheme="minorEastAsia"/>
              </w:rPr>
              <w:t>计算得出建筑施工扬尘产生量为</w:t>
            </w:r>
            <w:r>
              <w:rPr>
                <w:rFonts w:eastAsiaTheme="minorEastAsia" w:hint="eastAsia"/>
              </w:rPr>
              <w:t>6.0</w:t>
            </w:r>
            <w:r>
              <w:rPr>
                <w:rFonts w:eastAsiaTheme="minorEastAsia"/>
              </w:rPr>
              <w:t>g/s。而在采取一定的防护措施和土壤较湿的情况下，可控制住70%左右的扬尘，其产生量约</w:t>
            </w:r>
            <w:r>
              <w:rPr>
                <w:rFonts w:eastAsiaTheme="minorEastAsia" w:hint="eastAsia"/>
              </w:rPr>
              <w:t>1.8</w:t>
            </w:r>
            <w:r>
              <w:rPr>
                <w:rFonts w:eastAsiaTheme="minorEastAsia"/>
              </w:rPr>
              <w:t>g/s。</w:t>
            </w:r>
          </w:p>
          <w:p>
            <w:pPr>
              <w:spacing w:line="360" w:lineRule="auto"/>
              <w:ind w:firstLine="480" w:firstLineChars="200"/>
              <w:rPr>
                <w:sz w:val="24"/>
              </w:rPr>
            </w:pPr>
            <w:r>
              <w:rPr>
                <w:sz w:val="24"/>
              </w:rPr>
              <w:t>(2)施工机械废气</w:t>
            </w:r>
          </w:p>
          <w:p>
            <w:pPr>
              <w:spacing w:line="360" w:lineRule="auto"/>
              <w:ind w:firstLine="480" w:firstLineChars="200"/>
              <w:rPr>
                <w:sz w:val="24"/>
              </w:rPr>
            </w:pPr>
            <w:r>
              <w:rPr>
                <w:sz w:val="24"/>
              </w:rPr>
              <w:t>施工期间，使用机动车运送原材料、设备和建筑机械设备的运转，均会排放一定量的CO、NO</w:t>
            </w:r>
            <w:r>
              <w:rPr>
                <w:sz w:val="24"/>
                <w:vertAlign w:val="subscript"/>
              </w:rPr>
              <w:t>x</w:t>
            </w:r>
            <w:r>
              <w:rPr>
                <w:sz w:val="24"/>
              </w:rPr>
              <w:t>以及未完全燃烧的HC等，其特点是排放量小，且属间断性无组织排放，由于其这一特点，因此不会引起大的大气环境污染。对此，本环评要求在施工期内多加注意施工设备的维护，使其能够正常的运行，从而可以避免施工机械因病态而使产生的废气超标的现象发生。</w:t>
            </w:r>
          </w:p>
          <w:p>
            <w:pPr>
              <w:spacing w:line="360" w:lineRule="auto"/>
              <w:ind w:firstLine="480" w:firstLineChars="200"/>
              <w:rPr>
                <w:sz w:val="24"/>
              </w:rPr>
            </w:pPr>
            <w:r>
              <w:rPr>
                <w:sz w:val="24"/>
              </w:rPr>
              <w:t>(3)有机废气</w:t>
            </w:r>
          </w:p>
          <w:p>
            <w:pPr>
              <w:spacing w:line="360" w:lineRule="auto"/>
              <w:ind w:firstLine="480" w:firstLineChars="200"/>
              <w:rPr>
                <w:sz w:val="24"/>
              </w:rPr>
            </w:pPr>
            <w:r>
              <w:rPr>
                <w:sz w:val="24"/>
              </w:rPr>
              <w:t>本项目施工期产生的有机废气主要产生于室内室外装修阶段。本项目产生的有机废气主要包括油漆废气以及胶黏剂废气，胶黏剂废气主要为使用期间产生的，油漆废气的主要污染因子是作为稀释剂的二甲苯，此外还有较少量的醋酸丁酯、乙醇、丁醇等，该废气的排放属无组织排放。在装修期间，应加强室内的通风换气，胶黏剂和油漆结束完成以后，也应每天进行通风换气一至二个月后才能营业或居住。由于装修时采用的三合板和油漆中含有的甲醛、甲苯、二甲苯等影响环境质量的有毒有害物质挥发时间长，所以要注意室内空气的流畅。</w:t>
            </w:r>
          </w:p>
          <w:p>
            <w:pPr>
              <w:spacing w:line="360" w:lineRule="auto"/>
              <w:ind w:left="352"/>
              <w:rPr>
                <w:b/>
                <w:sz w:val="24"/>
              </w:rPr>
            </w:pPr>
            <w:r>
              <w:rPr>
                <w:b/>
                <w:sz w:val="24"/>
              </w:rPr>
              <w:t>3、噪声</w:t>
            </w:r>
          </w:p>
          <w:p>
            <w:pPr>
              <w:spacing w:after="0" w:line="360" w:lineRule="auto"/>
              <w:ind w:firstLine="480" w:firstLineChars="200"/>
              <w:jc w:val="left"/>
              <w:rPr>
                <w:sz w:val="24"/>
              </w:rPr>
            </w:pPr>
          </w:p>
        </w:tc>
      </w:tr>
    </w:tbl>
    <w:p>
      <w:pPr>
        <w:sectPr>
          <w:footerReference w:type="default" r:id="rId26"/>
          <w:type w:val="nextPage"/>
          <w:pgSz w:w="11907" w:h="16840"/>
          <w:pgMar w:top="1418" w:right="1418" w:bottom="1418" w:left="1418" w:header="851" w:footer="992" w:gutter="113"/>
          <w:pgNumType w:start="22"/>
          <w:cols w:num="1" w:space="720"/>
          <w:titlePg w:val="0"/>
        </w:sectPr>
      </w:pPr>
    </w:p>
    <w:tbl>
      <w:tblPr>
        <w:tblStyle w:val="TableNormal"/>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
      <w:tblGrid>
        <w:gridCol w:w="9026"/>
      </w:tblGrid>
      <w:tr>
        <w:tblPrEx>
          <w:tblW w:w="9026" w:type="dxa"/>
          <w:tblInd w:w="125"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0" w:type="dxa"/>
            <w:left w:w="108" w:type="dxa"/>
            <w:bottom w:w="0" w:type="dxa"/>
            <w:right w:w="108" w:type="dxa"/>
          </w:tblCellMar>
        </w:tblPrEx>
        <w:trPr>
          <w:trHeight w:val="13289"/>
        </w:trPr>
        <w:tc>
          <w:tcPr>
            <w:tcW w:w="9026" w:type="dxa"/>
          </w:tcPr>
          <w:p>
            <w:pPr>
              <w:spacing w:before="0" w:line="360" w:lineRule="auto"/>
              <w:ind w:firstLine="480" w:firstLineChars="200"/>
              <w:jc w:val="left"/>
              <w:rPr>
                <w:sz w:val="24"/>
              </w:rPr>
            </w:pPr>
            <w:r>
              <w:rPr>
                <w:bCs/>
                <w:sz w:val="24"/>
              </w:rPr>
              <w:t>本项目施工期建设主要包括基础施工阶段、土建阶段、结构施工阶段、设备安装调试阶段。在施工期间主要噪声来自于打桩机、推土机、挖掘机、空压机、车辆等设备运行时产生的噪声根据《环境噪声与振动控制工程技术导则》（HJ2034-2013）中常见施工设备噪声源不同距离声压级</w:t>
            </w:r>
            <w:r>
              <w:rPr>
                <w:sz w:val="24"/>
              </w:rPr>
              <w:t>见下表。</w:t>
            </w:r>
          </w:p>
          <w:p>
            <w:pPr>
              <w:spacing w:line="360" w:lineRule="auto"/>
              <w:jc w:val="center"/>
              <w:rPr>
                <w:rFonts w:ascii="宋体" w:hAnsi="宋体" w:cs="宋体"/>
                <w:b/>
                <w:bCs/>
                <w:sz w:val="24"/>
              </w:rPr>
            </w:pPr>
            <w:r>
              <w:rPr>
                <w:rFonts w:ascii="宋体" w:hAnsi="宋体" w:cs="宋体" w:hint="eastAsia"/>
                <w:b/>
                <w:bCs/>
                <w:kern w:val="21"/>
                <w:sz w:val="24"/>
              </w:rPr>
              <w:t>表</w:t>
            </w:r>
            <w:r>
              <w:rPr>
                <w:b/>
                <w:bCs/>
                <w:kern w:val="21"/>
                <w:sz w:val="24"/>
              </w:rPr>
              <w:t>1</w:t>
            </w:r>
            <w:r>
              <w:rPr>
                <w:rFonts w:hint="eastAsia"/>
                <w:b/>
                <w:bCs/>
                <w:kern w:val="21"/>
                <w:sz w:val="24"/>
              </w:rPr>
              <w:t>2</w:t>
            </w:r>
            <w:r>
              <w:rPr>
                <w:b/>
                <w:bCs/>
                <w:kern w:val="21"/>
                <w:sz w:val="24"/>
              </w:rPr>
              <w:t xml:space="preserve"> </w:t>
            </w:r>
            <w:r>
              <w:rPr>
                <w:rFonts w:ascii="宋体" w:hAnsi="宋体" w:cs="宋体" w:hint="eastAsia"/>
                <w:b/>
                <w:bCs/>
                <w:kern w:val="21"/>
                <w:sz w:val="24"/>
              </w:rPr>
              <w:t xml:space="preserve"> 各施工阶段使用设备及噪声源强    单位：dB(A)</w:t>
            </w:r>
          </w:p>
          <w:tbl>
            <w:tblPr>
              <w:tblStyle w:val="TableNormal"/>
              <w:tblW w:w="8800" w:type="dxa"/>
              <w:tblInd w:w="6"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923"/>
              <w:gridCol w:w="1918"/>
              <w:gridCol w:w="3041"/>
              <w:gridCol w:w="1918"/>
            </w:tblGrid>
            <w:tr>
              <w:tblPrEx>
                <w:tblW w:w="8800" w:type="dxa"/>
                <w:tblInd w:w="6"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405"/>
              </w:trPr>
              <w:tc>
                <w:tcPr>
                  <w:tcW w:w="1923" w:type="dxa"/>
                  <w:tcBorders>
                    <w:tl2br w:val="nil"/>
                    <w:tr2bl w:val="nil"/>
                  </w:tcBorders>
                  <w:vAlign w:val="center"/>
                </w:tcPr>
                <w:p>
                  <w:pPr>
                    <w:widowControl/>
                    <w:spacing w:line="300" w:lineRule="auto"/>
                    <w:jc w:val="center"/>
                    <w:rPr>
                      <w:rFonts w:ascii="宋体" w:hAnsi="宋体" w:cs="宋体"/>
                      <w:b/>
                      <w:bCs/>
                      <w:szCs w:val="21"/>
                    </w:rPr>
                  </w:pPr>
                  <w:r>
                    <w:rPr>
                      <w:rFonts w:ascii="宋体" w:hAnsi="宋体" w:cs="宋体" w:hint="eastAsia"/>
                      <w:b/>
                      <w:bCs/>
                      <w:szCs w:val="21"/>
                    </w:rPr>
                    <w:t>施工阶段</w:t>
                  </w:r>
                </w:p>
              </w:tc>
              <w:tc>
                <w:tcPr>
                  <w:tcW w:w="1918" w:type="dxa"/>
                  <w:tcBorders>
                    <w:tl2br w:val="nil"/>
                    <w:tr2bl w:val="nil"/>
                  </w:tcBorders>
                  <w:vAlign w:val="center"/>
                </w:tcPr>
                <w:p>
                  <w:pPr>
                    <w:widowControl/>
                    <w:spacing w:line="300" w:lineRule="auto"/>
                    <w:jc w:val="center"/>
                    <w:rPr>
                      <w:rFonts w:ascii="宋体" w:hAnsi="宋体" w:cs="宋体"/>
                      <w:b/>
                      <w:bCs/>
                      <w:szCs w:val="21"/>
                    </w:rPr>
                  </w:pPr>
                  <w:r>
                    <w:rPr>
                      <w:rFonts w:ascii="宋体" w:hAnsi="宋体" w:cs="宋体" w:hint="eastAsia"/>
                      <w:b/>
                      <w:bCs/>
                      <w:szCs w:val="21"/>
                    </w:rPr>
                    <w:t>施工机械名称</w:t>
                  </w:r>
                </w:p>
              </w:tc>
              <w:tc>
                <w:tcPr>
                  <w:tcW w:w="3041" w:type="dxa"/>
                  <w:tcBorders>
                    <w:tl2br w:val="nil"/>
                    <w:tr2bl w:val="nil"/>
                  </w:tcBorders>
                  <w:vAlign w:val="center"/>
                </w:tcPr>
                <w:p>
                  <w:pPr>
                    <w:widowControl/>
                    <w:spacing w:line="300" w:lineRule="auto"/>
                    <w:jc w:val="center"/>
                    <w:rPr>
                      <w:b/>
                      <w:bCs/>
                      <w:szCs w:val="21"/>
                    </w:rPr>
                  </w:pPr>
                  <w:r>
                    <w:rPr>
                      <w:b/>
                      <w:bCs/>
                      <w:szCs w:val="21"/>
                    </w:rPr>
                    <w:t>声级值dB（A）</w:t>
                  </w:r>
                </w:p>
              </w:tc>
              <w:tc>
                <w:tcPr>
                  <w:tcW w:w="1918" w:type="dxa"/>
                  <w:tcBorders>
                    <w:tl2br w:val="nil"/>
                    <w:tr2bl w:val="nil"/>
                  </w:tcBorders>
                  <w:vAlign w:val="center"/>
                </w:tcPr>
                <w:p>
                  <w:pPr>
                    <w:widowControl/>
                    <w:spacing w:line="300" w:lineRule="auto"/>
                    <w:jc w:val="center"/>
                    <w:rPr>
                      <w:rFonts w:ascii="宋体" w:hAnsi="宋体" w:cs="宋体"/>
                      <w:b/>
                      <w:bCs/>
                      <w:szCs w:val="21"/>
                    </w:rPr>
                  </w:pPr>
                  <w:r>
                    <w:rPr>
                      <w:rFonts w:ascii="宋体" w:hAnsi="宋体" w:cs="宋体" w:hint="eastAsia"/>
                      <w:b/>
                      <w:bCs/>
                      <w:szCs w:val="21"/>
                    </w:rPr>
                    <w:t>声源性质</w:t>
                  </w:r>
                </w:p>
              </w:tc>
            </w:tr>
            <w:tr>
              <w:tblPrEx>
                <w:tblW w:w="8800" w:type="dxa"/>
                <w:tblInd w:w="6" w:type="dxa"/>
                <w:tblLayout w:type="fixed"/>
                <w:tblCellMar>
                  <w:top w:w="0" w:type="dxa"/>
                  <w:left w:w="108" w:type="dxa"/>
                  <w:bottom w:w="0" w:type="dxa"/>
                  <w:right w:w="108" w:type="dxa"/>
                </w:tblCellMar>
              </w:tblPrEx>
              <w:trPr>
                <w:trHeight w:val="90"/>
              </w:trPr>
              <w:tc>
                <w:tcPr>
                  <w:tcW w:w="1923" w:type="dxa"/>
                  <w:vMerge w:val="restart"/>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基础施工阶段</w:t>
                  </w: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挖土机</w:t>
                  </w:r>
                </w:p>
              </w:tc>
              <w:tc>
                <w:tcPr>
                  <w:tcW w:w="3041" w:type="dxa"/>
                  <w:tcBorders>
                    <w:tl2br w:val="nil"/>
                    <w:tr2bl w:val="nil"/>
                  </w:tcBorders>
                  <w:vAlign w:val="center"/>
                </w:tcPr>
                <w:p>
                  <w:pPr>
                    <w:widowControl/>
                    <w:spacing w:line="300" w:lineRule="auto"/>
                    <w:jc w:val="center"/>
                    <w:rPr>
                      <w:szCs w:val="21"/>
                    </w:rPr>
                  </w:pPr>
                  <w:r>
                    <w:rPr>
                      <w:szCs w:val="21"/>
                    </w:rPr>
                    <w:t>85-95</w:t>
                  </w:r>
                </w:p>
              </w:tc>
              <w:tc>
                <w:tcPr>
                  <w:tcW w:w="1918" w:type="dxa"/>
                  <w:vMerge w:val="restart"/>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间歇声源</w:t>
                  </w:r>
                </w:p>
              </w:tc>
            </w:tr>
            <w:tr>
              <w:tblPrEx>
                <w:tblW w:w="8800" w:type="dxa"/>
                <w:tblInd w:w="6" w:type="dxa"/>
                <w:tblLayout w:type="fixed"/>
                <w:tblCellMar>
                  <w:top w:w="0" w:type="dxa"/>
                  <w:left w:w="108" w:type="dxa"/>
                  <w:bottom w:w="0" w:type="dxa"/>
                  <w:right w:w="108" w:type="dxa"/>
                </w:tblCellMar>
              </w:tblPrEx>
              <w:trPr>
                <w:trHeight w:val="309"/>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卡车</w:t>
                  </w:r>
                </w:p>
              </w:tc>
              <w:tc>
                <w:tcPr>
                  <w:tcW w:w="3041" w:type="dxa"/>
                  <w:tcBorders>
                    <w:tl2br w:val="nil"/>
                    <w:tr2bl w:val="nil"/>
                  </w:tcBorders>
                  <w:vAlign w:val="center"/>
                </w:tcPr>
                <w:p>
                  <w:pPr>
                    <w:widowControl/>
                    <w:spacing w:line="300" w:lineRule="auto"/>
                    <w:jc w:val="center"/>
                    <w:rPr>
                      <w:szCs w:val="21"/>
                    </w:rPr>
                  </w:pPr>
                  <w:r>
                    <w:rPr>
                      <w:szCs w:val="21"/>
                    </w:rPr>
                    <w:t>80-90</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309"/>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推土机</w:t>
                  </w:r>
                </w:p>
              </w:tc>
              <w:tc>
                <w:tcPr>
                  <w:tcW w:w="3041" w:type="dxa"/>
                  <w:tcBorders>
                    <w:tl2br w:val="nil"/>
                    <w:tr2bl w:val="nil"/>
                  </w:tcBorders>
                  <w:vAlign w:val="center"/>
                </w:tcPr>
                <w:p>
                  <w:pPr>
                    <w:widowControl/>
                    <w:spacing w:line="300" w:lineRule="auto"/>
                    <w:jc w:val="center"/>
                    <w:rPr>
                      <w:szCs w:val="21"/>
                    </w:rPr>
                  </w:pPr>
                  <w:r>
                    <w:rPr>
                      <w:szCs w:val="21"/>
                    </w:rPr>
                    <w:t>90-100</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309"/>
              </w:trPr>
              <w:tc>
                <w:tcPr>
                  <w:tcW w:w="1923"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打桩</w:t>
                  </w: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打桩机</w:t>
                  </w:r>
                </w:p>
              </w:tc>
              <w:tc>
                <w:tcPr>
                  <w:tcW w:w="3041" w:type="dxa"/>
                  <w:tcBorders>
                    <w:tl2br w:val="nil"/>
                    <w:tr2bl w:val="nil"/>
                  </w:tcBorders>
                  <w:vAlign w:val="center"/>
                </w:tcPr>
                <w:p>
                  <w:pPr>
                    <w:widowControl/>
                    <w:spacing w:line="300" w:lineRule="auto"/>
                    <w:jc w:val="center"/>
                    <w:rPr>
                      <w:szCs w:val="21"/>
                    </w:rPr>
                  </w:pPr>
                  <w:r>
                    <w:rPr>
                      <w:szCs w:val="21"/>
                    </w:rPr>
                    <w:t>100-110</w:t>
                  </w: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间歇声源</w:t>
                  </w:r>
                </w:p>
              </w:tc>
            </w:tr>
            <w:tr>
              <w:tblPrEx>
                <w:tblW w:w="8800" w:type="dxa"/>
                <w:tblInd w:w="6" w:type="dxa"/>
                <w:tblLayout w:type="fixed"/>
                <w:tblCellMar>
                  <w:top w:w="0" w:type="dxa"/>
                  <w:left w:w="108" w:type="dxa"/>
                  <w:bottom w:w="0" w:type="dxa"/>
                  <w:right w:w="108" w:type="dxa"/>
                </w:tblCellMar>
              </w:tblPrEx>
              <w:trPr>
                <w:trHeight w:val="333"/>
              </w:trPr>
              <w:tc>
                <w:tcPr>
                  <w:tcW w:w="1923" w:type="dxa"/>
                  <w:vMerge w:val="restart"/>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结构阶段</w:t>
                  </w: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卡车</w:t>
                  </w:r>
                </w:p>
              </w:tc>
              <w:tc>
                <w:tcPr>
                  <w:tcW w:w="3041" w:type="dxa"/>
                  <w:tcBorders>
                    <w:tl2br w:val="nil"/>
                    <w:tr2bl w:val="nil"/>
                  </w:tcBorders>
                  <w:vAlign w:val="center"/>
                </w:tcPr>
                <w:p>
                  <w:pPr>
                    <w:widowControl/>
                    <w:spacing w:line="300" w:lineRule="auto"/>
                    <w:jc w:val="center"/>
                    <w:rPr>
                      <w:szCs w:val="21"/>
                    </w:rPr>
                  </w:pPr>
                  <w:r>
                    <w:rPr>
                      <w:szCs w:val="21"/>
                    </w:rPr>
                    <w:t>80-90</w:t>
                  </w:r>
                </w:p>
              </w:tc>
              <w:tc>
                <w:tcPr>
                  <w:tcW w:w="1918" w:type="dxa"/>
                  <w:vMerge w:val="restart"/>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间歇声源</w:t>
                  </w:r>
                </w:p>
              </w:tc>
            </w:tr>
            <w:tr>
              <w:tblPrEx>
                <w:tblW w:w="8800" w:type="dxa"/>
                <w:tblInd w:w="6" w:type="dxa"/>
                <w:tblLayout w:type="fixed"/>
                <w:tblCellMar>
                  <w:top w:w="0" w:type="dxa"/>
                  <w:left w:w="108" w:type="dxa"/>
                  <w:bottom w:w="0" w:type="dxa"/>
                  <w:right w:w="108" w:type="dxa"/>
                </w:tblCellMar>
              </w:tblPrEx>
              <w:trPr>
                <w:trHeight w:val="295"/>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振棒</w:t>
                  </w:r>
                </w:p>
              </w:tc>
              <w:tc>
                <w:tcPr>
                  <w:tcW w:w="3041" w:type="dxa"/>
                  <w:tcBorders>
                    <w:tl2br w:val="nil"/>
                    <w:tr2bl w:val="nil"/>
                  </w:tcBorders>
                  <w:vAlign w:val="center"/>
                </w:tcPr>
                <w:p>
                  <w:pPr>
                    <w:widowControl/>
                    <w:spacing w:line="300" w:lineRule="auto"/>
                    <w:jc w:val="center"/>
                    <w:rPr>
                      <w:szCs w:val="21"/>
                    </w:rPr>
                  </w:pPr>
                  <w:r>
                    <w:rPr>
                      <w:szCs w:val="21"/>
                    </w:rPr>
                    <w:t>100-110</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257"/>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吊车</w:t>
                  </w:r>
                </w:p>
              </w:tc>
              <w:tc>
                <w:tcPr>
                  <w:tcW w:w="3041" w:type="dxa"/>
                  <w:tcBorders>
                    <w:tl2br w:val="nil"/>
                    <w:tr2bl w:val="nil"/>
                  </w:tcBorders>
                  <w:vAlign w:val="center"/>
                </w:tcPr>
                <w:p>
                  <w:pPr>
                    <w:widowControl/>
                    <w:spacing w:line="300" w:lineRule="auto"/>
                    <w:jc w:val="center"/>
                    <w:rPr>
                      <w:szCs w:val="21"/>
                    </w:rPr>
                  </w:pPr>
                  <w:r>
                    <w:rPr>
                      <w:szCs w:val="21"/>
                    </w:rPr>
                    <w:t>80-90</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371"/>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混凝土输送</w:t>
                  </w:r>
                </w:p>
              </w:tc>
              <w:tc>
                <w:tcPr>
                  <w:tcW w:w="3041" w:type="dxa"/>
                  <w:tcBorders>
                    <w:tl2br w:val="nil"/>
                    <w:tr2bl w:val="nil"/>
                  </w:tcBorders>
                  <w:vAlign w:val="center"/>
                </w:tcPr>
                <w:p>
                  <w:pPr>
                    <w:widowControl/>
                    <w:spacing w:line="300" w:lineRule="auto"/>
                    <w:jc w:val="center"/>
                    <w:rPr>
                      <w:szCs w:val="21"/>
                    </w:rPr>
                  </w:pPr>
                  <w:r>
                    <w:rPr>
                      <w:szCs w:val="21"/>
                    </w:rPr>
                    <w:t>80-95</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309"/>
              </w:trPr>
              <w:tc>
                <w:tcPr>
                  <w:tcW w:w="1923" w:type="dxa"/>
                  <w:vMerge w:val="restart"/>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装修、安装阶段</w:t>
                  </w: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多功能木土刨</w:t>
                  </w:r>
                </w:p>
              </w:tc>
              <w:tc>
                <w:tcPr>
                  <w:tcW w:w="3041" w:type="dxa"/>
                  <w:tcBorders>
                    <w:tl2br w:val="nil"/>
                    <w:tr2bl w:val="nil"/>
                  </w:tcBorders>
                  <w:vAlign w:val="center"/>
                </w:tcPr>
                <w:p>
                  <w:pPr>
                    <w:widowControl/>
                    <w:spacing w:line="300" w:lineRule="auto"/>
                    <w:jc w:val="center"/>
                    <w:rPr>
                      <w:szCs w:val="21"/>
                    </w:rPr>
                  </w:pPr>
                  <w:r>
                    <w:rPr>
                      <w:szCs w:val="21"/>
                    </w:rPr>
                    <w:t>100-110</w:t>
                  </w:r>
                </w:p>
              </w:tc>
              <w:tc>
                <w:tcPr>
                  <w:tcW w:w="1918" w:type="dxa"/>
                  <w:vMerge w:val="restart"/>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间歇声源</w:t>
                  </w:r>
                </w:p>
              </w:tc>
            </w:tr>
            <w:tr>
              <w:tblPrEx>
                <w:tblW w:w="8800" w:type="dxa"/>
                <w:tblInd w:w="6" w:type="dxa"/>
                <w:tblLayout w:type="fixed"/>
                <w:tblCellMar>
                  <w:top w:w="0" w:type="dxa"/>
                  <w:left w:w="108" w:type="dxa"/>
                  <w:bottom w:w="0" w:type="dxa"/>
                  <w:right w:w="108" w:type="dxa"/>
                </w:tblCellMar>
              </w:tblPrEx>
              <w:trPr>
                <w:trHeight w:val="309"/>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空压机</w:t>
                  </w:r>
                </w:p>
              </w:tc>
              <w:tc>
                <w:tcPr>
                  <w:tcW w:w="3041" w:type="dxa"/>
                  <w:tcBorders>
                    <w:tl2br w:val="nil"/>
                    <w:tr2bl w:val="nil"/>
                  </w:tcBorders>
                  <w:vAlign w:val="center"/>
                </w:tcPr>
                <w:p>
                  <w:pPr>
                    <w:widowControl/>
                    <w:spacing w:line="300" w:lineRule="auto"/>
                    <w:jc w:val="center"/>
                    <w:rPr>
                      <w:szCs w:val="21"/>
                    </w:rPr>
                  </w:pPr>
                  <w:r>
                    <w:rPr>
                      <w:szCs w:val="21"/>
                    </w:rPr>
                    <w:t>80-90</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271"/>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电锯</w:t>
                  </w:r>
                </w:p>
              </w:tc>
              <w:tc>
                <w:tcPr>
                  <w:tcW w:w="3041" w:type="dxa"/>
                  <w:tcBorders>
                    <w:tl2br w:val="nil"/>
                    <w:tr2bl w:val="nil"/>
                  </w:tcBorders>
                  <w:vAlign w:val="center"/>
                </w:tcPr>
                <w:p>
                  <w:pPr>
                    <w:widowControl/>
                    <w:spacing w:line="300" w:lineRule="auto"/>
                    <w:jc w:val="center"/>
                    <w:rPr>
                      <w:szCs w:val="21"/>
                    </w:rPr>
                  </w:pPr>
                  <w:r>
                    <w:rPr>
                      <w:szCs w:val="21"/>
                    </w:rPr>
                    <w:t>85-95</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r>
              <w:tblPrEx>
                <w:tblW w:w="8800" w:type="dxa"/>
                <w:tblInd w:w="6" w:type="dxa"/>
                <w:tblLayout w:type="fixed"/>
                <w:tblCellMar>
                  <w:top w:w="0" w:type="dxa"/>
                  <w:left w:w="108" w:type="dxa"/>
                  <w:bottom w:w="0" w:type="dxa"/>
                  <w:right w:w="108" w:type="dxa"/>
                </w:tblCellMar>
              </w:tblPrEx>
              <w:trPr>
                <w:trHeight w:val="271"/>
              </w:trPr>
              <w:tc>
                <w:tcPr>
                  <w:tcW w:w="1923" w:type="dxa"/>
                  <w:vMerge/>
                  <w:tcBorders>
                    <w:tl2br w:val="nil"/>
                    <w:tr2bl w:val="nil"/>
                  </w:tcBorders>
                  <w:vAlign w:val="center"/>
                </w:tcPr>
                <w:p>
                  <w:pPr>
                    <w:widowControl/>
                    <w:spacing w:line="300" w:lineRule="auto"/>
                    <w:jc w:val="left"/>
                    <w:rPr>
                      <w:rFonts w:ascii="宋体" w:hAnsi="宋体" w:cs="宋体"/>
                      <w:szCs w:val="21"/>
                    </w:rPr>
                  </w:pPr>
                </w:p>
              </w:tc>
              <w:tc>
                <w:tcPr>
                  <w:tcW w:w="1918" w:type="dxa"/>
                  <w:tcBorders>
                    <w:tl2br w:val="nil"/>
                    <w:tr2bl w:val="nil"/>
                  </w:tcBorders>
                  <w:vAlign w:val="center"/>
                </w:tcPr>
                <w:p>
                  <w:pPr>
                    <w:widowControl/>
                    <w:spacing w:line="300" w:lineRule="auto"/>
                    <w:jc w:val="center"/>
                    <w:rPr>
                      <w:rFonts w:ascii="宋体" w:hAnsi="宋体" w:cs="宋体"/>
                      <w:szCs w:val="21"/>
                    </w:rPr>
                  </w:pPr>
                  <w:r>
                    <w:rPr>
                      <w:rFonts w:ascii="宋体" w:hAnsi="宋体" w:cs="宋体" w:hint="eastAsia"/>
                      <w:szCs w:val="21"/>
                    </w:rPr>
                    <w:t>无齿锯</w:t>
                  </w:r>
                </w:p>
              </w:tc>
              <w:tc>
                <w:tcPr>
                  <w:tcW w:w="3041" w:type="dxa"/>
                  <w:tcBorders>
                    <w:tl2br w:val="nil"/>
                    <w:tr2bl w:val="nil"/>
                  </w:tcBorders>
                  <w:vAlign w:val="center"/>
                </w:tcPr>
                <w:p>
                  <w:pPr>
                    <w:widowControl/>
                    <w:spacing w:line="300" w:lineRule="auto"/>
                    <w:jc w:val="center"/>
                    <w:rPr>
                      <w:szCs w:val="21"/>
                    </w:rPr>
                  </w:pPr>
                  <w:r>
                    <w:rPr>
                      <w:szCs w:val="21"/>
                    </w:rPr>
                    <w:t>100-110</w:t>
                  </w:r>
                </w:p>
              </w:tc>
              <w:tc>
                <w:tcPr>
                  <w:tcW w:w="1918" w:type="dxa"/>
                  <w:vMerge/>
                  <w:tcBorders>
                    <w:tl2br w:val="nil"/>
                    <w:tr2bl w:val="nil"/>
                  </w:tcBorders>
                  <w:vAlign w:val="center"/>
                </w:tcPr>
                <w:p>
                  <w:pPr>
                    <w:widowControl/>
                    <w:spacing w:line="300" w:lineRule="auto"/>
                    <w:jc w:val="left"/>
                    <w:rPr>
                      <w:rFonts w:ascii="宋体" w:hAnsi="宋体" w:cs="宋体"/>
                      <w:szCs w:val="21"/>
                    </w:rPr>
                  </w:pPr>
                </w:p>
              </w:tc>
            </w:tr>
          </w:tbl>
          <w:p>
            <w:pPr>
              <w:pStyle w:val="20"/>
            </w:pPr>
          </w:p>
          <w:p>
            <w:pPr>
              <w:spacing w:line="360" w:lineRule="auto"/>
              <w:ind w:firstLine="480" w:firstLineChars="200"/>
              <w:rPr>
                <w:rFonts w:ascii="宋体" w:hAnsi="宋体" w:cs="宋体"/>
                <w:sz w:val="24"/>
              </w:rPr>
            </w:pPr>
            <w:r>
              <w:rPr>
                <w:rFonts w:ascii="宋体" w:hAnsi="宋体" w:cs="宋体" w:hint="eastAsia"/>
                <w:b/>
                <w:sz w:val="24"/>
              </w:rPr>
              <w:t>4、固体废物</w:t>
            </w:r>
          </w:p>
          <w:p>
            <w:pPr>
              <w:tabs>
                <w:tab w:val="left" w:pos="0"/>
                <w:tab w:val="left" w:pos="3744"/>
              </w:tabs>
              <w:spacing w:before="120" w:beforeLines="50" w:line="360" w:lineRule="auto"/>
              <w:ind w:firstLine="480" w:firstLineChars="200"/>
              <w:rPr>
                <w:rFonts w:ascii="宋体" w:hAnsi="宋体" w:cs="宋体"/>
                <w:sz w:val="24"/>
              </w:rPr>
            </w:pPr>
            <w:r>
              <w:rPr>
                <w:rFonts w:ascii="宋体" w:hAnsi="宋体" w:cs="宋体" w:hint="eastAsia"/>
                <w:snapToGrid w:val="0"/>
                <w:kern w:val="18"/>
                <w:sz w:val="24"/>
              </w:rPr>
              <w:t>施工期的固体废弃物主要包括生活垃圾、施工弃土以及建筑垃圾。</w:t>
            </w:r>
          </w:p>
          <w:p>
            <w:pPr>
              <w:tabs>
                <w:tab w:val="left" w:pos="0"/>
                <w:tab w:val="left" w:pos="3744"/>
              </w:tabs>
              <w:spacing w:line="360" w:lineRule="auto"/>
              <w:ind w:firstLine="480" w:firstLineChars="200"/>
              <w:rPr>
                <w:rFonts w:hAnsi="宋体"/>
                <w:sz w:val="24"/>
              </w:rPr>
            </w:pPr>
            <w:r>
              <w:rPr>
                <w:rFonts w:hAnsi="宋体" w:hint="eastAsia"/>
                <w:sz w:val="24"/>
              </w:rPr>
              <w:t>（1</w:t>
            </w:r>
            <w:r>
              <w:rPr>
                <w:rFonts w:hAnsi="宋体"/>
                <w:sz w:val="24"/>
              </w:rPr>
              <w:t>）</w:t>
            </w:r>
            <w:r>
              <w:rPr>
                <w:rFonts w:hAnsi="宋体" w:hint="eastAsia"/>
                <w:sz w:val="24"/>
              </w:rPr>
              <w:t>生活</w:t>
            </w:r>
            <w:r>
              <w:rPr>
                <w:rFonts w:hAnsi="宋体"/>
                <w:sz w:val="24"/>
              </w:rPr>
              <w:t>垃圾</w:t>
            </w:r>
          </w:p>
          <w:p>
            <w:pPr>
              <w:tabs>
                <w:tab w:val="left" w:pos="0"/>
                <w:tab w:val="left" w:pos="3744"/>
              </w:tabs>
              <w:spacing w:line="360" w:lineRule="auto"/>
              <w:ind w:firstLine="480" w:firstLineChars="200"/>
              <w:rPr>
                <w:rFonts w:hAnsi="宋体"/>
                <w:sz w:val="24"/>
              </w:rPr>
            </w:pPr>
            <w:r>
              <w:rPr>
                <w:rFonts w:hAnsi="宋体"/>
                <w:bCs/>
                <w:sz w:val="24"/>
              </w:rPr>
              <w:t>生活垃圾按人均产生量</w:t>
            </w:r>
            <w:r>
              <w:rPr>
                <w:rFonts w:hint="eastAsia"/>
                <w:bCs/>
                <w:sz w:val="24"/>
              </w:rPr>
              <w:t>1</w:t>
            </w:r>
            <w:r>
              <w:rPr>
                <w:bCs/>
                <w:sz w:val="24"/>
              </w:rPr>
              <w:t>kg/d</w:t>
            </w:r>
            <w:r>
              <w:rPr>
                <w:rFonts w:hAnsi="宋体"/>
                <w:bCs/>
                <w:sz w:val="24"/>
              </w:rPr>
              <w:t>计算，施工期人数以</w:t>
            </w:r>
            <w:r>
              <w:rPr>
                <w:rFonts w:hint="eastAsia"/>
                <w:bCs/>
                <w:sz w:val="24"/>
              </w:rPr>
              <w:t>150</w:t>
            </w:r>
            <w:r>
              <w:rPr>
                <w:rFonts w:hAnsi="宋体"/>
                <w:bCs/>
                <w:sz w:val="24"/>
              </w:rPr>
              <w:t>人计，施工期为</w:t>
            </w:r>
            <w:r>
              <w:rPr>
                <w:rFonts w:hAnsi="宋体" w:hint="eastAsia"/>
                <w:bCs/>
                <w:sz w:val="24"/>
              </w:rPr>
              <w:t>24个月（</w:t>
            </w:r>
            <w:r>
              <w:rPr>
                <w:rFonts w:hAnsi="宋体"/>
                <w:bCs/>
                <w:sz w:val="24"/>
              </w:rPr>
              <w:t>按</w:t>
            </w:r>
            <w:r>
              <w:rPr>
                <w:rFonts w:hint="eastAsia"/>
                <w:bCs/>
                <w:sz w:val="24"/>
              </w:rPr>
              <w:t>660</w:t>
            </w:r>
            <w:r>
              <w:rPr>
                <w:rFonts w:hAnsi="宋体"/>
                <w:bCs/>
                <w:sz w:val="24"/>
              </w:rPr>
              <w:t>天计</w:t>
            </w:r>
            <w:r>
              <w:rPr>
                <w:bCs/>
                <w:sz w:val="24"/>
              </w:rPr>
              <w:t>)</w:t>
            </w:r>
            <w:r>
              <w:rPr>
                <w:rFonts w:hAnsi="宋体"/>
                <w:bCs/>
                <w:sz w:val="24"/>
              </w:rPr>
              <w:t>，则生活垃圾产生量</w:t>
            </w:r>
            <w:r>
              <w:rPr>
                <w:rFonts w:hAnsi="宋体" w:hint="eastAsia"/>
                <w:bCs/>
                <w:sz w:val="24"/>
              </w:rPr>
              <w:t>99</w:t>
            </w:r>
            <w:r>
              <w:rPr>
                <w:sz w:val="24"/>
              </w:rPr>
              <w:t>t</w:t>
            </w:r>
            <w:r>
              <w:rPr>
                <w:rFonts w:hAnsi="宋体"/>
                <w:sz w:val="24"/>
              </w:rPr>
              <w:t>。</w:t>
            </w:r>
          </w:p>
          <w:p>
            <w:pPr>
              <w:tabs>
                <w:tab w:val="left" w:pos="0"/>
                <w:tab w:val="left" w:pos="3744"/>
              </w:tabs>
              <w:spacing w:line="360" w:lineRule="auto"/>
              <w:ind w:firstLine="480" w:firstLineChars="200"/>
              <w:rPr>
                <w:rFonts w:ascii="宋体" w:hAnsi="宋体" w:cs="宋体"/>
                <w:sz w:val="24"/>
              </w:rPr>
            </w:pPr>
            <w:r>
              <w:rPr>
                <w:rFonts w:ascii="宋体" w:hAnsi="宋体" w:cs="宋体" w:hint="eastAsia"/>
                <w:sz w:val="24"/>
              </w:rPr>
              <w:t>（2）施工弃土</w:t>
            </w:r>
          </w:p>
          <w:p>
            <w:pPr>
              <w:tabs>
                <w:tab w:val="left" w:pos="0"/>
                <w:tab w:val="left" w:pos="3744"/>
              </w:tabs>
              <w:spacing w:line="360" w:lineRule="auto"/>
              <w:ind w:firstLine="480" w:firstLineChars="200"/>
              <w:rPr>
                <w:rFonts w:ascii="宋体" w:hAnsi="宋体" w:cs="宋体"/>
                <w:b/>
                <w:sz w:val="24"/>
              </w:rPr>
            </w:pPr>
            <w:r>
              <w:rPr>
                <w:sz w:val="24"/>
                <w:szCs w:val="24"/>
              </w:rPr>
              <w:t>根据建设单位提供的资料和评价估算，本项目</w:t>
            </w:r>
            <w:r>
              <w:rPr>
                <w:rFonts w:hint="eastAsia"/>
                <w:sz w:val="24"/>
                <w:szCs w:val="24"/>
              </w:rPr>
              <w:t>建筑基底</w:t>
            </w:r>
            <w:r>
              <w:rPr>
                <w:sz w:val="24"/>
                <w:szCs w:val="24"/>
              </w:rPr>
              <w:t>面积</w:t>
            </w:r>
            <w:r>
              <w:rPr>
                <w:rFonts w:hint="eastAsia"/>
                <w:sz w:val="24"/>
                <w:szCs w:val="24"/>
              </w:rPr>
              <w:t>为21220</w:t>
            </w:r>
            <w:r>
              <w:rPr>
                <w:sz w:val="24"/>
                <w:szCs w:val="24"/>
              </w:rPr>
              <w:t>m</w:t>
            </w:r>
            <w:r>
              <w:rPr>
                <w:sz w:val="24"/>
                <w:szCs w:val="24"/>
                <w:vertAlign w:val="superscript"/>
              </w:rPr>
              <w:t>2</w:t>
            </w:r>
            <w:r>
              <w:rPr>
                <w:sz w:val="24"/>
                <w:szCs w:val="24"/>
              </w:rPr>
              <w:t>，地下</w:t>
            </w:r>
            <w:r>
              <w:rPr>
                <w:rFonts w:hint="eastAsia"/>
                <w:sz w:val="24"/>
                <w:szCs w:val="24"/>
              </w:rPr>
              <w:t>一层</w:t>
            </w:r>
            <w:r>
              <w:rPr>
                <w:sz w:val="24"/>
                <w:szCs w:val="24"/>
              </w:rPr>
              <w:t>高度</w:t>
            </w:r>
            <w:r>
              <w:rPr>
                <w:rFonts w:hint="eastAsia"/>
                <w:sz w:val="24"/>
                <w:szCs w:val="24"/>
              </w:rPr>
              <w:t>为5.1</w:t>
            </w:r>
            <w:r>
              <w:rPr>
                <w:sz w:val="24"/>
                <w:szCs w:val="24"/>
              </w:rPr>
              <w:t>m，考虑底部地基硬化处理等按1m计，则地块内平均挖深量按照</w:t>
            </w:r>
            <w:r>
              <w:rPr>
                <w:rFonts w:hint="eastAsia"/>
                <w:sz w:val="24"/>
                <w:szCs w:val="24"/>
              </w:rPr>
              <w:t>6.1</w:t>
            </w:r>
            <w:r>
              <w:rPr>
                <w:sz w:val="24"/>
                <w:szCs w:val="24"/>
              </w:rPr>
              <w:t>m计算，土方挖方量约</w:t>
            </w:r>
            <w:r>
              <w:rPr>
                <w:rFonts w:hint="eastAsia"/>
                <w:sz w:val="24"/>
                <w:szCs w:val="24"/>
              </w:rPr>
              <w:t>12.94</w:t>
            </w:r>
            <w:r>
              <w:rPr>
                <w:sz w:val="24"/>
                <w:szCs w:val="24"/>
              </w:rPr>
              <w:t>万m</w:t>
            </w:r>
            <w:r>
              <w:rPr>
                <w:sz w:val="24"/>
                <w:szCs w:val="24"/>
                <w:vertAlign w:val="superscript"/>
              </w:rPr>
              <w:t>3</w:t>
            </w:r>
            <w:r>
              <w:rPr>
                <w:sz w:val="24"/>
                <w:szCs w:val="24"/>
              </w:rPr>
              <w:t>，其他区域开挖量按1.5m计，约为</w:t>
            </w:r>
            <w:r>
              <w:rPr>
                <w:rFonts w:hint="eastAsia"/>
                <w:sz w:val="24"/>
                <w:szCs w:val="24"/>
              </w:rPr>
              <w:t>5.82</w:t>
            </w:r>
            <w:r>
              <w:rPr>
                <w:sz w:val="24"/>
                <w:szCs w:val="24"/>
              </w:rPr>
              <w:t>万m</w:t>
            </w:r>
            <w:r>
              <w:rPr>
                <w:sz w:val="24"/>
                <w:szCs w:val="24"/>
                <w:vertAlign w:val="superscript"/>
              </w:rPr>
              <w:t>3</w:t>
            </w:r>
            <w:r>
              <w:rPr>
                <w:sz w:val="24"/>
                <w:szCs w:val="24"/>
              </w:rPr>
              <w:t>。根据一般建筑行业经验系数，填方一般为地表覆土，覆土层高度约为1.5m，考虑部分特殊地块平整，按2m计，则填方量约为</w:t>
            </w:r>
            <w:r>
              <w:rPr>
                <w:rFonts w:hint="eastAsia"/>
                <w:sz w:val="24"/>
                <w:szCs w:val="24"/>
              </w:rPr>
              <w:t>12</w:t>
            </w:r>
            <w:r>
              <w:rPr>
                <w:sz w:val="24"/>
                <w:szCs w:val="24"/>
              </w:rPr>
              <w:t>万m</w:t>
            </w:r>
            <w:r>
              <w:rPr>
                <w:sz w:val="24"/>
                <w:szCs w:val="24"/>
                <w:vertAlign w:val="superscript"/>
              </w:rPr>
              <w:t>3</w:t>
            </w:r>
            <w:r>
              <w:rPr>
                <w:sz w:val="24"/>
                <w:szCs w:val="24"/>
              </w:rPr>
              <w:t>。项目不设专门的取弃土场，弃土均在项目建设红线内设临时堆土场，弃方及时交由市容部门调配至</w:t>
            </w:r>
            <w:r>
              <w:rPr>
                <w:rFonts w:hint="eastAsia"/>
                <w:sz w:val="24"/>
                <w:szCs w:val="24"/>
              </w:rPr>
              <w:t>抚州</w:t>
            </w:r>
            <w:r>
              <w:rPr>
                <w:sz w:val="24"/>
                <w:szCs w:val="24"/>
              </w:rPr>
              <w:t>市内其他建筑施工工地使用。项目施工过程中涉及的取弃土详见下表。</w:t>
            </w:r>
          </w:p>
          <w:p>
            <w:pPr>
              <w:spacing w:line="360" w:lineRule="auto"/>
              <w:ind w:left="353" w:firstLine="823" w:leftChars="168" w:firstLineChars="343"/>
              <w:jc w:val="center"/>
              <w:rPr>
                <w:b/>
                <w:sz w:val="24"/>
              </w:rPr>
            </w:pPr>
          </w:p>
          <w:p>
            <w:pPr>
              <w:spacing w:line="360" w:lineRule="auto"/>
              <w:ind w:left="353" w:firstLine="823" w:leftChars="168" w:firstLineChars="343"/>
              <w:jc w:val="center"/>
              <w:rPr>
                <w:b/>
                <w:sz w:val="24"/>
              </w:rPr>
            </w:pPr>
          </w:p>
          <w:p>
            <w:pPr>
              <w:spacing w:line="360" w:lineRule="auto"/>
              <w:ind w:left="353" w:firstLine="823" w:leftChars="168" w:firstLineChars="343"/>
              <w:jc w:val="center"/>
              <w:rPr>
                <w:b/>
                <w:sz w:val="24"/>
              </w:rPr>
            </w:pPr>
          </w:p>
          <w:p>
            <w:pPr>
              <w:spacing w:line="360" w:lineRule="auto"/>
              <w:ind w:left="353" w:firstLine="823" w:leftChars="168" w:firstLineChars="343"/>
              <w:jc w:val="center"/>
              <w:rPr>
                <w:b/>
                <w:sz w:val="24"/>
              </w:rPr>
            </w:pPr>
            <w:r>
              <w:rPr>
                <w:b/>
                <w:sz w:val="24"/>
              </w:rPr>
              <w:t>表1</w:t>
            </w:r>
            <w:r>
              <w:rPr>
                <w:rFonts w:hint="eastAsia"/>
                <w:b/>
                <w:sz w:val="24"/>
              </w:rPr>
              <w:t>3</w:t>
            </w:r>
            <w:r>
              <w:rPr>
                <w:b/>
                <w:sz w:val="24"/>
              </w:rPr>
              <w:t xml:space="preserve">  项目施工期土石方平衡表  （单位：万m</w:t>
            </w:r>
            <w:r>
              <w:rPr>
                <w:b/>
                <w:sz w:val="24"/>
                <w:vertAlign w:val="superscript"/>
              </w:rPr>
              <w:t>3</w:t>
            </w:r>
            <w:r>
              <w:rPr>
                <w:b/>
                <w:sz w:val="24"/>
              </w:rPr>
              <w:t>）</w:t>
            </w:r>
          </w:p>
        </w:tc>
      </w:tr>
    </w:tbl>
    <w:p>
      <w:r>
        <w:br/>
      </w:r>
      <w: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7" w:history="1">
        <w:r>
          <w:rPr>
            <w:rFonts w:ascii="SimSun" w:eastAsia="SimSun" w:hAnsi="SimSun" w:cs="SimSun"/>
            <w:b/>
            <w:bCs/>
            <w:color w:val="0000EE"/>
            <w:sz w:val="30"/>
            <w:szCs w:val="30"/>
            <w:u w:val="single" w:color="0000EE"/>
          </w:rPr>
          <w:t>https://d.book118.com/016102002104010052</w:t>
        </w:r>
      </w:hyperlink>
    </w:p>
    <w:p/>
    <w:sectPr>
      <w:footerReference w:type="default" r:id="rId28"/>
      <w:type w:val="nextPage"/>
      <w:pgSz w:w="11907" w:h="16840"/>
      <w:pgMar w:top="1418" w:right="1418" w:bottom="1418" w:left="1418" w:header="851" w:footer="992" w:gutter="113"/>
      <w:pgNumType w:start="23"/>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2" type="#_x0000_t202" style="width:2in;height:2in;margin-top:0;margin-left:0;mso-height-relative:page;mso-position-horizontal:center;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3" type="#_x0000_t202" style="width:2in;height:2in;margin-top:0;margin-left:0;mso-height-relative:page;mso-position-horizontal:center;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4" type="#_x0000_t202" style="width:2in;height:2in;margin-top:0;margin-left:0;mso-height-relative:page;mso-position-horizontal:center;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5" type="#_x0000_t202" style="width:2in;height:2in;margin-top:0;margin-left:0;mso-height-relative:page;mso-position-horizontal:center;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6" type="#_x0000_t202" style="width:2in;height:2in;margin-top:0;margin-left:0;mso-height-relative:page;mso-position-horizontal:center;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7" type="#_x0000_t202" style="width:2in;height:2in;margin-top:0;margin-left:0;mso-height-relative:page;mso-position-horizontal:center;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8" type="#_x0000_t202" style="width:2in;height:2in;margin-top:0;margin-left:0;mso-height-relative:page;mso-position-horizontal:center;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59" type="#_x0000_t202" style="width:2in;height:2in;margin-top:0;margin-left:0;mso-height-relative:page;mso-position-horizontal:center;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0" type="#_x0000_t202" style="width:2in;height:2in;margin-top:0;margin-left:0;mso-height-relative:page;mso-position-horizontal:center;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1" type="#_x0000_t202" style="width:2in;height:2in;margin-top:0;margin-left:0;mso-height-relative:page;mso-position-horizontal:center;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2" type="#_x0000_t202" style="width:2in;height:2in;margin-top:0;margin-left:0;mso-height-relative:page;mso-position-horizontal:center;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3" type="#_x0000_t202" style="width:2in;height:2in;margin-top:0;margin-left:0;mso-height-relative:page;mso-position-horizontal:center;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4" type="#_x0000_t202" style="width:2in;height:2in;margin-top:0;margin-left:0;mso-height-relative:page;mso-position-horizontal:center;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w10:wrap anchorx="margin"/>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5" type="#_x0000_t202" style="width:2in;height:2in;margin-top:0;margin-left:0;mso-height-relative:page;mso-position-horizontal:center;mso-position-horizontal-relative:margin;mso-width-relative:page;mso-wrap-style:none;position:absolute;z-index:251674624"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17</w:t>
                </w:r>
                <w:r>
                  <w:rPr>
                    <w:rFonts w:hint="eastAsia"/>
                  </w:rPr>
                  <w:fldChar w:fldCharType="end"/>
                </w:r>
              </w:p>
            </w:txbxContent>
          </v:textbox>
          <w10:wrap anchorx="margin"/>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6" type="#_x0000_t202" style="width:2in;height:2in;margin-top:0;margin-left:0;mso-height-relative:page;mso-position-horizontal:center;mso-position-horizontal-relative:margin;mso-width-relative:page;mso-wrap-style:none;position:absolute;z-index:251675648"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7" type="#_x0000_t202" style="width:2in;height:2in;margin-top:0;margin-left:0;mso-height-relative:page;mso-position-horizontal:center;mso-position-horizontal-relative:margin;mso-width-relative:page;mso-wrap-style:none;position:absolute;z-index:251676672"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p>
            </w:txbxContent>
          </v:textbox>
          <w10:wrap anchorx="margin"/>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8" type="#_x0000_t202" style="width:2in;height:2in;margin-top:0;margin-left:0;mso-height-relative:page;mso-position-horizontal:center;mso-position-horizontal-relative:margin;mso-width-relative:page;mso-wrap-style:none;position:absolute;z-index:251677696"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20</w:t>
                </w:r>
                <w:r>
                  <w:rPr>
                    <w:rFonts w:hint="eastAsia"/>
                  </w:rPr>
                  <w:fldChar w:fldCharType="end"/>
                </w:r>
              </w:p>
            </w:txbxContent>
          </v:textbox>
          <w10:wrap anchorx="margin"/>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69" type="#_x0000_t202" style="width:2in;height:2in;margin-top:0;margin-left:0;mso-height-relative:page;mso-position-horizontal:center;mso-position-horizontal-relative:margin;mso-width-relative:page;mso-wrap-style:none;position:absolute;z-index:251678720"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22</w:t>
                </w:r>
                <w:r>
                  <w:rPr>
                    <w:rFonts w:hint="eastAsia"/>
                  </w:rPr>
                  <w:fldChar w:fldCharType="end"/>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0" type="#_x0000_t202" style="width:2in;height:2in;margin-top:0;margin-left:0;mso-height-relative:page;mso-position-horizontal:center;mso-position-horizontal-relative:margin;mso-width-relative:page;mso-wrap-style:none;position:absolute;z-index:251679744"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22</w:t>
                </w:r>
                <w:r>
                  <w:rPr>
                    <w:rFonts w:hint="eastAsia"/>
                  </w:rPr>
                  <w:fldChar w:fldCharType="end"/>
                </w:r>
              </w:p>
            </w:txbxContent>
          </v:textbox>
          <w10:wrap anchorx="margin"/>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1026" o:spid="_x0000_s2071" type="#_x0000_t202" style="width:2in;height:2in;margin-top:0;margin-left:0;mso-height-relative:page;mso-position-horizontal:center;mso-position-horizontal-relative:margin;mso-width-relative:page;mso-wrap-style:none;position:absolute;z-index:251680768" coordsize="21600,21600" filled="f" stroked="f">
          <v:stroke joinstyle="miter"/>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24</w:t>
                </w:r>
                <w:r>
                  <w:rPr>
                    <w:rFonts w:hint="eastAsia"/>
                  </w:rPr>
                  <w:fldChar w:fldCharType="end"/>
                </w:r>
              </w:p>
            </w:txbxContent>
          </v:textbox>
          <w10:wrap anchorx="margin"/>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7440F55"/>
    <w:multiLevelType w:val="singleLevel"/>
    <w:tmpl w:val="57440F55"/>
    <w:lvl w:ilvl="0">
      <w:start w:val="3"/>
      <w:numFmt w:val="decimal"/>
      <w:suff w:val="nothing"/>
      <w:lvlText w:val="%1、"/>
      <w:lvlJc w:val="left"/>
    </w:lvl>
  </w:abstractNum>
  <w:abstractNum w:abstractNumId="1">
    <w:nsid w:val="599682F3"/>
    <w:multiLevelType w:val="singleLevel"/>
    <w:tmpl w:val="599682F3"/>
    <w:lvl w:ilvl="0">
      <w:start w:val="5"/>
      <w:numFmt w:val="decimal"/>
      <w:suff w:val="nothing"/>
      <w:lvlText w:val="%1、"/>
      <w:lvlJc w:val="left"/>
    </w:lvl>
  </w:abstractNum>
  <w:abstractNum w:abstractNumId="2">
    <w:nsid w:val="5A275375"/>
    <w:multiLevelType w:val="singleLevel"/>
    <w:tmpl w:val="5A275375"/>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60"/>
  <w:defaultTabStop w:val="425"/>
  <w:drawingGridHorizontalSpacing w:val="2"/>
  <w:drawingGridVerticalSpacing w:val="2"/>
  <w:noPunctuationKerning/>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121"/>
    <w:rsid w:val="00011EEC"/>
    <w:rsid w:val="00012DDD"/>
    <w:rsid w:val="000155DF"/>
    <w:rsid w:val="00016CF5"/>
    <w:rsid w:val="000248F3"/>
    <w:rsid w:val="00026D0D"/>
    <w:rsid w:val="00030EF9"/>
    <w:rsid w:val="00035775"/>
    <w:rsid w:val="00035B77"/>
    <w:rsid w:val="000415F8"/>
    <w:rsid w:val="00051986"/>
    <w:rsid w:val="00056978"/>
    <w:rsid w:val="000577FE"/>
    <w:rsid w:val="00061E6B"/>
    <w:rsid w:val="00065880"/>
    <w:rsid w:val="00065C70"/>
    <w:rsid w:val="000660DE"/>
    <w:rsid w:val="00075F6C"/>
    <w:rsid w:val="00077D71"/>
    <w:rsid w:val="00080D8E"/>
    <w:rsid w:val="00084A40"/>
    <w:rsid w:val="000962EA"/>
    <w:rsid w:val="00096A58"/>
    <w:rsid w:val="00096B67"/>
    <w:rsid w:val="000A5E01"/>
    <w:rsid w:val="000A7A33"/>
    <w:rsid w:val="000B2007"/>
    <w:rsid w:val="000C341C"/>
    <w:rsid w:val="000C5B00"/>
    <w:rsid w:val="000D5239"/>
    <w:rsid w:val="000E1F01"/>
    <w:rsid w:val="000E7D10"/>
    <w:rsid w:val="000F0A79"/>
    <w:rsid w:val="001026D2"/>
    <w:rsid w:val="00104A4D"/>
    <w:rsid w:val="0010572B"/>
    <w:rsid w:val="0011056E"/>
    <w:rsid w:val="001126D9"/>
    <w:rsid w:val="001130E3"/>
    <w:rsid w:val="001149FF"/>
    <w:rsid w:val="00120857"/>
    <w:rsid w:val="001238F8"/>
    <w:rsid w:val="00131A82"/>
    <w:rsid w:val="00135197"/>
    <w:rsid w:val="00136051"/>
    <w:rsid w:val="00141BC1"/>
    <w:rsid w:val="001468B0"/>
    <w:rsid w:val="00146DA6"/>
    <w:rsid w:val="00147678"/>
    <w:rsid w:val="001574F7"/>
    <w:rsid w:val="00157A36"/>
    <w:rsid w:val="001634CD"/>
    <w:rsid w:val="0016523A"/>
    <w:rsid w:val="0016554E"/>
    <w:rsid w:val="001676BF"/>
    <w:rsid w:val="00167EF1"/>
    <w:rsid w:val="00172A27"/>
    <w:rsid w:val="00181A1E"/>
    <w:rsid w:val="00182D1A"/>
    <w:rsid w:val="001852AB"/>
    <w:rsid w:val="00191BDD"/>
    <w:rsid w:val="001943E2"/>
    <w:rsid w:val="00196B5F"/>
    <w:rsid w:val="00197A5F"/>
    <w:rsid w:val="001A5BE4"/>
    <w:rsid w:val="001B18A8"/>
    <w:rsid w:val="001B22BE"/>
    <w:rsid w:val="001B2FB0"/>
    <w:rsid w:val="001B4D77"/>
    <w:rsid w:val="001B694E"/>
    <w:rsid w:val="001B79F1"/>
    <w:rsid w:val="001C139B"/>
    <w:rsid w:val="001C4563"/>
    <w:rsid w:val="001D05AE"/>
    <w:rsid w:val="001D0BCB"/>
    <w:rsid w:val="001D2A23"/>
    <w:rsid w:val="001D5C60"/>
    <w:rsid w:val="001E1842"/>
    <w:rsid w:val="001E27E4"/>
    <w:rsid w:val="001F132A"/>
    <w:rsid w:val="001F37D3"/>
    <w:rsid w:val="002067A4"/>
    <w:rsid w:val="00206CDE"/>
    <w:rsid w:val="00215AD0"/>
    <w:rsid w:val="00223DB3"/>
    <w:rsid w:val="002244F4"/>
    <w:rsid w:val="00224688"/>
    <w:rsid w:val="00231C2D"/>
    <w:rsid w:val="00232D52"/>
    <w:rsid w:val="00232E01"/>
    <w:rsid w:val="00240835"/>
    <w:rsid w:val="002538E9"/>
    <w:rsid w:val="00253AF8"/>
    <w:rsid w:val="00266E69"/>
    <w:rsid w:val="00274D2E"/>
    <w:rsid w:val="00276010"/>
    <w:rsid w:val="00281252"/>
    <w:rsid w:val="0028732F"/>
    <w:rsid w:val="00293B21"/>
    <w:rsid w:val="002B157B"/>
    <w:rsid w:val="002B1C31"/>
    <w:rsid w:val="002C195C"/>
    <w:rsid w:val="002C672E"/>
    <w:rsid w:val="002D203D"/>
    <w:rsid w:val="002D325F"/>
    <w:rsid w:val="002E0C4D"/>
    <w:rsid w:val="002F0AD4"/>
    <w:rsid w:val="002F0EB5"/>
    <w:rsid w:val="002F1354"/>
    <w:rsid w:val="002F4757"/>
    <w:rsid w:val="002F623F"/>
    <w:rsid w:val="0030177D"/>
    <w:rsid w:val="0030719E"/>
    <w:rsid w:val="003077D6"/>
    <w:rsid w:val="00307C84"/>
    <w:rsid w:val="00312DFE"/>
    <w:rsid w:val="00313B53"/>
    <w:rsid w:val="00315D90"/>
    <w:rsid w:val="00321040"/>
    <w:rsid w:val="00321F80"/>
    <w:rsid w:val="00331F96"/>
    <w:rsid w:val="003341D3"/>
    <w:rsid w:val="0033501F"/>
    <w:rsid w:val="003352E5"/>
    <w:rsid w:val="003352EA"/>
    <w:rsid w:val="0034197A"/>
    <w:rsid w:val="00344615"/>
    <w:rsid w:val="00344875"/>
    <w:rsid w:val="00345DD3"/>
    <w:rsid w:val="00347889"/>
    <w:rsid w:val="00362A56"/>
    <w:rsid w:val="00364A58"/>
    <w:rsid w:val="003654F3"/>
    <w:rsid w:val="00380C30"/>
    <w:rsid w:val="003847C6"/>
    <w:rsid w:val="00384EF0"/>
    <w:rsid w:val="00387C83"/>
    <w:rsid w:val="00394DFC"/>
    <w:rsid w:val="003A00E0"/>
    <w:rsid w:val="003A2982"/>
    <w:rsid w:val="003A45C3"/>
    <w:rsid w:val="003B153D"/>
    <w:rsid w:val="003B54B7"/>
    <w:rsid w:val="003C579C"/>
    <w:rsid w:val="003D47E5"/>
    <w:rsid w:val="003E1899"/>
    <w:rsid w:val="003E1A06"/>
    <w:rsid w:val="003E2F88"/>
    <w:rsid w:val="003E57A9"/>
    <w:rsid w:val="003F5B4A"/>
    <w:rsid w:val="0040078F"/>
    <w:rsid w:val="00412227"/>
    <w:rsid w:val="00412357"/>
    <w:rsid w:val="00412EE9"/>
    <w:rsid w:val="00414933"/>
    <w:rsid w:val="004207CD"/>
    <w:rsid w:val="0042539A"/>
    <w:rsid w:val="00432F90"/>
    <w:rsid w:val="0043320D"/>
    <w:rsid w:val="004334F3"/>
    <w:rsid w:val="0043416E"/>
    <w:rsid w:val="00434258"/>
    <w:rsid w:val="004353EC"/>
    <w:rsid w:val="004371A2"/>
    <w:rsid w:val="004400D6"/>
    <w:rsid w:val="00440AFC"/>
    <w:rsid w:val="004422D7"/>
    <w:rsid w:val="00444A12"/>
    <w:rsid w:val="0044560D"/>
    <w:rsid w:val="00450235"/>
    <w:rsid w:val="00450395"/>
    <w:rsid w:val="0045305D"/>
    <w:rsid w:val="00453D96"/>
    <w:rsid w:val="00455832"/>
    <w:rsid w:val="00462002"/>
    <w:rsid w:val="0046519C"/>
    <w:rsid w:val="004713E1"/>
    <w:rsid w:val="00483939"/>
    <w:rsid w:val="00490255"/>
    <w:rsid w:val="004957EA"/>
    <w:rsid w:val="0049602F"/>
    <w:rsid w:val="004A17D1"/>
    <w:rsid w:val="004A1880"/>
    <w:rsid w:val="004A5A42"/>
    <w:rsid w:val="004B14F3"/>
    <w:rsid w:val="004B27A5"/>
    <w:rsid w:val="004C0367"/>
    <w:rsid w:val="004C1AB5"/>
    <w:rsid w:val="004C53B5"/>
    <w:rsid w:val="004C6C0D"/>
    <w:rsid w:val="004D3686"/>
    <w:rsid w:val="004E69B3"/>
    <w:rsid w:val="004E7EA4"/>
    <w:rsid w:val="004F1A80"/>
    <w:rsid w:val="004F5F0A"/>
    <w:rsid w:val="00500563"/>
    <w:rsid w:val="00503606"/>
    <w:rsid w:val="00505F14"/>
    <w:rsid w:val="005108C0"/>
    <w:rsid w:val="00511296"/>
    <w:rsid w:val="005116D8"/>
    <w:rsid w:val="00514B27"/>
    <w:rsid w:val="0051580B"/>
    <w:rsid w:val="00520E96"/>
    <w:rsid w:val="0052430C"/>
    <w:rsid w:val="0052560D"/>
    <w:rsid w:val="0052793E"/>
    <w:rsid w:val="00531050"/>
    <w:rsid w:val="00533295"/>
    <w:rsid w:val="0053564A"/>
    <w:rsid w:val="0053710E"/>
    <w:rsid w:val="00541DDA"/>
    <w:rsid w:val="00544A2D"/>
    <w:rsid w:val="0054748B"/>
    <w:rsid w:val="005514DC"/>
    <w:rsid w:val="005600BD"/>
    <w:rsid w:val="00564D7D"/>
    <w:rsid w:val="005708EB"/>
    <w:rsid w:val="005722F5"/>
    <w:rsid w:val="00574741"/>
    <w:rsid w:val="00574812"/>
    <w:rsid w:val="00574A29"/>
    <w:rsid w:val="00576422"/>
    <w:rsid w:val="00586399"/>
    <w:rsid w:val="0058662E"/>
    <w:rsid w:val="00592A6B"/>
    <w:rsid w:val="00593F03"/>
    <w:rsid w:val="005945D9"/>
    <w:rsid w:val="00595F4E"/>
    <w:rsid w:val="005A5306"/>
    <w:rsid w:val="005A7774"/>
    <w:rsid w:val="005B1D69"/>
    <w:rsid w:val="005B2751"/>
    <w:rsid w:val="005B27CD"/>
    <w:rsid w:val="005B2E96"/>
    <w:rsid w:val="005B3ABC"/>
    <w:rsid w:val="005C20CC"/>
    <w:rsid w:val="005D0BC5"/>
    <w:rsid w:val="005D16D1"/>
    <w:rsid w:val="005D37DD"/>
    <w:rsid w:val="005D3821"/>
    <w:rsid w:val="005D49A2"/>
    <w:rsid w:val="005E248B"/>
    <w:rsid w:val="005E5D15"/>
    <w:rsid w:val="005E737C"/>
    <w:rsid w:val="005E73D5"/>
    <w:rsid w:val="005E776E"/>
    <w:rsid w:val="005F1293"/>
    <w:rsid w:val="005F598F"/>
    <w:rsid w:val="00610468"/>
    <w:rsid w:val="00612203"/>
    <w:rsid w:val="00616EEC"/>
    <w:rsid w:val="0062017D"/>
    <w:rsid w:val="00630344"/>
    <w:rsid w:val="00632CBA"/>
    <w:rsid w:val="006355CC"/>
    <w:rsid w:val="00635617"/>
    <w:rsid w:val="0063760D"/>
    <w:rsid w:val="006401E3"/>
    <w:rsid w:val="00642226"/>
    <w:rsid w:val="006449A1"/>
    <w:rsid w:val="00645678"/>
    <w:rsid w:val="0064755C"/>
    <w:rsid w:val="00653A28"/>
    <w:rsid w:val="006628E6"/>
    <w:rsid w:val="006656A5"/>
    <w:rsid w:val="00667EA6"/>
    <w:rsid w:val="0067040A"/>
    <w:rsid w:val="00673E26"/>
    <w:rsid w:val="00680B08"/>
    <w:rsid w:val="0068555F"/>
    <w:rsid w:val="00685B67"/>
    <w:rsid w:val="00692FE8"/>
    <w:rsid w:val="006965DD"/>
    <w:rsid w:val="00696A5E"/>
    <w:rsid w:val="006A702C"/>
    <w:rsid w:val="006A70E0"/>
    <w:rsid w:val="006B1E65"/>
    <w:rsid w:val="006B450E"/>
    <w:rsid w:val="006B4B4F"/>
    <w:rsid w:val="006C43BF"/>
    <w:rsid w:val="006C4DA7"/>
    <w:rsid w:val="006C5A15"/>
    <w:rsid w:val="006D0E37"/>
    <w:rsid w:val="006D1460"/>
    <w:rsid w:val="006D34D0"/>
    <w:rsid w:val="006D49D6"/>
    <w:rsid w:val="006D5A93"/>
    <w:rsid w:val="006D6B35"/>
    <w:rsid w:val="006D7D1B"/>
    <w:rsid w:val="006E3F71"/>
    <w:rsid w:val="006E4437"/>
    <w:rsid w:val="006E4F39"/>
    <w:rsid w:val="006E7AA4"/>
    <w:rsid w:val="006E7EE6"/>
    <w:rsid w:val="006E7FCD"/>
    <w:rsid w:val="006F19E3"/>
    <w:rsid w:val="006F380F"/>
    <w:rsid w:val="006F47DD"/>
    <w:rsid w:val="006F692C"/>
    <w:rsid w:val="007006E3"/>
    <w:rsid w:val="00702C61"/>
    <w:rsid w:val="00711516"/>
    <w:rsid w:val="007146FE"/>
    <w:rsid w:val="00715434"/>
    <w:rsid w:val="007177FC"/>
    <w:rsid w:val="00733AD8"/>
    <w:rsid w:val="007414C2"/>
    <w:rsid w:val="007427F6"/>
    <w:rsid w:val="00747792"/>
    <w:rsid w:val="00751E6F"/>
    <w:rsid w:val="00752E84"/>
    <w:rsid w:val="007571DF"/>
    <w:rsid w:val="00757D36"/>
    <w:rsid w:val="00760AE2"/>
    <w:rsid w:val="00761837"/>
    <w:rsid w:val="007637F1"/>
    <w:rsid w:val="00763F44"/>
    <w:rsid w:val="00765988"/>
    <w:rsid w:val="007674D6"/>
    <w:rsid w:val="00771CA3"/>
    <w:rsid w:val="00773B4C"/>
    <w:rsid w:val="00776314"/>
    <w:rsid w:val="00782961"/>
    <w:rsid w:val="00793B37"/>
    <w:rsid w:val="00794612"/>
    <w:rsid w:val="00795BA5"/>
    <w:rsid w:val="007A232D"/>
    <w:rsid w:val="007A5D17"/>
    <w:rsid w:val="007B4EAD"/>
    <w:rsid w:val="007B50AB"/>
    <w:rsid w:val="007C3BE7"/>
    <w:rsid w:val="007C640F"/>
    <w:rsid w:val="007D7488"/>
    <w:rsid w:val="007E03C5"/>
    <w:rsid w:val="007E5146"/>
    <w:rsid w:val="007F3CDE"/>
    <w:rsid w:val="007F5B84"/>
    <w:rsid w:val="00803FEC"/>
    <w:rsid w:val="00804A44"/>
    <w:rsid w:val="00811FFC"/>
    <w:rsid w:val="0081259B"/>
    <w:rsid w:val="00814A11"/>
    <w:rsid w:val="00816C5D"/>
    <w:rsid w:val="0082007B"/>
    <w:rsid w:val="00822525"/>
    <w:rsid w:val="00822976"/>
    <w:rsid w:val="00827C77"/>
    <w:rsid w:val="00833EDC"/>
    <w:rsid w:val="0083655B"/>
    <w:rsid w:val="00836E2E"/>
    <w:rsid w:val="008454A7"/>
    <w:rsid w:val="00845920"/>
    <w:rsid w:val="00850B3D"/>
    <w:rsid w:val="00851504"/>
    <w:rsid w:val="00851D9C"/>
    <w:rsid w:val="0085209F"/>
    <w:rsid w:val="00855525"/>
    <w:rsid w:val="00856FB6"/>
    <w:rsid w:val="00870697"/>
    <w:rsid w:val="0087318A"/>
    <w:rsid w:val="008753D6"/>
    <w:rsid w:val="00877A87"/>
    <w:rsid w:val="00886373"/>
    <w:rsid w:val="0088750C"/>
    <w:rsid w:val="00892F5F"/>
    <w:rsid w:val="00894773"/>
    <w:rsid w:val="008A0704"/>
    <w:rsid w:val="008A09FE"/>
    <w:rsid w:val="008A24E2"/>
    <w:rsid w:val="008B1712"/>
    <w:rsid w:val="008C0AB2"/>
    <w:rsid w:val="008C3F01"/>
    <w:rsid w:val="008C7290"/>
    <w:rsid w:val="008C7643"/>
    <w:rsid w:val="008D55A1"/>
    <w:rsid w:val="008D6B56"/>
    <w:rsid w:val="008D7371"/>
    <w:rsid w:val="008E782F"/>
    <w:rsid w:val="009064A2"/>
    <w:rsid w:val="0090713F"/>
    <w:rsid w:val="0091211D"/>
    <w:rsid w:val="00912F2E"/>
    <w:rsid w:val="00915758"/>
    <w:rsid w:val="00916A2C"/>
    <w:rsid w:val="00927CA2"/>
    <w:rsid w:val="00932214"/>
    <w:rsid w:val="00933C44"/>
    <w:rsid w:val="00937ADF"/>
    <w:rsid w:val="00941D99"/>
    <w:rsid w:val="00942D6B"/>
    <w:rsid w:val="00953474"/>
    <w:rsid w:val="00955244"/>
    <w:rsid w:val="00965B58"/>
    <w:rsid w:val="00973AEB"/>
    <w:rsid w:val="00974BC0"/>
    <w:rsid w:val="009768C1"/>
    <w:rsid w:val="0098101A"/>
    <w:rsid w:val="0098292D"/>
    <w:rsid w:val="0098640C"/>
    <w:rsid w:val="00994B5D"/>
    <w:rsid w:val="00995275"/>
    <w:rsid w:val="00995913"/>
    <w:rsid w:val="009A1234"/>
    <w:rsid w:val="009A2CCD"/>
    <w:rsid w:val="009A4DEE"/>
    <w:rsid w:val="009B13CA"/>
    <w:rsid w:val="009B3A8E"/>
    <w:rsid w:val="009B4F45"/>
    <w:rsid w:val="009B6DED"/>
    <w:rsid w:val="009C448C"/>
    <w:rsid w:val="009C5A04"/>
    <w:rsid w:val="009C643D"/>
    <w:rsid w:val="009D0CA1"/>
    <w:rsid w:val="009D6199"/>
    <w:rsid w:val="009D6420"/>
    <w:rsid w:val="009E054F"/>
    <w:rsid w:val="009E54C2"/>
    <w:rsid w:val="009E61E9"/>
    <w:rsid w:val="009E76E4"/>
    <w:rsid w:val="00A00037"/>
    <w:rsid w:val="00A0216C"/>
    <w:rsid w:val="00A03FAC"/>
    <w:rsid w:val="00A06D79"/>
    <w:rsid w:val="00A128D9"/>
    <w:rsid w:val="00A14528"/>
    <w:rsid w:val="00A309D2"/>
    <w:rsid w:val="00A30A72"/>
    <w:rsid w:val="00A40A94"/>
    <w:rsid w:val="00A40F5F"/>
    <w:rsid w:val="00A445EA"/>
    <w:rsid w:val="00A522F7"/>
    <w:rsid w:val="00A5258B"/>
    <w:rsid w:val="00A53020"/>
    <w:rsid w:val="00A559CC"/>
    <w:rsid w:val="00A562A8"/>
    <w:rsid w:val="00A60CE7"/>
    <w:rsid w:val="00A64E3B"/>
    <w:rsid w:val="00A6548B"/>
    <w:rsid w:val="00A834BE"/>
    <w:rsid w:val="00A858FA"/>
    <w:rsid w:val="00A91AC7"/>
    <w:rsid w:val="00AA1E98"/>
    <w:rsid w:val="00AA41B0"/>
    <w:rsid w:val="00AA46DE"/>
    <w:rsid w:val="00AB18EA"/>
    <w:rsid w:val="00AB1E0D"/>
    <w:rsid w:val="00AB3761"/>
    <w:rsid w:val="00AB5B68"/>
    <w:rsid w:val="00AB7B12"/>
    <w:rsid w:val="00AB7E88"/>
    <w:rsid w:val="00AC0154"/>
    <w:rsid w:val="00AC35E5"/>
    <w:rsid w:val="00AC51B0"/>
    <w:rsid w:val="00AD2E67"/>
    <w:rsid w:val="00AE4419"/>
    <w:rsid w:val="00AE517C"/>
    <w:rsid w:val="00AF266F"/>
    <w:rsid w:val="00AF2B94"/>
    <w:rsid w:val="00AF3465"/>
    <w:rsid w:val="00AF66DC"/>
    <w:rsid w:val="00B00C56"/>
    <w:rsid w:val="00B014FC"/>
    <w:rsid w:val="00B035E2"/>
    <w:rsid w:val="00B060D4"/>
    <w:rsid w:val="00B13EC6"/>
    <w:rsid w:val="00B15EC6"/>
    <w:rsid w:val="00B16266"/>
    <w:rsid w:val="00B17A16"/>
    <w:rsid w:val="00B17F3F"/>
    <w:rsid w:val="00B2228F"/>
    <w:rsid w:val="00B3479E"/>
    <w:rsid w:val="00B34E57"/>
    <w:rsid w:val="00B5320A"/>
    <w:rsid w:val="00B55238"/>
    <w:rsid w:val="00B57C35"/>
    <w:rsid w:val="00B6001E"/>
    <w:rsid w:val="00B63DC1"/>
    <w:rsid w:val="00B65B55"/>
    <w:rsid w:val="00B669D0"/>
    <w:rsid w:val="00B66DDF"/>
    <w:rsid w:val="00B71677"/>
    <w:rsid w:val="00B73C09"/>
    <w:rsid w:val="00B76177"/>
    <w:rsid w:val="00B803E5"/>
    <w:rsid w:val="00B818B6"/>
    <w:rsid w:val="00B85788"/>
    <w:rsid w:val="00B87D80"/>
    <w:rsid w:val="00B87DD4"/>
    <w:rsid w:val="00B9476B"/>
    <w:rsid w:val="00B976EE"/>
    <w:rsid w:val="00BA4343"/>
    <w:rsid w:val="00BA4A4B"/>
    <w:rsid w:val="00BA4A95"/>
    <w:rsid w:val="00BA6F7F"/>
    <w:rsid w:val="00BB0AC2"/>
    <w:rsid w:val="00BB1A69"/>
    <w:rsid w:val="00BD4B10"/>
    <w:rsid w:val="00BD6683"/>
    <w:rsid w:val="00BE0BFF"/>
    <w:rsid w:val="00BE0F0A"/>
    <w:rsid w:val="00BE1B55"/>
    <w:rsid w:val="00BE1D0F"/>
    <w:rsid w:val="00BE238C"/>
    <w:rsid w:val="00BF7413"/>
    <w:rsid w:val="00C01B9C"/>
    <w:rsid w:val="00C0373E"/>
    <w:rsid w:val="00C03F1D"/>
    <w:rsid w:val="00C06F41"/>
    <w:rsid w:val="00C14613"/>
    <w:rsid w:val="00C15CB4"/>
    <w:rsid w:val="00C20D20"/>
    <w:rsid w:val="00C246D8"/>
    <w:rsid w:val="00C26D2C"/>
    <w:rsid w:val="00C36B44"/>
    <w:rsid w:val="00C601CD"/>
    <w:rsid w:val="00C6067E"/>
    <w:rsid w:val="00C60F10"/>
    <w:rsid w:val="00C61EAE"/>
    <w:rsid w:val="00C6444F"/>
    <w:rsid w:val="00C708B1"/>
    <w:rsid w:val="00C737DE"/>
    <w:rsid w:val="00C80018"/>
    <w:rsid w:val="00C80BB0"/>
    <w:rsid w:val="00C83374"/>
    <w:rsid w:val="00C86CA5"/>
    <w:rsid w:val="00C924F2"/>
    <w:rsid w:val="00CA4C72"/>
    <w:rsid w:val="00CA5880"/>
    <w:rsid w:val="00CA6841"/>
    <w:rsid w:val="00CA72B2"/>
    <w:rsid w:val="00CB4343"/>
    <w:rsid w:val="00CB6C8B"/>
    <w:rsid w:val="00CC025C"/>
    <w:rsid w:val="00CC09EF"/>
    <w:rsid w:val="00CC1B66"/>
    <w:rsid w:val="00CC2133"/>
    <w:rsid w:val="00CC6B9A"/>
    <w:rsid w:val="00CD13E7"/>
    <w:rsid w:val="00CD5B4E"/>
    <w:rsid w:val="00CE07A3"/>
    <w:rsid w:val="00CE56AF"/>
    <w:rsid w:val="00CF136D"/>
    <w:rsid w:val="00D01D59"/>
    <w:rsid w:val="00D02521"/>
    <w:rsid w:val="00D072CB"/>
    <w:rsid w:val="00D14986"/>
    <w:rsid w:val="00D1562C"/>
    <w:rsid w:val="00D15ECC"/>
    <w:rsid w:val="00D233F5"/>
    <w:rsid w:val="00D31230"/>
    <w:rsid w:val="00D333FD"/>
    <w:rsid w:val="00D3349B"/>
    <w:rsid w:val="00D33B09"/>
    <w:rsid w:val="00D340F5"/>
    <w:rsid w:val="00D401DD"/>
    <w:rsid w:val="00D47708"/>
    <w:rsid w:val="00D47833"/>
    <w:rsid w:val="00D5631F"/>
    <w:rsid w:val="00D61754"/>
    <w:rsid w:val="00D61A1C"/>
    <w:rsid w:val="00D61CAA"/>
    <w:rsid w:val="00D62E15"/>
    <w:rsid w:val="00D62F4B"/>
    <w:rsid w:val="00D6405C"/>
    <w:rsid w:val="00D65F03"/>
    <w:rsid w:val="00D67694"/>
    <w:rsid w:val="00D710A1"/>
    <w:rsid w:val="00D717A0"/>
    <w:rsid w:val="00D76FCA"/>
    <w:rsid w:val="00D77374"/>
    <w:rsid w:val="00D848B4"/>
    <w:rsid w:val="00D849EB"/>
    <w:rsid w:val="00D877DA"/>
    <w:rsid w:val="00D90580"/>
    <w:rsid w:val="00D90711"/>
    <w:rsid w:val="00D9237F"/>
    <w:rsid w:val="00D92BB1"/>
    <w:rsid w:val="00DA4404"/>
    <w:rsid w:val="00DB380D"/>
    <w:rsid w:val="00DB4168"/>
    <w:rsid w:val="00DB689C"/>
    <w:rsid w:val="00DC211E"/>
    <w:rsid w:val="00DC56E3"/>
    <w:rsid w:val="00DC5F17"/>
    <w:rsid w:val="00DD0326"/>
    <w:rsid w:val="00DD103D"/>
    <w:rsid w:val="00DD4AC9"/>
    <w:rsid w:val="00DD555D"/>
    <w:rsid w:val="00DD73A3"/>
    <w:rsid w:val="00DD754D"/>
    <w:rsid w:val="00DE3A8D"/>
    <w:rsid w:val="00DE5014"/>
    <w:rsid w:val="00DF48DA"/>
    <w:rsid w:val="00E001B6"/>
    <w:rsid w:val="00E01BA2"/>
    <w:rsid w:val="00E05F23"/>
    <w:rsid w:val="00E06050"/>
    <w:rsid w:val="00E062C7"/>
    <w:rsid w:val="00E071FA"/>
    <w:rsid w:val="00E07A15"/>
    <w:rsid w:val="00E1253B"/>
    <w:rsid w:val="00E170B0"/>
    <w:rsid w:val="00E22CFB"/>
    <w:rsid w:val="00E23D50"/>
    <w:rsid w:val="00E27061"/>
    <w:rsid w:val="00E32BC4"/>
    <w:rsid w:val="00E36670"/>
    <w:rsid w:val="00E40C09"/>
    <w:rsid w:val="00E410BA"/>
    <w:rsid w:val="00E41C51"/>
    <w:rsid w:val="00E44622"/>
    <w:rsid w:val="00E502E9"/>
    <w:rsid w:val="00E54CB8"/>
    <w:rsid w:val="00E5658F"/>
    <w:rsid w:val="00E652C8"/>
    <w:rsid w:val="00E667E0"/>
    <w:rsid w:val="00E70E87"/>
    <w:rsid w:val="00E7218E"/>
    <w:rsid w:val="00E772EB"/>
    <w:rsid w:val="00E779D1"/>
    <w:rsid w:val="00E80E4A"/>
    <w:rsid w:val="00E85310"/>
    <w:rsid w:val="00E857EF"/>
    <w:rsid w:val="00E87736"/>
    <w:rsid w:val="00E93AEF"/>
    <w:rsid w:val="00E96949"/>
    <w:rsid w:val="00EA08F9"/>
    <w:rsid w:val="00EA55F3"/>
    <w:rsid w:val="00EA6229"/>
    <w:rsid w:val="00EB3441"/>
    <w:rsid w:val="00EB7F22"/>
    <w:rsid w:val="00EC296C"/>
    <w:rsid w:val="00EC2E16"/>
    <w:rsid w:val="00EC4EE3"/>
    <w:rsid w:val="00EC5E75"/>
    <w:rsid w:val="00EE49E5"/>
    <w:rsid w:val="00EE715D"/>
    <w:rsid w:val="00F0183E"/>
    <w:rsid w:val="00F1180C"/>
    <w:rsid w:val="00F11EE3"/>
    <w:rsid w:val="00F1219F"/>
    <w:rsid w:val="00F1399A"/>
    <w:rsid w:val="00F228BD"/>
    <w:rsid w:val="00F2317E"/>
    <w:rsid w:val="00F26FA0"/>
    <w:rsid w:val="00F33450"/>
    <w:rsid w:val="00F34A92"/>
    <w:rsid w:val="00F357C5"/>
    <w:rsid w:val="00F464F6"/>
    <w:rsid w:val="00F53395"/>
    <w:rsid w:val="00F60FA1"/>
    <w:rsid w:val="00F64E9C"/>
    <w:rsid w:val="00F66ADB"/>
    <w:rsid w:val="00F829A3"/>
    <w:rsid w:val="00F907BB"/>
    <w:rsid w:val="00F94546"/>
    <w:rsid w:val="00FA0554"/>
    <w:rsid w:val="00FA1326"/>
    <w:rsid w:val="00FA482B"/>
    <w:rsid w:val="00FB1AC6"/>
    <w:rsid w:val="00FB5542"/>
    <w:rsid w:val="00FC03DE"/>
    <w:rsid w:val="00FC2653"/>
    <w:rsid w:val="00FC2FF8"/>
    <w:rsid w:val="00FC41A9"/>
    <w:rsid w:val="00FD329A"/>
    <w:rsid w:val="00FD742D"/>
    <w:rsid w:val="00FD74D9"/>
    <w:rsid w:val="00FE705D"/>
    <w:rsid w:val="00FF1582"/>
    <w:rsid w:val="00FF4924"/>
    <w:rsid w:val="01013D18"/>
    <w:rsid w:val="013672FD"/>
    <w:rsid w:val="019F4B88"/>
    <w:rsid w:val="01AB763C"/>
    <w:rsid w:val="01D27009"/>
    <w:rsid w:val="01D4177F"/>
    <w:rsid w:val="01DA7C98"/>
    <w:rsid w:val="01F323DE"/>
    <w:rsid w:val="01F92478"/>
    <w:rsid w:val="02063FE0"/>
    <w:rsid w:val="020D3297"/>
    <w:rsid w:val="023006A7"/>
    <w:rsid w:val="02737C03"/>
    <w:rsid w:val="0291590C"/>
    <w:rsid w:val="02C32A1C"/>
    <w:rsid w:val="031735C9"/>
    <w:rsid w:val="038D2B62"/>
    <w:rsid w:val="03E37CED"/>
    <w:rsid w:val="04100E2A"/>
    <w:rsid w:val="04253FDA"/>
    <w:rsid w:val="04A920AB"/>
    <w:rsid w:val="05037A95"/>
    <w:rsid w:val="05B61A88"/>
    <w:rsid w:val="05D639A0"/>
    <w:rsid w:val="05ED35C6"/>
    <w:rsid w:val="06667F32"/>
    <w:rsid w:val="06D928E9"/>
    <w:rsid w:val="075E2523"/>
    <w:rsid w:val="076351A5"/>
    <w:rsid w:val="07AE1028"/>
    <w:rsid w:val="07C42D54"/>
    <w:rsid w:val="07E64A87"/>
    <w:rsid w:val="08073A21"/>
    <w:rsid w:val="082251B9"/>
    <w:rsid w:val="08426019"/>
    <w:rsid w:val="0857273B"/>
    <w:rsid w:val="08CB6A82"/>
    <w:rsid w:val="08D90D74"/>
    <w:rsid w:val="08DA4E48"/>
    <w:rsid w:val="08F757AF"/>
    <w:rsid w:val="09125DA5"/>
    <w:rsid w:val="09435942"/>
    <w:rsid w:val="09BB1BB5"/>
    <w:rsid w:val="09D82B41"/>
    <w:rsid w:val="0A141268"/>
    <w:rsid w:val="0A5B6B1C"/>
    <w:rsid w:val="0A6837A4"/>
    <w:rsid w:val="0AAC0A11"/>
    <w:rsid w:val="0AAD580F"/>
    <w:rsid w:val="0AE972E2"/>
    <w:rsid w:val="0B1338B8"/>
    <w:rsid w:val="0B2E5767"/>
    <w:rsid w:val="0B95098E"/>
    <w:rsid w:val="0B9F1C6E"/>
    <w:rsid w:val="0BAC5339"/>
    <w:rsid w:val="0C005DE0"/>
    <w:rsid w:val="0C02016C"/>
    <w:rsid w:val="0C2C537C"/>
    <w:rsid w:val="0C404066"/>
    <w:rsid w:val="0C646853"/>
    <w:rsid w:val="0C91022B"/>
    <w:rsid w:val="0CA606BC"/>
    <w:rsid w:val="0CCE61E8"/>
    <w:rsid w:val="0D0C1474"/>
    <w:rsid w:val="0D125E69"/>
    <w:rsid w:val="0D4F0CD8"/>
    <w:rsid w:val="0D693ADE"/>
    <w:rsid w:val="0D781E29"/>
    <w:rsid w:val="0D961F96"/>
    <w:rsid w:val="0DAF4501"/>
    <w:rsid w:val="0E523D0A"/>
    <w:rsid w:val="0E66622E"/>
    <w:rsid w:val="0EC174E3"/>
    <w:rsid w:val="0EC46BD3"/>
    <w:rsid w:val="0EC82A4F"/>
    <w:rsid w:val="0EE80D86"/>
    <w:rsid w:val="0F031CC5"/>
    <w:rsid w:val="0F111284"/>
    <w:rsid w:val="0F1B3C00"/>
    <w:rsid w:val="0F404D9E"/>
    <w:rsid w:val="0FDC3FD2"/>
    <w:rsid w:val="101B45FA"/>
    <w:rsid w:val="107A5C99"/>
    <w:rsid w:val="10BD6382"/>
    <w:rsid w:val="10D001DE"/>
    <w:rsid w:val="10E5638D"/>
    <w:rsid w:val="111F0662"/>
    <w:rsid w:val="11840349"/>
    <w:rsid w:val="120B7776"/>
    <w:rsid w:val="120E2ECB"/>
    <w:rsid w:val="12435284"/>
    <w:rsid w:val="12613686"/>
    <w:rsid w:val="12BB03C6"/>
    <w:rsid w:val="12C169BB"/>
    <w:rsid w:val="136817E4"/>
    <w:rsid w:val="13DF4867"/>
    <w:rsid w:val="143C7CBA"/>
    <w:rsid w:val="14731C38"/>
    <w:rsid w:val="149C5198"/>
    <w:rsid w:val="14C15730"/>
    <w:rsid w:val="14CE23B0"/>
    <w:rsid w:val="14E47C1F"/>
    <w:rsid w:val="14EF0366"/>
    <w:rsid w:val="1502073C"/>
    <w:rsid w:val="15044A88"/>
    <w:rsid w:val="1505030B"/>
    <w:rsid w:val="15400AE3"/>
    <w:rsid w:val="15481D18"/>
    <w:rsid w:val="156C4459"/>
    <w:rsid w:val="15711F5A"/>
    <w:rsid w:val="157D344D"/>
    <w:rsid w:val="1597787A"/>
    <w:rsid w:val="15F04BBC"/>
    <w:rsid w:val="15F34D63"/>
    <w:rsid w:val="162C0741"/>
    <w:rsid w:val="165F01A4"/>
    <w:rsid w:val="16A54F40"/>
    <w:rsid w:val="16C8577B"/>
    <w:rsid w:val="17080D14"/>
    <w:rsid w:val="177A5491"/>
    <w:rsid w:val="17C93C15"/>
    <w:rsid w:val="17D15EA0"/>
    <w:rsid w:val="17DC7AB4"/>
    <w:rsid w:val="184264B3"/>
    <w:rsid w:val="186C4740"/>
    <w:rsid w:val="18A77E68"/>
    <w:rsid w:val="19004393"/>
    <w:rsid w:val="193F1144"/>
    <w:rsid w:val="195111A3"/>
    <w:rsid w:val="19632DB3"/>
    <w:rsid w:val="19756550"/>
    <w:rsid w:val="1977404C"/>
    <w:rsid w:val="19782D58"/>
    <w:rsid w:val="197D2C12"/>
    <w:rsid w:val="1998116A"/>
    <w:rsid w:val="1A8E4F1B"/>
    <w:rsid w:val="1AB836E5"/>
    <w:rsid w:val="1AED613D"/>
    <w:rsid w:val="1B0F40F3"/>
    <w:rsid w:val="1B2D53C2"/>
    <w:rsid w:val="1B5744E8"/>
    <w:rsid w:val="1B682787"/>
    <w:rsid w:val="1B7A716E"/>
    <w:rsid w:val="1B80312D"/>
    <w:rsid w:val="1B872E69"/>
    <w:rsid w:val="1C0C2C1C"/>
    <w:rsid w:val="1C426436"/>
    <w:rsid w:val="1C4D642B"/>
    <w:rsid w:val="1C7478D7"/>
    <w:rsid w:val="1C9B12FC"/>
    <w:rsid w:val="1CB40923"/>
    <w:rsid w:val="1CC659C3"/>
    <w:rsid w:val="1D043115"/>
    <w:rsid w:val="1D8553D5"/>
    <w:rsid w:val="1DE17414"/>
    <w:rsid w:val="1E161E6D"/>
    <w:rsid w:val="1E3A162D"/>
    <w:rsid w:val="1E4B28E5"/>
    <w:rsid w:val="1E6D1CF2"/>
    <w:rsid w:val="1EE9646D"/>
    <w:rsid w:val="1FB44D91"/>
    <w:rsid w:val="1FCF11BE"/>
    <w:rsid w:val="1FEA526B"/>
    <w:rsid w:val="200E52A1"/>
    <w:rsid w:val="20192F12"/>
    <w:rsid w:val="202111D1"/>
    <w:rsid w:val="2042653B"/>
    <w:rsid w:val="20BC7128"/>
    <w:rsid w:val="20BD5446"/>
    <w:rsid w:val="20BE7282"/>
    <w:rsid w:val="20E3647A"/>
    <w:rsid w:val="211A20DA"/>
    <w:rsid w:val="21276954"/>
    <w:rsid w:val="213A3C94"/>
    <w:rsid w:val="213A410B"/>
    <w:rsid w:val="224C3DAD"/>
    <w:rsid w:val="237A63C1"/>
    <w:rsid w:val="23C2552D"/>
    <w:rsid w:val="23FF62F2"/>
    <w:rsid w:val="24267B5E"/>
    <w:rsid w:val="24481FE6"/>
    <w:rsid w:val="24CA43D2"/>
    <w:rsid w:val="250B3654"/>
    <w:rsid w:val="250C32D4"/>
    <w:rsid w:val="25AD1F1C"/>
    <w:rsid w:val="25F954DB"/>
    <w:rsid w:val="26517E07"/>
    <w:rsid w:val="267C1361"/>
    <w:rsid w:val="269C20AA"/>
    <w:rsid w:val="26D23665"/>
    <w:rsid w:val="26DE67AD"/>
    <w:rsid w:val="271F52BE"/>
    <w:rsid w:val="273D6821"/>
    <w:rsid w:val="281954D5"/>
    <w:rsid w:val="28A605BD"/>
    <w:rsid w:val="29053E33"/>
    <w:rsid w:val="290977F5"/>
    <w:rsid w:val="291C12E4"/>
    <w:rsid w:val="2925470E"/>
    <w:rsid w:val="29271338"/>
    <w:rsid w:val="296A5FFD"/>
    <w:rsid w:val="2974175C"/>
    <w:rsid w:val="29B27E53"/>
    <w:rsid w:val="29EC66D5"/>
    <w:rsid w:val="2A002482"/>
    <w:rsid w:val="2A6820DA"/>
    <w:rsid w:val="2A945BEA"/>
    <w:rsid w:val="2AA9230C"/>
    <w:rsid w:val="2B13481B"/>
    <w:rsid w:val="2BA22524"/>
    <w:rsid w:val="2C164A61"/>
    <w:rsid w:val="2C255C70"/>
    <w:rsid w:val="2C2B1183"/>
    <w:rsid w:val="2C55584A"/>
    <w:rsid w:val="2CC374A7"/>
    <w:rsid w:val="2CC85DB1"/>
    <w:rsid w:val="2CE30931"/>
    <w:rsid w:val="2D024C85"/>
    <w:rsid w:val="2D045522"/>
    <w:rsid w:val="2D0F4C79"/>
    <w:rsid w:val="2D5B72F6"/>
    <w:rsid w:val="2E070A94"/>
    <w:rsid w:val="2E2E0391"/>
    <w:rsid w:val="2E7F2C46"/>
    <w:rsid w:val="2E933353"/>
    <w:rsid w:val="2ECE08D2"/>
    <w:rsid w:val="2EEE4BDC"/>
    <w:rsid w:val="2F205A25"/>
    <w:rsid w:val="2F410504"/>
    <w:rsid w:val="2F4926D0"/>
    <w:rsid w:val="2FBA00DA"/>
    <w:rsid w:val="2FC003C8"/>
    <w:rsid w:val="2FD00080"/>
    <w:rsid w:val="300B3D12"/>
    <w:rsid w:val="30437E24"/>
    <w:rsid w:val="30500B64"/>
    <w:rsid w:val="30534DD6"/>
    <w:rsid w:val="30684D7B"/>
    <w:rsid w:val="3070669D"/>
    <w:rsid w:val="307D790D"/>
    <w:rsid w:val="30B30DEC"/>
    <w:rsid w:val="30E31FB2"/>
    <w:rsid w:val="317554A6"/>
    <w:rsid w:val="31800A36"/>
    <w:rsid w:val="319510B7"/>
    <w:rsid w:val="31D81006"/>
    <w:rsid w:val="32057529"/>
    <w:rsid w:val="32194741"/>
    <w:rsid w:val="3228700C"/>
    <w:rsid w:val="322D5A03"/>
    <w:rsid w:val="325D6C5B"/>
    <w:rsid w:val="326D040C"/>
    <w:rsid w:val="32A24969"/>
    <w:rsid w:val="32C957DF"/>
    <w:rsid w:val="32E4768D"/>
    <w:rsid w:val="32EB57F0"/>
    <w:rsid w:val="33540C46"/>
    <w:rsid w:val="33574C30"/>
    <w:rsid w:val="337C0B05"/>
    <w:rsid w:val="338A576D"/>
    <w:rsid w:val="33A57080"/>
    <w:rsid w:val="33F5489A"/>
    <w:rsid w:val="3424001A"/>
    <w:rsid w:val="34B47E04"/>
    <w:rsid w:val="34E03C50"/>
    <w:rsid w:val="34ED65CA"/>
    <w:rsid w:val="354748F9"/>
    <w:rsid w:val="35C27695"/>
    <w:rsid w:val="369A1228"/>
    <w:rsid w:val="36AD4A45"/>
    <w:rsid w:val="36AF3BB4"/>
    <w:rsid w:val="36C41867"/>
    <w:rsid w:val="36F60BBB"/>
    <w:rsid w:val="373643FF"/>
    <w:rsid w:val="378E17E6"/>
    <w:rsid w:val="37A83CCD"/>
    <w:rsid w:val="37C562BA"/>
    <w:rsid w:val="37C83693"/>
    <w:rsid w:val="37D24DB3"/>
    <w:rsid w:val="383E2572"/>
    <w:rsid w:val="384B6807"/>
    <w:rsid w:val="38FA222D"/>
    <w:rsid w:val="39440601"/>
    <w:rsid w:val="39BB5F26"/>
    <w:rsid w:val="39D902D3"/>
    <w:rsid w:val="39F252A2"/>
    <w:rsid w:val="39FF6820"/>
    <w:rsid w:val="3A340528"/>
    <w:rsid w:val="3A3A4A7E"/>
    <w:rsid w:val="3AAE02D0"/>
    <w:rsid w:val="3AD031C1"/>
    <w:rsid w:val="3AF75A98"/>
    <w:rsid w:val="3B89663D"/>
    <w:rsid w:val="3B8E0546"/>
    <w:rsid w:val="3BFD3D4A"/>
    <w:rsid w:val="3D0954D3"/>
    <w:rsid w:val="3D677185"/>
    <w:rsid w:val="3D855C17"/>
    <w:rsid w:val="3DB94353"/>
    <w:rsid w:val="3DC34C62"/>
    <w:rsid w:val="3DD46A95"/>
    <w:rsid w:val="3DE91396"/>
    <w:rsid w:val="3E605DE6"/>
    <w:rsid w:val="3E667CEF"/>
    <w:rsid w:val="3E7579FC"/>
    <w:rsid w:val="3E802756"/>
    <w:rsid w:val="3EDD55B8"/>
    <w:rsid w:val="3EFF0066"/>
    <w:rsid w:val="3FCD31F4"/>
    <w:rsid w:val="3FEF1E44"/>
    <w:rsid w:val="40025851"/>
    <w:rsid w:val="40450D26"/>
    <w:rsid w:val="40491D69"/>
    <w:rsid w:val="404970F1"/>
    <w:rsid w:val="405939A2"/>
    <w:rsid w:val="406756B5"/>
    <w:rsid w:val="407373D1"/>
    <w:rsid w:val="407544A4"/>
    <w:rsid w:val="407F255D"/>
    <w:rsid w:val="40C515B1"/>
    <w:rsid w:val="40DC06F8"/>
    <w:rsid w:val="40F450C2"/>
    <w:rsid w:val="41137D97"/>
    <w:rsid w:val="415D1732"/>
    <w:rsid w:val="41795FF8"/>
    <w:rsid w:val="42346308"/>
    <w:rsid w:val="424B1F07"/>
    <w:rsid w:val="42FF60A3"/>
    <w:rsid w:val="43702E63"/>
    <w:rsid w:val="43737E97"/>
    <w:rsid w:val="437E09FA"/>
    <w:rsid w:val="43911EEB"/>
    <w:rsid w:val="43A31A9E"/>
    <w:rsid w:val="43B3461E"/>
    <w:rsid w:val="44241F7B"/>
    <w:rsid w:val="44605A3B"/>
    <w:rsid w:val="44A56AE4"/>
    <w:rsid w:val="44D47F78"/>
    <w:rsid w:val="44F92736"/>
    <w:rsid w:val="454277D4"/>
    <w:rsid w:val="4586581D"/>
    <w:rsid w:val="45A01C4B"/>
    <w:rsid w:val="45C66607"/>
    <w:rsid w:val="45DB4ED6"/>
    <w:rsid w:val="460A01E5"/>
    <w:rsid w:val="465412C2"/>
    <w:rsid w:val="465E3302"/>
    <w:rsid w:val="46727D74"/>
    <w:rsid w:val="469F3D6C"/>
    <w:rsid w:val="46E84E81"/>
    <w:rsid w:val="47012B0C"/>
    <w:rsid w:val="472C5B18"/>
    <w:rsid w:val="47323525"/>
    <w:rsid w:val="47EF4992"/>
    <w:rsid w:val="48416498"/>
    <w:rsid w:val="4848261A"/>
    <w:rsid w:val="484A0AE8"/>
    <w:rsid w:val="489D5DB0"/>
    <w:rsid w:val="48B459D5"/>
    <w:rsid w:val="496C7771"/>
    <w:rsid w:val="49AD5188"/>
    <w:rsid w:val="49C65643"/>
    <w:rsid w:val="4A231393"/>
    <w:rsid w:val="4A873352"/>
    <w:rsid w:val="4A9B162E"/>
    <w:rsid w:val="4B3F2B00"/>
    <w:rsid w:val="4B4D1B9D"/>
    <w:rsid w:val="4BB0793C"/>
    <w:rsid w:val="4BB124D9"/>
    <w:rsid w:val="4BCB7722"/>
    <w:rsid w:val="4C130566"/>
    <w:rsid w:val="4C285163"/>
    <w:rsid w:val="4C8878AC"/>
    <w:rsid w:val="4CD17A13"/>
    <w:rsid w:val="4CD26F61"/>
    <w:rsid w:val="4CF9540E"/>
    <w:rsid w:val="4D2D41F3"/>
    <w:rsid w:val="4D7B7C86"/>
    <w:rsid w:val="4D7E67C7"/>
    <w:rsid w:val="4D8E364A"/>
    <w:rsid w:val="4D967649"/>
    <w:rsid w:val="4DAF5110"/>
    <w:rsid w:val="4DCD5AED"/>
    <w:rsid w:val="4E581576"/>
    <w:rsid w:val="4E8273DA"/>
    <w:rsid w:val="4E9B25C0"/>
    <w:rsid w:val="4EA579FF"/>
    <w:rsid w:val="4ECE47AB"/>
    <w:rsid w:val="4EE66573"/>
    <w:rsid w:val="4F1D273A"/>
    <w:rsid w:val="4F793D7C"/>
    <w:rsid w:val="4F875874"/>
    <w:rsid w:val="4FD33884"/>
    <w:rsid w:val="50176803"/>
    <w:rsid w:val="504C220D"/>
    <w:rsid w:val="50765787"/>
    <w:rsid w:val="50903C11"/>
    <w:rsid w:val="51374CDC"/>
    <w:rsid w:val="513A40D0"/>
    <w:rsid w:val="51462F01"/>
    <w:rsid w:val="51742FB0"/>
    <w:rsid w:val="518865F9"/>
    <w:rsid w:val="51C67537"/>
    <w:rsid w:val="522C6655"/>
    <w:rsid w:val="5249428D"/>
    <w:rsid w:val="525028DB"/>
    <w:rsid w:val="52AF2D38"/>
    <w:rsid w:val="52BA4E5B"/>
    <w:rsid w:val="52D21CFB"/>
    <w:rsid w:val="52FF0755"/>
    <w:rsid w:val="534357AA"/>
    <w:rsid w:val="53726715"/>
    <w:rsid w:val="539223E9"/>
    <w:rsid w:val="539E3350"/>
    <w:rsid w:val="53B50F60"/>
    <w:rsid w:val="53D72143"/>
    <w:rsid w:val="53FF3202"/>
    <w:rsid w:val="542953C5"/>
    <w:rsid w:val="543A7700"/>
    <w:rsid w:val="5456017C"/>
    <w:rsid w:val="546A7444"/>
    <w:rsid w:val="54824E31"/>
    <w:rsid w:val="54BD5016"/>
    <w:rsid w:val="54D413B8"/>
    <w:rsid w:val="54E61532"/>
    <w:rsid w:val="55095097"/>
    <w:rsid w:val="55252194"/>
    <w:rsid w:val="561C6E78"/>
    <w:rsid w:val="561E6AA4"/>
    <w:rsid w:val="56277D52"/>
    <w:rsid w:val="56286AA8"/>
    <w:rsid w:val="56584CC4"/>
    <w:rsid w:val="56991A56"/>
    <w:rsid w:val="56F70026"/>
    <w:rsid w:val="56FF0A48"/>
    <w:rsid w:val="57290971"/>
    <w:rsid w:val="57844525"/>
    <w:rsid w:val="5796443F"/>
    <w:rsid w:val="57DA1876"/>
    <w:rsid w:val="57E16E3D"/>
    <w:rsid w:val="57F65321"/>
    <w:rsid w:val="580E1183"/>
    <w:rsid w:val="5863030F"/>
    <w:rsid w:val="58CD153B"/>
    <w:rsid w:val="58DA7055"/>
    <w:rsid w:val="593A75A2"/>
    <w:rsid w:val="59494CBE"/>
    <w:rsid w:val="5959222C"/>
    <w:rsid w:val="59612774"/>
    <w:rsid w:val="596B4C7A"/>
    <w:rsid w:val="59E00B01"/>
    <w:rsid w:val="59F50AA6"/>
    <w:rsid w:val="59FF35B4"/>
    <w:rsid w:val="5A3A3634"/>
    <w:rsid w:val="5A5523A6"/>
    <w:rsid w:val="5A615BD7"/>
    <w:rsid w:val="5A6C3F68"/>
    <w:rsid w:val="5A6D3BE8"/>
    <w:rsid w:val="5AAB3D72"/>
    <w:rsid w:val="5ADF6844"/>
    <w:rsid w:val="5AEE5D6D"/>
    <w:rsid w:val="5B553EE5"/>
    <w:rsid w:val="5B5A5DEF"/>
    <w:rsid w:val="5BA3484A"/>
    <w:rsid w:val="5BC23472"/>
    <w:rsid w:val="5BC86423"/>
    <w:rsid w:val="5C1438D5"/>
    <w:rsid w:val="5C376ECF"/>
    <w:rsid w:val="5CBF2385"/>
    <w:rsid w:val="5CE32B76"/>
    <w:rsid w:val="5D33780A"/>
    <w:rsid w:val="5DE74876"/>
    <w:rsid w:val="5E325597"/>
    <w:rsid w:val="5EAA151C"/>
    <w:rsid w:val="5EB26DCC"/>
    <w:rsid w:val="5EB85906"/>
    <w:rsid w:val="5ECA60F9"/>
    <w:rsid w:val="5F1E3A1C"/>
    <w:rsid w:val="5FCC162E"/>
    <w:rsid w:val="5FCE2009"/>
    <w:rsid w:val="5FEA1B4B"/>
    <w:rsid w:val="6015704D"/>
    <w:rsid w:val="60400817"/>
    <w:rsid w:val="606B3B11"/>
    <w:rsid w:val="60876C1B"/>
    <w:rsid w:val="60A64071"/>
    <w:rsid w:val="60DE3A6C"/>
    <w:rsid w:val="60FB52EB"/>
    <w:rsid w:val="610C727A"/>
    <w:rsid w:val="615517F9"/>
    <w:rsid w:val="61A13570"/>
    <w:rsid w:val="61BE7399"/>
    <w:rsid w:val="621409C5"/>
    <w:rsid w:val="62182F61"/>
    <w:rsid w:val="626671FB"/>
    <w:rsid w:val="632E7712"/>
    <w:rsid w:val="633E00F2"/>
    <w:rsid w:val="634A2CF1"/>
    <w:rsid w:val="63555003"/>
    <w:rsid w:val="639939E8"/>
    <w:rsid w:val="63AC1800"/>
    <w:rsid w:val="63BB3E4B"/>
    <w:rsid w:val="643D747C"/>
    <w:rsid w:val="64440C05"/>
    <w:rsid w:val="644C5263"/>
    <w:rsid w:val="648C4087"/>
    <w:rsid w:val="64AC7D00"/>
    <w:rsid w:val="64C47FDF"/>
    <w:rsid w:val="64DB5A06"/>
    <w:rsid w:val="64DF6D27"/>
    <w:rsid w:val="64EA173D"/>
    <w:rsid w:val="652F07B2"/>
    <w:rsid w:val="652F626F"/>
    <w:rsid w:val="653940EA"/>
    <w:rsid w:val="65480CE8"/>
    <w:rsid w:val="65A57E91"/>
    <w:rsid w:val="66496906"/>
    <w:rsid w:val="66763229"/>
    <w:rsid w:val="66782EA9"/>
    <w:rsid w:val="677E6C6E"/>
    <w:rsid w:val="68313563"/>
    <w:rsid w:val="68344483"/>
    <w:rsid w:val="68644FD2"/>
    <w:rsid w:val="688B4E92"/>
    <w:rsid w:val="68A5317B"/>
    <w:rsid w:val="68C6120D"/>
    <w:rsid w:val="68EB43F6"/>
    <w:rsid w:val="69313B56"/>
    <w:rsid w:val="69490748"/>
    <w:rsid w:val="69894DB5"/>
    <w:rsid w:val="698F343B"/>
    <w:rsid w:val="699A504F"/>
    <w:rsid w:val="69B1325F"/>
    <w:rsid w:val="69C0321F"/>
    <w:rsid w:val="69F66072"/>
    <w:rsid w:val="6A0E396E"/>
    <w:rsid w:val="6A385045"/>
    <w:rsid w:val="6A484C94"/>
    <w:rsid w:val="6A607620"/>
    <w:rsid w:val="6AA9520C"/>
    <w:rsid w:val="6AAA4E8C"/>
    <w:rsid w:val="6AF447A6"/>
    <w:rsid w:val="6B161FBD"/>
    <w:rsid w:val="6B2E539D"/>
    <w:rsid w:val="6B3602F4"/>
    <w:rsid w:val="6B694688"/>
    <w:rsid w:val="6B6E297B"/>
    <w:rsid w:val="6B8119D5"/>
    <w:rsid w:val="6C0710F3"/>
    <w:rsid w:val="6CC201E2"/>
    <w:rsid w:val="6CFE78DF"/>
    <w:rsid w:val="6D0A6821"/>
    <w:rsid w:val="6D970D57"/>
    <w:rsid w:val="6DDC54F7"/>
    <w:rsid w:val="6E1E3F26"/>
    <w:rsid w:val="6E256323"/>
    <w:rsid w:val="6E33494C"/>
    <w:rsid w:val="6E7E04CD"/>
    <w:rsid w:val="6EA50F15"/>
    <w:rsid w:val="6EBB0EBA"/>
    <w:rsid w:val="6F0A3AAE"/>
    <w:rsid w:val="6F1E6490"/>
    <w:rsid w:val="6F8A1A70"/>
    <w:rsid w:val="6F8C6707"/>
    <w:rsid w:val="6F9C2463"/>
    <w:rsid w:val="6FCB0CF7"/>
    <w:rsid w:val="701F211E"/>
    <w:rsid w:val="7057415E"/>
    <w:rsid w:val="70617936"/>
    <w:rsid w:val="707F4466"/>
    <w:rsid w:val="70AE4B6D"/>
    <w:rsid w:val="70AF47ED"/>
    <w:rsid w:val="70B34FFE"/>
    <w:rsid w:val="70DD539F"/>
    <w:rsid w:val="70E57245"/>
    <w:rsid w:val="713841A3"/>
    <w:rsid w:val="71D310CC"/>
    <w:rsid w:val="722A535E"/>
    <w:rsid w:val="72445F08"/>
    <w:rsid w:val="72A6279E"/>
    <w:rsid w:val="72D92B78"/>
    <w:rsid w:val="73117CF2"/>
    <w:rsid w:val="736C2226"/>
    <w:rsid w:val="739633DB"/>
    <w:rsid w:val="73A66A49"/>
    <w:rsid w:val="73ED71BD"/>
    <w:rsid w:val="73F310C6"/>
    <w:rsid w:val="73FE7194"/>
    <w:rsid w:val="741108C8"/>
    <w:rsid w:val="742457F5"/>
    <w:rsid w:val="743933C7"/>
    <w:rsid w:val="743D1EBB"/>
    <w:rsid w:val="747D715F"/>
    <w:rsid w:val="74B27817"/>
    <w:rsid w:val="74C0081A"/>
    <w:rsid w:val="751D47C3"/>
    <w:rsid w:val="751E4F61"/>
    <w:rsid w:val="7557552E"/>
    <w:rsid w:val="75635F18"/>
    <w:rsid w:val="75647124"/>
    <w:rsid w:val="757318D8"/>
    <w:rsid w:val="75946AEF"/>
    <w:rsid w:val="761E0EF8"/>
    <w:rsid w:val="763A15B4"/>
    <w:rsid w:val="766E3282"/>
    <w:rsid w:val="76704167"/>
    <w:rsid w:val="76B344CD"/>
    <w:rsid w:val="76CA4FB9"/>
    <w:rsid w:val="77191C0A"/>
    <w:rsid w:val="77294DEB"/>
    <w:rsid w:val="77361223"/>
    <w:rsid w:val="774B1168"/>
    <w:rsid w:val="774D5E81"/>
    <w:rsid w:val="77CC2C84"/>
    <w:rsid w:val="781A4D19"/>
    <w:rsid w:val="78D2372E"/>
    <w:rsid w:val="78DA6B3C"/>
    <w:rsid w:val="78FA7C0B"/>
    <w:rsid w:val="7A03263B"/>
    <w:rsid w:val="7A6F776C"/>
    <w:rsid w:val="7A9B3AB3"/>
    <w:rsid w:val="7AB03A59"/>
    <w:rsid w:val="7B535EC1"/>
    <w:rsid w:val="7B5A7868"/>
    <w:rsid w:val="7B800236"/>
    <w:rsid w:val="7BA26928"/>
    <w:rsid w:val="7BA73324"/>
    <w:rsid w:val="7BB10DCD"/>
    <w:rsid w:val="7BD40338"/>
    <w:rsid w:val="7C097250"/>
    <w:rsid w:val="7C7D6879"/>
    <w:rsid w:val="7CE805D8"/>
    <w:rsid w:val="7D054242"/>
    <w:rsid w:val="7D2470C5"/>
    <w:rsid w:val="7D251ACA"/>
    <w:rsid w:val="7D310CD8"/>
    <w:rsid w:val="7D4C1B2D"/>
    <w:rsid w:val="7D844AB6"/>
    <w:rsid w:val="7D975A1A"/>
    <w:rsid w:val="7DCB216A"/>
    <w:rsid w:val="7DE042E5"/>
    <w:rsid w:val="7DE50DD1"/>
    <w:rsid w:val="7E4029B0"/>
    <w:rsid w:val="7E5348AA"/>
    <w:rsid w:val="7E651678"/>
    <w:rsid w:val="7E7B539F"/>
    <w:rsid w:val="7E8C502E"/>
    <w:rsid w:val="7ECD2214"/>
    <w:rsid w:val="7ECE64B2"/>
    <w:rsid w:val="7EDC2314"/>
    <w:rsid w:val="7F0F4DD7"/>
    <w:rsid w:val="7F2E4837"/>
    <w:rsid w:val="7F3F1C75"/>
    <w:rsid w:val="7FD02EAD"/>
    <w:rsid w:val="7FF15F7A"/>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index 1" w:semiHidden="0" w:uiPriority="0" w:unhideWhenUsed="0" w:qFormat="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semiHidden="0" w:uiPriority="0" w:unhideWhenUsed="0" w:qFormat="1"/>
    <w:lsdException w:name="toc 4" w:uiPriority="39"/>
    <w:lsdException w:name="toc 5" w:uiPriority="39"/>
    <w:lsdException w:name="toc 6" w:uiPriority="39"/>
    <w:lsdException w:name="toc 7" w:semiHidden="0" w:uiPriority="0" w:unhideWhenUsed="0" w:qFormat="1"/>
    <w:lsdException w:name="toc 8" w:uiPriority="39"/>
    <w:lsdException w:name="toc 9" w:uiPriority="39"/>
    <w:lsdException w:name="Normal Indent" w:semiHidden="0" w:uiPriority="0" w:unhideWhenUsed="0" w:qFormat="1"/>
    <w:lsdException w:name="footnote text"/>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semiHidden="0" w:uiPriority="0" w:unhideWhenUsed="0" w:qFormat="1"/>
    <w:lsdException w:name="Body Text First Indent 2"/>
    <w:lsdException w:name="Note Heading"/>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1"/>
    <w:qFormat/>
    <w:pPr>
      <w:widowControl w:val="0"/>
      <w:adjustRightInd w:val="0"/>
      <w:spacing w:line="312" w:lineRule="atLeast"/>
      <w:jc w:val="both"/>
      <w:textAlignment w:val="baseline"/>
    </w:pPr>
    <w:rPr>
      <w:rFonts w:ascii="Times New Roman" w:eastAsia="宋体" w:hAnsi="Times New Roman" w:cs="Times New Roman"/>
      <w:sz w:val="21"/>
      <w:lang w:val="en-US" w:eastAsia="zh-CN" w:bidi="ar-SA"/>
    </w:rPr>
  </w:style>
  <w:style w:type="paragraph" w:styleId="Heading1">
    <w:name w:val="heading 1"/>
    <w:basedOn w:val="Normal"/>
    <w:next w:val="Normal"/>
    <w:qFormat/>
    <w:pPr>
      <w:keepNext/>
      <w:keepLines/>
      <w:spacing w:before="120" w:after="120" w:line="360" w:lineRule="auto"/>
      <w:outlineLvl w:val="0"/>
    </w:pPr>
    <w:rPr>
      <w:rFonts w:ascii="黑体" w:eastAsia="黑体" w:hAnsi="Arial"/>
      <w:b/>
      <w:sz w:val="24"/>
    </w:rPr>
  </w:style>
  <w:style w:type="paragraph" w:styleId="Heading2">
    <w:name w:val="heading 2"/>
    <w:basedOn w:val="Normal"/>
    <w:next w:val="Normal"/>
    <w:qFormat/>
    <w:pPr>
      <w:keepNext/>
      <w:keepLines/>
      <w:spacing w:line="360" w:lineRule="auto"/>
      <w:outlineLvl w:val="1"/>
    </w:pPr>
    <w:rPr>
      <w:rFonts w:ascii="Arial" w:eastAsia="黑体" w:hAnsi="Arial"/>
      <w:b/>
      <w:sz w:val="24"/>
    </w:rPr>
  </w:style>
  <w:style w:type="paragraph" w:styleId="Heading3">
    <w:name w:val="heading 3"/>
    <w:basedOn w:val="Normal"/>
    <w:next w:val="NormalIndent"/>
    <w:qFormat/>
    <w:pPr>
      <w:keepNext/>
      <w:autoSpaceDE w:val="0"/>
      <w:autoSpaceDN w:val="0"/>
      <w:snapToGrid w:val="0"/>
      <w:spacing w:before="120" w:after="120" w:line="360" w:lineRule="auto"/>
      <w:jc w:val="left"/>
      <w:outlineLvl w:val="2"/>
    </w:pPr>
    <w:rPr>
      <w:rFonts w:ascii="宋体"/>
      <w:snapToGrid w:val="0"/>
      <w:spacing w:val="4"/>
      <w:sz w:val="24"/>
    </w:rPr>
  </w:style>
  <w:style w:type="paragraph" w:styleId="Heading4">
    <w:name w:val="heading 4"/>
    <w:basedOn w:val="Normal"/>
    <w:next w:val="Normal"/>
    <w:qFormat/>
    <w:pPr>
      <w:keepNext/>
      <w:adjustRightInd/>
      <w:spacing w:line="240" w:lineRule="auto"/>
      <w:jc w:val="center"/>
      <w:textAlignment w:val="auto"/>
      <w:outlineLvl w:val="3"/>
    </w:pPr>
    <w:rPr>
      <w:rFonts w:ascii="仿宋_GB2312" w:eastAsia="仿宋_GB2312" w:hAnsi="宋体"/>
      <w:b/>
      <w:w w:val="90"/>
      <w:kern w:val="2"/>
      <w:sz w:val="24"/>
    </w:rPr>
  </w:style>
  <w:style w:type="paragraph" w:styleId="Heading5">
    <w:name w:val="heading 5"/>
    <w:basedOn w:val="Normal"/>
    <w:next w:val="Normal"/>
    <w:qFormat/>
    <w:pPr>
      <w:keepNext/>
      <w:keepLines/>
      <w:spacing w:before="280" w:after="290" w:line="376" w:lineRule="atLeast"/>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1">
    <w:name w:val="Default1"/>
    <w:qFormat/>
    <w:pPr>
      <w:widowControl w:val="0"/>
      <w:autoSpaceDE w:val="0"/>
      <w:autoSpaceDN w:val="0"/>
      <w:adjustRightInd w:val="0"/>
    </w:pPr>
    <w:rPr>
      <w:rFonts w:ascii="宋体" w:eastAsiaTheme="minorEastAsia" w:hAnsiTheme="minorHAnsi" w:cs="宋体"/>
      <w:color w:val="000000"/>
      <w:sz w:val="24"/>
      <w:szCs w:val="24"/>
      <w:lang w:val="en-US" w:eastAsia="zh-CN" w:bidi="ar-SA"/>
    </w:rPr>
  </w:style>
  <w:style w:type="paragraph" w:styleId="NormalIndent">
    <w:name w:val="Normal Indent"/>
    <w:basedOn w:val="Normal"/>
    <w:link w:val="a"/>
    <w:qFormat/>
    <w:pPr>
      <w:ind w:firstLine="420" w:firstLineChars="200"/>
    </w:pPr>
  </w:style>
  <w:style w:type="paragraph" w:styleId="TOC7">
    <w:name w:val="toc 7"/>
    <w:basedOn w:val="Normal"/>
    <w:next w:val="Normal"/>
    <w:qFormat/>
    <w:pPr>
      <w:spacing w:line="360" w:lineRule="auto"/>
      <w:ind w:left="2520" w:leftChars="1200"/>
    </w:pPr>
    <w:rPr>
      <w:rFonts w:ascii="仿宋_GB2312" w:eastAsia="仿宋_GB2312"/>
      <w:sz w:val="24"/>
      <w:szCs w:val="24"/>
    </w:rPr>
  </w:style>
  <w:style w:type="paragraph" w:styleId="DocumentMap">
    <w:name w:val="Document Map"/>
    <w:basedOn w:val="Normal"/>
    <w:qFormat/>
    <w:pPr>
      <w:shd w:val="clear" w:color="auto" w:fill="000080"/>
    </w:pPr>
  </w:style>
  <w:style w:type="paragraph" w:styleId="CommentText">
    <w:name w:val="annotation text"/>
    <w:basedOn w:val="Normal"/>
    <w:qFormat/>
    <w:pPr>
      <w:jc w:val="left"/>
    </w:pPr>
  </w:style>
  <w:style w:type="paragraph" w:styleId="BodyText3">
    <w:name w:val="Body Text 3"/>
    <w:basedOn w:val="Normal"/>
    <w:qFormat/>
    <w:pPr>
      <w:adjustRightInd/>
      <w:spacing w:before="120" w:line="360" w:lineRule="auto"/>
      <w:textAlignment w:val="auto"/>
    </w:pPr>
    <w:rPr>
      <w:b/>
      <w:kern w:val="10"/>
      <w:sz w:val="24"/>
    </w:rPr>
  </w:style>
  <w:style w:type="paragraph" w:styleId="BodyText">
    <w:name w:val="Body Text"/>
    <w:basedOn w:val="Normal"/>
    <w:link w:val="a4"/>
    <w:qFormat/>
    <w:pPr>
      <w:spacing w:after="120"/>
    </w:pPr>
  </w:style>
  <w:style w:type="paragraph" w:styleId="BodyTextIndent">
    <w:name w:val="Body Text Indent"/>
    <w:basedOn w:val="Normal"/>
    <w:qFormat/>
    <w:pPr>
      <w:spacing w:line="360" w:lineRule="auto"/>
      <w:ind w:firstLine="480" w:firstLineChars="200"/>
    </w:pPr>
    <w:rPr>
      <w:rFonts w:ascii="宋体"/>
      <w:sz w:val="24"/>
    </w:rPr>
  </w:style>
  <w:style w:type="paragraph" w:styleId="TOC3">
    <w:name w:val="toc 3"/>
    <w:basedOn w:val="Normal"/>
    <w:next w:val="Normal"/>
    <w:qFormat/>
    <w:pPr>
      <w:snapToGrid w:val="0"/>
      <w:spacing w:line="360" w:lineRule="auto"/>
      <w:ind w:left="480" w:firstLine="200" w:firstLineChars="200"/>
      <w:jc w:val="left"/>
    </w:pPr>
    <w:rPr>
      <w:i/>
      <w:snapToGrid w:val="0"/>
      <w:spacing w:val="4"/>
      <w:sz w:val="24"/>
    </w:rPr>
  </w:style>
  <w:style w:type="paragraph" w:styleId="PlainText">
    <w:name w:val="Plain Text"/>
    <w:basedOn w:val="Normal"/>
    <w:link w:val="a1"/>
    <w:qFormat/>
    <w:pPr>
      <w:adjustRightInd/>
      <w:spacing w:line="240" w:lineRule="auto"/>
      <w:textAlignment w:val="auto"/>
    </w:pPr>
    <w:rPr>
      <w:rFonts w:ascii="宋体" w:hAnsi="Courier New"/>
      <w:kern w:val="2"/>
    </w:rPr>
  </w:style>
  <w:style w:type="paragraph" w:styleId="Date">
    <w:name w:val="Date"/>
    <w:basedOn w:val="Normal"/>
    <w:next w:val="Normal"/>
    <w:qFormat/>
    <w:pPr>
      <w:adjustRightInd/>
      <w:spacing w:line="240" w:lineRule="auto"/>
      <w:textAlignment w:val="auto"/>
    </w:pPr>
    <w:rPr>
      <w:rFonts w:ascii="仿宋_GB2312" w:eastAsia="仿宋_GB2312"/>
      <w:kern w:val="2"/>
      <w:sz w:val="28"/>
    </w:rPr>
  </w:style>
  <w:style w:type="paragraph" w:styleId="BodyTextIndent2">
    <w:name w:val="Body Text Indent 2"/>
    <w:basedOn w:val="Normal"/>
    <w:qFormat/>
    <w:pPr>
      <w:adjustRightInd/>
      <w:spacing w:line="500" w:lineRule="exact"/>
      <w:ind w:firstLine="556"/>
      <w:textAlignment w:val="auto"/>
    </w:pPr>
    <w:rPr>
      <w:rFonts w:ascii="仿宋_GB2312" w:eastAsia="仿宋_GB2312"/>
      <w:kern w:val="2"/>
      <w:sz w:val="28"/>
    </w:rPr>
  </w:style>
  <w:style w:type="paragraph" w:styleId="BalloonText">
    <w:name w:val="Balloon Text"/>
    <w:basedOn w:val="Normal"/>
    <w:qFormat/>
    <w:rPr>
      <w:sz w:val="18"/>
    </w:rPr>
  </w:style>
  <w:style w:type="paragraph" w:styleId="Footer">
    <w:name w:val="footer"/>
    <w:basedOn w:val="Normal"/>
    <w:link w:val="a2"/>
    <w:qFormat/>
    <w:pPr>
      <w:tabs>
        <w:tab w:val="center" w:pos="4153"/>
        <w:tab w:val="right" w:pos="8306"/>
      </w:tabs>
      <w:snapToGrid w:val="0"/>
      <w:spacing w:line="240" w:lineRule="atLeast"/>
      <w:jc w:val="left"/>
    </w:pPr>
    <w:rPr>
      <w:sz w:val="18"/>
    </w:rPr>
  </w:style>
  <w:style w:type="paragraph" w:styleId="Header">
    <w:name w:val="header"/>
    <w:basedOn w:val="Normal"/>
    <w:qFormat/>
    <w:pPr>
      <w:pBdr>
        <w:bottom w:val="single" w:sz="6" w:space="1" w:color="auto"/>
      </w:pBdr>
      <w:tabs>
        <w:tab w:val="center" w:pos="4153"/>
        <w:tab w:val="right" w:pos="8306"/>
      </w:tabs>
      <w:snapToGrid w:val="0"/>
      <w:spacing w:line="240" w:lineRule="atLeast"/>
      <w:jc w:val="center"/>
    </w:pPr>
    <w:rPr>
      <w:sz w:val="18"/>
    </w:rPr>
  </w:style>
  <w:style w:type="paragraph" w:styleId="BodyTextIndent3">
    <w:name w:val="Body Text Indent 3"/>
    <w:basedOn w:val="Normal"/>
    <w:qFormat/>
    <w:pPr>
      <w:adjustRightInd/>
      <w:spacing w:line="360" w:lineRule="auto"/>
      <w:ind w:firstLine="560" w:firstLineChars="200"/>
      <w:textAlignment w:val="auto"/>
    </w:pPr>
    <w:rPr>
      <w:rFonts w:ascii="仿宋_GB2312" w:eastAsia="仿宋_GB2312" w:hAnsi="宋体"/>
      <w:color w:val="000000"/>
      <w:kern w:val="2"/>
      <w:sz w:val="28"/>
    </w:rPr>
  </w:style>
  <w:style w:type="paragraph" w:styleId="BodyText2">
    <w:name w:val="Body Text 2"/>
    <w:basedOn w:val="Normal"/>
    <w:qFormat/>
    <w:rPr>
      <w:rFonts w:eastAsia="仿宋_GB2312"/>
      <w:sz w:val="28"/>
    </w:rPr>
  </w:style>
  <w:style w:type="paragraph" w:styleId="NormalWeb">
    <w:name w:val="Normal (Web)"/>
    <w:basedOn w:val="Normal"/>
    <w:qFormat/>
    <w:pPr>
      <w:widowControl/>
      <w:adjustRightInd/>
      <w:spacing w:before="100" w:beforeAutospacing="1" w:after="100" w:afterAutospacing="1" w:line="240" w:lineRule="auto"/>
      <w:jc w:val="left"/>
      <w:textAlignment w:val="auto"/>
    </w:pPr>
    <w:rPr>
      <w:rFonts w:ascii="宋体" w:hAnsi="宋体"/>
      <w:sz w:val="24"/>
    </w:rPr>
  </w:style>
  <w:style w:type="paragraph" w:styleId="Index1">
    <w:name w:val="index 1"/>
    <w:basedOn w:val="Normal"/>
    <w:next w:val="Normal"/>
    <w:qFormat/>
    <w:pPr>
      <w:spacing w:line="240" w:lineRule="auto"/>
      <w:jc w:val="center"/>
    </w:pPr>
    <w:rPr>
      <w:rFonts w:ascii="仿宋_GB2312" w:eastAsia="仿宋_GB2312" w:hAnsi="宋体"/>
      <w:color w:val="000000"/>
      <w:sz w:val="24"/>
    </w:rPr>
  </w:style>
  <w:style w:type="paragraph" w:styleId="Title">
    <w:name w:val="Title"/>
    <w:basedOn w:val="Normal"/>
    <w:next w:val="Normal"/>
    <w:uiPriority w:val="10"/>
    <w:qFormat/>
    <w:pPr>
      <w:snapToGrid w:val="0"/>
      <w:spacing w:line="360" w:lineRule="auto"/>
      <w:jc w:val="center"/>
    </w:pPr>
    <w:rPr>
      <w:b/>
      <w:bCs/>
      <w:sz w:val="24"/>
      <w:szCs w:val="32"/>
    </w:rPr>
  </w:style>
  <w:style w:type="paragraph" w:styleId="CommentSubject">
    <w:name w:val="annotation subject"/>
    <w:basedOn w:val="CommentText"/>
    <w:next w:val="CommentText"/>
    <w:qFormat/>
    <w:rPr>
      <w:b/>
    </w:rPr>
  </w:style>
  <w:style w:type="paragraph" w:styleId="BodyTextFirstIndent">
    <w:name w:val="Body Text First Indent"/>
    <w:basedOn w:val="BodyText"/>
    <w:qFormat/>
    <w:pPr>
      <w:ind w:firstLine="420" w:firstLineChars="1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r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Emphasis">
    <w:name w:val="Emphasis"/>
    <w:qFormat/>
    <w:rPr>
      <w:color w:val="CC0033"/>
    </w:rPr>
  </w:style>
  <w:style w:type="character" w:styleId="Hyperlink">
    <w:name w:val="Hyperlink"/>
    <w:qFormat/>
    <w:rPr>
      <w:color w:val="000000"/>
      <w:u w:val="single"/>
    </w:rPr>
  </w:style>
  <w:style w:type="character" w:styleId="CommentReference">
    <w:name w:val="annotation reference"/>
    <w:basedOn w:val="DefaultParagraphFont"/>
    <w:qFormat/>
    <w:rPr>
      <w:sz w:val="21"/>
    </w:rPr>
  </w:style>
  <w:style w:type="paragraph" w:customStyle="1" w:styleId="Default">
    <w:name w:val="Default"/>
    <w:uiPriority w:val="99"/>
    <w:unhideWhenUsed/>
    <w:qFormat/>
    <w:pPr>
      <w:widowControl w:val="0"/>
      <w:autoSpaceDE w:val="0"/>
      <w:autoSpaceDN w:val="0"/>
      <w:adjustRightInd w:val="0"/>
    </w:pPr>
    <w:rPr>
      <w:rFonts w:ascii="黑体" w:eastAsia="黑体" w:hAnsi="黑体" w:cs="Times New Roman" w:hint="eastAsia"/>
      <w:color w:val="000000"/>
      <w:sz w:val="24"/>
      <w:szCs w:val="22"/>
      <w:lang w:val="en-US" w:eastAsia="zh-CN" w:bidi="ar-SA"/>
    </w:rPr>
  </w:style>
  <w:style w:type="character" w:customStyle="1" w:styleId="1">
    <w:name w:val="页码1"/>
    <w:qFormat/>
    <w:rPr>
      <w:rFonts w:eastAsia="黑体"/>
      <w:sz w:val="24"/>
    </w:rPr>
  </w:style>
  <w:style w:type="character" w:customStyle="1" w:styleId="apple-converted-space">
    <w:name w:val="apple-converted-space"/>
    <w:basedOn w:val="DefaultParagraphFont"/>
    <w:qFormat/>
  </w:style>
  <w:style w:type="character" w:customStyle="1" w:styleId="a">
    <w:name w:val="正文缩进 字符"/>
    <w:link w:val="NormalIndent"/>
    <w:qFormat/>
    <w:rPr>
      <w:sz w:val="21"/>
    </w:rPr>
  </w:style>
  <w:style w:type="character" w:customStyle="1" w:styleId="CharCharChar">
    <w:name w:val="表格正文 Char Char Char"/>
    <w:qFormat/>
    <w:rPr>
      <w:rFonts w:ascii="宋体" w:eastAsia="宋体"/>
      <w:snapToGrid w:val="0"/>
      <w:spacing w:val="4"/>
      <w:w w:val="90"/>
      <w:kern w:val="18"/>
      <w:sz w:val="24"/>
      <w:lang w:val="en-US" w:eastAsia="zh-CN"/>
    </w:rPr>
  </w:style>
  <w:style w:type="character" w:customStyle="1" w:styleId="ttag">
    <w:name w:val="t_tag"/>
    <w:basedOn w:val="DefaultParagraphFont"/>
    <w:qFormat/>
  </w:style>
  <w:style w:type="character" w:customStyle="1" w:styleId="Char1">
    <w:name w:val="表格正文 Char1"/>
    <w:link w:val="a0"/>
    <w:qFormat/>
    <w:rPr>
      <w:rFonts w:ascii="宋体"/>
      <w:snapToGrid w:val="0"/>
      <w:spacing w:val="4"/>
      <w:w w:val="90"/>
      <w:sz w:val="24"/>
    </w:rPr>
  </w:style>
  <w:style w:type="paragraph" w:customStyle="1" w:styleId="a0">
    <w:name w:val="表格正文"/>
    <w:basedOn w:val="Normal"/>
    <w:next w:val="Normal"/>
    <w:link w:val="Char1"/>
    <w:qFormat/>
    <w:pPr>
      <w:snapToGrid w:val="0"/>
      <w:spacing w:line="240" w:lineRule="auto"/>
      <w:jc w:val="center"/>
    </w:pPr>
    <w:rPr>
      <w:rFonts w:ascii="宋体"/>
      <w:snapToGrid w:val="0"/>
      <w:spacing w:val="4"/>
      <w:w w:val="90"/>
      <w:sz w:val="24"/>
    </w:rPr>
  </w:style>
  <w:style w:type="character" w:customStyle="1" w:styleId="a1">
    <w:name w:val="纯文本 字符"/>
    <w:link w:val="PlainText"/>
    <w:qFormat/>
    <w:rPr>
      <w:rFonts w:ascii="宋体" w:hAnsi="Courier New"/>
      <w:kern w:val="2"/>
      <w:sz w:val="21"/>
    </w:rPr>
  </w:style>
  <w:style w:type="character" w:customStyle="1" w:styleId="WW-">
    <w:name w:val="WW-编号"/>
    <w:qFormat/>
  </w:style>
  <w:style w:type="character" w:customStyle="1" w:styleId="Char">
    <w:name w:val="Char"/>
    <w:qFormat/>
    <w:rPr>
      <w:rFonts w:ascii="宋体" w:hAnsi="Courier New"/>
      <w:kern w:val="2"/>
      <w:sz w:val="21"/>
    </w:rPr>
  </w:style>
  <w:style w:type="character" w:customStyle="1" w:styleId="CharChar">
    <w:name w:val="表格居中 Char Char"/>
    <w:link w:val="Char0"/>
    <w:qFormat/>
    <w:rPr>
      <w:rFonts w:ascii="宋体" w:hAnsi="宋体"/>
      <w:w w:val="90"/>
      <w:sz w:val="24"/>
      <w:szCs w:val="24"/>
    </w:rPr>
  </w:style>
  <w:style w:type="paragraph" w:customStyle="1" w:styleId="Char0">
    <w:name w:val="表格居中 Char"/>
    <w:basedOn w:val="Normal"/>
    <w:link w:val="CharChar"/>
    <w:qFormat/>
    <w:pPr>
      <w:adjustRightInd/>
      <w:spacing w:line="240" w:lineRule="auto"/>
      <w:jc w:val="center"/>
      <w:textAlignment w:val="auto"/>
    </w:pPr>
    <w:rPr>
      <w:rFonts w:ascii="宋体" w:hAnsi="宋体"/>
      <w:w w:val="90"/>
      <w:sz w:val="24"/>
      <w:szCs w:val="24"/>
    </w:rPr>
  </w:style>
  <w:style w:type="character" w:customStyle="1" w:styleId="a2">
    <w:name w:val="页脚 字符"/>
    <w:link w:val="Footer"/>
    <w:qFormat/>
    <w:rPr>
      <w:rFonts w:eastAsia="宋体"/>
      <w:sz w:val="18"/>
      <w:lang w:val="en-US" w:eastAsia="zh-CN" w:bidi="ar-SA"/>
    </w:rPr>
  </w:style>
  <w:style w:type="character" w:customStyle="1" w:styleId="a3">
    <w:name w:val="样式 宋体 小四"/>
    <w:qFormat/>
    <w:rPr>
      <w:rFonts w:ascii="宋体" w:eastAsia="宋体" w:hAnsi="宋体"/>
      <w:sz w:val="24"/>
    </w:rPr>
  </w:style>
  <w:style w:type="character" w:customStyle="1" w:styleId="CharCharChar0">
    <w:name w:val="Char Char Char"/>
    <w:qFormat/>
    <w:rPr>
      <w:rFonts w:ascii="宋体" w:eastAsia="宋体" w:hAnsi="Arial"/>
      <w:b/>
      <w:bCs/>
      <w:spacing w:val="4"/>
      <w:kern w:val="18"/>
      <w:sz w:val="24"/>
      <w:szCs w:val="24"/>
      <w:lang w:val="en-US" w:eastAsia="zh-CN" w:bidi="ar-SA"/>
    </w:rPr>
  </w:style>
  <w:style w:type="character" w:customStyle="1" w:styleId="hh1">
    <w:name w:val="hh1"/>
    <w:qFormat/>
    <w:rPr>
      <w:u w:val="none"/>
    </w:rPr>
  </w:style>
  <w:style w:type="character" w:customStyle="1" w:styleId="a4">
    <w:name w:val="正文文本 字符"/>
    <w:link w:val="BodyText"/>
    <w:qFormat/>
    <w:rPr>
      <w:sz w:val="21"/>
    </w:rPr>
  </w:style>
  <w:style w:type="character" w:customStyle="1" w:styleId="Char10">
    <w:name w:val="表头 Char1"/>
    <w:link w:val="a5"/>
    <w:qFormat/>
    <w:rPr>
      <w:rFonts w:ascii="宋体" w:hAnsi="宋体"/>
      <w:snapToGrid w:val="0"/>
      <w:spacing w:val="6"/>
      <w:kern w:val="10"/>
      <w:sz w:val="24"/>
    </w:rPr>
  </w:style>
  <w:style w:type="paragraph" w:customStyle="1" w:styleId="a5">
    <w:name w:val="表头"/>
    <w:basedOn w:val="Normal"/>
    <w:link w:val="Char10"/>
    <w:qFormat/>
    <w:pPr>
      <w:snapToGrid w:val="0"/>
      <w:spacing w:line="360" w:lineRule="auto"/>
      <w:jc w:val="center"/>
    </w:pPr>
    <w:rPr>
      <w:rFonts w:ascii="宋体" w:hAnsi="宋体"/>
      <w:snapToGrid w:val="0"/>
      <w:spacing w:val="6"/>
      <w:kern w:val="10"/>
      <w:sz w:val="24"/>
    </w:rPr>
  </w:style>
  <w:style w:type="paragraph" w:customStyle="1" w:styleId="10">
    <w:name w:val="表格1"/>
    <w:basedOn w:val="Normal"/>
    <w:qFormat/>
    <w:pPr>
      <w:snapToGrid w:val="0"/>
      <w:spacing w:line="240" w:lineRule="auto"/>
      <w:jc w:val="center"/>
    </w:pPr>
    <w:rPr>
      <w:rFonts w:ascii="宋体" w:cs="宋体"/>
      <w:spacing w:val="6"/>
      <w:kern w:val="10"/>
      <w:sz w:val="24"/>
      <w:szCs w:val="24"/>
    </w:rPr>
  </w:style>
  <w:style w:type="paragraph" w:customStyle="1" w:styleId="11">
    <w:name w:val="纯文本1"/>
    <w:basedOn w:val="Normal"/>
    <w:qFormat/>
    <w:pPr>
      <w:autoSpaceDE w:val="0"/>
      <w:autoSpaceDN w:val="0"/>
      <w:spacing w:line="240" w:lineRule="auto"/>
    </w:pPr>
    <w:rPr>
      <w:rFonts w:ascii="Courier New" w:hAnsi="Courier New"/>
      <w:kern w:val="2"/>
      <w:sz w:val="15"/>
    </w:rPr>
  </w:style>
  <w:style w:type="paragraph" w:customStyle="1" w:styleId="CharCharCharCharCharCharCharCharChar">
    <w:name w:val="Char Char Char Char Char Char Char Char Char"/>
    <w:basedOn w:val="Normal"/>
    <w:qFormat/>
    <w:pPr>
      <w:adjustRightInd/>
      <w:spacing w:line="240" w:lineRule="auto"/>
      <w:textAlignment w:val="auto"/>
    </w:pPr>
    <w:rPr>
      <w:kern w:val="2"/>
      <w:sz w:val="24"/>
    </w:rPr>
  </w:style>
  <w:style w:type="paragraph" w:customStyle="1" w:styleId="reader-word-layer">
    <w:name w:val="reader-word-layer"/>
    <w:basedOn w:val="Normal"/>
    <w:qFormat/>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a6">
    <w:name w:val="附录四级条标题"/>
    <w:basedOn w:val="a7"/>
    <w:next w:val="a11"/>
    <w:qFormat/>
    <w:pPr>
      <w:outlineLvl w:val="5"/>
    </w:pPr>
  </w:style>
  <w:style w:type="paragraph" w:customStyle="1" w:styleId="a7">
    <w:name w:val="附录三级条标题"/>
    <w:basedOn w:val="a8"/>
    <w:next w:val="a11"/>
    <w:qFormat/>
    <w:pPr>
      <w:outlineLvl w:val="4"/>
    </w:pPr>
  </w:style>
  <w:style w:type="paragraph" w:customStyle="1" w:styleId="a8">
    <w:name w:val="附录二级条标题"/>
    <w:basedOn w:val="a9"/>
    <w:next w:val="a11"/>
    <w:qFormat/>
    <w:pPr>
      <w:outlineLvl w:val="3"/>
    </w:pPr>
  </w:style>
  <w:style w:type="paragraph" w:customStyle="1" w:styleId="a9">
    <w:name w:val="附录一级条标题"/>
    <w:basedOn w:val="a10"/>
    <w:next w:val="a11"/>
    <w:qFormat/>
    <w:pPr>
      <w:autoSpaceDN w:val="0"/>
      <w:outlineLvl w:val="2"/>
    </w:pPr>
  </w:style>
  <w:style w:type="paragraph" w:customStyle="1" w:styleId="a10">
    <w:name w:val="附录章标题"/>
    <w:next w:val="a11"/>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11">
    <w:name w:val="段"/>
    <w:qFormat/>
    <w:pPr>
      <w:autoSpaceDE w:val="0"/>
      <w:autoSpaceDN w:val="0"/>
      <w:ind w:firstLine="200" w:firstLineChars="200"/>
      <w:jc w:val="both"/>
    </w:pPr>
    <w:rPr>
      <w:rFonts w:ascii="宋体" w:eastAsia="宋体" w:hAnsi="Times New Roman" w:cs="Times New Roman"/>
      <w:sz w:val="21"/>
      <w:lang w:val="en-US" w:eastAsia="zh-CN" w:bidi="ar-SA"/>
    </w:rPr>
  </w:style>
  <w:style w:type="paragraph" w:customStyle="1" w:styleId="a12">
    <w:name w:val="表格文字"/>
    <w:basedOn w:val="Normal"/>
    <w:qFormat/>
    <w:pPr>
      <w:autoSpaceDE w:val="0"/>
      <w:autoSpaceDN w:val="0"/>
      <w:spacing w:line="240" w:lineRule="auto"/>
      <w:jc w:val="center"/>
      <w:textAlignment w:val="auto"/>
    </w:pPr>
    <w:rPr>
      <w:rFonts w:ascii="宋体" w:cs="宋体"/>
      <w:color w:val="000000"/>
      <w:spacing w:val="4"/>
      <w:w w:val="90"/>
      <w:kern w:val="24"/>
      <w:sz w:val="24"/>
      <w:szCs w:val="24"/>
      <w:lang w:val="zh-CN"/>
    </w:rPr>
  </w:style>
  <w:style w:type="paragraph" w:customStyle="1" w:styleId="Char11">
    <w:name w:val="Char1"/>
    <w:basedOn w:val="Normal"/>
    <w:qFormat/>
    <w:pPr>
      <w:adjustRightInd/>
      <w:spacing w:line="240" w:lineRule="auto"/>
      <w:textAlignment w:val="auto"/>
    </w:pPr>
    <w:rPr>
      <w:kern w:val="2"/>
      <w:szCs w:val="24"/>
    </w:rPr>
  </w:style>
  <w:style w:type="paragraph" w:customStyle="1" w:styleId="-4">
    <w:name w:val="胡奔流-标题4"/>
    <w:basedOn w:val="Normal"/>
    <w:qFormat/>
    <w:pPr>
      <w:spacing w:before="240" w:after="240" w:line="360" w:lineRule="auto"/>
    </w:pPr>
    <w:rPr>
      <w:rFonts w:ascii="宋体"/>
      <w:spacing w:val="10"/>
      <w:kern w:val="21"/>
      <w:sz w:val="24"/>
    </w:rPr>
  </w:style>
  <w:style w:type="paragraph" w:customStyle="1" w:styleId="a13">
    <w:name w:val="表格"/>
    <w:next w:val="NormalIndent"/>
    <w:qFormat/>
    <w:pPr>
      <w:spacing w:line="0" w:lineRule="atLeast"/>
      <w:jc w:val="center"/>
    </w:pPr>
    <w:rPr>
      <w:rFonts w:ascii="宋体" w:eastAsia="宋体" w:hAnsi="Times New Roman" w:cs="Times New Roman"/>
      <w:sz w:val="21"/>
      <w:lang w:val="en-US" w:eastAsia="zh-CN" w:bidi="ar-SA"/>
    </w:rPr>
  </w:style>
  <w:style w:type="paragraph" w:customStyle="1" w:styleId="a14">
    <w:name w:val="表格居中"/>
    <w:basedOn w:val="Normal"/>
    <w:qFormat/>
    <w:pPr>
      <w:adjustRightInd/>
      <w:spacing w:line="240" w:lineRule="auto"/>
      <w:jc w:val="center"/>
      <w:textAlignment w:val="auto"/>
    </w:pPr>
    <w:rPr>
      <w:rFonts w:ascii="宋体" w:hAnsi="宋体"/>
      <w:snapToGrid w:val="0"/>
      <w:spacing w:val="-4"/>
      <w:w w:val="90"/>
      <w:sz w:val="24"/>
    </w:rPr>
  </w:style>
  <w:style w:type="paragraph" w:customStyle="1" w:styleId="CharCharCharChar">
    <w:name w:val="正文 Char Char Char Char"/>
    <w:basedOn w:val="Normal"/>
    <w:next w:val="Normal"/>
    <w:qFormat/>
    <w:pPr>
      <w:spacing w:line="360" w:lineRule="auto"/>
      <w:ind w:firstLine="482"/>
      <w:jc w:val="left"/>
    </w:pPr>
    <w:rPr>
      <w:rFonts w:ascii="宋体"/>
      <w:snapToGrid w:val="0"/>
      <w:kern w:val="21"/>
      <w:sz w:val="24"/>
    </w:rPr>
  </w:style>
  <w:style w:type="paragraph" w:customStyle="1" w:styleId="a15">
    <w:name w:val="小四+首行缩进"/>
    <w:basedOn w:val="Normal"/>
    <w:qFormat/>
    <w:pPr>
      <w:adjustRightInd/>
      <w:spacing w:line="360" w:lineRule="auto"/>
      <w:ind w:firstLine="482"/>
      <w:textAlignment w:val="auto"/>
    </w:pPr>
    <w:rPr>
      <w:rFonts w:ascii="宋体" w:hAnsi="宋体" w:cs="宋体"/>
      <w:kern w:val="2"/>
      <w:sz w:val="24"/>
    </w:rPr>
  </w:style>
  <w:style w:type="paragraph" w:customStyle="1" w:styleId="12">
    <w:name w:val="日期1"/>
    <w:basedOn w:val="Normal"/>
    <w:next w:val="Normal"/>
    <w:qFormat/>
    <w:rPr>
      <w:sz w:val="28"/>
    </w:rPr>
  </w:style>
  <w:style w:type="paragraph" w:customStyle="1" w:styleId="-6">
    <w:name w:val="胡奔流-标题6"/>
    <w:basedOn w:val="Normal"/>
    <w:qFormat/>
    <w:pPr>
      <w:snapToGrid w:val="0"/>
      <w:spacing w:line="360" w:lineRule="auto"/>
    </w:pPr>
    <w:rPr>
      <w:rFonts w:ascii="宋体"/>
      <w:snapToGrid w:val="0"/>
      <w:spacing w:val="10"/>
      <w:sz w:val="24"/>
    </w:rPr>
  </w:style>
  <w:style w:type="paragraph" w:customStyle="1" w:styleId="ParaChar">
    <w:name w:val="默认段落字体 Para Char"/>
    <w:basedOn w:val="Normal"/>
    <w:qFormat/>
    <w:pPr>
      <w:adjustRightInd/>
      <w:spacing w:line="240" w:lineRule="auto"/>
      <w:textAlignment w:val="auto"/>
    </w:pPr>
    <w:rPr>
      <w:rFonts w:ascii="Arial" w:hAnsi="Arial"/>
      <w:kern w:val="2"/>
    </w:rPr>
  </w:style>
  <w:style w:type="paragraph" w:customStyle="1" w:styleId="Style17">
    <w:name w:val="_Style 17"/>
    <w:basedOn w:val="Normal"/>
    <w:next w:val="PlainText"/>
    <w:qFormat/>
    <w:pPr>
      <w:adjustRightInd/>
      <w:spacing w:line="240" w:lineRule="auto"/>
      <w:textAlignment w:val="auto"/>
    </w:pPr>
    <w:rPr>
      <w:rFonts w:ascii="Courier New" w:hAnsi="Courier New"/>
      <w:kern w:val="2"/>
      <w:sz w:val="15"/>
    </w:rPr>
  </w:style>
  <w:style w:type="paragraph" w:customStyle="1" w:styleId="4">
    <w:name w:val="表格正文4"/>
    <w:basedOn w:val="Normal"/>
    <w:qFormat/>
    <w:pPr>
      <w:snapToGrid w:val="0"/>
      <w:spacing w:line="240" w:lineRule="auto"/>
    </w:pPr>
    <w:rPr>
      <w:rFonts w:ascii="宋体"/>
      <w:snapToGrid w:val="0"/>
      <w:w w:val="90"/>
      <w:sz w:val="24"/>
    </w:rPr>
  </w:style>
  <w:style w:type="paragraph" w:customStyle="1" w:styleId="21">
    <w:name w:val="正文文本 21"/>
    <w:basedOn w:val="Normal"/>
    <w:qFormat/>
    <w:pPr>
      <w:spacing w:line="240" w:lineRule="auto"/>
      <w:jc w:val="center"/>
    </w:pPr>
    <w:rPr>
      <w:kern w:val="2"/>
      <w:sz w:val="24"/>
    </w:rPr>
  </w:style>
  <w:style w:type="paragraph" w:customStyle="1" w:styleId="a16">
    <w:name w:val="正文内容"/>
    <w:basedOn w:val="Normal"/>
    <w:qFormat/>
    <w:pPr>
      <w:snapToGrid w:val="0"/>
      <w:spacing w:line="360" w:lineRule="auto"/>
      <w:ind w:firstLine="496" w:firstLineChars="200"/>
      <w:textAlignment w:val="auto"/>
    </w:pPr>
    <w:rPr>
      <w:rFonts w:ascii="宋体" w:hAnsi="宋体"/>
      <w:snapToGrid w:val="0"/>
      <w:spacing w:val="4"/>
      <w:sz w:val="24"/>
    </w:rPr>
  </w:style>
  <w:style w:type="paragraph" w:customStyle="1" w:styleId="a17">
    <w:name w:val="报告表正文"/>
    <w:basedOn w:val="Normal"/>
    <w:qFormat/>
    <w:pPr>
      <w:spacing w:line="312" w:lineRule="auto"/>
      <w:ind w:left="113" w:right="113" w:firstLine="482"/>
      <w:jc w:val="left"/>
    </w:pPr>
    <w:rPr>
      <w:sz w:val="24"/>
    </w:rPr>
  </w:style>
  <w:style w:type="paragraph" w:customStyle="1" w:styleId="AM">
    <w:name w:val="表格AM"/>
    <w:basedOn w:val="Normal"/>
    <w:qFormat/>
    <w:pPr>
      <w:tabs>
        <w:tab w:val="left" w:pos="0"/>
      </w:tabs>
      <w:snapToGrid w:val="0"/>
      <w:spacing w:line="240" w:lineRule="auto"/>
      <w:ind w:left="-113" w:right="-113"/>
      <w:jc w:val="center"/>
      <w:textAlignment w:val="auto"/>
    </w:pPr>
    <w:rPr>
      <w:rFonts w:eastAsia="仿宋_GB2312"/>
      <w:spacing w:val="4"/>
      <w:kern w:val="18"/>
      <w:sz w:val="24"/>
      <w:szCs w:val="24"/>
    </w:rPr>
  </w:style>
  <w:style w:type="paragraph" w:customStyle="1" w:styleId="a18">
    <w:name w:val="表格样式"/>
    <w:basedOn w:val="Normal"/>
    <w:qFormat/>
    <w:pPr>
      <w:snapToGrid w:val="0"/>
      <w:spacing w:line="240" w:lineRule="auto"/>
      <w:jc w:val="center"/>
    </w:pPr>
    <w:rPr>
      <w:rFonts w:ascii="宋体"/>
      <w:snapToGrid w:val="0"/>
      <w:spacing w:val="4"/>
      <w:w w:val="90"/>
      <w:sz w:val="24"/>
      <w:szCs w:val="24"/>
    </w:rPr>
  </w:style>
  <w:style w:type="paragraph" w:customStyle="1" w:styleId="a19">
    <w:name w:val="正文样式"/>
    <w:basedOn w:val="Normal"/>
    <w:qFormat/>
    <w:pPr>
      <w:spacing w:line="360" w:lineRule="auto"/>
      <w:ind w:right="170" w:firstLine="480" w:firstLineChars="200"/>
    </w:pPr>
    <w:rPr>
      <w:rFonts w:hAnsi="宋体"/>
      <w:kern w:val="2"/>
      <w:sz w:val="24"/>
      <w:szCs w:val="24"/>
    </w:rPr>
  </w:style>
  <w:style w:type="paragraph" w:customStyle="1" w:styleId="aa">
    <w:name w:val="aa正文"/>
    <w:basedOn w:val="Normal"/>
    <w:qFormat/>
    <w:pPr>
      <w:snapToGrid w:val="0"/>
      <w:spacing w:line="360" w:lineRule="auto"/>
      <w:ind w:firstLine="200" w:firstLineChars="200"/>
    </w:pPr>
    <w:rPr>
      <w:sz w:val="24"/>
    </w:rPr>
  </w:style>
  <w:style w:type="paragraph" w:customStyle="1" w:styleId="13">
    <w:name w:val="1"/>
    <w:basedOn w:val="Normal"/>
    <w:next w:val="BodyText"/>
    <w:qFormat/>
    <w:pPr>
      <w:spacing w:after="120"/>
    </w:pPr>
    <w:rPr>
      <w:rFonts w:ascii="宋体"/>
      <w:spacing w:val="4"/>
      <w:kern w:val="21"/>
      <w:sz w:val="24"/>
    </w:rPr>
  </w:style>
  <w:style w:type="paragraph" w:customStyle="1" w:styleId="211">
    <w:name w:val="正文文本 211"/>
    <w:basedOn w:val="Normal"/>
    <w:qFormat/>
    <w:pPr>
      <w:spacing w:line="240" w:lineRule="auto"/>
      <w:jc w:val="center"/>
    </w:pPr>
    <w:rPr>
      <w:kern w:val="2"/>
      <w:sz w:val="24"/>
    </w:rPr>
  </w:style>
  <w:style w:type="paragraph" w:customStyle="1" w:styleId="2">
    <w:name w:val="正文2"/>
    <w:basedOn w:val="Normal"/>
    <w:qFormat/>
    <w:pPr>
      <w:spacing w:line="360" w:lineRule="auto"/>
      <w:ind w:firstLine="480" w:firstLineChars="200"/>
    </w:pPr>
    <w:rPr>
      <w:sz w:val="24"/>
    </w:rPr>
  </w:style>
  <w:style w:type="paragraph" w:customStyle="1" w:styleId="a20">
    <w:name w:val="文本正文"/>
    <w:basedOn w:val="Normal"/>
    <w:qFormat/>
    <w:pPr>
      <w:autoSpaceDE w:val="0"/>
      <w:autoSpaceDN w:val="0"/>
      <w:spacing w:line="360" w:lineRule="auto"/>
      <w:ind w:firstLine="510"/>
    </w:pPr>
    <w:rPr>
      <w:rFonts w:ascii="宋体" w:hAnsi="宋体"/>
      <w:snapToGrid w:val="0"/>
      <w:color w:val="000000"/>
      <w:spacing w:val="4"/>
      <w:kern w:val="18"/>
      <w:sz w:val="24"/>
      <w:szCs w:val="24"/>
    </w:rPr>
  </w:style>
  <w:style w:type="paragraph" w:customStyle="1" w:styleId="CharCharCharCharCharChar">
    <w:name w:val="Char Char Char Char Char Char"/>
    <w:basedOn w:val="Normal"/>
    <w:qFormat/>
    <w:pPr>
      <w:adjustRightInd/>
      <w:spacing w:line="240" w:lineRule="auto"/>
      <w:textAlignment w:val="auto"/>
    </w:pPr>
    <w:rPr>
      <w:kern w:val="2"/>
      <w:sz w:val="24"/>
      <w:szCs w:val="24"/>
    </w:rPr>
  </w:style>
  <w:style w:type="paragraph" w:customStyle="1" w:styleId="a21">
    <w:name w:val="君邦正文"/>
    <w:qFormat/>
    <w:pPr>
      <w:spacing w:line="360" w:lineRule="auto"/>
      <w:ind w:left="-4" w:firstLine="480" w:leftChars="-2" w:firstLineChars="200"/>
      <w:jc w:val="both"/>
    </w:pPr>
    <w:rPr>
      <w:rFonts w:ascii="宋体" w:eastAsia="宋体" w:hAnsi="宋体" w:cs="Times New Roman"/>
      <w:kern w:val="2"/>
      <w:sz w:val="24"/>
      <w:szCs w:val="22"/>
      <w:lang w:val="en-US" w:eastAsia="zh-CN" w:bidi="ar-SA"/>
    </w:rPr>
  </w:style>
  <w:style w:type="paragraph" w:customStyle="1" w:styleId="2GB23122">
    <w:name w:val="样式 正文2 + 仿宋_GB2312 黑色 首行缩进:  2 字符"/>
    <w:basedOn w:val="Normal"/>
    <w:qFormat/>
    <w:pPr>
      <w:spacing w:line="360" w:lineRule="auto"/>
      <w:ind w:firstLine="496" w:firstLineChars="200"/>
    </w:pPr>
    <w:rPr>
      <w:rFonts w:ascii="仿宋_GB2312" w:eastAsia="仿宋_GB2312" w:hAnsi="仿宋_GB2312"/>
      <w:color w:val="000000"/>
      <w:spacing w:val="4"/>
      <w:kern w:val="18"/>
      <w:sz w:val="28"/>
    </w:rPr>
  </w:style>
  <w:style w:type="paragraph" w:customStyle="1" w:styleId="CharChar0">
    <w:name w:val="表格内正文 Char Char"/>
    <w:basedOn w:val="Normal"/>
    <w:qFormat/>
    <w:pPr>
      <w:adjustRightInd/>
      <w:spacing w:line="360" w:lineRule="auto"/>
      <w:ind w:firstLine="493"/>
      <w:textAlignment w:val="auto"/>
    </w:pPr>
    <w:rPr>
      <w:rFonts w:ascii="宋体" w:hAnsi="宋体"/>
      <w:spacing w:val="4"/>
      <w:kern w:val="18"/>
      <w:sz w:val="24"/>
      <w:szCs w:val="24"/>
    </w:rPr>
  </w:style>
  <w:style w:type="paragraph" w:customStyle="1" w:styleId="a22">
    <w:name w:val="表格内正文"/>
    <w:basedOn w:val="Normal"/>
    <w:qFormat/>
    <w:pPr>
      <w:adjustRightInd/>
      <w:spacing w:line="360" w:lineRule="auto"/>
      <w:ind w:firstLine="493"/>
      <w:textAlignment w:val="auto"/>
    </w:pPr>
    <w:rPr>
      <w:rFonts w:ascii="宋体" w:hAnsi="宋体"/>
      <w:spacing w:val="4"/>
      <w:kern w:val="18"/>
      <w:sz w:val="24"/>
      <w:szCs w:val="24"/>
    </w:rPr>
  </w:style>
  <w:style w:type="paragraph" w:customStyle="1" w:styleId="a23">
    <w:name w:val="附录标识"/>
    <w:basedOn w:val="Normal"/>
    <w:qFormat/>
    <w:pPr>
      <w:widowControl/>
      <w:shd w:val="clear" w:color="FFFFFF" w:fill="FFFFFF"/>
      <w:tabs>
        <w:tab w:val="left" w:pos="6405"/>
      </w:tabs>
      <w:adjustRightInd/>
      <w:spacing w:before="240" w:after="200" w:line="240" w:lineRule="auto"/>
      <w:jc w:val="center"/>
      <w:textAlignment w:val="auto"/>
      <w:outlineLvl w:val="0"/>
    </w:pPr>
    <w:rPr>
      <w:rFonts w:ascii="黑体" w:eastAsia="黑体"/>
    </w:rPr>
  </w:style>
  <w:style w:type="paragraph" w:customStyle="1" w:styleId="a24">
    <w:name w:val="中文报告书样式"/>
    <w:basedOn w:val="Normal"/>
    <w:qFormat/>
    <w:pPr>
      <w:spacing w:line="480" w:lineRule="atLeast"/>
      <w:ind w:firstLine="482"/>
    </w:pPr>
    <w:rPr>
      <w:kern w:val="24"/>
      <w:sz w:val="24"/>
    </w:rPr>
  </w:style>
  <w:style w:type="paragraph" w:customStyle="1" w:styleId="CharCharCharCharCharCharCharCharCharCharCharChar">
    <w:name w:val="Char Char Char Char Char Char Char Char Char Char Char Char"/>
    <w:basedOn w:val="Normal"/>
    <w:qFormat/>
    <w:pPr>
      <w:adjustRightInd/>
      <w:spacing w:line="240" w:lineRule="auto"/>
      <w:textAlignment w:val="auto"/>
    </w:pPr>
    <w:rPr>
      <w:kern w:val="2"/>
      <w:sz w:val="24"/>
    </w:rPr>
  </w:style>
  <w:style w:type="paragraph" w:customStyle="1" w:styleId="CharCharCharCharCharCharCharCharCharCharCharCharCharCharCharChar">
    <w:name w:val="Char Char Char Char Char Char Char Char Char Char Char Char Char 字元 字元 Char Char Char"/>
    <w:basedOn w:val="Normal"/>
    <w:qFormat/>
    <w:pPr>
      <w:adjustRightInd/>
      <w:spacing w:line="240" w:lineRule="auto"/>
      <w:textAlignment w:val="auto"/>
    </w:pPr>
    <w:rPr>
      <w:kern w:val="2"/>
      <w:sz w:val="24"/>
    </w:rPr>
  </w:style>
  <w:style w:type="paragraph" w:customStyle="1" w:styleId="a25">
    <w:name w:val="附录五级条标题"/>
    <w:basedOn w:val="a6"/>
    <w:next w:val="a11"/>
    <w:qFormat/>
    <w:pPr>
      <w:outlineLvl w:val="6"/>
    </w:pPr>
  </w:style>
  <w:style w:type="paragraph" w:customStyle="1" w:styleId="14">
    <w:name w:val="样式1"/>
    <w:basedOn w:val="Normal"/>
    <w:qFormat/>
    <w:pPr>
      <w:adjustRightInd/>
      <w:spacing w:line="360" w:lineRule="auto"/>
      <w:ind w:firstLine="510"/>
      <w:textAlignment w:val="auto"/>
    </w:pPr>
    <w:rPr>
      <w:kern w:val="2"/>
      <w:sz w:val="24"/>
    </w:rPr>
  </w:style>
  <w:style w:type="paragraph" w:customStyle="1" w:styleId="15">
    <w:name w:val="修订1"/>
    <w:qFormat/>
    <w:rPr>
      <w:rFonts w:ascii="Times New Roman" w:eastAsia="宋体" w:hAnsi="Times New Roman" w:cs="Times New Roman"/>
      <w:sz w:val="21"/>
      <w:lang w:val="en-US" w:eastAsia="zh-CN" w:bidi="ar-SA"/>
    </w:rPr>
  </w:style>
  <w:style w:type="paragraph" w:customStyle="1" w:styleId="ParaCharCharCharCharCharCharChar">
    <w:name w:val="默认段落字体 Para Char Char Char Char Char Char Char"/>
    <w:basedOn w:val="Normal"/>
    <w:qFormat/>
    <w:pPr>
      <w:tabs>
        <w:tab w:val="left" w:pos="4665"/>
        <w:tab w:val="left" w:pos="8970"/>
      </w:tabs>
      <w:adjustRightInd/>
      <w:spacing w:line="240" w:lineRule="auto"/>
      <w:ind w:firstLine="400"/>
      <w:textAlignment w:val="auto"/>
    </w:pPr>
    <w:rPr>
      <w:kern w:val="2"/>
    </w:rPr>
  </w:style>
  <w:style w:type="paragraph" w:customStyle="1" w:styleId="23">
    <w:name w:val="样式 文本正文 + 首行缩进:  2 字符3"/>
    <w:basedOn w:val="Normal"/>
    <w:qFormat/>
    <w:pPr>
      <w:autoSpaceDE w:val="0"/>
      <w:autoSpaceDN w:val="0"/>
      <w:spacing w:line="360" w:lineRule="auto"/>
      <w:ind w:firstLine="496" w:firstLineChars="200"/>
    </w:pPr>
    <w:rPr>
      <w:rFonts w:ascii="宋体" w:hAnsi="宋体" w:cs="宋体"/>
      <w:snapToGrid w:val="0"/>
      <w:color w:val="000000"/>
      <w:kern w:val="21"/>
      <w:sz w:val="24"/>
      <w:szCs w:val="24"/>
    </w:rPr>
  </w:style>
  <w:style w:type="paragraph" w:customStyle="1" w:styleId="16">
    <w:name w:val="列出段落1"/>
    <w:basedOn w:val="Normal"/>
    <w:qFormat/>
    <w:pPr>
      <w:snapToGrid w:val="0"/>
      <w:jc w:val="center"/>
    </w:pPr>
    <w:rPr>
      <w:szCs w:val="22"/>
    </w:rPr>
  </w:style>
  <w:style w:type="paragraph" w:customStyle="1" w:styleId="Char2">
    <w:name w:val="表格正文 Char"/>
    <w:basedOn w:val="Normal"/>
    <w:qFormat/>
    <w:pPr>
      <w:spacing w:line="240" w:lineRule="auto"/>
      <w:jc w:val="center"/>
    </w:pPr>
    <w:rPr>
      <w:rFonts w:ascii="宋体"/>
      <w:color w:val="000000"/>
      <w:spacing w:val="4"/>
      <w:w w:val="90"/>
      <w:sz w:val="24"/>
    </w:rPr>
  </w:style>
  <w:style w:type="paragraph" w:customStyle="1" w:styleId="a26">
    <w:name w:val="字元 字元"/>
    <w:basedOn w:val="Normal"/>
    <w:qFormat/>
    <w:pPr>
      <w:adjustRightInd/>
      <w:spacing w:line="240" w:lineRule="auto"/>
      <w:textAlignment w:val="auto"/>
    </w:pPr>
    <w:rPr>
      <w:kern w:val="2"/>
      <w:sz w:val="24"/>
    </w:rPr>
  </w:style>
  <w:style w:type="paragraph" w:customStyle="1" w:styleId="CharCharCharCharCharCharCharCharCharCharCharCharChar">
    <w:name w:val="Char Char Char Char Char Char Char Char Char Char Char Char Char 字元 字元"/>
    <w:basedOn w:val="Normal"/>
    <w:qFormat/>
    <w:pPr>
      <w:adjustRightInd/>
      <w:spacing w:line="240" w:lineRule="auto"/>
      <w:textAlignment w:val="auto"/>
    </w:pPr>
    <w:rPr>
      <w:kern w:val="2"/>
      <w:sz w:val="24"/>
    </w:rPr>
  </w:style>
  <w:style w:type="paragraph" w:customStyle="1" w:styleId="HJN-ZZ">
    <w:name w:val="HJN-ZZ"/>
    <w:basedOn w:val="Normal"/>
    <w:qFormat/>
    <w:pPr>
      <w:spacing w:line="360" w:lineRule="auto"/>
      <w:ind w:firstLine="482"/>
      <w:jc w:val="left"/>
    </w:pPr>
    <w:rPr>
      <w:rFonts w:ascii="宋体" w:hAnsi="宋体"/>
      <w:kern w:val="21"/>
      <w:sz w:val="24"/>
    </w:rPr>
  </w:style>
  <w:style w:type="paragraph" w:customStyle="1" w:styleId="CharCharChar1">
    <w:name w:val="Char Char Char1"/>
    <w:basedOn w:val="Normal"/>
    <w:qFormat/>
    <w:pPr>
      <w:adjustRightInd/>
      <w:spacing w:line="240" w:lineRule="auto"/>
      <w:textAlignment w:val="auto"/>
    </w:pPr>
    <w:rPr>
      <w:kern w:val="2"/>
      <w:sz w:val="24"/>
    </w:rPr>
  </w:style>
  <w:style w:type="paragraph" w:customStyle="1" w:styleId="20">
    <w:name w:val="无间隔2"/>
    <w:basedOn w:val="Normal"/>
    <w:qFormat/>
    <w:pPr>
      <w:snapToGrid w:val="0"/>
      <w:jc w:val="left"/>
    </w:pPr>
    <w:rPr>
      <w:szCs w:val="22"/>
    </w:rPr>
  </w:style>
  <w:style w:type="paragraph" w:customStyle="1" w:styleId="TableParagraph">
    <w:name w:val="Table Paragraph"/>
    <w:basedOn w:val="Normal"/>
    <w:uiPriority w:val="1"/>
    <w:qFormat/>
  </w:style>
  <w:style w:type="paragraph" w:customStyle="1" w:styleId="40">
    <w:name w:val="标题4"/>
    <w:basedOn w:val="Normal"/>
    <w:qFormat/>
    <w:pPr>
      <w:snapToGrid w:val="0"/>
      <w:spacing w:line="360" w:lineRule="auto"/>
      <w:ind w:left="496" w:leftChars="200"/>
      <w:textAlignment w:val="auto"/>
    </w:pPr>
    <w:rPr>
      <w:rFonts w:ascii="宋体" w:hAnsi="宋体"/>
      <w:snapToGrid w:val="0"/>
      <w:spacing w:val="4"/>
      <w:sz w:val="24"/>
    </w:rPr>
  </w:style>
  <w:style w:type="paragraph" w:customStyle="1" w:styleId="CharCharCharCharCharCharCharCharCharCharCharCharCharCharCharCharCharChar">
    <w:name w:val="Char Char Char Char Char Char Char Char Char Char Char Char Char Char Char Char Char Char"/>
    <w:basedOn w:val="Normal"/>
    <w:qFormat/>
    <w:pPr>
      <w:adjustRightInd/>
      <w:spacing w:line="240" w:lineRule="auto"/>
      <w:textAlignment w:val="auto"/>
    </w:pPr>
    <w:rPr>
      <w:kern w:val="2"/>
      <w:sz w:val="24"/>
    </w:rPr>
  </w:style>
  <w:style w:type="paragraph" w:customStyle="1" w:styleId="AM0">
    <w:name w:val="正本AM"/>
    <w:basedOn w:val="Normal"/>
    <w:qFormat/>
    <w:pPr>
      <w:snapToGrid w:val="0"/>
      <w:spacing w:line="360" w:lineRule="auto"/>
      <w:ind w:firstLine="576" w:firstLineChars="200"/>
      <w:jc w:val="left"/>
      <w:textAlignment w:val="auto"/>
    </w:pPr>
    <w:rPr>
      <w:rFonts w:eastAsia="仿宋_GB2312"/>
      <w:spacing w:val="4"/>
      <w:kern w:val="18"/>
      <w:sz w:val="28"/>
      <w:szCs w:val="28"/>
    </w:rPr>
  </w:style>
  <w:style w:type="paragraph" w:customStyle="1" w:styleId="CharChar1">
    <w:name w:val="小四+首行缩进 Char Char"/>
    <w:basedOn w:val="Normal"/>
    <w:qFormat/>
    <w:pPr>
      <w:adjustRightInd/>
      <w:spacing w:line="360" w:lineRule="auto"/>
      <w:ind w:firstLine="482"/>
      <w:textAlignment w:val="auto"/>
    </w:pPr>
    <w:rPr>
      <w:rFonts w:ascii="宋体" w:hAnsi="宋体" w:cs="宋体"/>
      <w:snapToGrid w:val="0"/>
      <w:kern w:val="18"/>
      <w:sz w:val="24"/>
    </w:rPr>
  </w:style>
  <w:style w:type="paragraph" w:customStyle="1" w:styleId="a27">
    <w:name w:val="居中正文"/>
    <w:basedOn w:val="BodyTextFirstIndent"/>
    <w:qFormat/>
    <w:pPr>
      <w:spacing w:before="120" w:after="0" w:line="360" w:lineRule="auto"/>
      <w:ind w:firstLine="0" w:firstLineChars="0"/>
      <w:jc w:val="center"/>
    </w:pPr>
    <w:rPr>
      <w:rFonts w:ascii="宋体"/>
      <w:kern w:val="28"/>
      <w:sz w:val="24"/>
    </w:rPr>
  </w:style>
  <w:style w:type="paragraph" w:customStyle="1" w:styleId="a28">
    <w:name w:val="标题四"/>
    <w:basedOn w:val="Normal"/>
    <w:next w:val="Heading4"/>
    <w:qFormat/>
    <w:pPr>
      <w:spacing w:line="360" w:lineRule="auto"/>
      <w:ind w:firstLine="200" w:firstLineChars="200"/>
    </w:pPr>
    <w:rPr>
      <w:rFonts w:hAnsi="宋体"/>
      <w:b/>
      <w:sz w:val="24"/>
    </w:rPr>
  </w:style>
  <w:style w:type="paragraph" w:customStyle="1" w:styleId="a29">
    <w:name w:val="a皮革正文"/>
    <w:basedOn w:val="Normal"/>
    <w:qFormat/>
    <w:pPr>
      <w:snapToGrid w:val="0"/>
      <w:spacing w:line="360" w:lineRule="auto"/>
      <w:ind w:firstLine="480" w:firstLineChars="200"/>
      <w:jc w:val="left"/>
      <w:textAlignment w:val="auto"/>
    </w:pPr>
    <w:rPr>
      <w:rFonts w:cs="Arial"/>
      <w:kern w:val="2"/>
      <w:sz w:val="24"/>
      <w:szCs w:val="24"/>
    </w:rPr>
  </w:style>
  <w:style w:type="table" w:customStyle="1" w:styleId="TableGrid0">
    <w:name w:val="Table Grid_0"/>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hyperlink" Target="https://d.book118.com/016102002104010052" TargetMode="External" /><Relationship Id="rId28" Type="http://schemas.openxmlformats.org/officeDocument/2006/relationships/footer" Target="footer23.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3"/>
    <customShpInfo spid="_x0000_s2054"/>
    <customShpInfo spid="_x0000_s2052"/>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8"/>
    <customShpInfo spid="_x0000_s2069"/>
    <customShpInfo spid="_x0000_s2070"/>
    <customShpInfo spid="_x0000_s2071"/>
    <customShpInfo spid="_x0000_s2072"/>
    <customShpInfo spid="_x0000_s2073"/>
    <customShpInfo spid="_x0000_s2074"/>
    <customShpInfo spid="_x0000_s2075"/>
    <customShpInfo spid="_x0000_s2067"/>
    <customShpInfo spid="_x0000_s2077"/>
    <customShpInfo spid="_x0000_s2078"/>
    <customShpInfo spid="_x0000_s2079"/>
    <customShpInfo spid="_x0000_s2080"/>
    <customShpInfo spid="_x0000_s2081"/>
    <customShpInfo spid="_x0000_s2076"/>
    <customShpInfo spid="_x0000_s2083"/>
    <customShpInfo spid="_x0000_s2084"/>
    <customShpInfo spid="_x0000_s2082"/>
    <customShpInfo spid="_x0000_s2085"/>
    <customShpInfo spid="_x0000_s2087"/>
    <customShpInfo spid="_x0000_s2088"/>
    <customShpInfo spid="_x0000_s2089"/>
    <customShpInfo spid="_x0000_s2090"/>
    <customShpInfo spid="_x0000_s2091"/>
    <customShpInfo spid="_x0000_s2092"/>
    <customShpInfo spid="_x0000_s2093"/>
    <customShpInfo spid="_x0000_s2094"/>
    <customShpInfo spid="_x0000_s2086"/>
    <customShpInfo spid="_x0000_s2096"/>
    <customShpInfo spid="_x0000_s2097"/>
    <customShpInfo spid="_x0000_s2098"/>
    <customShpInfo spid="_x0000_s2099"/>
    <customShpInfo spid="_x0000_s2100"/>
    <customShpInfo spid="_x0000_s2095"/>
    <customShpInfo spid="_x0000_s2102"/>
    <customShpInfo spid="_x0000_s2103"/>
    <customShpInfo spid="_x0000_s2104"/>
    <customShpInfo spid="_x0000_s2105"/>
    <customShpInfo spid="_x0000_s2106"/>
    <customShpInfo spid="_x0000_s2101"/>
    <customShpInfo spid="_x0000_s2108"/>
    <customShpInfo spid="_x0000_s2109"/>
    <customShpInfo spid="_x0000_s2110"/>
    <customShpInfo spid="_x0000_s2111"/>
    <customShpInfo spid="_x0000_s2112"/>
    <customShpInfo spid="_x0000_s2113"/>
    <customShpInfo spid="_x0000_s2114"/>
    <customShpInfo spid="_x0000_s2115"/>
    <customShpInfo spid="_x0000_s2107"/>
    <customShpInfo spid="_x0000_s2117"/>
    <customShpInfo spid="_x0000_s2118"/>
    <customShpInfo spid="_x0000_s2119"/>
    <customShpInfo spid="_x0000_s2120"/>
    <customShpInfo spid="_x0000_s2121"/>
    <customShpInfo spid="_x0000_s2122"/>
    <customShpInfo spid="_x0000_s2123"/>
    <customShpInfo spid="_x0000_s2124"/>
    <customShpInfo spid="_x0000_s2116"/>
    <customShpInfo spid="_x0000_s2126"/>
    <customShpInfo spid="_x0000_s2127"/>
    <customShpInfo spid="_x0000_s2128"/>
    <customShpInfo spid="_x0000_s2129"/>
    <customShpInfo spid="_x0000_s2130"/>
    <customShpInfo spid="_x0000_s2125"/>
    <customShpInfo spid="_x0000_s2132"/>
    <customShpInfo spid="_x0000_s2133"/>
    <customShpInfo spid="_x0000_s2134"/>
    <customShpInfo spid="_x0000_s2135"/>
    <customShpInfo spid="_x0000_s2136"/>
    <customShpInfo spid="_x0000_s2137"/>
    <customShpInfo spid="_x0000_s2138"/>
    <customShpInfo spid="_x0000_s2139"/>
    <customShpInfo spid="_x0000_s2131"/>
    <customShpInfo spid="_x0000_s2141"/>
    <customShpInfo spid="_x0000_s2142"/>
    <customShpInfo spid="_x0000_s2140"/>
    <customShpInfo spid="_x0000_s2144"/>
    <customShpInfo spid="_x0000_s2145"/>
    <customShpInfo spid="_x0000_s2143"/>
    <customShpInfo spid="_x0000_s2147"/>
    <customShpInfo spid="_x0000_s2148"/>
    <customShpInfo spid="_x0000_s2146"/>
    <customShpInfo spid="_x0000_s2051"/>
    <customShpInfo spid="_x0000_s2153"/>
    <customShpInfo spid="_x0000_s2154"/>
    <customShpInfo spid="_x0000_s2155"/>
    <customShpInfo spid="_x0000_s2156"/>
    <customShpInfo spid="_x0000_s2157"/>
    <customShpInfo spid="_x0000_s2158"/>
    <customShpInfo spid="_x0000_s2159"/>
    <customShpInfo spid="_x0000_s2160"/>
    <customShpInfo spid="_x0000_s2152"/>
    <customShpInfo spid="_x0000_s2150"/>
    <customShpInfo spid="_x0000_s2151"/>
    <customShpInfo spid="_x0000_s2149"/>
    <customShpInfo spid="_x0000_s2167"/>
    <customShpInfo spid="_x0000_s2162"/>
    <customShpInfo spid="_x0000_s2163"/>
    <customShpInfo spid="_x0000_s2164"/>
    <customShpInfo spid="_x0000_s2165"/>
    <customShpInfo spid="_x0000_s2166"/>
    <customShpInfo spid="_x0000_s2161"/>
    <customShpInfo spid="_x0000_s2168"/>
    <customShpInfo spid="_x0000_s2169"/>
    <customShpInfo spid="_x0000_s2170"/>
    <customShpInfo spid="_x0000_s2171"/>
    <customShpInfo spid="_x0000_s2172"/>
    <customShpInfo spid="_x0000_s2173"/>
    <customShpInfo spid="_x0000_s2175"/>
    <customShpInfo spid="_x0000_s2176"/>
    <customShpInfo spid="_x0000_s2174"/>
    <customShpInfo spid="_x0000_s2194"/>
    <customShpInfo spid="_x0000_s2195"/>
    <customShpInfo spid="_x0000_s2193"/>
    <customShpInfo spid="_x0000_s2178"/>
    <customShpInfo spid="_x0000_s2179"/>
    <customShpInfo spid="_x0000_s2180"/>
    <customShpInfo spid="_x0000_s2181"/>
    <customShpInfo spid="_x0000_s2182"/>
    <customShpInfo spid="_x0000_s2183"/>
    <customShpInfo spid="_x0000_s2184"/>
    <customShpInfo spid="_x0000_s2185"/>
    <customShpInfo spid="_x0000_s2177"/>
    <customShpInfo spid="_x0000_s2187"/>
    <customShpInfo spid="_x0000_s2188"/>
    <customShpInfo spid="_x0000_s2189"/>
    <customShpInfo spid="_x0000_s2190"/>
    <customShpInfo spid="_x0000_s2191"/>
    <customShpInfo spid="_x0000_s2186"/>
    <customShpInfo spid="_x0000_s2192"/>
    <customShpInfo spid="_x0000_s2197"/>
    <customShpInfo spid="_x0000_s2198"/>
    <customShpInfo spid="_x0000_s2199"/>
    <customShpInfo spid="_x0000_s2200"/>
    <customShpInfo spid="_x0000_s2201"/>
    <customShpInfo spid="_x0000_s2202"/>
    <customShpInfo spid="_x0000_s2203"/>
    <customShpInfo spid="_x0000_s2204"/>
    <customShpInfo spid="_x0000_s2196"/>
    <customShpInfo spid="_x0000_s2206"/>
    <customShpInfo spid="_x0000_s2207"/>
    <customShpInfo spid="_x0000_s2205"/>
    <customShpInfo spid="_x0000_s2209"/>
    <customShpInfo spid="_x0000_s2210"/>
    <customShpInfo spid="_x0000_s2211"/>
    <customShpInfo spid="_x0000_s2212"/>
    <customShpInfo spid="_x0000_s2213"/>
    <customShpInfo spid="_x0000_s2208"/>
    <customShpInfo spid="_x0000_s2215"/>
    <customShpInfo spid="_x0000_s2216"/>
    <customShpInfo spid="_x0000_s2217"/>
    <customShpInfo spid="_x0000_s2218"/>
    <customShpInfo spid="_x0000_s2219"/>
    <customShpInfo spid="_x0000_s2220"/>
    <customShpInfo spid="_x0000_s2221"/>
    <customShpInfo spid="_x0000_s2222"/>
    <customShpInfo spid="_x0000_s2214"/>
    <customShpInfo spid="_x0000_s2224"/>
    <customShpInfo spid="_x0000_s2225"/>
    <customShpInfo spid="_x0000_s2223"/>
    <customShpInfo spid="_x0000_s2227"/>
    <customShpInfo spid="_x0000_s2228"/>
    <customShpInfo spid="_x0000_s2229"/>
    <customShpInfo spid="_x0000_s2230"/>
    <customShpInfo spid="_x0000_s2231"/>
    <customShpInfo spid="_x0000_s2226"/>
    <customShpInfo spid="_x0000_s2232"/>
    <customShpInfo spid="_x0000_s2233"/>
    <customShpInfo spid="_x0000_s2235"/>
    <customShpInfo spid="_x0000_s2236"/>
    <customShpInfo spid="_x0000_s2234"/>
    <customShpInfo spid="_x0000_s2237"/>
    <customShpInfo spid="_x0000_s2239"/>
    <customShpInfo spid="_x0000_s2240"/>
    <customShpInfo spid="_x0000_s2241"/>
    <customShpInfo spid="_x0000_s2242"/>
    <customShpInfo spid="_x0000_s2243"/>
    <customShpInfo spid="_x0000_s2244"/>
    <customShpInfo spid="_x0000_s2245"/>
    <customShpInfo spid="_x0000_s2246"/>
    <customShpInfo spid="_x0000_s2238"/>
    <customShpInfo spid="_x0000_s2248"/>
    <customShpInfo spid="_x0000_s2249"/>
    <customShpInfo spid="_x0000_s2250"/>
    <customShpInfo spid="_x0000_s2251"/>
    <customShpInfo spid="_x0000_s2252"/>
    <customShpInfo spid="_x0000_s2247"/>
    <customShpInfo spid="_x0000_s22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6032</Words>
  <Characters>34385</Characters>
  <Application>Microsoft Office Word</Application>
  <DocSecurity>0</DocSecurity>
  <Lines>286</Lines>
  <Paragraphs>80</Paragraphs>
  <ScaleCrop>false</ScaleCrop>
  <Company>neci</Company>
  <LinksUpToDate>false</LinksUpToDate>
  <CharactersWithSpaces>40337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游艇组装</dc:title>
  <dc:creator>envsea</dc:creator>
  <cp:lastModifiedBy>委员</cp:lastModifiedBy>
  <cp:revision>47</cp:revision>
  <cp:lastPrinted>2017-09-25T03:35:00Z</cp:lastPrinted>
  <dcterms:created xsi:type="dcterms:W3CDTF">2015-06-24T07:43:00Z</dcterms:created>
  <dcterms:modified xsi:type="dcterms:W3CDTF">2024-02-19T09:20:59Z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7AF7D438B7334082ACC387248E10D702_12</vt:lpwstr>
  </property>
  <property fmtid="{D5CDD505-2E9C-101B-9397-08002B2CF9AE}" pid="3" name="KSOProductBuildVer">
    <vt:lpwstr>2052-12.1.0.15712</vt:lpwstr>
  </property>
</Properties>
</file>