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D1AD6" w:rsidP="004D1AD6" w14:paraId="44F21CDB" w14:textId="77777777">
      <w:pPr>
        <w:spacing w:before="48" w:beforeLines="20" w:after="360" w:afterLines="150" w:line="360" w:lineRule="auto"/>
        <w:jc w:val="center"/>
        <w:rPr>
          <w:rFonts w:ascii="华文中宋" w:eastAsia="华文中宋" w:hAnsi="华文中宋"/>
          <w:b/>
          <w:sz w:val="30"/>
        </w:rPr>
      </w:pPr>
      <w:r w:rsidRPr="004D1AD6">
        <w:rPr>
          <w:rFonts w:ascii="华文中宋" w:eastAsia="华文中宋" w:hAnsi="华文中宋"/>
          <w:b/>
          <w:sz w:val="30"/>
        </w:rPr>
        <w:t>2023</w:t>
      </w:r>
      <w:r w:rsidRPr="004D1AD6">
        <w:rPr>
          <w:rFonts w:ascii="华文中宋" w:eastAsia="华文中宋" w:hAnsi="华文中宋"/>
          <w:b/>
          <w:sz w:val="30"/>
        </w:rPr>
        <w:t>年潍坊奎文区面向退役优秀运动员招聘安置事业单位工作人员笔试备考试题及答案解析</w:t>
      </w:r>
    </w:p>
    <w:p w:rsidR="00A77B3E" w14:paraId="1749DF4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8070827" w14:textId="77777777">
      <w:pPr>
        <w:spacing w:after="260" w:line="360" w:lineRule="auto"/>
      </w:pPr>
      <w:r>
        <w:rPr>
          <w:rFonts w:ascii="微软雅黑" w:eastAsia="微软雅黑" w:cs="微软雅黑"/>
        </w:rPr>
        <w:t>一、选择题</w:t>
      </w:r>
    </w:p>
    <w:p w:rsidR="00D11858" w14:paraId="10D0687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264505E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40FF88B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262CB79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1C8CC16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5EE53FB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1BC98C59"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1E19EF67"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6401F75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3A79C16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6BFD8A9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78BAE4E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34ED2DB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A009D2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49AA84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某日，村民黄某见村民于某的丈夫外出打工，当晚窜入于某家，欲行强暴，于某挣扎中摸到枕下的一把剪刀，然后不顾一切往黄某身上猛刺。黄某胸部、腹部多处被刺当场死亡。案例中于某的行为属于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4C3793D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0B2ED72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、故意杀人</w:t>
      </w:r>
    </w:p>
    <w:p w:rsidR="00D11858" w14:paraId="1F01A4CE"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1D1C22F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、正当防卫</w:t>
      </w:r>
    </w:p>
    <w:p w:rsidR="00D11858" w14:paraId="5B75428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C87149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中华人民共和国刑法》规定，为了使国家、公共利益、本人或者他人的人身、财产和其他权利免受正在进行的不法侵害，而采取的制止不法侵害的行为，对不法侵害人造成损害的，属于正当防卫，不负刑事责任。正当防卫明显超过必要限度造成重大损害的，应当负刑事责任，但是应当减轻或者免除处罚。对正在进行行凶、杀人、抢劫、强奸、绑架以及其他严重危及人身安全的暴力犯罪，采取防卫行为，造成不法侵害人伤亡的，不属于防卫过当，不负刑事责任。被告人于某，当自己的人身权利和人身安全受到严重侵害的时候，为了自救把黄某当场刺死，其行使的是特别防卫权，属于正当防卫，而不是防卫过当，依法不负任何刑事责任。故选</w:t>
      </w:r>
      <w:r w:rsidRPr="00D11858">
        <w:rPr>
          <w:rFonts w:ascii="微软雅黑" w:eastAsia="微软雅黑" w:cs="微软雅黑"/>
          <w:szCs w:val="14"/>
        </w:rPr>
        <w:t>D</w:t>
      </w:r>
      <w:r w:rsidRPr="00D11858">
        <w:rPr>
          <w:rFonts w:ascii="微软雅黑" w:eastAsia="微软雅黑" w:cs="微软雅黑"/>
          <w:szCs w:val="14"/>
        </w:rPr>
        <w:t>。</w:t>
      </w:r>
    </w:p>
    <w:p w:rsidR="00D11858" w14:paraId="252E620A"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7F73EA67"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1CF46A48"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679DFF2E"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33537C4D"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24D461BA"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02B5E88D"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17A723B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0213048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https://d.book118.com/016124213110010043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rsidP="005D4DE0" w14:paraId="3761E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AD6" w14:paraId="3213E46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rsidP="005D4DE0" w14:paraId="421BEF15" w14:textId="78B23D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D1AD6" w14:paraId="382FE8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paraId="18F92BC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AD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rsidP="005D4DE0" w14:textId="78B23D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D1AD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AD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rsidP="005D4DE0" w14:textId="78B23D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D1AD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paraId="50B2AC1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paraId="7E4C079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paraId="1ADBB5F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D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D1AD6"/>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FF5E63A"/>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4D1AD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D1AD6"/>
    <w:rPr>
      <w:sz w:val="18"/>
      <w:szCs w:val="18"/>
    </w:rPr>
  </w:style>
  <w:style w:type="paragraph" w:styleId="Footer">
    <w:name w:val="footer"/>
    <w:basedOn w:val="Normal"/>
    <w:link w:val="a0"/>
    <w:rsid w:val="004D1AD6"/>
    <w:pPr>
      <w:tabs>
        <w:tab w:val="center" w:pos="4153"/>
        <w:tab w:val="right" w:pos="8306"/>
      </w:tabs>
      <w:snapToGrid w:val="0"/>
    </w:pPr>
    <w:rPr>
      <w:sz w:val="18"/>
      <w:szCs w:val="18"/>
    </w:rPr>
  </w:style>
  <w:style w:type="character" w:customStyle="1" w:styleId="a0">
    <w:name w:val="页脚 字符"/>
    <w:basedOn w:val="DefaultParagraphFont"/>
    <w:link w:val="Footer"/>
    <w:rsid w:val="004D1AD6"/>
    <w:rPr>
      <w:sz w:val="18"/>
      <w:szCs w:val="18"/>
    </w:rPr>
  </w:style>
  <w:style w:type="character" w:styleId="PageNumber">
    <w:name w:val="page number"/>
    <w:basedOn w:val="DefaultParagraphFont"/>
    <w:rsid w:val="004D1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1612421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3365</Words>
  <Characters>19185</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