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ageBreakBefore w:val="0"/>
        <w:kinsoku/>
        <w:wordWrap/>
        <w:overflowPunct/>
        <w:topLinePunct w:val="0"/>
        <w:bidi w:val="0"/>
        <w:spacing w:beforeAutospacing="0" w:afterAutospacing="0" w:line="240" w:lineRule="auto"/>
        <w:ind w:left="0" w:right="0"/>
        <w:jc w:val="center"/>
        <w:textAlignment w:val="auto"/>
        <w:rPr>
          <w:rFonts w:eastAsia="华文中宋" w:hint="default"/>
          <w:b/>
          <w:color w:val="000000"/>
          <w:sz w:val="44"/>
          <w:szCs w:val="44"/>
        </w:rPr>
      </w:pPr>
    </w:p>
    <w:p>
      <w:pPr>
        <w:pageBreakBefore w:val="0"/>
        <w:kinsoku/>
        <w:wordWrap/>
        <w:overflowPunct/>
        <w:topLinePunct w:val="0"/>
        <w:bidi w:val="0"/>
        <w:spacing w:beforeAutospacing="0" w:afterAutospacing="0" w:line="240" w:lineRule="auto"/>
        <w:ind w:left="0" w:right="0"/>
        <w:jc w:val="center"/>
        <w:textAlignment w:val="auto"/>
        <w:rPr>
          <w:rFonts w:eastAsia="华文中宋" w:hint="default"/>
          <w:b/>
          <w:color w:val="000000"/>
          <w:sz w:val="44"/>
          <w:szCs w:val="44"/>
        </w:rPr>
      </w:pPr>
    </w:p>
    <w:p>
      <w:pPr>
        <w:bidi w:val="0"/>
        <w:jc w:val="center"/>
        <w:rPr>
          <w:rFonts w:ascii="方正公文小标宋" w:eastAsia="方正公文小标宋" w:hAnsi="方正公文小标宋" w:cs="方正公文小标宋" w:hint="eastAsia"/>
          <w:sz w:val="44"/>
          <w:szCs w:val="36"/>
        </w:rPr>
      </w:pPr>
      <w:r>
        <w:rPr>
          <w:rFonts w:ascii="方正公文小标宋" w:eastAsia="方正公文小标宋" w:hAnsi="方正公文小标宋" w:cs="方正公文小标宋" w:hint="eastAsia"/>
          <w:sz w:val="44"/>
          <w:szCs w:val="36"/>
        </w:rPr>
        <w:t>第47届世界技能大赛江苏省选拔赛</w:t>
      </w:r>
    </w:p>
    <w:p>
      <w:pPr>
        <w:bidi w:val="0"/>
        <w:jc w:val="center"/>
        <w:rPr>
          <w:rFonts w:ascii="方正公文小标宋" w:eastAsia="方正公文小标宋" w:hAnsi="方正公文小标宋" w:cs="方正公文小标宋" w:hint="eastAsia"/>
          <w:sz w:val="44"/>
          <w:szCs w:val="36"/>
          <w:lang w:val="en-AU"/>
        </w:rPr>
      </w:pPr>
      <w:r>
        <w:rPr>
          <w:rFonts w:ascii="方正公文小标宋" w:eastAsia="方正公文小标宋" w:hAnsi="方正公文小标宋" w:cs="方正公文小标宋" w:hint="eastAsia"/>
          <w:sz w:val="44"/>
          <w:szCs w:val="36"/>
          <w:lang w:val="en-US" w:eastAsia="zh-CN"/>
        </w:rPr>
        <w:t>飞机维修</w:t>
      </w:r>
      <w:r>
        <w:rPr>
          <w:rFonts w:ascii="方正公文小标宋" w:eastAsia="方正公文小标宋" w:hAnsi="方正公文小标宋" w:cs="方正公文小标宋" w:hint="eastAsia"/>
          <w:sz w:val="44"/>
          <w:szCs w:val="36"/>
        </w:rPr>
        <w:t>项目</w:t>
      </w:r>
      <w:r>
        <w:rPr>
          <w:rFonts w:ascii="方正公文小标宋" w:eastAsia="方正公文小标宋" w:hAnsi="方正公文小标宋" w:cs="方正公文小标宋" w:hint="eastAsia"/>
          <w:sz w:val="44"/>
          <w:szCs w:val="36"/>
          <w:lang w:val="en-AU"/>
        </w:rPr>
        <w:t>技术工作文件</w:t>
      </w:r>
    </w:p>
    <w:p>
      <w:pPr>
        <w:pStyle w:val="Title"/>
        <w:pageBreakBefore w:val="0"/>
        <w:kinsoku/>
        <w:wordWrap/>
        <w:overflowPunct/>
        <w:topLinePunct w:val="0"/>
        <w:bidi w:val="0"/>
        <w:spacing w:beforeAutospacing="0" w:afterAutospacing="0" w:line="240" w:lineRule="auto"/>
        <w:ind w:left="0" w:right="0"/>
        <w:textAlignment w:val="auto"/>
        <w:rPr>
          <w:rFonts w:ascii="Times New Roman" w:eastAsia="微软雅黑" w:hAnsi="Times New Roman" w:cs="Times New Roman" w:hint="default"/>
          <w:lang w:eastAsia="zh-CN"/>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Style w:val="BodyTextFirstIndent"/>
        <w:pageBreakBefore w:val="0"/>
        <w:kinsoku/>
        <w:wordWrap/>
        <w:overflowPunct/>
        <w:topLinePunct w:val="0"/>
        <w:bidi w:val="0"/>
        <w:spacing w:beforeAutospacing="0" w:afterAutospacing="0" w:line="240" w:lineRule="auto"/>
        <w:ind w:left="0" w:right="0" w:firstLine="640"/>
        <w:textAlignment w:val="auto"/>
        <w:rPr>
          <w:rFonts w:ascii="Times New Roman" w:hAnsi="Times New Roman" w:cs="Times New Roman" w:hint="default"/>
          <w:lang w:val="en-AU"/>
        </w:rPr>
      </w:pPr>
    </w:p>
    <w:p>
      <w:pPr>
        <w:pStyle w:val="BodyTextFirstIndent"/>
        <w:pageBreakBefore w:val="0"/>
        <w:kinsoku/>
        <w:wordWrap/>
        <w:overflowPunct/>
        <w:topLinePunct w:val="0"/>
        <w:bidi w:val="0"/>
        <w:spacing w:beforeAutospacing="0" w:afterAutospacing="0" w:line="240" w:lineRule="auto"/>
        <w:ind w:left="0" w:right="0" w:firstLine="0" w:firstLineChars="0"/>
        <w:textAlignment w:val="auto"/>
        <w:rPr>
          <w:rFonts w:ascii="Times New Roman" w:hAnsi="Times New Roman" w:cs="Times New Roman" w:hint="default"/>
          <w:lang w:val="en-AU"/>
        </w:rPr>
      </w:pPr>
    </w:p>
    <w:p>
      <w:pPr>
        <w:pStyle w:val="BodyTextFirstIndent"/>
        <w:pageBreakBefore w:val="0"/>
        <w:kinsoku/>
        <w:wordWrap/>
        <w:overflowPunct/>
        <w:topLinePunct w:val="0"/>
        <w:bidi w:val="0"/>
        <w:spacing w:beforeAutospacing="0" w:afterAutospacing="0" w:line="240" w:lineRule="auto"/>
        <w:ind w:left="0" w:right="0" w:firstLine="640"/>
        <w:textAlignment w:val="auto"/>
        <w:rPr>
          <w:rFonts w:ascii="Times New Roman" w:hAnsi="Times New Roman" w:cs="Times New Roman" w:hint="default"/>
          <w:lang w:val="en-AU"/>
        </w:rPr>
      </w:pPr>
    </w:p>
    <w:p>
      <w:pPr>
        <w:pStyle w:val="BodyTextFirstIndent"/>
        <w:pageBreakBefore w:val="0"/>
        <w:kinsoku/>
        <w:wordWrap/>
        <w:overflowPunct/>
        <w:topLinePunct w:val="0"/>
        <w:bidi w:val="0"/>
        <w:spacing w:beforeAutospacing="0" w:afterAutospacing="0" w:line="240" w:lineRule="auto"/>
        <w:ind w:left="0" w:right="0" w:firstLine="640"/>
        <w:textAlignment w:val="auto"/>
        <w:rPr>
          <w:rFonts w:ascii="Times New Roman" w:hAnsi="Times New Roman" w:cs="Times New Roman" w:hint="default"/>
          <w:lang w:val="en-AU"/>
        </w:rPr>
      </w:pPr>
    </w:p>
    <w:p>
      <w:pPr>
        <w:bidi w:val="0"/>
        <w:jc w:val="center"/>
        <w:rPr>
          <w:rFonts w:hint="default"/>
          <w:lang w:val="en-AU"/>
        </w:rPr>
      </w:pPr>
      <w:r>
        <w:rPr>
          <w:rFonts w:hint="default"/>
          <w:lang w:val="en-AU"/>
        </w:rPr>
        <w:t>第</w:t>
      </w:r>
      <w:r>
        <w:rPr>
          <w:rFonts w:hint="default"/>
        </w:rPr>
        <w:t>47</w:t>
      </w:r>
      <w:r>
        <w:rPr>
          <w:rFonts w:hint="default"/>
          <w:lang w:val="en-AU"/>
        </w:rPr>
        <w:t>届</w:t>
      </w:r>
      <w:r>
        <w:rPr>
          <w:rFonts w:hint="default"/>
        </w:rPr>
        <w:t>世赛江苏省选拔赛</w:t>
      </w:r>
      <w:r>
        <w:rPr>
          <w:rFonts w:hint="default"/>
          <w:lang w:val="en-AU"/>
        </w:rPr>
        <w:t>组委会技术工作组</w:t>
      </w:r>
    </w:p>
    <w:p>
      <w:pPr>
        <w:pageBreakBefore w:val="0"/>
        <w:kinsoku/>
        <w:wordWrap/>
        <w:overflowPunct/>
        <w:topLinePunct w:val="0"/>
        <w:bidi w:val="0"/>
        <w:spacing w:beforeAutospacing="0" w:afterAutospacing="0" w:line="240" w:lineRule="auto"/>
        <w:ind w:left="0" w:right="0"/>
        <w:textAlignment w:val="auto"/>
        <w:rPr>
          <w:rFonts w:hint="default"/>
          <w:lang w:val="en-AU"/>
        </w:rPr>
      </w:pPr>
    </w:p>
    <w:p>
      <w:pPr>
        <w:pageBreakBefore w:val="0"/>
        <w:kinsoku/>
        <w:wordWrap/>
        <w:overflowPunct/>
        <w:topLinePunct w:val="0"/>
        <w:bidi w:val="0"/>
        <w:spacing w:beforeAutospacing="0" w:afterAutospacing="0" w:line="240" w:lineRule="auto"/>
        <w:ind w:left="0" w:right="0"/>
        <w:jc w:val="center"/>
        <w:textAlignment w:val="auto"/>
        <w:rPr>
          <w:rFonts w:hint="default"/>
          <w:szCs w:val="32"/>
          <w:lang w:val="en-AU"/>
        </w:rPr>
      </w:pPr>
      <w:r>
        <w:rPr>
          <w:rFonts w:ascii="Times New Roman" w:eastAsia="仿宋" w:hAnsi="Times New Roman" w:cs="Times New Roman" w:hint="default"/>
          <w:sz w:val="32"/>
          <w:szCs w:val="32"/>
          <w:lang w:val="en-AU"/>
        </w:rPr>
        <w:t>202</w:t>
      </w:r>
      <w:r>
        <w:rPr>
          <w:rFonts w:ascii="Times New Roman" w:eastAsia="仿宋" w:hAnsi="Times New Roman" w:cs="Times New Roman" w:hint="default"/>
          <w:sz w:val="32"/>
          <w:szCs w:val="32"/>
        </w:rPr>
        <w:t>2</w:t>
      </w:r>
      <w:r>
        <w:rPr>
          <w:rFonts w:ascii="Times New Roman" w:eastAsia="仿宋" w:hAnsi="Times New Roman" w:cs="Times New Roman" w:hint="default"/>
          <w:sz w:val="32"/>
          <w:szCs w:val="32"/>
          <w:lang w:val="en-AU"/>
        </w:rPr>
        <w:t>年</w:t>
      </w:r>
      <w:r>
        <w:rPr>
          <w:rFonts w:cs="Times New Roman" w:hint="eastAsia"/>
          <w:sz w:val="32"/>
          <w:szCs w:val="32"/>
          <w:lang w:val="en-US" w:eastAsia="zh-CN"/>
        </w:rPr>
        <w:t>7</w:t>
      </w:r>
      <w:r>
        <w:rPr>
          <w:rFonts w:ascii="Times New Roman" w:eastAsia="仿宋" w:hAnsi="Times New Roman" w:cs="Times New Roman" w:hint="default"/>
          <w:sz w:val="32"/>
          <w:szCs w:val="32"/>
          <w:lang w:val="en-AU"/>
        </w:rPr>
        <w:t>月</w:t>
      </w:r>
    </w:p>
    <w:p>
      <w:pPr>
        <w:pageBreakBefore w:val="0"/>
        <w:kinsoku/>
        <w:wordWrap/>
        <w:overflowPunct/>
        <w:topLinePunct w:val="0"/>
        <w:bidi w:val="0"/>
        <w:spacing w:beforeAutospacing="0" w:afterAutospacing="0" w:line="240" w:lineRule="auto"/>
        <w:ind w:left="0" w:right="0"/>
        <w:textAlignment w:val="auto"/>
        <w:rPr>
          <w:rFonts w:hint="default"/>
          <w:sz w:val="20"/>
          <w:szCs w:val="22"/>
          <w:lang w:val="en-AU"/>
        </w:rPr>
      </w:pPr>
    </w:p>
    <w:p>
      <w:pPr>
        <w:pStyle w:val="BodyTextFirstIndent"/>
        <w:pageBreakBefore w:val="0"/>
        <w:kinsoku/>
        <w:wordWrap/>
        <w:overflowPunct/>
        <w:topLinePunct w:val="0"/>
        <w:bidi w:val="0"/>
        <w:spacing w:beforeAutospacing="0" w:afterAutospacing="0" w:line="240" w:lineRule="auto"/>
        <w:ind w:left="0" w:right="0" w:firstLine="640"/>
        <w:textAlignment w:val="auto"/>
        <w:rPr>
          <w:rFonts w:ascii="Times New Roman" w:hAnsi="Times New Roman" w:cs="Times New Roman" w:hint="default"/>
          <w:lang w:val="en-AU"/>
        </w:rPr>
      </w:pPr>
    </w:p>
    <w:p>
      <w:pPr>
        <w:pStyle w:val="BodyTextFirstIndent"/>
        <w:pageBreakBefore w:val="0"/>
        <w:kinsoku/>
        <w:wordWrap/>
        <w:overflowPunct/>
        <w:topLinePunct w:val="0"/>
        <w:bidi w:val="0"/>
        <w:spacing w:beforeAutospacing="0" w:afterAutospacing="0" w:line="240" w:lineRule="auto"/>
        <w:ind w:left="0" w:right="0" w:firstLine="640"/>
        <w:textAlignment w:val="auto"/>
        <w:rPr>
          <w:rFonts w:ascii="Times New Roman" w:hAnsi="Times New Roman" w:cs="Times New Roman" w:hint="default"/>
          <w:lang w:val="en-AU"/>
        </w:rPr>
        <w:sectPr>
          <w:headerReference w:type="default" r:id="rId5"/>
          <w:footerReference w:type="default" r:id="rId6"/>
          <w:pgSz w:w="11906" w:h="16838"/>
          <w:pgMar w:top="1417" w:right="1417" w:bottom="1247" w:left="1417" w:header="851" w:footer="992" w:gutter="0"/>
          <w:pgNumType w:start="30"/>
          <w:cols w:num="1" w:space="720"/>
          <w:docGrid w:type="linesAndChars" w:linePitch="319" w:charSpace="0"/>
        </w:sectPr>
      </w:pPr>
    </w:p>
    <w:sdt>
      <w:sdtPr>
        <w:rPr>
          <w:rFonts w:ascii="黑体" w:eastAsia="黑体" w:hAnsi="黑体" w:cs="黑体" w:hint="eastAsia"/>
          <w:kern w:val="2"/>
          <w:sz w:val="36"/>
          <w:szCs w:val="36"/>
          <w:lang w:val="en-US" w:eastAsia="zh-CN" w:bidi="ar-SA"/>
        </w:rPr>
        <w:id w:val="147481575"/>
        <w:docPartObj>
          <w:docPartGallery w:val="Table of Contents"/>
          <w:docPartUnique/>
        </w:docPartObj>
        <w15:color w:val="DBDBDB"/>
      </w:sdtPr>
      <w:sdtEndPr>
        <w:rPr>
          <w:rFonts w:ascii="Times New Roman" w:eastAsia="仿宋" w:hAnsi="Times New Roman" w:cs="Times New Roman" w:hint="default"/>
          <w:b/>
          <w:kern w:val="2"/>
          <w:sz w:val="32"/>
          <w:szCs w:val="24"/>
          <w:lang w:val="en-US" w:eastAsia="zh-CN" w:bidi="ar-SA"/>
        </w:rPr>
      </w:sdtEndPr>
      <w:sdtContent>
        <w:p>
          <w:pPr>
            <w:spacing w:before="0" w:beforeLines="0" w:after="0" w:afterLines="0" w:line="240" w:lineRule="auto"/>
            <w:ind w:left="0" w:right="0" w:firstLine="0" w:leftChars="0" w:rightChars="0" w:firstLineChars="0"/>
            <w:jc w:val="center"/>
            <w:rPr>
              <w:rFonts w:ascii="黑体" w:eastAsia="黑体" w:hAnsi="黑体" w:cs="黑体" w:hint="eastAsia"/>
              <w:sz w:val="36"/>
              <w:szCs w:val="36"/>
            </w:rPr>
          </w:pPr>
          <w:r>
            <w:rPr>
              <w:rFonts w:ascii="黑体" w:eastAsia="黑体" w:hAnsi="黑体" w:cs="黑体" w:hint="eastAsia"/>
              <w:sz w:val="36"/>
              <w:szCs w:val="36"/>
            </w:rPr>
            <w:t>目</w:t>
          </w:r>
          <w:r>
            <w:rPr>
              <w:rFonts w:ascii="黑体" w:eastAsia="黑体" w:hAnsi="黑体" w:cs="黑体" w:hint="eastAsia"/>
              <w:sz w:val="36"/>
              <w:szCs w:val="36"/>
              <w:lang w:val="en-US" w:eastAsia="zh-CN"/>
            </w:rPr>
            <w:t xml:space="preserve">  </w:t>
          </w:r>
          <w:r>
            <w:rPr>
              <w:rFonts w:ascii="黑体" w:eastAsia="黑体" w:hAnsi="黑体" w:cs="黑体" w:hint="eastAsia"/>
              <w:sz w:val="36"/>
              <w:szCs w:val="36"/>
            </w:rPr>
            <w:t>录</w:t>
          </w:r>
        </w:p>
        <w:p>
          <w:pPr>
            <w:pStyle w:val="TOC1"/>
            <w:tabs>
              <w:tab w:val="right" w:leader="dot" w:pos="9072"/>
            </w:tabs>
          </w:pPr>
          <w:r>
            <w:rPr>
              <w:rFonts w:ascii="Times New Roman" w:hAnsi="Times New Roman" w:cs="Times New Roman" w:hint="default"/>
            </w:rPr>
            <w:fldChar w:fldCharType="begin"/>
          </w:r>
          <w:r>
            <w:rPr>
              <w:rFonts w:ascii="Times New Roman" w:hAnsi="Times New Roman" w:cs="Times New Roman" w:hint="default"/>
            </w:rPr>
            <w:instrText xml:space="preserve">TOC \o "1-2" \h \u </w:instrText>
          </w:r>
          <w:r>
            <w:rPr>
              <w:rFonts w:ascii="Times New Roman" w:hAnsi="Times New Roman" w:cs="Times New Roman" w:hint="default"/>
            </w:rPr>
            <w:fldChar w:fldCharType="separate"/>
          </w:r>
          <w:hyperlink w:anchor="_Toc32329" w:history="1">
            <w:r>
              <w:rPr>
                <w:rFonts w:ascii="Times New Roman" w:hAnsi="Times New Roman" w:cs="Times New Roman" w:hint="default"/>
              </w:rPr>
              <w:t>一、技术描述</w:t>
            </w:r>
            <w:r>
              <w:tab/>
            </w:r>
            <w:r>
              <w:fldChar w:fldCharType="begin"/>
            </w:r>
            <w:r>
              <w:instrText xml:space="preserve"> PAGEREF _Toc32329 \h </w:instrText>
            </w:r>
            <w:r>
              <w:fldChar w:fldCharType="separate"/>
            </w:r>
            <w:r>
              <w:t>1</w:t>
            </w:r>
            <w:r>
              <w:fldChar w:fldCharType="end"/>
            </w:r>
          </w:hyperlink>
        </w:p>
        <w:p>
          <w:pPr>
            <w:pStyle w:val="TOC2"/>
            <w:tabs>
              <w:tab w:val="right" w:leader="dot" w:pos="9072"/>
            </w:tabs>
          </w:pPr>
          <w:hyperlink w:anchor="_Toc15428" w:history="1">
            <w:r>
              <w:rPr>
                <w:rFonts w:ascii="Times New Roman" w:hAnsi="Times New Roman" w:cs="Times New Roman" w:hint="default"/>
              </w:rPr>
              <w:t>（一）项目概要</w:t>
            </w:r>
            <w:r>
              <w:tab/>
            </w:r>
            <w:r>
              <w:fldChar w:fldCharType="begin"/>
            </w:r>
            <w:r>
              <w:instrText xml:space="preserve"> PAGEREF _Toc15428 \h </w:instrText>
            </w:r>
            <w:r>
              <w:fldChar w:fldCharType="separate"/>
            </w:r>
            <w:r>
              <w:t>1</w:t>
            </w:r>
            <w:r>
              <w:fldChar w:fldCharType="end"/>
            </w:r>
          </w:hyperlink>
        </w:p>
        <w:p>
          <w:pPr>
            <w:pStyle w:val="TOC2"/>
            <w:tabs>
              <w:tab w:val="right" w:leader="dot" w:pos="9072"/>
            </w:tabs>
          </w:pPr>
          <w:hyperlink w:anchor="_Toc23547" w:history="1">
            <w:r>
              <w:rPr>
                <w:rFonts w:ascii="Times New Roman" w:hAnsi="Times New Roman" w:cs="Times New Roman" w:hint="default"/>
              </w:rPr>
              <w:t>（二）基本知识与能力要求</w:t>
            </w:r>
            <w:r>
              <w:tab/>
            </w:r>
            <w:r>
              <w:fldChar w:fldCharType="begin"/>
            </w:r>
            <w:r>
              <w:instrText xml:space="preserve"> PAGEREF _Toc23547 \h </w:instrText>
            </w:r>
            <w:r>
              <w:fldChar w:fldCharType="separate"/>
            </w:r>
            <w:r>
              <w:t>1</w:t>
            </w:r>
            <w:r>
              <w:fldChar w:fldCharType="end"/>
            </w:r>
          </w:hyperlink>
        </w:p>
        <w:p>
          <w:pPr>
            <w:pStyle w:val="TOC2"/>
            <w:tabs>
              <w:tab w:val="right" w:leader="dot" w:pos="9072"/>
            </w:tabs>
          </w:pPr>
          <w:hyperlink w:anchor="_Toc32144" w:history="1">
            <w:r>
              <w:rPr>
                <w:rFonts w:ascii="Times New Roman" w:hAnsi="Times New Roman" w:cs="Times New Roman" w:hint="default"/>
                <w:lang w:val="en-US" w:eastAsia="zh-CN"/>
              </w:rPr>
              <w:t>（三）相关文件</w:t>
            </w:r>
            <w:r>
              <w:tab/>
            </w:r>
            <w:r>
              <w:fldChar w:fldCharType="begin"/>
            </w:r>
            <w:r>
              <w:instrText xml:space="preserve"> PAGEREF _Toc32144 \h </w:instrText>
            </w:r>
            <w:r>
              <w:fldChar w:fldCharType="separate"/>
            </w:r>
            <w:r>
              <w:t>8</w:t>
            </w:r>
            <w:r>
              <w:fldChar w:fldCharType="end"/>
            </w:r>
          </w:hyperlink>
        </w:p>
        <w:p>
          <w:pPr>
            <w:pStyle w:val="TOC1"/>
            <w:tabs>
              <w:tab w:val="right" w:leader="dot" w:pos="9072"/>
            </w:tabs>
          </w:pPr>
          <w:hyperlink w:anchor="_Toc11669" w:history="1">
            <w:r>
              <w:rPr>
                <w:rFonts w:ascii="Times New Roman" w:hAnsi="Times New Roman" w:cs="Times New Roman" w:hint="default"/>
              </w:rPr>
              <w:t>二、试题与评判标准</w:t>
            </w:r>
            <w:r>
              <w:tab/>
            </w:r>
            <w:r>
              <w:fldChar w:fldCharType="begin"/>
            </w:r>
            <w:r>
              <w:instrText xml:space="preserve"> PAGEREF _Toc11669 \h </w:instrText>
            </w:r>
            <w:r>
              <w:fldChar w:fldCharType="separate"/>
            </w:r>
            <w:r>
              <w:t>10</w:t>
            </w:r>
            <w:r>
              <w:fldChar w:fldCharType="end"/>
            </w:r>
          </w:hyperlink>
        </w:p>
        <w:p>
          <w:pPr>
            <w:pStyle w:val="TOC2"/>
            <w:tabs>
              <w:tab w:val="right" w:leader="dot" w:pos="9072"/>
            </w:tabs>
          </w:pPr>
          <w:hyperlink w:anchor="_Toc23144" w:history="1">
            <w:r>
              <w:rPr>
                <w:rFonts w:ascii="Times New Roman" w:hAnsi="Times New Roman" w:cs="Times New Roman" w:hint="default"/>
              </w:rPr>
              <w:t>（一）</w:t>
            </w:r>
            <w:r>
              <w:rPr>
                <w:rFonts w:ascii="Times New Roman" w:hAnsi="Times New Roman" w:cs="Times New Roman" w:hint="default"/>
                <w:lang w:val="en-US" w:eastAsia="zh-CN"/>
              </w:rPr>
              <w:t>竞赛项目</w:t>
            </w:r>
            <w:r>
              <w:tab/>
            </w:r>
            <w:r>
              <w:fldChar w:fldCharType="begin"/>
            </w:r>
            <w:r>
              <w:instrText xml:space="preserve"> PAGEREF _Toc23144 \h </w:instrText>
            </w:r>
            <w:r>
              <w:fldChar w:fldCharType="separate"/>
            </w:r>
            <w:r>
              <w:t>10</w:t>
            </w:r>
            <w:r>
              <w:fldChar w:fldCharType="end"/>
            </w:r>
          </w:hyperlink>
        </w:p>
        <w:p>
          <w:pPr>
            <w:pStyle w:val="TOC2"/>
            <w:tabs>
              <w:tab w:val="right" w:leader="dot" w:pos="9072"/>
            </w:tabs>
          </w:pPr>
          <w:hyperlink w:anchor="_Toc27581" w:history="1">
            <w:r>
              <w:rPr>
                <w:rFonts w:ascii="Times New Roman" w:hAnsi="Times New Roman" w:cs="Times New Roman" w:hint="default"/>
              </w:rPr>
              <w:t>（二）试题</w:t>
            </w:r>
            <w:r>
              <w:rPr>
                <w:rFonts w:ascii="Times New Roman" w:hAnsi="Times New Roman" w:cs="Times New Roman" w:hint="default"/>
                <w:lang w:eastAsia="zh-CN"/>
              </w:rPr>
              <w:t>（</w:t>
            </w:r>
            <w:r>
              <w:rPr>
                <w:rFonts w:ascii="Times New Roman" w:hAnsi="Times New Roman" w:cs="Times New Roman" w:hint="default"/>
                <w:lang w:val="en-US" w:eastAsia="zh-CN"/>
              </w:rPr>
              <w:t>样题</w:t>
            </w:r>
            <w:r>
              <w:rPr>
                <w:rFonts w:ascii="Times New Roman" w:hAnsi="Times New Roman" w:cs="Times New Roman" w:hint="default"/>
                <w:lang w:eastAsia="zh-CN"/>
              </w:rPr>
              <w:t>）</w:t>
            </w:r>
            <w:r>
              <w:tab/>
            </w:r>
            <w:r>
              <w:fldChar w:fldCharType="begin"/>
            </w:r>
            <w:r>
              <w:instrText xml:space="preserve"> PAGEREF _Toc27581 \h </w:instrText>
            </w:r>
            <w:r>
              <w:fldChar w:fldCharType="separate"/>
            </w:r>
            <w:r>
              <w:t>12</w:t>
            </w:r>
            <w:r>
              <w:fldChar w:fldCharType="end"/>
            </w:r>
          </w:hyperlink>
        </w:p>
        <w:p>
          <w:pPr>
            <w:pStyle w:val="TOC1"/>
            <w:tabs>
              <w:tab w:val="right" w:leader="dot" w:pos="9072"/>
            </w:tabs>
          </w:pPr>
          <w:hyperlink w:anchor="_Toc17670" w:history="1">
            <w:r>
              <w:rPr>
                <w:rFonts w:hint="default"/>
              </w:rPr>
              <w:t>三、竞赛细则</w:t>
            </w:r>
            <w:r>
              <w:tab/>
            </w:r>
            <w:r>
              <w:fldChar w:fldCharType="begin"/>
            </w:r>
            <w:r>
              <w:instrText xml:space="preserve"> PAGEREF _Toc17670 \h </w:instrText>
            </w:r>
            <w:r>
              <w:fldChar w:fldCharType="separate"/>
            </w:r>
            <w:r>
              <w:t>28</w:t>
            </w:r>
            <w:r>
              <w:fldChar w:fldCharType="end"/>
            </w:r>
          </w:hyperlink>
        </w:p>
        <w:p>
          <w:pPr>
            <w:pStyle w:val="TOC2"/>
            <w:tabs>
              <w:tab w:val="right" w:leader="dot" w:pos="9072"/>
            </w:tabs>
          </w:pPr>
          <w:hyperlink w:anchor="_Toc21315" w:history="1">
            <w:r>
              <w:rPr>
                <w:rFonts w:hint="eastAsia"/>
                <w:lang w:val="en-US" w:eastAsia="zh-CN"/>
              </w:rPr>
              <w:t>（一）</w:t>
            </w:r>
            <w:r>
              <w:rPr>
                <w:rFonts w:hint="default"/>
                <w:lang w:val="en-US" w:eastAsia="zh-CN"/>
              </w:rPr>
              <w:t>考核时间安排</w:t>
            </w:r>
            <w:r>
              <w:tab/>
            </w:r>
            <w:r>
              <w:fldChar w:fldCharType="begin"/>
            </w:r>
            <w:r>
              <w:instrText xml:space="preserve"> PAGEREF _Toc21315 \h </w:instrText>
            </w:r>
            <w:r>
              <w:fldChar w:fldCharType="separate"/>
            </w:r>
            <w:r>
              <w:t>28</w:t>
            </w:r>
            <w:r>
              <w:fldChar w:fldCharType="end"/>
            </w:r>
          </w:hyperlink>
        </w:p>
        <w:p>
          <w:pPr>
            <w:pStyle w:val="TOC2"/>
            <w:tabs>
              <w:tab w:val="right" w:leader="dot" w:pos="9072"/>
            </w:tabs>
          </w:pPr>
          <w:hyperlink w:anchor="_Toc21617" w:history="1">
            <w:r>
              <w:rPr>
                <w:rFonts w:hint="eastAsia"/>
                <w:lang w:val="en-US" w:eastAsia="zh-CN"/>
              </w:rPr>
              <w:t>（二）</w:t>
            </w:r>
            <w:r>
              <w:rPr>
                <w:rFonts w:hint="default"/>
                <w:lang w:val="en-US" w:eastAsia="zh-CN"/>
              </w:rPr>
              <w:t>裁判构成和分组</w:t>
            </w:r>
            <w:r>
              <w:tab/>
            </w:r>
            <w:r>
              <w:fldChar w:fldCharType="begin"/>
            </w:r>
            <w:r>
              <w:instrText xml:space="preserve"> PAGEREF _Toc21617 \h </w:instrText>
            </w:r>
            <w:r>
              <w:fldChar w:fldCharType="separate"/>
            </w:r>
            <w:r>
              <w:t>28</w:t>
            </w:r>
            <w:r>
              <w:fldChar w:fldCharType="end"/>
            </w:r>
          </w:hyperlink>
        </w:p>
        <w:p>
          <w:pPr>
            <w:pStyle w:val="TOC2"/>
            <w:tabs>
              <w:tab w:val="right" w:leader="dot" w:pos="9072"/>
            </w:tabs>
          </w:pPr>
          <w:hyperlink w:anchor="_Toc7846" w:history="1">
            <w:r>
              <w:rPr>
                <w:rFonts w:hint="eastAsia"/>
                <w:lang w:val="en-US" w:eastAsia="zh-CN"/>
              </w:rPr>
              <w:t>（三）</w:t>
            </w:r>
            <w:r>
              <w:rPr>
                <w:rFonts w:hint="default"/>
                <w:lang w:val="en-US" w:eastAsia="zh-CN"/>
              </w:rPr>
              <w:t>考核纪律</w:t>
            </w:r>
            <w:r>
              <w:tab/>
            </w:r>
            <w:r>
              <w:fldChar w:fldCharType="begin"/>
            </w:r>
            <w:r>
              <w:instrText xml:space="preserve"> PAGEREF _Toc7846 \h </w:instrText>
            </w:r>
            <w:r>
              <w:fldChar w:fldCharType="separate"/>
            </w:r>
            <w:r>
              <w:t>29</w:t>
            </w:r>
            <w:r>
              <w:fldChar w:fldCharType="end"/>
            </w:r>
          </w:hyperlink>
        </w:p>
        <w:p>
          <w:pPr>
            <w:pStyle w:val="TOC2"/>
            <w:tabs>
              <w:tab w:val="right" w:leader="dot" w:pos="9072"/>
            </w:tabs>
          </w:pPr>
          <w:hyperlink w:anchor="_Toc8826" w:history="1">
            <w:r>
              <w:rPr>
                <w:rFonts w:hint="eastAsia"/>
                <w:lang w:val="en-US" w:eastAsia="zh-CN"/>
              </w:rPr>
              <w:t>（四）</w:t>
            </w:r>
            <w:r>
              <w:rPr>
                <w:rFonts w:hint="default"/>
                <w:lang w:val="en-US" w:eastAsia="zh-CN"/>
              </w:rPr>
              <w:t>违规处理</w:t>
            </w:r>
            <w:r>
              <w:tab/>
            </w:r>
            <w:r>
              <w:fldChar w:fldCharType="begin"/>
            </w:r>
            <w:r>
              <w:instrText xml:space="preserve"> PAGEREF _Toc8826 \h </w:instrText>
            </w:r>
            <w:r>
              <w:fldChar w:fldCharType="separate"/>
            </w:r>
            <w:r>
              <w:t>30</w:t>
            </w:r>
            <w:r>
              <w:fldChar w:fldCharType="end"/>
            </w:r>
          </w:hyperlink>
        </w:p>
        <w:p>
          <w:pPr>
            <w:pStyle w:val="TOC2"/>
            <w:tabs>
              <w:tab w:val="right" w:leader="dot" w:pos="9072"/>
            </w:tabs>
          </w:pPr>
          <w:hyperlink w:anchor="_Toc19605" w:history="1">
            <w:r>
              <w:rPr>
                <w:rFonts w:hint="eastAsia"/>
                <w:lang w:val="en-US" w:eastAsia="zh-CN"/>
              </w:rPr>
              <w:t>（五）</w:t>
            </w:r>
            <w:r>
              <w:rPr>
                <w:rFonts w:hint="default"/>
              </w:rPr>
              <w:t>评判</w:t>
            </w:r>
            <w:r>
              <w:rPr>
                <w:rFonts w:hint="default"/>
                <w:lang w:val="en-US" w:eastAsia="zh-CN"/>
              </w:rPr>
              <w:t>流程说明</w:t>
            </w:r>
            <w:r>
              <w:tab/>
            </w:r>
            <w:r>
              <w:fldChar w:fldCharType="begin"/>
            </w:r>
            <w:r>
              <w:instrText xml:space="preserve"> PAGEREF _Toc19605 \h </w:instrText>
            </w:r>
            <w:r>
              <w:fldChar w:fldCharType="separate"/>
            </w:r>
            <w:r>
              <w:t>31</w:t>
            </w:r>
            <w:r>
              <w:fldChar w:fldCharType="end"/>
            </w:r>
          </w:hyperlink>
        </w:p>
        <w:p>
          <w:pPr>
            <w:pStyle w:val="TOC1"/>
            <w:tabs>
              <w:tab w:val="right" w:leader="dot" w:pos="9072"/>
            </w:tabs>
          </w:pPr>
          <w:hyperlink w:anchor="_Toc22187" w:history="1">
            <w:r>
              <w:rPr>
                <w:rFonts w:hint="default"/>
              </w:rPr>
              <w:t>四、竞赛场地</w:t>
            </w:r>
            <w:r>
              <w:rPr>
                <w:rFonts w:hint="eastAsia"/>
                <w:lang w:val="en-US" w:eastAsia="zh-CN"/>
              </w:rPr>
              <w:t>和</w:t>
            </w:r>
            <w:r>
              <w:rPr>
                <w:rFonts w:hint="default"/>
              </w:rPr>
              <w:t>设施设备</w:t>
            </w:r>
            <w:r>
              <w:tab/>
            </w:r>
            <w:r>
              <w:fldChar w:fldCharType="begin"/>
            </w:r>
            <w:r>
              <w:instrText xml:space="preserve"> PAGEREF _Toc22187 \h </w:instrText>
            </w:r>
            <w:r>
              <w:fldChar w:fldCharType="separate"/>
            </w:r>
            <w:r>
              <w:t>32</w:t>
            </w:r>
            <w:r>
              <w:fldChar w:fldCharType="end"/>
            </w:r>
          </w:hyperlink>
        </w:p>
        <w:p>
          <w:pPr>
            <w:pStyle w:val="TOC2"/>
            <w:tabs>
              <w:tab w:val="right" w:leader="dot" w:pos="9072"/>
            </w:tabs>
          </w:pPr>
          <w:hyperlink w:anchor="_Toc25510" w:history="1">
            <w:r>
              <w:rPr>
                <w:rFonts w:hint="default"/>
              </w:rPr>
              <w:t>（一）赛场规格要求</w:t>
            </w:r>
            <w:r>
              <w:tab/>
            </w:r>
            <w:r>
              <w:fldChar w:fldCharType="begin"/>
            </w:r>
            <w:r>
              <w:instrText xml:space="preserve"> PAGEREF _Toc25510 \h </w:instrText>
            </w:r>
            <w:r>
              <w:fldChar w:fldCharType="separate"/>
            </w:r>
            <w:r>
              <w:t>32</w:t>
            </w:r>
            <w:r>
              <w:fldChar w:fldCharType="end"/>
            </w:r>
          </w:hyperlink>
        </w:p>
        <w:p>
          <w:pPr>
            <w:pStyle w:val="TOC2"/>
            <w:tabs>
              <w:tab w:val="right" w:leader="dot" w:pos="9072"/>
            </w:tabs>
          </w:pPr>
          <w:hyperlink w:anchor="_Toc11694" w:history="1">
            <w:r>
              <w:rPr>
                <w:rFonts w:hint="default"/>
              </w:rPr>
              <w:t>（</w:t>
            </w:r>
            <w:r>
              <w:rPr>
                <w:rFonts w:hint="default"/>
                <w:lang w:val="en-US" w:eastAsia="zh-CN"/>
              </w:rPr>
              <w:t>二</w:t>
            </w:r>
            <w:r>
              <w:rPr>
                <w:rFonts w:hint="default"/>
              </w:rPr>
              <w:t>）</w:t>
            </w:r>
            <w:r>
              <w:rPr>
                <w:rFonts w:hint="eastAsia"/>
                <w:lang w:val="en-US" w:eastAsia="zh-CN"/>
              </w:rPr>
              <w:t>考核相关设施设备</w:t>
            </w:r>
            <w:r>
              <w:tab/>
            </w:r>
            <w:r>
              <w:fldChar w:fldCharType="begin"/>
            </w:r>
            <w:r>
              <w:instrText xml:space="preserve"> PAGEREF _Toc11694 \h </w:instrText>
            </w:r>
            <w:r>
              <w:fldChar w:fldCharType="separate"/>
            </w:r>
            <w:r>
              <w:t>33</w:t>
            </w:r>
            <w:r>
              <w:fldChar w:fldCharType="end"/>
            </w:r>
          </w:hyperlink>
        </w:p>
        <w:p>
          <w:pPr>
            <w:pStyle w:val="TOC1"/>
            <w:tabs>
              <w:tab w:val="right" w:leader="dot" w:pos="9072"/>
            </w:tabs>
          </w:pPr>
          <w:hyperlink w:anchor="_Toc25755" w:history="1">
            <w:r>
              <w:rPr>
                <w:rFonts w:hint="default"/>
                <w:lang w:eastAsia="zh-CN"/>
              </w:rPr>
              <w:t>五、安全</w:t>
            </w:r>
            <w:r>
              <w:rPr>
                <w:rFonts w:hint="eastAsia"/>
                <w:lang w:val="en-US" w:eastAsia="zh-CN"/>
              </w:rPr>
              <w:t>和</w:t>
            </w:r>
            <w:r>
              <w:rPr>
                <w:rFonts w:hint="default"/>
                <w:lang w:eastAsia="zh-CN"/>
              </w:rPr>
              <w:t>健康要求</w:t>
            </w:r>
            <w:r>
              <w:tab/>
            </w:r>
            <w:r>
              <w:fldChar w:fldCharType="begin"/>
            </w:r>
            <w:r>
              <w:instrText xml:space="preserve"> PAGEREF _Toc25755 \h </w:instrText>
            </w:r>
            <w:r>
              <w:fldChar w:fldCharType="separate"/>
            </w:r>
            <w:r>
              <w:t>48</w:t>
            </w:r>
            <w:r>
              <w:fldChar w:fldCharType="end"/>
            </w:r>
          </w:hyperlink>
        </w:p>
        <w:p>
          <w:pPr>
            <w:pStyle w:val="TOC2"/>
            <w:tabs>
              <w:tab w:val="right" w:leader="dot" w:pos="9072"/>
            </w:tabs>
          </w:pPr>
          <w:hyperlink w:anchor="_Toc2297" w:history="1">
            <w:r>
              <w:rPr>
                <w:rFonts w:hint="default"/>
                <w:lang w:eastAsia="zh-CN"/>
              </w:rPr>
              <w:t>（</w:t>
            </w:r>
            <w:r>
              <w:rPr>
                <w:rFonts w:hint="default"/>
                <w:lang w:val="en-US" w:eastAsia="zh-CN"/>
              </w:rPr>
              <w:t>一</w:t>
            </w:r>
            <w:r>
              <w:rPr>
                <w:rFonts w:hint="default"/>
                <w:lang w:eastAsia="zh-CN"/>
              </w:rPr>
              <w:t>）</w:t>
            </w:r>
            <w:r>
              <w:rPr>
                <w:rFonts w:hint="default"/>
              </w:rPr>
              <w:t>选手安全防护措施要求</w:t>
            </w:r>
            <w:r>
              <w:tab/>
            </w:r>
            <w:r>
              <w:fldChar w:fldCharType="begin"/>
            </w:r>
            <w:r>
              <w:instrText xml:space="preserve"> PAGEREF _Toc2297 \h </w:instrText>
            </w:r>
            <w:r>
              <w:fldChar w:fldCharType="separate"/>
            </w:r>
            <w:r>
              <w:t>48</w:t>
            </w:r>
            <w:r>
              <w:fldChar w:fldCharType="end"/>
            </w:r>
          </w:hyperlink>
        </w:p>
        <w:p>
          <w:pPr>
            <w:pStyle w:val="TOC2"/>
            <w:tabs>
              <w:tab w:val="right" w:leader="dot" w:pos="9072"/>
            </w:tabs>
          </w:pPr>
          <w:hyperlink w:anchor="_Toc26597" w:history="1">
            <w:r>
              <w:rPr>
                <w:rFonts w:hint="default"/>
                <w:lang w:eastAsia="zh-CN"/>
              </w:rPr>
              <w:t>（</w:t>
            </w:r>
            <w:r>
              <w:rPr>
                <w:rFonts w:hint="default"/>
                <w:lang w:val="en-US" w:eastAsia="zh-CN"/>
              </w:rPr>
              <w:t>二</w:t>
            </w:r>
            <w:r>
              <w:rPr>
                <w:rFonts w:hint="default"/>
                <w:lang w:eastAsia="zh-CN"/>
              </w:rPr>
              <w:t>）</w:t>
            </w:r>
            <w:r>
              <w:rPr>
                <w:rFonts w:hint="default"/>
              </w:rPr>
              <w:t>有毒有害物品的管理和限制</w:t>
            </w:r>
            <w:r>
              <w:tab/>
            </w:r>
            <w:r>
              <w:fldChar w:fldCharType="begin"/>
            </w:r>
            <w:r>
              <w:instrText xml:space="preserve"> PAGEREF _Toc26597 \h </w:instrText>
            </w:r>
            <w:r>
              <w:fldChar w:fldCharType="separate"/>
            </w:r>
            <w:r>
              <w:t>48</w:t>
            </w:r>
            <w:r>
              <w:fldChar w:fldCharType="end"/>
            </w:r>
          </w:hyperlink>
        </w:p>
        <w:p>
          <w:pPr>
            <w:pStyle w:val="TOC2"/>
            <w:tabs>
              <w:tab w:val="right" w:leader="dot" w:pos="9072"/>
            </w:tabs>
          </w:pPr>
          <w:hyperlink w:anchor="_Toc12476" w:history="1">
            <w:r>
              <w:rPr>
                <w:rFonts w:hint="default"/>
                <w:lang w:eastAsia="zh-CN"/>
              </w:rPr>
              <w:t>（</w:t>
            </w:r>
            <w:r>
              <w:rPr>
                <w:rFonts w:hint="default"/>
                <w:lang w:val="en-US" w:eastAsia="zh-CN"/>
              </w:rPr>
              <w:t>三</w:t>
            </w:r>
            <w:r>
              <w:rPr>
                <w:rFonts w:hint="default"/>
                <w:lang w:eastAsia="zh-CN"/>
              </w:rPr>
              <w:t>）</w:t>
            </w:r>
            <w:r>
              <w:rPr>
                <w:rFonts w:hint="default"/>
              </w:rPr>
              <w:t>医疗设备和措施</w:t>
            </w:r>
            <w:r>
              <w:tab/>
            </w:r>
            <w:r>
              <w:fldChar w:fldCharType="begin"/>
            </w:r>
            <w:r>
              <w:instrText xml:space="preserve"> PAGEREF _Toc12476 \h </w:instrText>
            </w:r>
            <w:r>
              <w:fldChar w:fldCharType="separate"/>
            </w:r>
            <w:r>
              <w:t>49</w:t>
            </w:r>
            <w:r>
              <w:fldChar w:fldCharType="end"/>
            </w:r>
          </w:hyperlink>
        </w:p>
        <w:p>
          <w:pPr>
            <w:pageBreakBefore w:val="0"/>
            <w:kinsoku/>
            <w:wordWrap/>
            <w:overflowPunct/>
            <w:topLinePunct w:val="0"/>
            <w:bidi w:val="0"/>
            <w:spacing w:beforeAutospacing="0" w:afterAutospacing="0" w:line="240" w:lineRule="auto"/>
            <w:ind w:left="0" w:right="0"/>
            <w:textAlignment w:val="auto"/>
            <w:rPr>
              <w:rFonts w:hint="default"/>
            </w:rPr>
          </w:pPr>
          <w:r>
            <w:rPr>
              <w:rFonts w:ascii="Times New Roman" w:hAnsi="Times New Roman" w:cs="Times New Roman" w:hint="default"/>
            </w:rPr>
            <w:fldChar w:fldCharType="end"/>
          </w:r>
        </w:p>
      </w:sdtContent>
    </w:sdt>
    <w:p>
      <w:pPr>
        <w:pStyle w:val="Heading1"/>
        <w:bidi w:val="0"/>
        <w:rPr>
          <w:rFonts w:ascii="Times New Roman" w:hAnsi="Times New Roman" w:cs="Times New Roman" w:hint="default"/>
        </w:rPr>
        <w:sectPr>
          <w:headerReference w:type="default" r:id="rId7"/>
          <w:footerReference w:type="default" r:id="rId8"/>
          <w:type w:val="nextPage"/>
          <w:pgSz w:w="11906" w:h="16838"/>
          <w:pgMar w:top="1417" w:right="1417" w:bottom="1247" w:left="1417" w:header="851" w:footer="992" w:gutter="0"/>
          <w:pgNumType w:start="31"/>
          <w:cols w:num="1" w:space="720"/>
          <w:titlePg w:val="0"/>
          <w:docGrid w:type="linesAndChars" w:linePitch="319" w:charSpace="0"/>
        </w:sectPr>
      </w:pPr>
    </w:p>
    <w:p>
      <w:pPr>
        <w:pStyle w:val="Heading1"/>
        <w:bidi w:val="0"/>
        <w:rPr>
          <w:rFonts w:ascii="Times New Roman" w:hAnsi="Times New Roman" w:cs="Times New Roman" w:hint="default"/>
        </w:rPr>
      </w:pPr>
      <w:bookmarkStart w:id="0" w:name="_Toc32329"/>
      <w:r>
        <w:rPr>
          <w:rFonts w:ascii="Times New Roman" w:hAnsi="Times New Roman" w:cs="Times New Roman" w:hint="default"/>
        </w:rPr>
        <w:t>一、技术描述</w:t>
      </w:r>
      <w:bookmarkEnd w:id="0"/>
    </w:p>
    <w:p>
      <w:pPr>
        <w:pStyle w:val="Heading2"/>
        <w:bidi w:val="0"/>
        <w:rPr>
          <w:rFonts w:ascii="Times New Roman" w:hAnsi="Times New Roman" w:cs="Times New Roman" w:hint="default"/>
        </w:rPr>
      </w:pPr>
      <w:bookmarkStart w:id="1" w:name="_Toc15428"/>
      <w:r>
        <w:rPr>
          <w:rFonts w:ascii="Times New Roman" w:hAnsi="Times New Roman" w:cs="Times New Roman" w:hint="default"/>
        </w:rPr>
        <w:t>（一）项目概要</w:t>
      </w:r>
      <w:bookmarkEnd w:id="1"/>
    </w:p>
    <w:p>
      <w:pPr>
        <w:pageBreakBefore w:val="0"/>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飞机维修是保证飞机/直升机安全服役的一项技能，其主要工作内容是按照标准和程序要求对飞机/直升机进行维护检查，发现并排除故障，使飞机/直升机达到安全服役状态。</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世界技能大赛飞机维修项目比赛要求选手熟悉飞机/直升机及其动力（发动机）、结构、液压、操纵、航空电气等系统的原理和组成，具备钣金折弯成形、铆接、导线制作、机务维护等基本知识和技能，掌握简单的电气系统原理图、接线图，能够正确使用各种工具和测量、检查设备，能在飞机/直升机或模拟舱内拆卸和安装零部件，能调整操纵控制系统，具备机务检查及故障查找、判断和准确描述的技能。</w:t>
      </w:r>
    </w:p>
    <w:p>
      <w:pPr>
        <w:pStyle w:val="Heading2"/>
        <w:bidi w:val="0"/>
        <w:rPr>
          <w:rFonts w:ascii="Times New Roman" w:hAnsi="Times New Roman" w:cs="Times New Roman" w:hint="default"/>
        </w:rPr>
      </w:pPr>
      <w:bookmarkStart w:id="2" w:name="_Toc23547"/>
      <w:r>
        <w:rPr>
          <w:rFonts w:ascii="Times New Roman" w:hAnsi="Times New Roman" w:cs="Times New Roman" w:hint="default"/>
        </w:rPr>
        <w:t>（二）基本知识与能力要求</w:t>
      </w: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3"/>
        </w:trPr>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bookmarkEnd w:id="2"/>
            <w:r>
              <w:rPr>
                <w:rFonts w:ascii="Times New Roman" w:eastAsia="仿宋" w:hAnsi="Times New Roman" w:cs="Times New Roman" w:hint="default"/>
                <w:b/>
                <w:sz w:val="28"/>
                <w:szCs w:val="28"/>
              </w:rPr>
              <w:t>序号</w:t>
            </w:r>
          </w:p>
        </w:tc>
        <w:tc>
          <w:tcPr>
            <w:tcW w:w="6981"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相关</w:t>
            </w:r>
            <w:r>
              <w:rPr>
                <w:rFonts w:ascii="Times New Roman" w:eastAsia="仿宋" w:hAnsi="Times New Roman" w:cs="Times New Roman" w:hint="default"/>
                <w:b/>
                <w:sz w:val="28"/>
                <w:szCs w:val="28"/>
              </w:rPr>
              <w:t>要求</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权重</w:t>
            </w:r>
          </w:p>
        </w:tc>
      </w:tr>
      <w:tr>
        <w:tblPrEx>
          <w:tblW w:w="8925" w:type="dxa"/>
          <w:tblInd w:w="0" w:type="dxa"/>
          <w:tblLayout w:type="fixed"/>
          <w:tblCellMar>
            <w:top w:w="0" w:type="dxa"/>
            <w:left w:w="108" w:type="dxa"/>
            <w:bottom w:w="0" w:type="dxa"/>
            <w:right w:w="108" w:type="dxa"/>
          </w:tblCellMar>
        </w:tblPrEx>
        <w:trPr>
          <w:trHeight w:val="407"/>
        </w:trPr>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1</w:t>
            </w:r>
          </w:p>
        </w:tc>
        <w:tc>
          <w:tcPr>
            <w:tcW w:w="6981"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工作组织</w:t>
            </w:r>
            <w:r>
              <w:rPr>
                <w:rFonts w:ascii="Times New Roman" w:eastAsia="仿宋" w:hAnsi="Times New Roman" w:cs="Times New Roman" w:hint="default"/>
                <w:b/>
                <w:sz w:val="28"/>
                <w:szCs w:val="28"/>
                <w:lang w:val="en-US" w:eastAsia="zh-CN"/>
              </w:rPr>
              <w:t>和</w:t>
            </w:r>
            <w:r>
              <w:rPr>
                <w:rFonts w:ascii="Times New Roman" w:eastAsia="仿宋" w:hAnsi="Times New Roman" w:cs="Times New Roman" w:hint="default"/>
                <w:b/>
                <w:sz w:val="28"/>
                <w:szCs w:val="28"/>
              </w:rPr>
              <w:t>管理</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5%</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企业维修策略手册（MPM）</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ATA章节或等同内容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健康和安全法令、义务和文件</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厂家和政府批准的手册和数据</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需使用个人安全防护设备（PPE）的情况，包括安全鞋靴、护目镜和听力防护用品、手套和面罩</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必须使用静电耗散设备防止出现系统损伤的情况</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手动工具、动力工具和机械工具/设备的用途、使用方法、注意事项、维护和储存，以及安全影响</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9"/>
          <w:footerReference w:type="default" r:id="rId10"/>
          <w:pgSz w:w="11906" w:h="16838"/>
          <w:pgMar w:top="1417" w:right="1417" w:bottom="1247" w:left="1417" w:header="851" w:footer="992" w:gutter="0"/>
          <w:pgNumType w:fmt="decimal" w:start="1"/>
          <w:cols w:num="1" w:space="72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材料的用途、使用、保护和安全存储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有关环保材料的使用、废品最小化以及再生材料的可持续性方法</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工作流程、时间管理和费用分析的本质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 xml:space="preserve">研究、计划、检查和注意各操作得详细情况并控制其精确度的重要性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确认所完成的任务可以满足国际适航标准的意义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有资质的技术人员和工程师作为签发飞机可飞行授权的职责</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作为团队一员按时节约地完成任务的重要性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团队工作更广泛得重要性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团队中个体的职责和责任</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团队成员的长处和短处，以及如何最大化利用现有的资源最好的组织团队</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选手应能够做到：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坚定认真地遵循健康和安全标准、法规和规定</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确定并使用适当的个人防护设备包括安全鞋靴、护目镜和听力防护设备</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安全的选择、使用、清洗、维护和保存各种工具和设备</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对所有材料进行安全的选择、使用和存储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最有效地规划工作区域</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遵守可保证工作区干净整洁的纪律</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精确测量、定时检查</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始终如一地严格使用最新版本的手册和数据按照满足国际适航要求的程序和流程操作</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理解个人被授权限</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按照有关招募/雇佣技术人员的行业</w:t>
            </w:r>
            <w:r>
              <w:rPr>
                <w:rFonts w:cs="Times New Roman" w:hint="eastAsia"/>
                <w:sz w:val="28"/>
                <w:szCs w:val="28"/>
                <w:lang w:eastAsia="zh-CN"/>
              </w:rPr>
              <w:t>“</w:t>
            </w:r>
            <w:r>
              <w:rPr>
                <w:rFonts w:ascii="Times New Roman" w:eastAsia="仿宋" w:hAnsi="Times New Roman" w:cs="Times New Roman" w:hint="default"/>
                <w:sz w:val="28"/>
                <w:szCs w:val="28"/>
              </w:rPr>
              <w:t>人为因素</w:t>
            </w:r>
            <w:r>
              <w:rPr>
                <w:rFonts w:cs="Times New Roman" w:hint="eastAsia"/>
                <w:sz w:val="28"/>
                <w:szCs w:val="28"/>
                <w:lang w:eastAsia="zh-CN"/>
              </w:rPr>
              <w:t>”</w:t>
            </w:r>
            <w:r>
              <w:rPr>
                <w:rFonts w:ascii="Times New Roman" w:eastAsia="仿宋" w:hAnsi="Times New Roman" w:cs="Times New Roman" w:hint="default"/>
                <w:sz w:val="28"/>
                <w:szCs w:val="28"/>
              </w:rPr>
              <w:t>要求工作</w:t>
            </w:r>
          </w:p>
          <w:p>
            <w:pPr>
              <w:keepNext w:val="0"/>
              <w:keepLines w:val="0"/>
              <w:pageBreakBefore w:val="0"/>
              <w:kinsoku/>
              <w:wordWrap/>
              <w:overflowPunct/>
              <w:topLinePunct w:val="0"/>
              <w:autoSpaceDE/>
              <w:autoSpaceDN/>
              <w:bidi w:val="0"/>
              <w:adjustRightInd/>
              <w:spacing w:beforeAutospacing="0" w:after="0" w:afterAutospacing="0" w:line="460" w:lineRule="exact"/>
              <w:ind w:left="0" w:right="0"/>
              <w:textAlignment w:val="auto"/>
              <w:rPr>
                <w:rFonts w:hint="default"/>
                <w:sz w:val="28"/>
                <w:szCs w:val="28"/>
              </w:rPr>
            </w:pPr>
            <w:r>
              <w:rPr>
                <w:rFonts w:cs="Times New Roman" w:hint="eastAsia"/>
                <w:sz w:val="28"/>
                <w:szCs w:val="28"/>
                <w:lang w:eastAsia="zh-CN"/>
              </w:rPr>
              <w:t>·</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11"/>
          <w:footerReference w:type="default" r:id="rId12"/>
          <w:type w:val="nextPage"/>
          <w:pgSz w:w="11906" w:h="16838"/>
          <w:pgMar w:top="1417" w:right="1417" w:bottom="1247" w:left="1417" w:header="851" w:footer="992" w:gutter="0"/>
          <w:pgNumType w:fmt="decimal" w:start="2"/>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0"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在面临压力的情况下，建立并坚定地保证高质量标准和工作流程</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 xml:space="preserve">在团队工作的环境下规划工作流程，尽最大可能在规定时间内安全顺利地完成任务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在团队工作的环境下组织和执行任务</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rPr>
          <w:trHeight w:val="274"/>
        </w:trPr>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2</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沟通和人际</w:t>
            </w:r>
            <w:r>
              <w:rPr>
                <w:rFonts w:ascii="Times New Roman" w:eastAsia="仿宋" w:hAnsi="Times New Roman" w:cs="Times New Roman" w:hint="default"/>
                <w:b/>
                <w:sz w:val="28"/>
                <w:szCs w:val="28"/>
                <w:lang w:val="en-US" w:eastAsia="zh-CN"/>
              </w:rPr>
              <w:t>交往</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5%</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选手需要了解和掌握：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建立并客户保持信心的意义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在一起工作的相关工作人员的职责和要求</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建立并保持富有成效的工作关系的价值</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具有/发展行业接受的态度、天资和能力：</w:t>
            </w:r>
            <w:r>
              <w:rPr>
                <w:rFonts w:cs="Times New Roman" w:hint="eastAsia"/>
                <w:sz w:val="28"/>
                <w:szCs w:val="28"/>
                <w:lang w:eastAsia="zh-CN"/>
              </w:rPr>
              <w:t>“</w:t>
            </w:r>
            <w:r>
              <w:rPr>
                <w:rFonts w:ascii="Times New Roman" w:eastAsia="仿宋" w:hAnsi="Times New Roman" w:cs="Times New Roman" w:hint="default"/>
                <w:sz w:val="28"/>
                <w:szCs w:val="28"/>
              </w:rPr>
              <w:t>3A</w:t>
            </w:r>
            <w:r>
              <w:rPr>
                <w:rFonts w:cs="Times New Roman" w:hint="eastAsia"/>
                <w:sz w:val="28"/>
                <w:szCs w:val="28"/>
                <w:lang w:eastAsia="zh-CN"/>
              </w:rPr>
              <w:t>”</w:t>
            </w:r>
            <w:r>
              <w:rPr>
                <w:rFonts w:ascii="Times New Roman" w:eastAsia="仿宋" w:hAnsi="Times New Roman" w:cs="Times New Roman" w:hint="default"/>
                <w:sz w:val="28"/>
                <w:szCs w:val="28"/>
              </w:rPr>
              <w:t>成功的重要性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在有效团队工作中的人际关系技巧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快速解决误会和需求冲突的重要性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人为因素</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选手应能够做到：</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正面地理解客户要求并达成客户的期望</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提出可满足/优于客户要求和预算的建议</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为客户或管理人员提供时间预估</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在团队中扮演正面角色，例如保证安全</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进行研究性讨论，例如为了解决技术问题而进行研究讨论</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经常向同事通知/更新计划中的维护流程并协调讨论时间安排，从而将工作/生产能力方面的冲突降到最低</w:t>
            </w:r>
          </w:p>
          <w:p>
            <w:pPr>
              <w:keepNext w:val="0"/>
              <w:keepLines w:val="0"/>
              <w:pageBreakBefore w:val="0"/>
              <w:widowControl/>
              <w:kinsoku/>
              <w:wordWrap/>
              <w:overflowPunct/>
              <w:topLinePunct w:val="0"/>
              <w:autoSpaceDE/>
              <w:autoSpaceDN/>
              <w:bidi w:val="0"/>
              <w:adjustRightInd/>
              <w:spacing w:beforeAutospacing="0" w:afterAutospacing="0" w:line="460" w:lineRule="exact"/>
              <w:ind w:left="0" w:right="0"/>
              <w:jc w:val="left"/>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对自我工作表现进行有建设性和正面的反应</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确认是否需要支持机构如：物流供应商、工程部门以及厂家技术支持</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3</w:t>
            </w:r>
          </w:p>
        </w:tc>
        <w:tc>
          <w:tcPr>
            <w:tcW w:w="6981"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问题的解决、革新和创造</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5%</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工作过程中经常出现的问题种类</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确保所有工作达到国际适航标准</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13"/>
          <w:footerReference w:type="default" r:id="rId14"/>
          <w:type w:val="nextPage"/>
          <w:pgSz w:w="11906" w:h="16838"/>
          <w:pgMar w:top="1417" w:right="1417" w:bottom="1247" w:left="1417" w:header="851" w:footer="992" w:gutter="0"/>
          <w:pgNumType w:fmt="decimal" w:start="3"/>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用诊断性方法解决问题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 xml:space="preserve">按照厂家维护手册和文件的最新版本解决问题的重要性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行业的发展和趋势，包括新材料、方法和工艺</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在团队中的合作，开发出一条在适航条件下以最经济的方式按时安全地完成任务的方法</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个体（选手）应做到：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进行定期工作检查，从而保证后期出现的问题最小化</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质疑不正确的信息，防止出现问题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快速确认并了解问题，使用最新版本的厂家维护手册和文件，根据自我管理流程解决问题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与飞行员进行故障诊断讨论，从而确定技术问题的根本原因</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坚持解决复杂问题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找准机会提出改进产品并提高顾客满意度的建议</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把想法提交给管理人员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开发潜在新技术</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尝试新方法，接受变化</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理解并执行维护流程</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鼓励对自己完成的工作进行自我检查和确认，也可以在团组环境合作，最后达到国际适航标准</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4</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飞机初始验收维护检查</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12%</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ATA第05、12、20、51、60章以及等同内容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企业维护策略手册（MPM）</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厂家维护手册、文件包括适航指令、服务通报等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维护任务卡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适航责任</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个体（选手）需要能够：</w:t>
            </w:r>
          </w:p>
          <w:p>
            <w:pPr>
              <w:keepNext w:val="0"/>
              <w:keepLines w:val="0"/>
              <w:pageBreakBefore w:val="0"/>
              <w:kinsoku/>
              <w:wordWrap/>
              <w:overflowPunct/>
              <w:topLinePunct w:val="0"/>
              <w:autoSpaceDE/>
              <w:autoSpaceDN/>
              <w:bidi w:val="0"/>
              <w:adjustRightInd/>
              <w:spacing w:beforeAutospacing="0" w:after="0" w:afterAutospacing="0" w:line="460" w:lineRule="exact"/>
              <w:ind w:left="0" w:right="0"/>
              <w:textAlignment w:val="auto"/>
              <w:rPr>
                <w:rFonts w:hint="default"/>
                <w:sz w:val="28"/>
                <w:szCs w:val="28"/>
              </w:rPr>
            </w:pPr>
            <w:r>
              <w:rPr>
                <w:rFonts w:cs="Times New Roman" w:hint="eastAsia"/>
                <w:sz w:val="28"/>
                <w:szCs w:val="28"/>
                <w:lang w:eastAsia="zh-CN"/>
              </w:rPr>
              <w:t>·</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15"/>
          <w:footerReference w:type="default" r:id="rId16"/>
          <w:type w:val="nextPage"/>
          <w:pgSz w:w="11906" w:h="16838"/>
          <w:pgMar w:top="1417" w:right="1417" w:bottom="1247" w:left="1417" w:header="851" w:footer="992" w:gutter="0"/>
          <w:pgNumType w:fmt="decimal" w:start="4"/>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0"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理解并运用相应的维护手册和批准的说明文件，包括对定期验收检查流程进行说明的任务卡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按照初始检查清单，精确地确定飞机是否能够安全飞行或是否需要进一步检查</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开闭各种检查口盖</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按照要求运行各系统，确定系统工作是否正常</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精确地完成相应的文件，从而反映出初始验收检查的完成情况</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清楚准确地记录故障，并通知管理人员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严格按照国际适航标准完成所有任务</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5</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飞机结构修理（有色金属）</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23</w:t>
            </w:r>
            <w:r>
              <w:rPr>
                <w:rFonts w:ascii="Times New Roman" w:eastAsia="仿宋" w:hAnsi="Times New Roman" w:cs="Times New Roman" w:hint="default"/>
                <w:b/>
                <w:sz w:val="28"/>
                <w:szCs w:val="28"/>
              </w:rPr>
              <w:t>%</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ATA第51章以及等同内容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厂家结构修理手册和等同内容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工程图纸和文件</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不同种类的金属及其特性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计算折弯和铆钉长度的公式</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铆钉种类和用途</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精密测量仪器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结构修理技术</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损伤报告填写流程</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与其他技术实体（技术支持、公司批准的程序等）进行有效的交流并针对延误时间进行共同工作的意义</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个体（选手）应做到：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确认修理需求，并获取批准的修理方案</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对于复杂修理，应理解厂家的工程图纸包括但不限于：槽形嵌入件修理、曲折弯管、OGEE双曲线折弯、冲片、长桁拼接和榫接</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填写损伤报告</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精确计算平面布局尺寸</w:t>
            </w:r>
          </w:p>
          <w:p>
            <w:pPr>
              <w:keepNext w:val="0"/>
              <w:keepLines w:val="0"/>
              <w:pageBreakBefore w:val="0"/>
              <w:kinsoku/>
              <w:wordWrap/>
              <w:overflowPunct/>
              <w:topLinePunct w:val="0"/>
              <w:autoSpaceDE/>
              <w:autoSpaceDN/>
              <w:bidi w:val="0"/>
              <w:adjustRightInd/>
              <w:spacing w:beforeAutospacing="0" w:after="0" w:afterAutospacing="0" w:line="460" w:lineRule="exact"/>
              <w:ind w:left="0" w:right="0"/>
              <w:textAlignment w:val="auto"/>
              <w:rPr>
                <w:rFonts w:hint="default"/>
                <w:sz w:val="28"/>
                <w:szCs w:val="28"/>
              </w:rPr>
            </w:pPr>
            <w:r>
              <w:rPr>
                <w:rFonts w:cs="Times New Roman" w:hint="eastAsia"/>
                <w:sz w:val="28"/>
                <w:szCs w:val="28"/>
                <w:lang w:eastAsia="zh-CN"/>
              </w:rPr>
              <w:t>·</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17"/>
          <w:footerReference w:type="default" r:id="rId18"/>
          <w:type w:val="nextPage"/>
          <w:pgSz w:w="11906" w:h="16838"/>
          <w:pgMar w:top="1417" w:right="1417" w:bottom="1247" w:left="1417" w:header="851" w:footer="992" w:gutter="0"/>
          <w:pgNumType w:fmt="decimal" w:start="5"/>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0"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复杂截面和槽形件成型，并按照标准操作（AC43-13）要求装配，从而达到修理组件的目的</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高精度地钣金折弯，保证转角圆滑过渡，无刻痕</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选择适当的标准件（实心铆钉、抽芯铆钉、高锁铆钉等）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根据提供的工程图纸布局标准件、精确地确定铆钉长度并安装实心/抽芯铆钉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对完成的修理工作进行评估，并将故障和修理前后不一致的状态报给技术监控人员</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证明工作是按照适航标准完成的</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6</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eastAsia"/>
                <w:b/>
                <w:sz w:val="28"/>
                <w:szCs w:val="28"/>
              </w:rPr>
            </w:pPr>
            <w:r>
              <w:rPr>
                <w:rFonts w:ascii="Times New Roman" w:eastAsia="仿宋" w:hAnsi="Times New Roman" w:cs="Times New Roman" w:hint="default"/>
                <w:b/>
                <w:sz w:val="28"/>
                <w:szCs w:val="28"/>
              </w:rPr>
              <w:t>复材结构</w:t>
            </w:r>
            <w:r>
              <w:rPr>
                <w:rFonts w:cs="Times New Roman" w:hint="eastAsia"/>
                <w:b/>
                <w:sz w:val="28"/>
                <w:szCs w:val="28"/>
                <w:lang w:val="en-US" w:eastAsia="zh-CN"/>
              </w:rPr>
              <w:t>修理</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18</w:t>
            </w:r>
            <w:r>
              <w:rPr>
                <w:rFonts w:ascii="Times New Roman" w:eastAsia="仿宋" w:hAnsi="Times New Roman" w:cs="Times New Roman" w:hint="default"/>
                <w:b/>
                <w:sz w:val="28"/>
                <w:szCs w:val="28"/>
              </w:rPr>
              <w:t>%</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ATA第51章及等同内容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工程图纸</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厂家结构修理手册及等同内容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厂家检查标准（目视、榔头/手敲击测试、涡流等）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复合材料的不同种类和特性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复合材料修理的不同种类及其优缺点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 xml:space="preserve">费用、时间、材料供应和设备要求对给定修理区域的影响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精密测量仪器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修理/制造技术</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个体（选手）应做到：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确定修理需求</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理解厂家维护文件和工程数据</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通过目视、榔头/手敲击测试确定故障</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使用厂家文件中的材料数据和行业标准操作（如AC43-13），根据标准/典型修理数据形成书面修理方案</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使用厂家结构修理手册及等同内容</w:t>
            </w:r>
          </w:p>
          <w:p>
            <w:pPr>
              <w:keepNext w:val="0"/>
              <w:keepLines w:val="0"/>
              <w:pageBreakBefore w:val="0"/>
              <w:kinsoku/>
              <w:wordWrap/>
              <w:overflowPunct/>
              <w:topLinePunct w:val="0"/>
              <w:autoSpaceDE/>
              <w:autoSpaceDN/>
              <w:bidi w:val="0"/>
              <w:adjustRightInd/>
              <w:spacing w:beforeAutospacing="0" w:after="0" w:afterAutospacing="0" w:line="460" w:lineRule="exact"/>
              <w:ind w:left="0" w:right="0"/>
              <w:textAlignment w:val="auto"/>
              <w:rPr>
                <w:rFonts w:hint="default"/>
                <w:sz w:val="28"/>
                <w:szCs w:val="28"/>
              </w:rPr>
            </w:pPr>
            <w:r>
              <w:rPr>
                <w:rFonts w:cs="Times New Roman" w:hint="eastAsia"/>
                <w:sz w:val="28"/>
                <w:szCs w:val="28"/>
                <w:lang w:eastAsia="zh-CN"/>
              </w:rPr>
              <w:t>·</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19"/>
          <w:footerReference w:type="default" r:id="rId20"/>
          <w:type w:val="nextPage"/>
          <w:pgSz w:w="11906" w:h="16838"/>
          <w:pgMar w:top="1417" w:right="1417" w:bottom="1247" w:left="1417" w:header="851" w:footer="992" w:gutter="0"/>
          <w:pgNumType w:fmt="decimal" w:start="6"/>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0"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根据厂家批准的数据（板材边缘嵌注、胶接/铆接金属补片、空隙注胶、玻璃纤维接合等）从一系列标准小修理区中选出最小修理区域</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从现有的库存中选择适当的复材修理材料</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按照修理方案预估停机时间、所需人力和材料费用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根据修理的复杂程度和飞机的停机时间评估修理的经济可行性</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指出完成修理的关键环境变量</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与技术监控人员交流，达成最终修理方案</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rPr>
          <w:trHeight w:val="536"/>
        </w:trPr>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7</w:t>
            </w:r>
          </w:p>
        </w:tc>
        <w:tc>
          <w:tcPr>
            <w:tcW w:w="6981"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外场可更换单元（LRU）电气</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20</w:t>
            </w:r>
            <w:r>
              <w:rPr>
                <w:rFonts w:ascii="Times New Roman" w:eastAsia="仿宋" w:hAnsi="Times New Roman" w:cs="Times New Roman" w:hint="default"/>
                <w:b/>
                <w:sz w:val="28"/>
                <w:szCs w:val="28"/>
              </w:rPr>
              <w:t>%</w:t>
            </w:r>
          </w:p>
        </w:tc>
      </w:tr>
      <w:tr>
        <w:tblPrEx>
          <w:tblW w:w="8925" w:type="dxa"/>
          <w:tblInd w:w="0" w:type="dxa"/>
          <w:tblLayout w:type="fixed"/>
          <w:tblCellMar>
            <w:top w:w="0" w:type="dxa"/>
            <w:left w:w="108" w:type="dxa"/>
            <w:bottom w:w="0" w:type="dxa"/>
            <w:right w:w="108" w:type="dxa"/>
          </w:tblCellMar>
        </w:tblPrEx>
        <w:trPr>
          <w:trHeight w:val="1966"/>
        </w:trPr>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个体（选手）需要了解并熟悉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仿宋" w:hAnsi="仿宋" w:cs="仿宋" w:hint="eastAsia"/>
                <w:sz w:val="28"/>
                <w:szCs w:val="28"/>
                <w:lang w:eastAsia="zh-CN"/>
              </w:rPr>
              <w:t>·</w:t>
            </w:r>
            <w:r>
              <w:rPr>
                <w:rFonts w:ascii="Times New Roman" w:eastAsia="仿宋" w:hAnsi="Times New Roman" w:cs="Times New Roman" w:hint="default"/>
                <w:sz w:val="28"/>
                <w:szCs w:val="28"/>
              </w:rPr>
              <w:t>SWPM标准接线手册相关章节</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仿宋" w:hAnsi="仿宋" w:cs="仿宋" w:hint="eastAsia"/>
                <w:sz w:val="28"/>
                <w:szCs w:val="28"/>
                <w:lang w:eastAsia="zh-CN"/>
              </w:rPr>
              <w:t>·</w:t>
            </w:r>
            <w:r>
              <w:rPr>
                <w:rFonts w:ascii="Times New Roman" w:eastAsia="仿宋" w:hAnsi="Times New Roman" w:cs="Times New Roman" w:hint="default"/>
                <w:sz w:val="28"/>
                <w:szCs w:val="28"/>
              </w:rPr>
              <w:t>ATA第24章及等同内容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仿宋" w:hAnsi="仿宋" w:cs="仿宋" w:hint="eastAsia"/>
                <w:sz w:val="28"/>
                <w:szCs w:val="28"/>
                <w:lang w:eastAsia="zh-CN"/>
              </w:rPr>
              <w:t>·</w:t>
            </w:r>
            <w:r>
              <w:rPr>
                <w:rFonts w:ascii="Times New Roman" w:eastAsia="仿宋" w:hAnsi="Times New Roman" w:cs="Times New Roman" w:hint="default"/>
                <w:sz w:val="28"/>
                <w:szCs w:val="28"/>
              </w:rPr>
              <w:t>电气图、电气符号识别</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不同导线元器件类型及特点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专用设备、工具、量具使用规范</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个体（选手）应做到：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按图样独立完成线路加工、连接</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熟练掌握专用工具、设备的校验及操作方法</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依据图样、规范、工卡等技术文件，使用设备、工具完成电气线路制作、检查、测试、故障判断及排除等</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lang w:val="en-US" w:eastAsia="zh-CN"/>
              </w:rPr>
              <w:t>8</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确认并放飞程序</w:t>
            </w:r>
          </w:p>
        </w:tc>
        <w:tc>
          <w:tcPr>
            <w:tcW w:w="1012" w:type="dxa"/>
            <w:noWrap w:val="0"/>
            <w:vAlign w:val="center"/>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1</w:t>
            </w:r>
            <w:r>
              <w:rPr>
                <w:rFonts w:ascii="Times New Roman" w:eastAsia="仿宋" w:hAnsi="Times New Roman" w:cs="Times New Roman" w:hint="default"/>
                <w:b/>
                <w:sz w:val="28"/>
                <w:szCs w:val="28"/>
                <w:lang w:val="en-US" w:eastAsia="zh-CN"/>
              </w:rPr>
              <w:t>2</w:t>
            </w:r>
            <w:r>
              <w:rPr>
                <w:rFonts w:ascii="Times New Roman" w:eastAsia="仿宋" w:hAnsi="Times New Roman" w:cs="Times New Roman" w:hint="default"/>
                <w:b/>
                <w:sz w:val="28"/>
                <w:szCs w:val="28"/>
              </w:rPr>
              <w:t>%</w:t>
            </w: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基本知识</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个体（选手）需要了解并掌握：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ATA章节05、10、11、12、24、27章或等同内容</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 xml:space="preserve">准确记录完工报告的作用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完成定期检查对飞机系统的影响和作用</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飞机修理后可飞行</w:t>
            </w:r>
            <w:r>
              <w:rPr>
                <w:rFonts w:cs="Times New Roman" w:hint="eastAsia"/>
                <w:sz w:val="28"/>
                <w:szCs w:val="28"/>
                <w:lang w:eastAsia="zh-CN"/>
              </w:rPr>
              <w:t>”</w:t>
            </w:r>
            <w:r>
              <w:rPr>
                <w:rFonts w:ascii="Times New Roman" w:eastAsia="仿宋" w:hAnsi="Times New Roman" w:cs="Times New Roman" w:hint="default"/>
                <w:sz w:val="28"/>
                <w:szCs w:val="28"/>
              </w:rPr>
              <w:t xml:space="preserve">包括最少设备清单（MEL）的正确流程 </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下列认证声明的意义：</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eastAsia"/>
                <w:sz w:val="28"/>
                <w:szCs w:val="28"/>
              </w:rPr>
            </w:pPr>
            <w:r>
              <w:rPr>
                <w:rFonts w:ascii="Times New Roman" w:eastAsia="仿宋" w:hAnsi="Times New Roman" w:cs="Times New Roman" w:hint="default"/>
                <w:sz w:val="28"/>
                <w:szCs w:val="28"/>
              </w:rPr>
              <w:t xml:space="preserve">  </w:t>
            </w:r>
            <w:r>
              <w:rPr>
                <w:rFonts w:cs="Times New Roman" w:hint="eastAsia"/>
                <w:sz w:val="28"/>
                <w:szCs w:val="28"/>
                <w:lang w:eastAsia="zh-CN"/>
              </w:rPr>
              <w:t>·“</w:t>
            </w:r>
            <w:r>
              <w:rPr>
                <w:rFonts w:ascii="Times New Roman" w:eastAsia="仿宋" w:hAnsi="Times New Roman" w:cs="Times New Roman" w:hint="default"/>
                <w:sz w:val="28"/>
                <w:szCs w:val="28"/>
              </w:rPr>
              <w:t>上述维护是按照相应的适航标准进行的</w:t>
            </w:r>
            <w:r>
              <w:rPr>
                <w:rFonts w:cs="Times New Roman" w:hint="eastAsia"/>
                <w:sz w:val="28"/>
                <w:szCs w:val="28"/>
                <w:lang w:eastAsia="zh-CN"/>
              </w:rPr>
              <w:t>”</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eastAsia"/>
                <w:sz w:val="28"/>
                <w:szCs w:val="28"/>
              </w:rPr>
            </w:pPr>
            <w:r>
              <w:rPr>
                <w:rFonts w:ascii="Times New Roman" w:eastAsia="仿宋" w:hAnsi="Times New Roman" w:cs="Times New Roman" w:hint="default"/>
                <w:sz w:val="28"/>
                <w:szCs w:val="28"/>
              </w:rPr>
              <w:t xml:space="preserve">  </w:t>
            </w:r>
            <w:r>
              <w:rPr>
                <w:rFonts w:cs="Times New Roman" w:hint="eastAsia"/>
                <w:sz w:val="28"/>
                <w:szCs w:val="28"/>
                <w:lang w:eastAsia="zh-CN"/>
              </w:rPr>
              <w:t>·“</w:t>
            </w:r>
            <w:r>
              <w:rPr>
                <w:rFonts w:ascii="Times New Roman" w:eastAsia="仿宋" w:hAnsi="Times New Roman" w:cs="Times New Roman" w:hint="default"/>
                <w:sz w:val="28"/>
                <w:szCs w:val="28"/>
              </w:rPr>
              <w:t>飞机已经按照设计状态装配，达到安全可飞状态</w:t>
            </w:r>
            <w:r>
              <w:rPr>
                <w:rFonts w:cs="Times New Roman" w:hint="eastAsia"/>
                <w:sz w:val="28"/>
                <w:szCs w:val="28"/>
                <w:lang w:eastAsia="zh-CN"/>
              </w:rPr>
              <w:t>”</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故障延期对飞机出勤的影响</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bl>
    <w:p>
      <w:pPr>
        <w:sectPr>
          <w:headerReference w:type="default" r:id="rId21"/>
          <w:footerReference w:type="default" r:id="rId22"/>
          <w:type w:val="nextPage"/>
          <w:pgSz w:w="11906" w:h="16838"/>
          <w:pgMar w:top="1417" w:right="1417" w:bottom="1247" w:left="1417" w:header="851" w:footer="992" w:gutter="0"/>
          <w:pgNumType w:fmt="decimal" w:start="7"/>
          <w:cols w:num="1" w:space="720"/>
          <w:titlePg w:val="0"/>
          <w:docGrid w:type="linesAndChars" w:linePitch="319" w:charSpace="0"/>
        </w:sectPr>
      </w:pPr>
    </w:p>
    <w:tbl>
      <w:tblPr>
        <w:tblStyle w:val="TableNormal"/>
        <w:tblpPr w:leftFromText="180" w:rightFromText="180" w:vertAnchor="text" w:horzAnchor="margin" w:tblpXSpec="center" w:tblpY="62"/>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2"/>
        <w:gridCol w:w="6981"/>
        <w:gridCol w:w="1012"/>
      </w:tblGrid>
      <w:tr>
        <w:tblPrEx>
          <w:tblW w:w="89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32" w:type="dxa"/>
            <w:noWrap w:val="0"/>
            <w:vAlign w:val="center"/>
          </w:tcP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尽量使用飞机最少设备清单（MEL）或等同内容进行飞机调度</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按照厂家操作规程确定修理和更改对飞机</w:t>
            </w:r>
            <w:r>
              <w:rPr>
                <w:rFonts w:cs="Times New Roman" w:hint="eastAsia"/>
                <w:sz w:val="28"/>
                <w:szCs w:val="28"/>
                <w:lang w:eastAsia="zh-CN"/>
              </w:rPr>
              <w:t>“</w:t>
            </w:r>
            <w:r>
              <w:rPr>
                <w:rFonts w:ascii="Times New Roman" w:eastAsia="仿宋" w:hAnsi="Times New Roman" w:cs="Times New Roman" w:hint="default"/>
                <w:sz w:val="28"/>
                <w:szCs w:val="28"/>
              </w:rPr>
              <w:t>净重和平衡报告</w:t>
            </w:r>
            <w:r>
              <w:rPr>
                <w:rFonts w:cs="Times New Roman" w:hint="eastAsia"/>
                <w:sz w:val="28"/>
                <w:szCs w:val="28"/>
                <w:lang w:eastAsia="zh-CN"/>
              </w:rPr>
              <w:t>”</w:t>
            </w:r>
            <w:r>
              <w:rPr>
                <w:rFonts w:ascii="Times New Roman" w:eastAsia="仿宋" w:hAnsi="Times New Roman" w:cs="Times New Roman" w:hint="default"/>
                <w:sz w:val="28"/>
                <w:szCs w:val="28"/>
              </w:rPr>
              <w:t>计算的影响</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按照飞机厂家维护文件包括任务卡管理文件</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确认技术人员/工程师可以放飞的责任</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如何确定飞机重量和平衡报告的版本是所需的版本，如有需要如何进行此项工作</w:t>
            </w:r>
          </w:p>
        </w:tc>
        <w:tc>
          <w:tcPr>
            <w:tcW w:w="1012" w:type="dxa"/>
            <w:noWrap w:val="0"/>
            <w:vAlign w:val="top"/>
          </w:tcPr>
          <w:p/>
        </w:tc>
      </w:tr>
      <w:tr>
        <w:tblPrEx>
          <w:tblW w:w="8925" w:type="dxa"/>
          <w:tblInd w:w="0" w:type="dxa"/>
          <w:tblLayout w:type="fixed"/>
          <w:tblCellMar>
            <w:top w:w="0" w:type="dxa"/>
            <w:left w:w="108" w:type="dxa"/>
            <w:bottom w:w="0" w:type="dxa"/>
            <w:right w:w="108" w:type="dxa"/>
          </w:tblCellMar>
        </w:tblPrEx>
        <w:tc>
          <w:tcPr>
            <w:tcW w:w="932" w:type="dxa"/>
            <w:noWrap w:val="0"/>
            <w:vAlign w:val="center"/>
          </w:tcPr>
          <w:p>
            <w:pPr>
              <w:pStyle w:val="Editabletabletext"/>
              <w:keepNext w:val="0"/>
              <w:keepLines w:val="0"/>
              <w:pageBreakBefore w:val="0"/>
              <w:kinsoku/>
              <w:wordWrap/>
              <w:overflowPunct/>
              <w:topLinePunct w:val="0"/>
              <w:autoSpaceDE/>
              <w:autoSpaceDN/>
              <w:bidi w:val="0"/>
              <w:adjustRightInd/>
              <w:snapToGrid w:val="0"/>
              <w:spacing w:beforeAutospacing="0" w:afterAutospacing="0" w:line="460" w:lineRule="exact"/>
              <w:ind w:left="0" w:right="0"/>
              <w:jc w:val="center"/>
              <w:textAlignment w:val="auto"/>
              <w:rPr>
                <w:rFonts w:ascii="Times New Roman" w:eastAsia="仿宋" w:hAnsi="Times New Roman" w:cs="Times New Roman" w:hint="default"/>
                <w:color w:val="auto"/>
                <w:sz w:val="28"/>
                <w:szCs w:val="28"/>
                <w:lang w:eastAsia="zh-CN" w:bidi="ar-SA"/>
              </w:rPr>
            </w:pPr>
            <w:r>
              <w:rPr>
                <w:rFonts w:ascii="Times New Roman" w:eastAsia="仿宋" w:hAnsi="Times New Roman" w:cs="Times New Roman" w:hint="default"/>
                <w:color w:val="auto"/>
                <w:sz w:val="28"/>
                <w:szCs w:val="28"/>
                <w:lang w:eastAsia="zh-CN"/>
              </w:rPr>
              <w:t>工作能力</w:t>
            </w:r>
          </w:p>
        </w:tc>
        <w:tc>
          <w:tcPr>
            <w:tcW w:w="6981"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Times New Roman" w:eastAsia="仿宋" w:hAnsi="Times New Roman" w:cs="Times New Roman" w:hint="default"/>
                <w:sz w:val="28"/>
                <w:szCs w:val="28"/>
              </w:rPr>
              <w:t>个体（选手）应做到：</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ascii="仿宋" w:hAnsi="仿宋" w:cs="仿宋" w:hint="eastAsia"/>
                <w:sz w:val="28"/>
                <w:szCs w:val="28"/>
                <w:lang w:eastAsia="zh-CN"/>
              </w:rPr>
              <w:t>·</w:t>
            </w:r>
            <w:r>
              <w:rPr>
                <w:rFonts w:ascii="Times New Roman" w:eastAsia="仿宋" w:hAnsi="Times New Roman" w:cs="Times New Roman" w:hint="default"/>
                <w:sz w:val="28"/>
                <w:szCs w:val="28"/>
              </w:rPr>
              <w:t>评估工作指令包并形成飞机认证计划</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根据最新版本维护手册上的操作规程理解故障和排故报告包括任务卡</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确保飞机已经按照设计状态装配达到可飞状态，并确定所有的重要维护都达到适航状态</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将工作指令包中完成的影响飞机当前状态的工作填入飞行履历本（包括维护概述和维护放飞）</w:t>
            </w:r>
          </w:p>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r>
              <w:rPr>
                <w:rFonts w:cs="Times New Roman" w:hint="eastAsia"/>
                <w:sz w:val="28"/>
                <w:szCs w:val="28"/>
                <w:lang w:eastAsia="zh-CN"/>
              </w:rPr>
              <w:t>·</w:t>
            </w:r>
            <w:r>
              <w:rPr>
                <w:rFonts w:ascii="Times New Roman" w:eastAsia="仿宋" w:hAnsi="Times New Roman" w:cs="Times New Roman" w:hint="default"/>
                <w:sz w:val="28"/>
                <w:szCs w:val="28"/>
              </w:rPr>
              <w:t>准备验收报告，供今后的机务人员查阅</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sz w:val="28"/>
                <w:szCs w:val="28"/>
              </w:rPr>
            </w:pPr>
          </w:p>
        </w:tc>
      </w:tr>
      <w:tr>
        <w:tblPrEx>
          <w:tblW w:w="8925" w:type="dxa"/>
          <w:tblInd w:w="0" w:type="dxa"/>
          <w:tblLayout w:type="fixed"/>
          <w:tblCellMar>
            <w:top w:w="0" w:type="dxa"/>
            <w:left w:w="108" w:type="dxa"/>
            <w:bottom w:w="0" w:type="dxa"/>
            <w:right w:w="108" w:type="dxa"/>
          </w:tblCellMar>
        </w:tblPrEx>
        <w:tc>
          <w:tcPr>
            <w:tcW w:w="7913" w:type="dxa"/>
            <w:gridSpan w:val="2"/>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jc w:val="center"/>
              <w:textAlignment w:val="auto"/>
              <w:rPr>
                <w:rFonts w:hint="default"/>
                <w:b/>
                <w:sz w:val="28"/>
                <w:szCs w:val="28"/>
              </w:rPr>
            </w:pPr>
            <w:r>
              <w:rPr>
                <w:rFonts w:ascii="Times New Roman" w:eastAsia="仿宋" w:hAnsi="Times New Roman" w:cs="Times New Roman" w:hint="default"/>
                <w:b/>
                <w:sz w:val="28"/>
                <w:szCs w:val="28"/>
              </w:rPr>
              <w:t>合计</w:t>
            </w:r>
          </w:p>
        </w:tc>
        <w:tc>
          <w:tcPr>
            <w:tcW w:w="1012" w:type="dxa"/>
            <w:noWrap w:val="0"/>
            <w:vAlign w:val="top"/>
          </w:tcPr>
          <w:p>
            <w:pPr>
              <w:keepNext w:val="0"/>
              <w:keepLines w:val="0"/>
              <w:pageBreakBefore w:val="0"/>
              <w:kinsoku/>
              <w:wordWrap/>
              <w:overflowPunct/>
              <w:topLinePunct w:val="0"/>
              <w:autoSpaceDE/>
              <w:autoSpaceDN/>
              <w:bidi w:val="0"/>
              <w:adjustRightInd/>
              <w:spacing w:beforeAutospacing="0" w:afterAutospacing="0" w:line="460" w:lineRule="exact"/>
              <w:ind w:left="0" w:right="0"/>
              <w:textAlignment w:val="auto"/>
              <w:rPr>
                <w:rFonts w:hint="default"/>
                <w:b/>
                <w:sz w:val="28"/>
                <w:szCs w:val="28"/>
              </w:rPr>
            </w:pPr>
            <w:r>
              <w:rPr>
                <w:rFonts w:ascii="Times New Roman" w:eastAsia="仿宋" w:hAnsi="Times New Roman" w:cs="Times New Roman" w:hint="default"/>
                <w:b/>
                <w:sz w:val="28"/>
                <w:szCs w:val="28"/>
              </w:rPr>
              <w:t>100%</w:t>
            </w:r>
          </w:p>
        </w:tc>
      </w:tr>
    </w:tbl>
    <w:p>
      <w:pPr>
        <w:pStyle w:val="Heading2"/>
        <w:bidi w:val="0"/>
        <w:rPr>
          <w:rFonts w:ascii="Times New Roman" w:hAnsi="Times New Roman" w:cs="Times New Roman" w:hint="default"/>
          <w:lang w:val="en-US" w:eastAsia="zh-CN"/>
        </w:rPr>
      </w:pPr>
      <w:bookmarkStart w:id="3" w:name="_Toc32144"/>
      <w:r>
        <w:rPr>
          <w:rFonts w:ascii="Times New Roman" w:hAnsi="Times New Roman" w:cs="Times New Roman" w:hint="default"/>
          <w:lang w:val="en-US" w:eastAsia="zh-CN"/>
        </w:rPr>
        <w:t>（三）相关文件</w:t>
      </w:r>
      <w:bookmarkEnd w:id="3"/>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本项目技术工作文件只包含项目技术工作的相关信息。除阅读本文件外，开展本技能项目竞赛还需配合其他相关文件一同使用：</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世界技能大赛 – 大赛规则，竞赛规则A、竞赛规则B；</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世界技能大赛 – 道德行为准则；</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lang w:val="en-US" w:eastAsia="zh-CN"/>
        </w:rPr>
        <w:t>第47届世界技能大赛江苏省选拔赛</w:t>
      </w:r>
      <w:r>
        <w:rPr>
          <w:rFonts w:ascii="Times New Roman" w:eastAsia="仿宋" w:hAnsi="Times New Roman" w:cs="Times New Roman" w:hint="default"/>
          <w:sz w:val="32"/>
          <w:szCs w:val="32"/>
        </w:rPr>
        <w:t>竞赛技术规则；</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比赛所执行的部分专业技术规范和标准如下：</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sectPr>
          <w:headerReference w:type="default" r:id="rId23"/>
          <w:footerReference w:type="default" r:id="rId24"/>
          <w:type w:val="nextPage"/>
          <w:pgSz w:w="11906" w:h="16838"/>
          <w:pgMar w:top="1417" w:right="1417" w:bottom="1247" w:left="1417" w:header="851" w:footer="992" w:gutter="0"/>
          <w:pgNumType w:fmt="decimal" w:start="8"/>
          <w:cols w:num="1" w:space="720"/>
          <w:titlePg w:val="0"/>
          <w:docGrid w:type="linesAndChars" w:linePitch="319" w:charSpace="0"/>
        </w:sectPr>
      </w:pPr>
      <w:r>
        <w:rPr>
          <w:rFonts w:ascii="Times New Roman" w:eastAsia="仿宋" w:hAnsi="Times New Roman" w:cs="Times New Roman" w:hint="default"/>
          <w:sz w:val="32"/>
          <w:szCs w:val="32"/>
        </w:rPr>
        <w:t>Advisory Circular AC43.13-1B 飞机检查和维修咨询通告；</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20-00-10 安全操作</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20-00-12 插钉压接工具参考</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20-00-15 导线绝缘层剥除</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20-10-06 布线检查</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20-10-11 布线装配及安装形式</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20-10-12 线束支撑</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20-10-13 电线电缆维修</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20-10-14 热缩套管安装；</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20-10-15 屏蔽接地装配</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20-15-04 导线绝缘层去除；</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20-15-21 接线端子及接线螺栓。</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20-30-00 设备电气连接</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20-30-12 并接头装配</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20-40-00 焊接型插钉装配</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20-84-19 MS25257型指示灯端接</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20-60-00 插钉导体规格调节装配</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20-60-02 插钉更换</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SWPM 20-60-06 电连接器安装</w:t>
      </w:r>
    </w:p>
    <w:p>
      <w:pPr>
        <w:pageBreakBefore w:val="0"/>
        <w:widowControl/>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szCs w:val="32"/>
        </w:rPr>
        <w:sectPr>
          <w:headerReference w:type="default" r:id="rId25"/>
          <w:footerReference w:type="default" r:id="rId26"/>
          <w:type w:val="nextPage"/>
          <w:pgSz w:w="11906" w:h="16838"/>
          <w:pgMar w:top="1417" w:right="1417" w:bottom="1247" w:left="1417" w:header="851" w:footer="992" w:gutter="0"/>
          <w:pgNumType w:fmt="decimal" w:start="9"/>
          <w:cols w:num="1" w:space="720"/>
          <w:titlePg w:val="0"/>
          <w:docGrid w:type="linesAndChars" w:linePitch="319" w:charSpace="0"/>
        </w:sectPr>
      </w:pPr>
      <w:r>
        <w:rPr>
          <w:rFonts w:ascii="Times New Roman" w:eastAsia="仿宋" w:hAnsi="Times New Roman" w:cs="Times New Roman" w:hint="default"/>
          <w:sz w:val="32"/>
          <w:szCs w:val="32"/>
        </w:rPr>
        <w:t>SWPM 20-60-09 无屏蔽直式后附件装配</w:t>
      </w:r>
    </w:p>
    <w:p>
      <w:pPr>
        <w:pStyle w:val="Heading1"/>
        <w:bidi w:val="0"/>
        <w:rPr>
          <w:rFonts w:ascii="Times New Roman" w:hAnsi="Times New Roman" w:cs="Times New Roman" w:hint="default"/>
        </w:rPr>
      </w:pPr>
      <w:bookmarkStart w:id="4" w:name="_Toc11669"/>
      <w:r>
        <w:rPr>
          <w:rFonts w:ascii="Times New Roman" w:hAnsi="Times New Roman" w:cs="Times New Roman" w:hint="default"/>
        </w:rPr>
        <w:t>二、试题与评判标准</w:t>
      </w:r>
      <w:bookmarkEnd w:id="4"/>
    </w:p>
    <w:p>
      <w:pPr>
        <w:pStyle w:val="Heading2"/>
        <w:bidi w:val="0"/>
        <w:rPr>
          <w:rFonts w:ascii="Times New Roman" w:hAnsi="Times New Roman" w:cs="Times New Roman" w:hint="default"/>
          <w:lang w:val="en-US" w:eastAsia="zh-CN"/>
        </w:rPr>
      </w:pPr>
      <w:bookmarkStart w:id="5" w:name="_Toc23144"/>
      <w:r>
        <w:rPr>
          <w:rFonts w:ascii="Times New Roman" w:hAnsi="Times New Roman" w:cs="Times New Roman" w:hint="default"/>
        </w:rPr>
        <w:t>（一）</w:t>
      </w:r>
      <w:r>
        <w:rPr>
          <w:rFonts w:ascii="Times New Roman" w:hAnsi="Times New Roman" w:cs="Times New Roman" w:hint="default"/>
          <w:lang w:val="en-US" w:eastAsia="zh-CN"/>
        </w:rPr>
        <w:t>竞赛项目</w:t>
      </w:r>
      <w:bookmarkEnd w:id="5"/>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b/>
          <w:bCs/>
          <w:sz w:val="32"/>
          <w:szCs w:val="32"/>
          <w:lang w:val="en-US" w:eastAsia="zh-CN"/>
        </w:rPr>
      </w:pPr>
      <w:r>
        <w:rPr>
          <w:rFonts w:ascii="Times New Roman" w:eastAsia="仿宋" w:hAnsi="Times New Roman" w:cs="Times New Roman" w:hint="default"/>
          <w:b/>
          <w:bCs/>
          <w:sz w:val="32"/>
          <w:szCs w:val="32"/>
          <w:lang w:val="en-US" w:eastAsia="zh-CN"/>
        </w:rPr>
        <w:t xml:space="preserve">1. </w:t>
      </w:r>
      <w:r>
        <w:rPr>
          <w:rFonts w:ascii="Times New Roman" w:eastAsia="仿宋" w:cs="Times New Roman" w:hint="eastAsia"/>
          <w:b/>
          <w:bCs/>
          <w:sz w:val="32"/>
          <w:szCs w:val="32"/>
          <w:lang w:val="en-US" w:eastAsia="zh-CN"/>
        </w:rPr>
        <w:t>考核</w:t>
      </w:r>
      <w:r>
        <w:rPr>
          <w:rFonts w:ascii="Times New Roman" w:eastAsia="仿宋" w:hAnsi="Times New Roman" w:cs="Times New Roman" w:hint="default"/>
          <w:b/>
          <w:bCs/>
          <w:sz w:val="32"/>
          <w:szCs w:val="32"/>
          <w:lang w:val="en-US" w:eastAsia="zh-CN"/>
        </w:rPr>
        <w:t>模块</w:t>
      </w:r>
    </w:p>
    <w:p>
      <w:pPr>
        <w:pageBreakBefore w:val="0"/>
        <w:kinsoku/>
        <w:wordWrap/>
        <w:overflowPunct/>
        <w:topLinePunct w:val="0"/>
        <w:bidi w:val="0"/>
        <w:spacing w:beforeAutospacing="0" w:afterAutospacing="0" w:line="240" w:lineRule="auto"/>
        <w:ind w:left="0" w:right="0" w:firstLine="640" w:firstLineChars="200"/>
        <w:contextualSpacing/>
        <w:jc w:val="left"/>
        <w:textAlignment w:val="auto"/>
        <w:rPr>
          <w:rFonts w:eastAsia="楷体" w:hint="default"/>
          <w:szCs w:val="32"/>
        </w:rPr>
      </w:pPr>
      <w:r>
        <w:rPr>
          <w:rFonts w:ascii="Times New Roman" w:eastAsia="仿宋_GB2312" w:hAnsi="Times New Roman" w:cs="Times New Roman" w:hint="default"/>
          <w:sz w:val="32"/>
          <w:szCs w:val="32"/>
        </w:rPr>
        <w:t>考核总成绩为100分，各模块命题按100分命制，计算总分时按</w:t>
      </w:r>
      <w:r>
        <w:rPr>
          <w:rFonts w:ascii="Times New Roman" w:eastAsia="仿宋_GB2312" w:hAnsi="Times New Roman" w:cs="Times New Roman" w:hint="default"/>
          <w:sz w:val="32"/>
          <w:szCs w:val="32"/>
          <w:lang w:val="en-US" w:eastAsia="zh-CN"/>
        </w:rPr>
        <w:t>下表</w:t>
      </w:r>
      <w:r>
        <w:rPr>
          <w:rFonts w:ascii="Times New Roman" w:eastAsia="仿宋_GB2312" w:hAnsi="Times New Roman" w:cs="Times New Roman" w:hint="default"/>
          <w:sz w:val="32"/>
          <w:szCs w:val="32"/>
        </w:rPr>
        <w:t>所示比例进行折算，选手各模块得分按比例折算后相加的总和为本次考核实际得分。</w:t>
      </w:r>
    </w:p>
    <w:tbl>
      <w:tblPr>
        <w:tblStyle w:val="TableNormal"/>
        <w:tblW w:w="9133"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
      <w:tblGrid>
        <w:gridCol w:w="930"/>
        <w:gridCol w:w="2066"/>
        <w:gridCol w:w="1487"/>
        <w:gridCol w:w="1080"/>
        <w:gridCol w:w="1167"/>
        <w:gridCol w:w="1200"/>
        <w:gridCol w:w="1203"/>
      </w:tblGrid>
      <w:tr>
        <w:tblPrEx>
          <w:tblW w:w="9133" w:type="dxa"/>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ayout w:type="fixed"/>
          <w:tblCellMar>
            <w:top w:w="0" w:type="dxa"/>
            <w:left w:w="108" w:type="dxa"/>
            <w:bottom w:w="0" w:type="dxa"/>
            <w:right w:w="108" w:type="dxa"/>
          </w:tblCellMar>
        </w:tblPrEx>
        <w:trPr>
          <w:trHeight w:val="460"/>
          <w:jc w:val="center"/>
        </w:trPr>
        <w:tc>
          <w:tcPr>
            <w:tcW w:w="930" w:type="dxa"/>
            <w:vMerge w:val="restart"/>
            <w:tcBorders>
              <w:top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模块编号</w:t>
            </w:r>
          </w:p>
        </w:tc>
        <w:tc>
          <w:tcPr>
            <w:tcW w:w="2066" w:type="dxa"/>
            <w:vMerge w:val="restart"/>
            <w:tcBorders>
              <w:top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模块名称</w:t>
            </w:r>
          </w:p>
        </w:tc>
        <w:tc>
          <w:tcPr>
            <w:tcW w:w="1487" w:type="dxa"/>
            <w:vMerge w:val="restart"/>
            <w:tcBorders>
              <w:top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竞赛时间</w:t>
            </w:r>
          </w:p>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lang w:val="en-US" w:eastAsia="zh-CN"/>
              </w:rPr>
              <w:t>（分钟）</w:t>
            </w:r>
          </w:p>
        </w:tc>
        <w:tc>
          <w:tcPr>
            <w:tcW w:w="4650" w:type="dxa"/>
            <w:gridSpan w:val="4"/>
            <w:tcBorders>
              <w:top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分数</w:t>
            </w:r>
          </w:p>
        </w:tc>
      </w:tr>
      <w:tr>
        <w:tblPrEx>
          <w:tblW w:w="9133" w:type="dxa"/>
          <w:jc w:val="center"/>
          <w:tblLayout w:type="fixed"/>
          <w:tblCellMar>
            <w:top w:w="0" w:type="dxa"/>
            <w:left w:w="108" w:type="dxa"/>
            <w:bottom w:w="0" w:type="dxa"/>
            <w:right w:w="108" w:type="dxa"/>
          </w:tblCellMar>
        </w:tblPrEx>
        <w:trPr>
          <w:trHeight w:val="460"/>
          <w:jc w:val="center"/>
        </w:trPr>
        <w:tc>
          <w:tcPr>
            <w:tcW w:w="930" w:type="dxa"/>
            <w:vMerge/>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p>
        </w:tc>
        <w:tc>
          <w:tcPr>
            <w:tcW w:w="2066" w:type="dxa"/>
            <w:vMerge/>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p>
        </w:tc>
        <w:tc>
          <w:tcPr>
            <w:tcW w:w="1487" w:type="dxa"/>
            <w:vMerge/>
            <w:noWrap w:val="0"/>
            <w:vAlign w:val="top"/>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p>
        </w:tc>
        <w:tc>
          <w:tcPr>
            <w:tcW w:w="108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评价分</w:t>
            </w:r>
          </w:p>
        </w:tc>
        <w:tc>
          <w:tcPr>
            <w:tcW w:w="116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测量分</w:t>
            </w:r>
          </w:p>
        </w:tc>
        <w:tc>
          <w:tcPr>
            <w:tcW w:w="120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合计</w:t>
            </w:r>
          </w:p>
        </w:tc>
        <w:tc>
          <w:tcPr>
            <w:tcW w:w="1203" w:type="dxa"/>
            <w:noWrap w:val="0"/>
            <w:vAlign w:val="top"/>
          </w:tcPr>
          <w:p>
            <w:pPr>
              <w:pageBreakBefore w:val="0"/>
              <w:kinsoku/>
              <w:wordWrap/>
              <w:overflowPunct/>
              <w:topLinePunct w:val="0"/>
              <w:bidi w:val="0"/>
              <w:spacing w:beforeAutospacing="0" w:afterAutospacing="0" w:line="240" w:lineRule="auto"/>
              <w:ind w:left="0" w:right="0"/>
              <w:jc w:val="center"/>
              <w:textAlignment w:val="auto"/>
              <w:rPr>
                <w:rFonts w:eastAsia="黑体" w:hint="default"/>
                <w:sz w:val="28"/>
                <w:szCs w:val="28"/>
              </w:rPr>
            </w:pPr>
            <w:r>
              <w:rPr>
                <w:rFonts w:ascii="Times New Roman" w:eastAsia="黑体" w:hAnsi="Times New Roman" w:cs="Times New Roman" w:hint="default"/>
                <w:sz w:val="28"/>
                <w:szCs w:val="28"/>
              </w:rPr>
              <w:t>权重折算分</w:t>
            </w:r>
          </w:p>
        </w:tc>
      </w:tr>
      <w:tr>
        <w:tblPrEx>
          <w:tblW w:w="9133" w:type="dxa"/>
          <w:jc w:val="center"/>
          <w:tblLayout w:type="fixed"/>
          <w:tblCellMar>
            <w:top w:w="0" w:type="dxa"/>
            <w:left w:w="108" w:type="dxa"/>
            <w:bottom w:w="0" w:type="dxa"/>
            <w:right w:w="108" w:type="dxa"/>
          </w:tblCellMar>
        </w:tblPrEx>
        <w:trPr>
          <w:trHeight w:val="697"/>
          <w:jc w:val="center"/>
        </w:trPr>
        <w:tc>
          <w:tcPr>
            <w:tcW w:w="93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A</w:t>
            </w:r>
          </w:p>
        </w:tc>
        <w:tc>
          <w:tcPr>
            <w:tcW w:w="2066"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飞机结构维修</w:t>
            </w:r>
          </w:p>
        </w:tc>
        <w:tc>
          <w:tcPr>
            <w:tcW w:w="148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240</w:t>
            </w:r>
          </w:p>
        </w:tc>
        <w:tc>
          <w:tcPr>
            <w:tcW w:w="108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p>
        </w:tc>
        <w:tc>
          <w:tcPr>
            <w:tcW w:w="116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3"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30</w:t>
            </w:r>
          </w:p>
        </w:tc>
      </w:tr>
      <w:tr>
        <w:tblPrEx>
          <w:tblW w:w="9133" w:type="dxa"/>
          <w:jc w:val="center"/>
          <w:tblLayout w:type="fixed"/>
          <w:tblCellMar>
            <w:top w:w="0" w:type="dxa"/>
            <w:left w:w="108" w:type="dxa"/>
            <w:bottom w:w="0" w:type="dxa"/>
            <w:right w:w="108" w:type="dxa"/>
          </w:tblCellMar>
        </w:tblPrEx>
        <w:trPr>
          <w:trHeight w:val="830"/>
          <w:jc w:val="center"/>
        </w:trPr>
        <w:tc>
          <w:tcPr>
            <w:tcW w:w="93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B</w:t>
            </w:r>
          </w:p>
        </w:tc>
        <w:tc>
          <w:tcPr>
            <w:tcW w:w="2066"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外场可更换单元（LRU）电气</w:t>
            </w:r>
          </w:p>
        </w:tc>
        <w:tc>
          <w:tcPr>
            <w:tcW w:w="148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w:t>
            </w:r>
            <w:r>
              <w:rPr>
                <w:rFonts w:ascii="Times New Roman" w:eastAsia="仿宋_GB2312" w:hAnsi="Times New Roman" w:cs="Times New Roman" w:hint="default"/>
                <w:sz w:val="28"/>
                <w:szCs w:val="28"/>
                <w:lang w:val="en-US" w:eastAsia="zh-CN"/>
              </w:rPr>
              <w:t>2</w:t>
            </w:r>
            <w:r>
              <w:rPr>
                <w:rFonts w:ascii="Times New Roman" w:eastAsia="仿宋_GB2312" w:hAnsi="Times New Roman" w:cs="Times New Roman" w:hint="default"/>
                <w:sz w:val="28"/>
                <w:szCs w:val="28"/>
              </w:rPr>
              <w:t>0</w:t>
            </w:r>
          </w:p>
        </w:tc>
        <w:tc>
          <w:tcPr>
            <w:tcW w:w="108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p>
        </w:tc>
        <w:tc>
          <w:tcPr>
            <w:tcW w:w="116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3"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25</w:t>
            </w:r>
          </w:p>
        </w:tc>
      </w:tr>
      <w:tr>
        <w:tblPrEx>
          <w:tblW w:w="9133" w:type="dxa"/>
          <w:jc w:val="center"/>
          <w:tblLayout w:type="fixed"/>
          <w:tblCellMar>
            <w:top w:w="0" w:type="dxa"/>
            <w:left w:w="108" w:type="dxa"/>
            <w:bottom w:w="0" w:type="dxa"/>
            <w:right w:w="108" w:type="dxa"/>
          </w:tblCellMar>
        </w:tblPrEx>
        <w:trPr>
          <w:trHeight w:val="689"/>
          <w:jc w:val="center"/>
        </w:trPr>
        <w:tc>
          <w:tcPr>
            <w:tcW w:w="93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C</w:t>
            </w:r>
          </w:p>
        </w:tc>
        <w:tc>
          <w:tcPr>
            <w:tcW w:w="2066" w:type="dxa"/>
            <w:noWrap w:val="0"/>
            <w:vAlign w:val="center"/>
          </w:tcPr>
          <w:p>
            <w:pPr>
              <w:pStyle w:val="body"/>
              <w:pageBreakBefore w:val="0"/>
              <w:kinsoku/>
              <w:wordWrap/>
              <w:overflowPunct/>
              <w:topLinePunct w:val="0"/>
              <w:bidi w:val="0"/>
              <w:spacing w:before="0" w:beforeLines="0" w:beforeAutospacing="0" w:after="0" w:afterLines="0" w:afterAutospacing="0" w:line="240" w:lineRule="auto"/>
              <w:ind w:left="0" w:right="0" w:firstLine="0" w:firstLineChars="0"/>
              <w:jc w:val="center"/>
              <w:textAlignment w:val="auto"/>
              <w:rPr>
                <w:rFonts w:ascii="Times New Roman" w:hAnsi="Times New Roman" w:cs="Times New Roman" w:hint="default"/>
                <w:sz w:val="28"/>
                <w:szCs w:val="28"/>
              </w:rPr>
            </w:pPr>
            <w:r>
              <w:rPr>
                <w:rFonts w:ascii="Times New Roman" w:hAnsi="Times New Roman" w:cs="Times New Roman" w:hint="default"/>
                <w:sz w:val="28"/>
                <w:szCs w:val="28"/>
              </w:rPr>
              <w:t>初始验收检查</w:t>
            </w:r>
          </w:p>
        </w:tc>
        <w:tc>
          <w:tcPr>
            <w:tcW w:w="148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90</w:t>
            </w:r>
          </w:p>
        </w:tc>
        <w:tc>
          <w:tcPr>
            <w:tcW w:w="108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p>
        </w:tc>
        <w:tc>
          <w:tcPr>
            <w:tcW w:w="116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3"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20</w:t>
            </w:r>
          </w:p>
        </w:tc>
      </w:tr>
      <w:tr>
        <w:tblPrEx>
          <w:tblW w:w="9133" w:type="dxa"/>
          <w:jc w:val="center"/>
          <w:tblLayout w:type="fixed"/>
          <w:tblCellMar>
            <w:top w:w="0" w:type="dxa"/>
            <w:left w:w="108" w:type="dxa"/>
            <w:bottom w:w="0" w:type="dxa"/>
            <w:right w:w="108" w:type="dxa"/>
          </w:tblCellMar>
        </w:tblPrEx>
        <w:trPr>
          <w:trHeight w:val="699"/>
          <w:jc w:val="center"/>
        </w:trPr>
        <w:tc>
          <w:tcPr>
            <w:tcW w:w="93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D</w:t>
            </w:r>
          </w:p>
        </w:tc>
        <w:tc>
          <w:tcPr>
            <w:tcW w:w="2066" w:type="dxa"/>
            <w:noWrap w:val="0"/>
            <w:vAlign w:val="center"/>
          </w:tcPr>
          <w:p>
            <w:pPr>
              <w:pStyle w:val="body"/>
              <w:pageBreakBefore w:val="0"/>
              <w:kinsoku/>
              <w:wordWrap/>
              <w:overflowPunct/>
              <w:topLinePunct w:val="0"/>
              <w:bidi w:val="0"/>
              <w:spacing w:before="0" w:beforeLines="0" w:beforeAutospacing="0" w:after="0" w:afterLines="0" w:afterAutospacing="0" w:line="240" w:lineRule="auto"/>
              <w:ind w:left="0" w:right="0" w:firstLine="0" w:firstLineChars="0"/>
              <w:jc w:val="center"/>
              <w:textAlignment w:val="auto"/>
              <w:rPr>
                <w:rFonts w:ascii="Times New Roman" w:hAnsi="Times New Roman" w:cs="Times New Roman" w:hint="default"/>
                <w:sz w:val="28"/>
                <w:szCs w:val="28"/>
              </w:rPr>
            </w:pPr>
            <w:r>
              <w:rPr>
                <w:rFonts w:ascii="Times New Roman" w:hAnsi="Times New Roman" w:cs="Times New Roman" w:hint="default"/>
                <w:sz w:val="28"/>
                <w:szCs w:val="28"/>
              </w:rPr>
              <w:t>复合材料修理</w:t>
            </w:r>
          </w:p>
        </w:tc>
        <w:tc>
          <w:tcPr>
            <w:tcW w:w="148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240</w:t>
            </w:r>
          </w:p>
        </w:tc>
        <w:tc>
          <w:tcPr>
            <w:tcW w:w="108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p>
        </w:tc>
        <w:tc>
          <w:tcPr>
            <w:tcW w:w="1167"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0"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c>
          <w:tcPr>
            <w:tcW w:w="1203" w:type="dxa"/>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25</w:t>
            </w:r>
          </w:p>
        </w:tc>
      </w:tr>
      <w:tr>
        <w:tblPrEx>
          <w:tblW w:w="9133" w:type="dxa"/>
          <w:jc w:val="center"/>
          <w:tblLayout w:type="fixed"/>
          <w:tblCellMar>
            <w:top w:w="0" w:type="dxa"/>
            <w:left w:w="108" w:type="dxa"/>
            <w:bottom w:w="0" w:type="dxa"/>
            <w:right w:w="108" w:type="dxa"/>
          </w:tblCellMar>
        </w:tblPrEx>
        <w:trPr>
          <w:trHeight w:val="460"/>
          <w:jc w:val="center"/>
        </w:trPr>
        <w:tc>
          <w:tcPr>
            <w:tcW w:w="2996" w:type="dxa"/>
            <w:gridSpan w:val="2"/>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总计</w:t>
            </w:r>
          </w:p>
        </w:tc>
        <w:tc>
          <w:tcPr>
            <w:tcW w:w="1487" w:type="dxa"/>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690</w:t>
            </w:r>
          </w:p>
        </w:tc>
        <w:tc>
          <w:tcPr>
            <w:tcW w:w="1080" w:type="dxa"/>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0</w:t>
            </w:r>
          </w:p>
        </w:tc>
        <w:tc>
          <w:tcPr>
            <w:tcW w:w="1167" w:type="dxa"/>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4</w:t>
            </w:r>
            <w:r>
              <w:rPr>
                <w:rFonts w:ascii="Times New Roman" w:eastAsia="仿宋_GB2312" w:hAnsi="Times New Roman" w:cs="Times New Roman" w:hint="default"/>
                <w:sz w:val="28"/>
                <w:szCs w:val="28"/>
              </w:rPr>
              <w:t>00</w:t>
            </w:r>
          </w:p>
        </w:tc>
        <w:tc>
          <w:tcPr>
            <w:tcW w:w="1200" w:type="dxa"/>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lang w:val="en-US" w:eastAsia="zh-CN"/>
              </w:rPr>
              <w:t>4</w:t>
            </w:r>
            <w:r>
              <w:rPr>
                <w:rFonts w:ascii="Times New Roman" w:eastAsia="仿宋_GB2312" w:hAnsi="Times New Roman" w:cs="Times New Roman" w:hint="default"/>
                <w:sz w:val="28"/>
                <w:szCs w:val="28"/>
              </w:rPr>
              <w:t>00</w:t>
            </w:r>
          </w:p>
        </w:tc>
        <w:tc>
          <w:tcPr>
            <w:tcW w:w="1203" w:type="dxa"/>
            <w:tcBorders>
              <w:bottom w:val="single" w:sz="12" w:space="0" w:color="auto"/>
            </w:tcBorders>
            <w:noWrap w:val="0"/>
            <w:vAlign w:val="center"/>
          </w:tcPr>
          <w:p>
            <w:pPr>
              <w:pageBreakBefore w:val="0"/>
              <w:kinsoku/>
              <w:wordWrap/>
              <w:overflowPunct/>
              <w:topLinePunct w:val="0"/>
              <w:bidi w:val="0"/>
              <w:spacing w:beforeAutospacing="0" w:afterAutospacing="0" w:line="240" w:lineRule="auto"/>
              <w:ind w:left="0" w:right="0"/>
              <w:jc w:val="center"/>
              <w:textAlignment w:val="auto"/>
              <w:rPr>
                <w:rFonts w:eastAsia="仿宋_GB2312" w:hint="default"/>
                <w:sz w:val="28"/>
                <w:szCs w:val="28"/>
              </w:rPr>
            </w:pPr>
            <w:r>
              <w:rPr>
                <w:rFonts w:ascii="Times New Roman" w:eastAsia="仿宋_GB2312" w:hAnsi="Times New Roman" w:cs="Times New Roman" w:hint="default"/>
                <w:sz w:val="28"/>
                <w:szCs w:val="28"/>
              </w:rPr>
              <w:t>100</w:t>
            </w:r>
          </w:p>
        </w:tc>
      </w:tr>
    </w:tbl>
    <w:p>
      <w:pPr>
        <w:pageBreakBefore w:val="0"/>
        <w:kinsoku/>
        <w:wordWrap/>
        <w:overflowPunct/>
        <w:topLinePunct w:val="0"/>
        <w:bidi w:val="0"/>
        <w:spacing w:beforeAutospacing="0" w:afterAutospacing="0" w:line="240" w:lineRule="auto"/>
        <w:ind w:left="0" w:right="0" w:firstLine="640" w:firstLineChars="200"/>
        <w:contextualSpacing/>
        <w:jc w:val="left"/>
        <w:textAlignment w:val="auto"/>
        <w:rPr>
          <w:rFonts w:eastAsia="仿宋_GB2312" w:hint="default"/>
          <w:szCs w:val="32"/>
        </w:rPr>
      </w:pPr>
      <w:r>
        <w:rPr>
          <w:rFonts w:ascii="Times New Roman" w:eastAsia="仿宋_GB2312" w:hAnsi="Times New Roman" w:cs="Times New Roman" w:hint="default"/>
          <w:sz w:val="32"/>
          <w:szCs w:val="32"/>
        </w:rPr>
        <w:t>注:各模块考核时间可能会有调整。</w:t>
      </w:r>
    </w:p>
    <w:p>
      <w:pPr>
        <w:pageBreakBefore w:val="0"/>
        <w:numPr>
          <w:ilvl w:val="0"/>
          <w:numId w:val="0"/>
        </w:numPr>
        <w:kinsoku/>
        <w:wordWrap/>
        <w:overflowPunct/>
        <w:topLinePunct w:val="0"/>
        <w:bidi w:val="0"/>
        <w:spacing w:beforeAutospacing="0" w:afterAutospacing="0" w:line="240" w:lineRule="auto"/>
        <w:ind w:left="640" w:right="0" w:leftChars="200" w:rightChars="0"/>
        <w:textAlignment w:val="auto"/>
        <w:rPr>
          <w:rFonts w:eastAsia="楷体" w:hint="default"/>
          <w:b/>
          <w:bCs/>
          <w:szCs w:val="32"/>
        </w:rPr>
      </w:pPr>
      <w:r>
        <w:rPr>
          <w:rFonts w:ascii="Times New Roman" w:eastAsia="楷体" w:hAnsi="Times New Roman" w:cs="Times New Roman" w:hint="default"/>
          <w:b/>
          <w:bCs/>
          <w:sz w:val="32"/>
          <w:szCs w:val="32"/>
          <w:lang w:val="en-US" w:eastAsia="zh-CN"/>
        </w:rPr>
        <w:t>2. 考核模块</w:t>
      </w:r>
      <w:r>
        <w:rPr>
          <w:rFonts w:eastAsia="楷体" w:cs="Times New Roman" w:hint="eastAsia"/>
          <w:b/>
          <w:bCs/>
          <w:sz w:val="32"/>
          <w:szCs w:val="32"/>
          <w:lang w:val="en-US" w:eastAsia="zh-CN"/>
        </w:rPr>
        <w:t>简介</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b/>
          <w:bCs/>
          <w:lang w:val="en-US" w:eastAsia="zh-CN"/>
        </w:rPr>
      </w:pPr>
      <w:r>
        <w:rPr>
          <w:rFonts w:ascii="Times New Roman" w:hAnsi="Times New Roman" w:cs="Times New Roman" w:hint="default"/>
          <w:b/>
          <w:bCs/>
          <w:lang w:val="en-US" w:eastAsia="zh-CN"/>
        </w:rPr>
        <w:t>模块A：飞机结构维修</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sectPr>
          <w:headerReference w:type="default" r:id="rId27"/>
          <w:footerReference w:type="default" r:id="rId28"/>
          <w:type w:val="nextPage"/>
          <w:pgSz w:w="11906" w:h="16838"/>
          <w:pgMar w:top="1417" w:right="1417" w:bottom="1247" w:left="1417" w:header="851" w:footer="992" w:gutter="0"/>
          <w:pgNumType w:fmt="decimal" w:start="10"/>
          <w:cols w:num="1" w:space="720"/>
          <w:titlePg w:val="0"/>
          <w:docGrid w:type="linesAndChars" w:linePitch="319" w:charSpace="0"/>
        </w:sectPr>
      </w:pP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选手依据技术文件，按照各项技术要求和考核点，规范地在指定工作位和加工制造设备上完成钣金组件的加工和装配。考核选手正确理解文件和识图、钣金件展开计算、折弯纹理布置、规范使用设备、规范使用工具与量具、制件加工与装配技术的能力。</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b/>
          <w:bCs/>
          <w:lang w:val="en-US" w:eastAsia="zh-CN"/>
        </w:rPr>
      </w:pPr>
      <w:r>
        <w:rPr>
          <w:rFonts w:ascii="Times New Roman" w:hAnsi="Times New Roman" w:cs="Times New Roman" w:hint="default"/>
          <w:b/>
          <w:bCs/>
          <w:lang w:val="en-US" w:eastAsia="zh-CN"/>
        </w:rPr>
        <w:t>模块B：外场可更换单元（LRU）电气</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选手依据图纸、规范、工卡等相关技术文件，按照标准规范的要求及技术考核点，在指定的环境中完成线路的制作、连接、装配及检查测试。考核选手对标准规范的理解和掌握，正确检查、校验和使用专用设备、工具，以及对图例的认识、线路逻辑分析、正确填写相关表格文件、良好的沟通与交流的能力。</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b/>
          <w:bCs/>
          <w:lang w:val="en-US" w:eastAsia="zh-CN"/>
        </w:rPr>
      </w:pPr>
      <w:r>
        <w:rPr>
          <w:rFonts w:ascii="Times New Roman" w:hAnsi="Times New Roman" w:cs="Times New Roman" w:hint="default"/>
          <w:b/>
          <w:bCs/>
          <w:lang w:val="en-US" w:eastAsia="zh-CN"/>
        </w:rPr>
        <w:t>模块C：初始检查模块</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选手依据直升机（或飞机）初始验收检查程序，按机务检查的规范要求和适航要求，完成初始验收检查内容，同时提交相应的文件报告，记录维护检查过程中发现的故障。考核选手对直升机（或飞机）结构和原理的理解和掌握，独立完成机务检查发现故障的能力，以及正确表述故障现象的能力。</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b/>
          <w:bCs/>
          <w:lang w:val="en-US" w:eastAsia="zh-CN"/>
        </w:rPr>
      </w:pPr>
      <w:r>
        <w:rPr>
          <w:rFonts w:ascii="Times New Roman" w:hAnsi="Times New Roman" w:cs="Times New Roman" w:hint="default"/>
          <w:b/>
          <w:bCs/>
          <w:lang w:val="en-US" w:eastAsia="zh-CN"/>
        </w:rPr>
        <w:t>模块D：复合材料修理</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选手依据实物零件、工程图纸，按ATA相关章节、行业标准规范手册（AC43-13）、厂家结构修理手册的内容，确定修理需求，并独立完成损伤检查、打磨修理、表面清洗、配置胶液、制作补片、补片铺贴、真空包装操作。考核选手对标准规范手册的理解和掌握，独立完成检查、分析及排除故障的能力，正确选择修理材料和使用工量具的能力。</w:t>
      </w:r>
    </w:p>
    <w:p>
      <w:pPr>
        <w:pStyle w:val="BodyTextFirstIndent"/>
        <w:pageBreakBefore w:val="0"/>
        <w:numPr>
          <w:ilvl w:val="0"/>
          <w:numId w:val="3"/>
        </w:numPr>
        <w:kinsoku/>
        <w:wordWrap/>
        <w:overflowPunct/>
        <w:topLinePunct w:val="0"/>
        <w:bidi w:val="0"/>
        <w:spacing w:beforeAutospacing="0" w:afterAutospacing="0" w:line="240" w:lineRule="auto"/>
        <w:ind w:left="0" w:right="0" w:firstLine="640" w:leftChars="0" w:firstLineChars="200"/>
        <w:textAlignment w:val="auto"/>
        <w:rPr>
          <w:rFonts w:ascii="Times New Roman" w:hAnsi="Times New Roman" w:cs="Times New Roman" w:hint="default"/>
          <w:b/>
          <w:bCs/>
          <w:lang w:val="en-US" w:eastAsia="zh-CN"/>
        </w:rPr>
      </w:pPr>
      <w:r>
        <w:rPr>
          <w:rFonts w:ascii="Times New Roman" w:hAnsi="Times New Roman" w:cs="Times New Roman" w:hint="default"/>
          <w:b/>
          <w:bCs/>
          <w:lang w:val="en-US" w:eastAsia="zh-CN"/>
        </w:rPr>
        <w:t>命题方案</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sectPr>
          <w:headerReference w:type="default" r:id="rId29"/>
          <w:footerReference w:type="default" r:id="rId30"/>
          <w:type w:val="nextPage"/>
          <w:pgSz w:w="11906" w:h="16838"/>
          <w:pgMar w:top="1417" w:right="1417" w:bottom="1247" w:left="1417" w:header="851" w:footer="992" w:gutter="0"/>
          <w:pgNumType w:fmt="decimal" w:start="11"/>
          <w:cols w:num="1" w:space="720"/>
          <w:titlePg w:val="0"/>
          <w:docGrid w:type="linesAndChars" w:linePitch="319" w:charSpace="0"/>
        </w:sectPr>
      </w:pP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本届飞机维修项目江苏省选拔赛的比赛模块命题本着如下原则确定：以第46届世界技能大赛竞赛模块为基础，比赛项目尽可能保留世界技能大赛的知识点，并缩短比赛时间，比赛项目及评分工作应在三天内完成。</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模块A、B、D提前公布试题，本次选拔赛赛前进行小于30%修改。</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hAnsi="Times New Roman" w:cs="Times New Roman" w:hint="default"/>
          <w:lang w:val="en-US" w:eastAsia="zh-CN"/>
        </w:rPr>
      </w:pPr>
      <w:r>
        <w:rPr>
          <w:rFonts w:ascii="Times New Roman" w:hAnsi="Times New Roman" w:cs="Times New Roman" w:hint="default"/>
          <w:lang w:val="en-US" w:eastAsia="zh-CN"/>
        </w:rPr>
        <w:t>模块C提前公布样题，竞赛用的直升机/飞机的型号由承办方落实，具体型号需在赛前</w:t>
      </w:r>
      <w:r>
        <w:rPr>
          <w:rFonts w:ascii="Times New Roman" w:cs="Times New Roman" w:hint="eastAsia"/>
          <w:lang w:val="en-US" w:eastAsia="zh-CN"/>
        </w:rPr>
        <w:t>15</w:t>
      </w:r>
      <w:r>
        <w:rPr>
          <w:rFonts w:ascii="Times New Roman" w:hAnsi="Times New Roman" w:cs="Times New Roman" w:hint="default"/>
          <w:lang w:val="en-US" w:eastAsia="zh-CN"/>
        </w:rPr>
        <w:t>天公布，比赛前3天公布故障类型，不公布故障设置的具体位置点，赛前</w:t>
      </w:r>
      <w:r>
        <w:rPr>
          <w:rFonts w:ascii="Times New Roman" w:cs="Times New Roman" w:hint="eastAsia"/>
          <w:lang w:val="en-US" w:eastAsia="zh-CN"/>
        </w:rPr>
        <w:t>7</w:t>
      </w:r>
      <w:r>
        <w:rPr>
          <w:rFonts w:ascii="Times New Roman" w:hAnsi="Times New Roman" w:cs="Times New Roman" w:hint="default"/>
          <w:lang w:val="en-US" w:eastAsia="zh-CN"/>
        </w:rPr>
        <w:t>天每个参赛队可以提供5个故障点给裁判长，组成故障点题库（题库不少于40个故障点），裁判长将在初始检查模块开始前3天，在各参赛队提供的故障中，审核并确定合格的故障，裁判长和场地经理在模块开始的当天赛前1小时组织抽签。由负责机务检查的裁判和直升机/飞机机务保障人员设置故障。设置故障的裁判和第三方机务保障人员需采取一定封闭隔离措施。</w:t>
      </w:r>
    </w:p>
    <w:p>
      <w:pPr>
        <w:pStyle w:val="Heading2"/>
        <w:bidi w:val="0"/>
        <w:rPr>
          <w:rFonts w:ascii="Times New Roman" w:hAnsi="Times New Roman" w:cs="Times New Roman" w:hint="default"/>
          <w:lang w:eastAsia="zh-CN"/>
        </w:rPr>
      </w:pPr>
      <w:bookmarkStart w:id="6" w:name="_Toc27581"/>
      <w:r>
        <w:rPr>
          <w:rFonts w:ascii="Times New Roman" w:hAnsi="Times New Roman" w:cs="Times New Roman" w:hint="default"/>
        </w:rPr>
        <w:t>（二）试题</w:t>
      </w:r>
      <w:r>
        <w:rPr>
          <w:rFonts w:ascii="Times New Roman" w:hAnsi="Times New Roman" w:cs="Times New Roman" w:hint="default"/>
          <w:lang w:eastAsia="zh-CN"/>
        </w:rPr>
        <w:t>（</w:t>
      </w:r>
      <w:r>
        <w:rPr>
          <w:rFonts w:ascii="Times New Roman" w:hAnsi="Times New Roman" w:cs="Times New Roman" w:hint="default"/>
          <w:lang w:val="en-US" w:eastAsia="zh-CN"/>
        </w:rPr>
        <w:t>样题</w:t>
      </w:r>
      <w:r>
        <w:rPr>
          <w:rFonts w:ascii="Times New Roman" w:hAnsi="Times New Roman" w:cs="Times New Roman" w:hint="default"/>
          <w:lang w:eastAsia="zh-CN"/>
        </w:rPr>
        <w:t>）</w:t>
      </w:r>
      <w:bookmarkEnd w:id="6"/>
    </w:p>
    <w:p>
      <w:pPr>
        <w:pageBreakBefore w:val="0"/>
        <w:kinsoku/>
        <w:wordWrap/>
        <w:overflowPunct/>
        <w:topLinePunct w:val="0"/>
        <w:bidi w:val="0"/>
        <w:spacing w:beforeAutospacing="0" w:afterAutospacing="0" w:line="240" w:lineRule="auto"/>
        <w:ind w:left="0" w:right="0" w:firstLine="640" w:firstLineChars="200"/>
        <w:textAlignment w:val="auto"/>
        <w:rPr>
          <w:rFonts w:hint="default"/>
          <w:b/>
          <w:bCs/>
          <w:szCs w:val="32"/>
        </w:rPr>
      </w:pPr>
      <w:r>
        <w:rPr>
          <w:rFonts w:ascii="Times New Roman" w:eastAsia="仿宋" w:hAnsi="Times New Roman" w:cs="Times New Roman" w:hint="default"/>
          <w:b/>
          <w:bCs/>
          <w:sz w:val="32"/>
          <w:szCs w:val="32"/>
          <w:lang w:val="en-US" w:eastAsia="zh-CN"/>
        </w:rPr>
        <w:t>1. 飞机结构维修</w:t>
      </w:r>
      <w:r>
        <w:rPr>
          <w:rFonts w:cs="Times New Roman" w:hint="eastAsia"/>
          <w:b/>
          <w:bCs/>
          <w:sz w:val="32"/>
          <w:szCs w:val="32"/>
          <w:lang w:val="en-US" w:eastAsia="zh-CN"/>
        </w:rPr>
        <w:t>模块</w:t>
      </w:r>
    </w:p>
    <w:p>
      <w:pPr>
        <w:pageBreakBefore w:val="0"/>
        <w:kinsoku/>
        <w:wordWrap/>
        <w:overflowPunct/>
        <w:topLinePunct w:val="0"/>
        <w:bidi w:val="0"/>
        <w:spacing w:beforeAutospacing="0" w:afterAutospacing="0" w:line="240" w:lineRule="auto"/>
        <w:ind w:left="0" w:right="0" w:firstLine="640" w:firstLineChars="200"/>
        <w:textAlignment w:val="auto"/>
        <w:outlineLvl w:val="3"/>
        <w:rPr>
          <w:rFonts w:hint="default"/>
          <w:bCs/>
          <w:szCs w:val="32"/>
        </w:rPr>
      </w:pPr>
      <w:r>
        <w:rPr>
          <w:rFonts w:ascii="Times New Roman" w:eastAsia="仿宋" w:hAnsi="Times New Roman" w:cs="Times New Roman" w:hint="default"/>
          <w:bCs/>
          <w:sz w:val="32"/>
          <w:szCs w:val="32"/>
        </w:rPr>
        <w:t>（1）考核目标</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rPr>
        <w:t>重点考核参赛者理解图纸的能力，能够按图纸制出钣金零件及准确装配零件及紧固件，按照提供的图纸安装实心铆钉。</w:t>
      </w:r>
    </w:p>
    <w:p>
      <w:pPr>
        <w:pageBreakBefore w:val="0"/>
        <w:kinsoku/>
        <w:wordWrap/>
        <w:overflowPunct/>
        <w:topLinePunct w:val="0"/>
        <w:bidi w:val="0"/>
        <w:spacing w:beforeAutospacing="0" w:afterAutospacing="0" w:line="240" w:lineRule="auto"/>
        <w:ind w:left="0" w:right="0" w:firstLine="640" w:firstLineChars="200"/>
        <w:textAlignment w:val="auto"/>
        <w:outlineLvl w:val="3"/>
        <w:rPr>
          <w:rFonts w:hint="default"/>
          <w:bCs/>
          <w:szCs w:val="32"/>
        </w:rPr>
      </w:pPr>
      <w:r>
        <w:rPr>
          <w:rFonts w:ascii="Times New Roman" w:eastAsia="仿宋" w:hAnsi="Times New Roman" w:cs="Times New Roman" w:hint="default"/>
          <w:bCs/>
          <w:sz w:val="32"/>
          <w:szCs w:val="32"/>
        </w:rPr>
        <w:t>（2）考核技术要素</w:t>
      </w:r>
    </w:p>
    <w:tbl>
      <w:tblPr>
        <w:tblStyle w:val="TableNormal"/>
        <w:tblW w:w="8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9"/>
        <w:gridCol w:w="7480"/>
      </w:tblGrid>
      <w:tr>
        <w:tblPrEx>
          <w:tblW w:w="8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680"/>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序号</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考核要素</w:t>
            </w:r>
          </w:p>
        </w:tc>
      </w:tr>
      <w:tr>
        <w:tblPrEx>
          <w:tblW w:w="8449" w:type="dxa"/>
          <w:jc w:val="center"/>
          <w:tblLayout w:type="fixed"/>
          <w:tblCellMar>
            <w:top w:w="0" w:type="dxa"/>
            <w:left w:w="108" w:type="dxa"/>
            <w:bottom w:w="0" w:type="dxa"/>
            <w:right w:w="108" w:type="dxa"/>
          </w:tblCellMar>
        </w:tblPrEx>
        <w:trPr>
          <w:trHeight w:val="617"/>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理解图纸。</w:t>
            </w:r>
          </w:p>
        </w:tc>
      </w:tr>
    </w:tbl>
    <w:p>
      <w:pPr>
        <w:sectPr>
          <w:headerReference w:type="default" r:id="rId31"/>
          <w:footerReference w:type="default" r:id="rId32"/>
          <w:type w:val="nextPage"/>
          <w:pgSz w:w="11906" w:h="16838"/>
          <w:pgMar w:top="1417" w:right="1417" w:bottom="1247" w:left="1417" w:header="851" w:footer="992" w:gutter="0"/>
          <w:pgNumType w:fmt="decimal" w:start="12"/>
          <w:cols w:num="1" w:space="720"/>
          <w:titlePg w:val="0"/>
          <w:docGrid w:type="linesAndChars" w:linePitch="319" w:charSpace="0"/>
        </w:sectPr>
      </w:pPr>
    </w:p>
    <w:tbl>
      <w:tblPr>
        <w:tblStyle w:val="TableNormal"/>
        <w:tblW w:w="8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9"/>
        <w:gridCol w:w="7480"/>
      </w:tblGrid>
      <w:tr>
        <w:tblPrEx>
          <w:tblW w:w="8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7"/>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简单钣金件成形。</w:t>
            </w:r>
          </w:p>
        </w:tc>
      </w:tr>
      <w:tr>
        <w:tblPrEx>
          <w:tblW w:w="8449" w:type="dxa"/>
          <w:jc w:val="center"/>
          <w:tblLayout w:type="fixed"/>
          <w:tblCellMar>
            <w:top w:w="0" w:type="dxa"/>
            <w:left w:w="108" w:type="dxa"/>
            <w:bottom w:w="0" w:type="dxa"/>
            <w:right w:w="108" w:type="dxa"/>
          </w:tblCellMar>
        </w:tblPrEx>
        <w:trPr>
          <w:trHeight w:val="617"/>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3</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按照图纸进行布局。</w:t>
            </w:r>
          </w:p>
        </w:tc>
      </w:tr>
      <w:tr>
        <w:tblPrEx>
          <w:tblW w:w="8449" w:type="dxa"/>
          <w:jc w:val="center"/>
          <w:tblLayout w:type="fixed"/>
          <w:tblCellMar>
            <w:top w:w="0" w:type="dxa"/>
            <w:left w:w="108" w:type="dxa"/>
            <w:bottom w:w="0" w:type="dxa"/>
            <w:right w:w="108" w:type="dxa"/>
          </w:tblCellMar>
        </w:tblPrEx>
        <w:trPr>
          <w:trHeight w:val="800"/>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c>
          <w:tcPr>
            <w:tcW w:w="7480" w:type="dxa"/>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按图纸修配零件角度、尺寸及形状，修配出的二维尺寸参数、四角垂直度、零件对缝间隙须满足图纸规定。</w:t>
            </w:r>
          </w:p>
        </w:tc>
      </w:tr>
      <w:tr>
        <w:tblPrEx>
          <w:tblW w:w="8449" w:type="dxa"/>
          <w:jc w:val="center"/>
          <w:tblLayout w:type="fixed"/>
          <w:tblCellMar>
            <w:top w:w="0" w:type="dxa"/>
            <w:left w:w="108" w:type="dxa"/>
            <w:bottom w:w="0" w:type="dxa"/>
            <w:right w:w="108" w:type="dxa"/>
          </w:tblCellMar>
        </w:tblPrEx>
        <w:trPr>
          <w:trHeight w:val="672"/>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c>
          <w:tcPr>
            <w:tcW w:w="7480" w:type="dxa"/>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按图纸确定紧固件位置并制孔，铆钉边距、铆钉间距、制孔质量须满足图纸规定。</w:t>
            </w:r>
          </w:p>
        </w:tc>
      </w:tr>
      <w:tr>
        <w:tblPrEx>
          <w:tblW w:w="8449" w:type="dxa"/>
          <w:jc w:val="center"/>
          <w:tblLayout w:type="fixed"/>
          <w:tblCellMar>
            <w:top w:w="0" w:type="dxa"/>
            <w:left w:w="108" w:type="dxa"/>
            <w:bottom w:w="0" w:type="dxa"/>
            <w:right w:w="108" w:type="dxa"/>
          </w:tblCellMar>
        </w:tblPrEx>
        <w:trPr>
          <w:trHeight w:val="712"/>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6</w:t>
            </w:r>
          </w:p>
        </w:tc>
        <w:tc>
          <w:tcPr>
            <w:tcW w:w="7480" w:type="dxa"/>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安装实心铆钉，铆钉头变形与机械损伤、铆钉头单向间隙、铆钉镦头高度、铆钉镦头直径、铆接质量须满足图纸规定。</w:t>
            </w:r>
          </w:p>
        </w:tc>
      </w:tr>
      <w:tr>
        <w:tblPrEx>
          <w:tblW w:w="8449" w:type="dxa"/>
          <w:jc w:val="center"/>
          <w:tblLayout w:type="fixed"/>
          <w:tblCellMar>
            <w:top w:w="0" w:type="dxa"/>
            <w:left w:w="108" w:type="dxa"/>
            <w:bottom w:w="0" w:type="dxa"/>
            <w:right w:w="108" w:type="dxa"/>
          </w:tblCellMar>
        </w:tblPrEx>
        <w:trPr>
          <w:trHeight w:val="778"/>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7</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工件表面精整，工件表面机械损伤、工件表面变形量（平面度）须满足图纸规定。</w:t>
            </w:r>
          </w:p>
        </w:tc>
      </w:tr>
      <w:tr>
        <w:tblPrEx>
          <w:tblW w:w="8449" w:type="dxa"/>
          <w:jc w:val="center"/>
          <w:tblLayout w:type="fixed"/>
          <w:tblCellMar>
            <w:top w:w="0" w:type="dxa"/>
            <w:left w:w="108" w:type="dxa"/>
            <w:bottom w:w="0" w:type="dxa"/>
            <w:right w:w="108" w:type="dxa"/>
          </w:tblCellMar>
        </w:tblPrEx>
        <w:trPr>
          <w:trHeight w:val="618"/>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8</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不得损伤工件、工具。</w:t>
            </w:r>
          </w:p>
        </w:tc>
      </w:tr>
      <w:tr>
        <w:tblPrEx>
          <w:tblW w:w="8449" w:type="dxa"/>
          <w:jc w:val="center"/>
          <w:tblLayout w:type="fixed"/>
          <w:tblCellMar>
            <w:top w:w="0" w:type="dxa"/>
            <w:left w:w="108" w:type="dxa"/>
            <w:bottom w:w="0" w:type="dxa"/>
            <w:right w:w="108" w:type="dxa"/>
          </w:tblCellMar>
        </w:tblPrEx>
        <w:trPr>
          <w:trHeight w:val="618"/>
          <w:jc w:val="center"/>
        </w:trPr>
        <w:tc>
          <w:tcPr>
            <w:tcW w:w="969" w:type="dxa"/>
            <w:vAlign w:val="center"/>
          </w:tcPr>
          <w:p>
            <w:pPr>
              <w:pageBreakBefore w:val="0"/>
              <w:shd w:val="clear" w:color="auto" w:fill="FFFFFF"/>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9</w:t>
            </w:r>
          </w:p>
        </w:tc>
        <w:tc>
          <w:tcPr>
            <w:tcW w:w="7480" w:type="dxa"/>
            <w:vAlign w:val="center"/>
          </w:tcPr>
          <w:p>
            <w:pPr>
              <w:pageBreakBefore w:val="0"/>
              <w:shd w:val="clear" w:color="auto" w:fill="FFFFFF"/>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现场清理。</w:t>
            </w:r>
          </w:p>
        </w:tc>
      </w:tr>
    </w:tbl>
    <w:p>
      <w:pPr>
        <w:pageBreakBefore w:val="0"/>
        <w:kinsoku/>
        <w:wordWrap/>
        <w:overflowPunct/>
        <w:topLinePunct w:val="0"/>
        <w:bidi w:val="0"/>
        <w:spacing w:beforeAutospacing="0" w:afterAutospacing="0" w:line="240" w:lineRule="auto"/>
        <w:ind w:left="0" w:right="0" w:firstLine="640" w:firstLineChars="200"/>
        <w:textAlignment w:val="auto"/>
        <w:outlineLvl w:val="3"/>
        <w:rPr>
          <w:rFonts w:hint="default"/>
          <w:bCs/>
          <w:szCs w:val="32"/>
        </w:rPr>
      </w:pPr>
      <w:r>
        <w:rPr>
          <w:rFonts w:ascii="Times New Roman" w:eastAsia="仿宋" w:hAnsi="Times New Roman" w:cs="Times New Roman" w:hint="default"/>
          <w:bCs/>
          <w:sz w:val="32"/>
          <w:szCs w:val="32"/>
        </w:rPr>
        <w:t>（3）考核程序</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①</w:t>
      </w:r>
      <w:r>
        <w:rPr>
          <w:rFonts w:ascii="Times New Roman" w:eastAsia="仿宋" w:hAnsi="Times New Roman" w:cs="Times New Roman" w:hint="default"/>
          <w:bCs/>
          <w:sz w:val="32"/>
          <w:szCs w:val="32"/>
        </w:rPr>
        <w:t>按图纸计算展开料并下料；</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②</w:t>
      </w:r>
      <w:r>
        <w:rPr>
          <w:rFonts w:ascii="Times New Roman" w:eastAsia="仿宋" w:hAnsi="Times New Roman" w:cs="Times New Roman" w:hint="default"/>
          <w:bCs/>
          <w:sz w:val="32"/>
          <w:szCs w:val="32"/>
        </w:rPr>
        <w:t>成形及修配零件；</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③</w:t>
      </w:r>
      <w:r>
        <w:rPr>
          <w:rFonts w:ascii="Times New Roman" w:eastAsia="仿宋" w:hAnsi="Times New Roman" w:cs="Times New Roman" w:hint="default"/>
          <w:bCs/>
          <w:sz w:val="32"/>
          <w:szCs w:val="32"/>
        </w:rPr>
        <w:t>按图纸确定紧固件位置并钻孔；</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④</w:t>
      </w:r>
      <w:r>
        <w:rPr>
          <w:rFonts w:ascii="Times New Roman" w:eastAsia="仿宋" w:hAnsi="Times New Roman" w:cs="Times New Roman" w:hint="default"/>
          <w:bCs/>
          <w:sz w:val="32"/>
          <w:szCs w:val="32"/>
        </w:rPr>
        <w:t>安装紧固件；</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⑤</w:t>
      </w:r>
      <w:r>
        <w:rPr>
          <w:rFonts w:ascii="Times New Roman" w:eastAsia="仿宋" w:hAnsi="Times New Roman" w:cs="Times New Roman" w:hint="default"/>
          <w:bCs/>
          <w:sz w:val="32"/>
          <w:szCs w:val="32"/>
        </w:rPr>
        <w:t>清理。</w:t>
      </w:r>
    </w:p>
    <w:p>
      <w:pPr>
        <w:pageBreakBefore w:val="0"/>
        <w:kinsoku/>
        <w:wordWrap/>
        <w:overflowPunct/>
        <w:topLinePunct w:val="0"/>
        <w:bidi w:val="0"/>
        <w:spacing w:beforeAutospacing="0" w:afterAutospacing="0" w:line="240" w:lineRule="auto"/>
        <w:ind w:left="0" w:right="0" w:firstLine="640" w:firstLineChars="200"/>
        <w:textAlignment w:val="auto"/>
        <w:outlineLvl w:val="3"/>
        <w:rPr>
          <w:rFonts w:hint="default"/>
          <w:bCs/>
          <w:szCs w:val="32"/>
        </w:rPr>
      </w:pPr>
      <w:r>
        <w:rPr>
          <w:rFonts w:ascii="Times New Roman" w:eastAsia="仿宋" w:hAnsi="Times New Roman" w:cs="Times New Roman" w:hint="default"/>
          <w:bCs/>
          <w:sz w:val="32"/>
          <w:szCs w:val="32"/>
        </w:rPr>
        <w:t>（4）比赛所用资料</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①</w:t>
      </w:r>
      <w:r>
        <w:rPr>
          <w:rFonts w:ascii="Times New Roman" w:eastAsia="仿宋" w:hAnsi="Times New Roman" w:cs="Times New Roman" w:hint="default"/>
          <w:bCs/>
          <w:sz w:val="32"/>
          <w:szCs w:val="32"/>
        </w:rPr>
        <w:t>技术文件；</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lang w:val="en-US" w:eastAsia="zh-CN"/>
        </w:rPr>
        <w:t>②</w:t>
      </w:r>
      <w:r>
        <w:rPr>
          <w:rFonts w:ascii="Times New Roman" w:eastAsia="仿宋" w:hAnsi="Times New Roman" w:cs="Times New Roman" w:hint="default"/>
          <w:bCs/>
          <w:sz w:val="32"/>
          <w:szCs w:val="32"/>
        </w:rPr>
        <w:t>比赛用图。</w:t>
      </w:r>
    </w:p>
    <w:p>
      <w:pPr>
        <w:pStyle w:val="BodyTextFirstIndent"/>
        <w:pageBreakBefore w:val="0"/>
        <w:kinsoku/>
        <w:wordWrap/>
        <w:overflowPunct/>
        <w:topLinePunct w:val="0"/>
        <w:bidi w:val="0"/>
        <w:spacing w:beforeAutospacing="0" w:afterAutospacing="0" w:line="240" w:lineRule="auto"/>
        <w:ind w:left="0" w:right="0" w:firstLine="640" w:leftChars="0" w:firstLineChars="200"/>
        <w:jc w:val="left"/>
        <w:textAlignment w:val="auto"/>
        <w:rPr>
          <w:rFonts w:ascii="Times New Roman" w:eastAsia="仿宋" w:hAnsi="Times New Roman" w:cs="Times New Roman" w:hint="default"/>
          <w:sz w:val="32"/>
          <w:szCs w:val="32"/>
          <w:lang w:val="en-US" w:eastAsia="zh-CN"/>
        </w:rPr>
        <w:sectPr>
          <w:headerReference w:type="default" r:id="rId33"/>
          <w:footerReference w:type="default" r:id="rId34"/>
          <w:type w:val="nextPage"/>
          <w:pgSz w:w="11906" w:h="16838"/>
          <w:pgMar w:top="1417" w:right="1417" w:bottom="1247" w:left="1417" w:header="851" w:footer="992" w:gutter="0"/>
          <w:pgNumType w:fmt="decimal" w:start="13"/>
          <w:cols w:num="1" w:space="720"/>
          <w:titlePg w:val="0"/>
          <w:docGrid w:type="linesAndChars" w:linePitch="319" w:charSpace="0"/>
        </w:sectPr>
      </w:pPr>
      <w:r>
        <w:rPr>
          <w:rFonts w:ascii="Times New Roman" w:eastAsia="仿宋" w:hAnsi="Times New Roman" w:cs="Times New Roman" w:hint="default"/>
          <w:sz w:val="32"/>
          <w:szCs w:val="32"/>
          <w:lang w:val="en-US" w:eastAsia="zh-CN"/>
        </w:rPr>
        <w:t>选手在比赛过程中所需图纸如下图所示：</w:t>
      </w: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71552" behindDoc="0" locked="0" layoutInCell="1" allowOverlap="1">
            <wp:simplePos x="0" y="0"/>
            <wp:positionH relativeFrom="column">
              <wp:posOffset>2875915</wp:posOffset>
            </wp:positionH>
            <wp:positionV relativeFrom="paragraph">
              <wp:posOffset>448310</wp:posOffset>
            </wp:positionV>
            <wp:extent cx="102870" cy="125730"/>
            <wp:effectExtent l="0" t="0" r="11430" b="7620"/>
            <wp:wrapNone/>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xmlns:r="http://schemas.openxmlformats.org/officeDocument/2006/relationships" r:embed="rId35"/>
                    <a:stretch>
                      <a:fillRect/>
                    </a:stretch>
                  </pic:blipFill>
                  <pic:spPr>
                    <a:xfrm>
                      <a:off x="0" y="0"/>
                      <a:ext cx="102870" cy="125730"/>
                    </a:xfrm>
                    <a:prstGeom prst="rect">
                      <a:avLst/>
                    </a:prstGeom>
                    <a:noFill/>
                    <a:ln w="9525">
                      <a:noFill/>
                    </a:ln>
                  </pic:spPr>
                </pic:pic>
              </a:graphicData>
            </a:graphic>
          </wp:anchor>
        </w:drawing>
      </w:r>
      <w:r>
        <w:rPr>
          <w:rFonts w:ascii="宋体" w:eastAsia="宋体" w:hAnsi="宋体" w:cs="宋体"/>
          <w:kern w:val="0"/>
          <w:sz w:val="24"/>
          <w:szCs w:val="24"/>
          <w:lang w:val="en-US" w:eastAsia="zh-CN" w:bidi="ar"/>
        </w:rPr>
        <w:drawing>
          <wp:anchor distT="0" distB="0" distL="114300" distR="114300" simplePos="0" relativeHeight="251669504" behindDoc="0" locked="0" layoutInCell="1" allowOverlap="1">
            <wp:simplePos x="0" y="0"/>
            <wp:positionH relativeFrom="column">
              <wp:posOffset>2132330</wp:posOffset>
            </wp:positionH>
            <wp:positionV relativeFrom="paragraph">
              <wp:posOffset>1419225</wp:posOffset>
            </wp:positionV>
            <wp:extent cx="116205" cy="154940"/>
            <wp:effectExtent l="0" t="0" r="17145" b="16510"/>
            <wp:wrapNone/>
            <wp:docPr id="33"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descr="IMG_256"/>
                    <pic:cNvPicPr>
                      <a:picLocks noChangeAspect="1"/>
                    </pic:cNvPicPr>
                  </pic:nvPicPr>
                  <pic:blipFill>
                    <a:blip xmlns:r="http://schemas.openxmlformats.org/officeDocument/2006/relationships" r:embed="rId36"/>
                    <a:stretch>
                      <a:fillRect/>
                    </a:stretch>
                  </pic:blipFill>
                  <pic:spPr>
                    <a:xfrm>
                      <a:off x="0" y="0"/>
                      <a:ext cx="116205" cy="154940"/>
                    </a:xfrm>
                    <a:prstGeom prst="rect">
                      <a:avLst/>
                    </a:prstGeom>
                    <a:noFill/>
                    <a:ln w="9525">
                      <a:noFill/>
                    </a:ln>
                  </pic:spPr>
                </pic:pic>
              </a:graphicData>
            </a:graphic>
          </wp:anchor>
        </w:drawing>
      </w:r>
      <w:r>
        <w:rPr>
          <w:rFonts w:hint="default"/>
          <w:sz w:val="40"/>
          <w:szCs w:val="44"/>
          <w:lang w:val="en-US" w:eastAsia="zh-CN"/>
        </w:rPr>
        <w:drawing>
          <wp:inline distT="0" distB="0" distL="114300" distR="114300">
            <wp:extent cx="3237865" cy="2623185"/>
            <wp:effectExtent l="0" t="0" r="635" b="5715"/>
            <wp:docPr id="5" name="图片 5" descr="QQ图片2022070914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图片20220709141405"/>
                    <pic:cNvPicPr>
                      <a:picLocks noChangeAspect="1"/>
                    </pic:cNvPicPr>
                  </pic:nvPicPr>
                  <pic:blipFill>
                    <a:blip xmlns:r="http://schemas.openxmlformats.org/officeDocument/2006/relationships" r:embed="rId37"/>
                    <a:stretch>
                      <a:fillRect/>
                    </a:stretch>
                  </pic:blipFill>
                  <pic:spPr>
                    <a:xfrm>
                      <a:off x="0" y="0"/>
                      <a:ext cx="3237865" cy="2623185"/>
                    </a:xfrm>
                    <a:prstGeom prst="rect">
                      <a:avLst/>
                    </a:prstGeom>
                  </pic:spPr>
                </pic:pic>
              </a:graphicData>
            </a:graphic>
          </wp:inline>
        </w:drawing>
      </w:r>
      <w:r>
        <w:rPr>
          <w:rFonts w:hint="default"/>
          <w:sz w:val="40"/>
          <w:szCs w:val="44"/>
          <w:lang w:val="en-US" w:eastAsia="zh-CN"/>
        </w:rPr>
        <w:drawing>
          <wp:anchor distT="0" distB="0" distL="114300" distR="114300" simplePos="0" relativeHeight="251668480" behindDoc="0" locked="0" layoutInCell="1" allowOverlap="1">
            <wp:simplePos x="0" y="0"/>
            <wp:positionH relativeFrom="column">
              <wp:posOffset>3747135</wp:posOffset>
            </wp:positionH>
            <wp:positionV relativeFrom="paragraph">
              <wp:posOffset>127635</wp:posOffset>
            </wp:positionV>
            <wp:extent cx="1854200" cy="2186305"/>
            <wp:effectExtent l="0" t="0" r="12700" b="4445"/>
            <wp:wrapNone/>
            <wp:docPr id="32" name="图片 32" descr="00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0000002"/>
                    <pic:cNvPicPr>
                      <a:picLocks noChangeAspect="1"/>
                    </pic:cNvPicPr>
                  </pic:nvPicPr>
                  <pic:blipFill>
                    <a:blip xmlns:r="http://schemas.openxmlformats.org/officeDocument/2006/relationships" r:embed="rId38"/>
                    <a:stretch>
                      <a:fillRect/>
                    </a:stretch>
                  </pic:blipFill>
                  <pic:spPr>
                    <a:xfrm>
                      <a:off x="0" y="0"/>
                      <a:ext cx="1854200" cy="2186305"/>
                    </a:xfrm>
                    <a:prstGeom prst="rect">
                      <a:avLst/>
                    </a:prstGeom>
                  </pic:spPr>
                </pic:pic>
              </a:graphicData>
            </a:graphic>
          </wp:anchor>
        </w:drawing>
      </w:r>
      <w:r>
        <w:rPr>
          <w:sz w:val="40"/>
        </w:rPr>
        <mc:AlternateContent>
          <mc:Choice Requires="wps">
            <w:drawing>
              <wp:anchor distT="0" distB="0" distL="114300" distR="114300" simplePos="0" relativeHeight="251661312" behindDoc="0" locked="0" layoutInCell="1" allowOverlap="1">
                <wp:simplePos x="0" y="0"/>
                <wp:positionH relativeFrom="column">
                  <wp:posOffset>796290</wp:posOffset>
                </wp:positionH>
                <wp:positionV relativeFrom="paragraph">
                  <wp:posOffset>1435100</wp:posOffset>
                </wp:positionV>
                <wp:extent cx="252730" cy="0"/>
                <wp:effectExtent l="33655" t="26670" r="37465" b="68580"/>
                <wp:wrapNone/>
                <wp:docPr id="19" name="直接连接符 19"/>
                <wp:cNvGraphicFramePr/>
                <a:graphic xmlns:a="http://schemas.openxmlformats.org/drawingml/2006/main">
                  <a:graphicData uri="http://schemas.microsoft.com/office/word/2010/wordprocessingShape">
                    <wps:wsp xmlns:wps="http://schemas.microsoft.com/office/word/2010/wordprocessingShape">
                      <wps:cNvCnPr/>
                      <wps:spPr>
                        <a:xfrm>
                          <a:off x="1939290" y="3145790"/>
                          <a:ext cx="25273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直接连接符 19" o:spid="_x0000_s1025" style="mso-wrap-distance-bottom:0;mso-wrap-distance-left:9pt;mso-wrap-distance-right:9pt;mso-wrap-distance-top:0;position:absolute;v-text-anchor:top;z-index:251660288" from="62.7pt,113pt" to="82.6pt,113pt" fillcolor="this" stroked="t" strokecolor="black" strokeweight="2pt">
                <v:shadow on="t" type="perspective" color="black" opacity="24929f" origin=",0.5" offset="0,1.57pt"/>
              </v:line>
            </w:pict>
          </mc:Fallback>
        </mc:AlternateContent>
      </w:r>
      <w:r>
        <w:rPr>
          <w:rFonts w:ascii="Times New Roman" w:eastAsia="仿宋" w:hAnsi="Times New Roman" w:cs="Times New Roman" w:hint="default"/>
          <w:kern w:val="0"/>
          <w:sz w:val="32"/>
          <w:szCs w:val="32"/>
        </w:rPr>
        <w:drawing>
          <wp:anchor distT="0" distB="0" distL="114300" distR="114300" simplePos="0" relativeHeight="251658240" behindDoc="0" locked="0" layoutInCell="1" allowOverlap="1">
            <wp:simplePos x="0" y="0"/>
            <wp:positionH relativeFrom="column">
              <wp:posOffset>920115</wp:posOffset>
            </wp:positionH>
            <wp:positionV relativeFrom="paragraph">
              <wp:posOffset>685165</wp:posOffset>
            </wp:positionV>
            <wp:extent cx="1464945" cy="162560"/>
            <wp:effectExtent l="0" t="0" r="1905" b="8890"/>
            <wp:wrapNone/>
            <wp:docPr id="18" name="图片 18" descr="1657332908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657332908429"/>
                    <pic:cNvPicPr>
                      <a:picLocks noChangeAspect="1"/>
                    </pic:cNvPicPr>
                  </pic:nvPicPr>
                  <pic:blipFill>
                    <a:blip xmlns:r="http://schemas.openxmlformats.org/officeDocument/2006/relationships" r:embed="rId39"/>
                    <a:stretch>
                      <a:fillRect/>
                    </a:stretch>
                  </pic:blipFill>
                  <pic:spPr>
                    <a:xfrm>
                      <a:off x="0" y="0"/>
                      <a:ext cx="1464945" cy="162560"/>
                    </a:xfrm>
                    <a:prstGeom prst="rect">
                      <a:avLst/>
                    </a:prstGeom>
                  </pic:spPr>
                </pic:pic>
              </a:graphicData>
            </a:graphic>
          </wp:anchor>
        </w:drawing>
      </w: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70528" behindDoc="0" locked="0" layoutInCell="1" allowOverlap="1">
            <wp:simplePos x="0" y="0"/>
            <wp:positionH relativeFrom="column">
              <wp:posOffset>3684905</wp:posOffset>
            </wp:positionH>
            <wp:positionV relativeFrom="paragraph">
              <wp:posOffset>280670</wp:posOffset>
            </wp:positionV>
            <wp:extent cx="2139315" cy="2226945"/>
            <wp:effectExtent l="0" t="0" r="13335" b="1905"/>
            <wp:wrapNone/>
            <wp:docPr id="34"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descr="IMG_256"/>
                    <pic:cNvPicPr>
                      <a:picLocks noChangeAspect="1"/>
                    </pic:cNvPicPr>
                  </pic:nvPicPr>
                  <pic:blipFill>
                    <a:blip xmlns:r="http://schemas.openxmlformats.org/officeDocument/2006/relationships" r:embed="rId40"/>
                    <a:stretch>
                      <a:fillRect/>
                    </a:stretch>
                  </pic:blipFill>
                  <pic:spPr>
                    <a:xfrm>
                      <a:off x="0" y="0"/>
                      <a:ext cx="2139315" cy="2226945"/>
                    </a:xfrm>
                    <a:prstGeom prst="rect">
                      <a:avLst/>
                    </a:prstGeom>
                    <a:noFill/>
                    <a:ln w="9525">
                      <a:noFill/>
                    </a:ln>
                  </pic:spPr>
                </pic:pic>
              </a:graphicData>
            </a:graphic>
          </wp:anchor>
        </w:drawing>
      </w:r>
      <w:r>
        <w:rPr>
          <w:rFonts w:hint="default"/>
          <w:sz w:val="40"/>
          <w:szCs w:val="44"/>
          <w:lang w:val="en-US" w:eastAsia="zh-CN"/>
        </w:rPr>
        <w:drawing>
          <wp:anchor distT="0" distB="0" distL="114300" distR="114300" simplePos="0" relativeHeight="251659264" behindDoc="0" locked="0" layoutInCell="1" allowOverlap="1">
            <wp:simplePos x="0" y="0"/>
            <wp:positionH relativeFrom="column">
              <wp:posOffset>151130</wp:posOffset>
            </wp:positionH>
            <wp:positionV relativeFrom="paragraph">
              <wp:posOffset>184785</wp:posOffset>
            </wp:positionV>
            <wp:extent cx="2945130" cy="2259965"/>
            <wp:effectExtent l="0" t="0" r="7620" b="6985"/>
            <wp:wrapNone/>
            <wp:docPr id="17" name="图片 17" descr="QQ图片2022070914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图片20220709141623"/>
                    <pic:cNvPicPr>
                      <a:picLocks noChangeAspect="1"/>
                    </pic:cNvPicPr>
                  </pic:nvPicPr>
                  <pic:blipFill>
                    <a:blip xmlns:r="http://schemas.openxmlformats.org/officeDocument/2006/relationships" r:embed="rId41"/>
                    <a:stretch>
                      <a:fillRect/>
                    </a:stretch>
                  </pic:blipFill>
                  <pic:spPr>
                    <a:xfrm>
                      <a:off x="0" y="0"/>
                      <a:ext cx="2945130" cy="2259965"/>
                    </a:xfrm>
                    <a:prstGeom prst="rect">
                      <a:avLst/>
                    </a:prstGeom>
                  </pic:spPr>
                </pic:pic>
              </a:graphicData>
            </a:graphic>
          </wp:anchor>
        </w:drawing>
      </w:r>
      <w:r>
        <w:rPr>
          <w:rFonts w:ascii="宋体" w:eastAsia="宋体" w:hAnsi="宋体" w:cs="宋体"/>
          <w:kern w:val="0"/>
          <w:sz w:val="24"/>
          <w:szCs w:val="24"/>
          <w:lang w:val="en-US" w:eastAsia="zh-CN" w:bidi="ar"/>
        </w:rPr>
        <w:drawing>
          <wp:anchor distT="0" distB="0" distL="114300" distR="114300" simplePos="0" relativeHeight="251665408" behindDoc="0" locked="0" layoutInCell="1" allowOverlap="1">
            <wp:simplePos x="0" y="0"/>
            <wp:positionH relativeFrom="column">
              <wp:posOffset>1080135</wp:posOffset>
            </wp:positionH>
            <wp:positionV relativeFrom="paragraph">
              <wp:posOffset>248285</wp:posOffset>
            </wp:positionV>
            <wp:extent cx="111125" cy="156845"/>
            <wp:effectExtent l="0" t="0" r="3175" b="14605"/>
            <wp:wrapNone/>
            <wp:docPr id="2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descr="IMG_256"/>
                    <pic:cNvPicPr>
                      <a:picLocks noChangeAspect="1"/>
                    </pic:cNvPicPr>
                  </pic:nvPicPr>
                  <pic:blipFill>
                    <a:blip xmlns:r="http://schemas.openxmlformats.org/officeDocument/2006/relationships" r:embed="rId42"/>
                    <a:stretch>
                      <a:fillRect/>
                    </a:stretch>
                  </pic:blipFill>
                  <pic:spPr>
                    <a:xfrm>
                      <a:off x="0" y="0"/>
                      <a:ext cx="111125" cy="156845"/>
                    </a:xfrm>
                    <a:prstGeom prst="rect">
                      <a:avLst/>
                    </a:prstGeom>
                    <a:noFill/>
                    <a:ln w="9525">
                      <a:noFill/>
                    </a:ln>
                  </pic:spPr>
                </pic:pic>
              </a:graphicData>
            </a:graphic>
          </wp:anchor>
        </w:drawing>
      </w: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67456" behindDoc="0" locked="0" layoutInCell="1" allowOverlap="1">
            <wp:simplePos x="0" y="0"/>
            <wp:positionH relativeFrom="column">
              <wp:posOffset>1521460</wp:posOffset>
            </wp:positionH>
            <wp:positionV relativeFrom="paragraph">
              <wp:posOffset>246380</wp:posOffset>
            </wp:positionV>
            <wp:extent cx="82550" cy="116205"/>
            <wp:effectExtent l="0" t="0" r="12700" b="17145"/>
            <wp:wrapNone/>
            <wp:docPr id="27"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descr="IMG_256"/>
                    <pic:cNvPicPr>
                      <a:picLocks noChangeAspect="1"/>
                    </pic:cNvPicPr>
                  </pic:nvPicPr>
                  <pic:blipFill>
                    <a:blip xmlns:r="http://schemas.openxmlformats.org/officeDocument/2006/relationships" r:embed="rId42"/>
                    <a:stretch>
                      <a:fillRect/>
                    </a:stretch>
                  </pic:blipFill>
                  <pic:spPr>
                    <a:xfrm>
                      <a:off x="0" y="0"/>
                      <a:ext cx="82550" cy="116205"/>
                    </a:xfrm>
                    <a:prstGeom prst="rect">
                      <a:avLst/>
                    </a:prstGeom>
                    <a:noFill/>
                    <a:ln w="9525">
                      <a:noFill/>
                    </a:ln>
                  </pic:spPr>
                </pic:pic>
              </a:graphicData>
            </a:graphic>
          </wp:anchor>
        </w:drawing>
      </w:r>
      <w:r>
        <w:rPr>
          <w:rFonts w:ascii="宋体" w:eastAsia="宋体" w:hAnsi="宋体" w:cs="宋体"/>
          <w:kern w:val="0"/>
          <w:sz w:val="24"/>
          <w:szCs w:val="24"/>
          <w:lang w:val="en-US" w:eastAsia="zh-CN" w:bidi="ar"/>
        </w:rPr>
        <w:drawing>
          <wp:anchor distT="0" distB="0" distL="114300" distR="114300" simplePos="0" relativeHeight="251664384" behindDoc="0" locked="0" layoutInCell="1" allowOverlap="1">
            <wp:simplePos x="0" y="0"/>
            <wp:positionH relativeFrom="column">
              <wp:posOffset>474345</wp:posOffset>
            </wp:positionH>
            <wp:positionV relativeFrom="paragraph">
              <wp:posOffset>240030</wp:posOffset>
            </wp:positionV>
            <wp:extent cx="93345" cy="132080"/>
            <wp:effectExtent l="0" t="0" r="1905" b="1270"/>
            <wp:wrapNone/>
            <wp:docPr id="24"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descr="IMG_256"/>
                    <pic:cNvPicPr>
                      <a:picLocks noChangeAspect="1"/>
                    </pic:cNvPicPr>
                  </pic:nvPicPr>
                  <pic:blipFill>
                    <a:blip xmlns:r="http://schemas.openxmlformats.org/officeDocument/2006/relationships" r:embed="rId42"/>
                    <a:stretch>
                      <a:fillRect/>
                    </a:stretch>
                  </pic:blipFill>
                  <pic:spPr>
                    <a:xfrm>
                      <a:off x="0" y="0"/>
                      <a:ext cx="93345" cy="132080"/>
                    </a:xfrm>
                    <a:prstGeom prst="rect">
                      <a:avLst/>
                    </a:prstGeom>
                    <a:noFill/>
                    <a:ln w="9525">
                      <a:noFill/>
                    </a:ln>
                  </pic:spPr>
                </pic:pic>
              </a:graphicData>
            </a:graphic>
          </wp:anchor>
        </w:drawing>
      </w: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66432" behindDoc="0" locked="0" layoutInCell="1" allowOverlap="1">
            <wp:simplePos x="0" y="0"/>
            <wp:positionH relativeFrom="column">
              <wp:posOffset>1202690</wp:posOffset>
            </wp:positionH>
            <wp:positionV relativeFrom="paragraph">
              <wp:posOffset>19685</wp:posOffset>
            </wp:positionV>
            <wp:extent cx="111125" cy="156845"/>
            <wp:effectExtent l="0" t="0" r="3175" b="14605"/>
            <wp:wrapNone/>
            <wp:docPr id="2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descr="IMG_256"/>
                    <pic:cNvPicPr>
                      <a:picLocks noChangeAspect="1"/>
                    </pic:cNvPicPr>
                  </pic:nvPicPr>
                  <pic:blipFill>
                    <a:blip xmlns:r="http://schemas.openxmlformats.org/officeDocument/2006/relationships" r:embed="rId42"/>
                    <a:stretch>
                      <a:fillRect/>
                    </a:stretch>
                  </pic:blipFill>
                  <pic:spPr>
                    <a:xfrm>
                      <a:off x="0" y="0"/>
                      <a:ext cx="111125" cy="156845"/>
                    </a:xfrm>
                    <a:prstGeom prst="rect">
                      <a:avLst/>
                    </a:prstGeom>
                    <a:noFill/>
                    <a:ln w="9525">
                      <a:noFill/>
                    </a:ln>
                  </pic:spPr>
                </pic:pic>
              </a:graphicData>
            </a:graphic>
          </wp:anchor>
        </w:drawing>
      </w: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63360" behindDoc="0" locked="0" layoutInCell="1" allowOverlap="1">
            <wp:simplePos x="0" y="0"/>
            <wp:positionH relativeFrom="column">
              <wp:posOffset>2726690</wp:posOffset>
            </wp:positionH>
            <wp:positionV relativeFrom="paragraph">
              <wp:posOffset>111125</wp:posOffset>
            </wp:positionV>
            <wp:extent cx="408305" cy="207645"/>
            <wp:effectExtent l="0" t="0" r="10795" b="1905"/>
            <wp:wrapNone/>
            <wp:docPr id="2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descr="IMG_256"/>
                    <pic:cNvPicPr>
                      <a:picLocks noChangeAspect="1"/>
                    </pic:cNvPicPr>
                  </pic:nvPicPr>
                  <pic:blipFill>
                    <a:blip xmlns:r="http://schemas.openxmlformats.org/officeDocument/2006/relationships" r:embed="rId43"/>
                    <a:stretch>
                      <a:fillRect/>
                    </a:stretch>
                  </pic:blipFill>
                  <pic:spPr>
                    <a:xfrm>
                      <a:off x="0" y="0"/>
                      <a:ext cx="408305" cy="207645"/>
                    </a:xfrm>
                    <a:prstGeom prst="rect">
                      <a:avLst/>
                    </a:prstGeom>
                    <a:noFill/>
                    <a:ln w="9525">
                      <a:noFill/>
                    </a:ln>
                  </pic:spPr>
                </pic:pic>
              </a:graphicData>
            </a:graphic>
          </wp:anchor>
        </w:drawing>
      </w:r>
      <w:r>
        <w:rPr>
          <w:rFonts w:ascii="宋体" w:eastAsia="宋体" w:hAnsi="宋体" w:cs="宋体"/>
          <w:kern w:val="0"/>
          <w:sz w:val="24"/>
          <w:szCs w:val="24"/>
          <w:lang w:val="en-US" w:eastAsia="zh-CN" w:bidi="ar"/>
        </w:rPr>
        <w:drawing>
          <wp:anchor distT="0" distB="0" distL="114300" distR="114300" simplePos="0" relativeHeight="251662336" behindDoc="0" locked="0" layoutInCell="1" allowOverlap="1">
            <wp:simplePos x="0" y="0"/>
            <wp:positionH relativeFrom="column">
              <wp:posOffset>116840</wp:posOffset>
            </wp:positionH>
            <wp:positionV relativeFrom="paragraph">
              <wp:posOffset>115570</wp:posOffset>
            </wp:positionV>
            <wp:extent cx="314325" cy="188595"/>
            <wp:effectExtent l="0" t="0" r="9525" b="1905"/>
            <wp:wrapNone/>
            <wp:docPr id="2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IMG_256"/>
                    <pic:cNvPicPr>
                      <a:picLocks noChangeAspect="1"/>
                    </pic:cNvPicPr>
                  </pic:nvPicPr>
                  <pic:blipFill>
                    <a:blip xmlns:r="http://schemas.openxmlformats.org/officeDocument/2006/relationships" r:embed="rId44"/>
                    <a:stretch>
                      <a:fillRect/>
                    </a:stretch>
                  </pic:blipFill>
                  <pic:spPr>
                    <a:xfrm>
                      <a:off x="0" y="0"/>
                      <a:ext cx="314325" cy="188595"/>
                    </a:xfrm>
                    <a:prstGeom prst="rect">
                      <a:avLst/>
                    </a:prstGeom>
                    <a:noFill/>
                    <a:ln w="9525">
                      <a:noFill/>
                    </a:ln>
                  </pic:spPr>
                </pic:pic>
              </a:graphicData>
            </a:graphic>
          </wp:anchor>
        </w:drawing>
      </w:r>
    </w:p>
    <w:p>
      <w:pPr>
        <w:rPr>
          <w:rFonts w:hint="default"/>
          <w:sz w:val="40"/>
          <w:szCs w:val="44"/>
        </w:rPr>
      </w:pPr>
    </w:p>
    <w:p>
      <w:pPr>
        <w:rPr>
          <w:rFonts w:hint="default"/>
          <w:sz w:val="40"/>
          <w:szCs w:val="44"/>
        </w:rPr>
      </w:pPr>
      <w:r>
        <w:rPr>
          <w:rFonts w:ascii="宋体" w:eastAsia="宋体" w:hAnsi="宋体" w:cs="宋体"/>
          <w:kern w:val="0"/>
          <w:sz w:val="24"/>
          <w:szCs w:val="24"/>
          <w:lang w:val="en-US" w:eastAsia="zh-CN" w:bidi="ar"/>
        </w:rPr>
        <w:drawing>
          <wp:anchor distT="0" distB="0" distL="114300" distR="114300" simplePos="0" relativeHeight="251672576" behindDoc="0" locked="0" layoutInCell="1" allowOverlap="1">
            <wp:simplePos x="0" y="0"/>
            <wp:positionH relativeFrom="column">
              <wp:posOffset>1403350</wp:posOffset>
            </wp:positionH>
            <wp:positionV relativeFrom="paragraph">
              <wp:posOffset>385445</wp:posOffset>
            </wp:positionV>
            <wp:extent cx="337185" cy="133350"/>
            <wp:effectExtent l="0" t="0" r="5715" b="0"/>
            <wp:wrapNone/>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xmlns:r="http://schemas.openxmlformats.org/officeDocument/2006/relationships" r:embed="rId45"/>
                    <a:stretch>
                      <a:fillRect/>
                    </a:stretch>
                  </pic:blipFill>
                  <pic:spPr>
                    <a:xfrm>
                      <a:off x="0" y="0"/>
                      <a:ext cx="337185" cy="133350"/>
                    </a:xfrm>
                    <a:prstGeom prst="rect">
                      <a:avLst/>
                    </a:prstGeom>
                    <a:noFill/>
                    <a:ln w="9525">
                      <a:noFill/>
                    </a:ln>
                  </pic:spPr>
                </pic:pic>
              </a:graphicData>
            </a:graphic>
          </wp:anchor>
        </w:drawing>
      </w:r>
    </w:p>
    <w:p>
      <w:pPr>
        <w:rPr>
          <w:rFonts w:hint="default"/>
          <w:sz w:val="40"/>
          <w:szCs w:val="44"/>
        </w:rPr>
      </w:pPr>
    </w:p>
    <w:p>
      <w:pPr>
        <w:pageBreakBefore w:val="0"/>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lang w:eastAsia="zh-CN"/>
        </w:rPr>
        <w:t>（</w:t>
      </w:r>
      <w:r>
        <w:rPr>
          <w:rFonts w:ascii="Times New Roman" w:eastAsia="仿宋" w:hAnsi="Times New Roman" w:cs="Times New Roman" w:hint="default"/>
          <w:sz w:val="32"/>
          <w:szCs w:val="32"/>
          <w:lang w:val="en-US" w:eastAsia="zh-CN"/>
        </w:rPr>
        <w:t>5</w:t>
      </w:r>
      <w:r>
        <w:rPr>
          <w:rFonts w:ascii="Times New Roman" w:eastAsia="仿宋" w:hAnsi="Times New Roman" w:cs="Times New Roman" w:hint="default"/>
          <w:sz w:val="32"/>
          <w:szCs w:val="32"/>
          <w:lang w:eastAsia="zh-CN"/>
        </w:rPr>
        <w:t>）</w:t>
      </w:r>
      <w:r>
        <w:rPr>
          <w:rFonts w:ascii="Times New Roman" w:eastAsia="仿宋" w:hAnsi="Times New Roman" w:cs="Times New Roman" w:hint="default"/>
          <w:sz w:val="32"/>
          <w:szCs w:val="32"/>
          <w:lang w:val="en-US" w:eastAsia="zh-CN"/>
        </w:rPr>
        <w:t>评分标准</w:t>
      </w:r>
    </w:p>
    <w:p>
      <w:pPr>
        <w:pageBreakBefore w:val="0"/>
        <w:shd w:val="clear" w:color="auto" w:fill="FFFFFF"/>
        <w:kinsoku/>
        <w:wordWrap/>
        <w:overflowPunct/>
        <w:topLinePunct w:val="0"/>
        <w:bidi w:val="0"/>
        <w:spacing w:beforeAutospacing="0" w:afterAutospacing="0" w:line="240" w:lineRule="auto"/>
        <w:ind w:left="0" w:right="0" w:firstLine="640" w:firstLineChars="200"/>
        <w:textAlignment w:val="auto"/>
        <w:rPr>
          <w:rFonts w:hint="default"/>
          <w:bCs/>
          <w:szCs w:val="32"/>
        </w:rPr>
      </w:pPr>
      <w:r>
        <w:rPr>
          <w:rFonts w:ascii="Times New Roman" w:eastAsia="仿宋" w:hAnsi="Times New Roman" w:cs="Times New Roman" w:hint="default"/>
          <w:bCs/>
          <w:sz w:val="32"/>
          <w:szCs w:val="32"/>
        </w:rPr>
        <w:t>由裁判组按以下标准对参赛选手测试过程中的操作及提交的零部件进行评分，具体如下表所示</w:t>
      </w:r>
      <w:r>
        <w:rPr>
          <w:rFonts w:ascii="Times New Roman" w:eastAsia="仿宋" w:hAnsi="Times New Roman" w:cs="Times New Roman" w:hint="default"/>
          <w:bCs/>
          <w:sz w:val="32"/>
          <w:szCs w:val="32"/>
          <w:lang w:eastAsia="zh-CN"/>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3"/>
        <w:gridCol w:w="6028"/>
        <w:gridCol w:w="150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23"/>
          <w:jc w:val="center"/>
        </w:trPr>
        <w:tc>
          <w:tcPr>
            <w:tcW w:w="993" w:type="dxa"/>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eastAsia"/>
                <w:b/>
                <w:bCs w:val="0"/>
                <w:sz w:val="28"/>
                <w:szCs w:val="28"/>
              </w:rPr>
            </w:pPr>
            <w:r>
              <w:rPr>
                <w:rFonts w:cs="Times New Roman" w:hint="eastAsia"/>
                <w:b/>
                <w:bCs w:val="0"/>
                <w:sz w:val="28"/>
                <w:szCs w:val="28"/>
                <w:lang w:val="en-US" w:eastAsia="zh-CN"/>
              </w:rPr>
              <w:t>序号</w:t>
            </w:r>
          </w:p>
        </w:tc>
        <w:tc>
          <w:tcPr>
            <w:tcW w:w="6028" w:type="dxa"/>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eastAsia"/>
                <w:b/>
                <w:bCs w:val="0"/>
                <w:sz w:val="28"/>
                <w:szCs w:val="28"/>
              </w:rPr>
            </w:pPr>
            <w:r>
              <w:rPr>
                <w:rFonts w:cs="Times New Roman" w:hint="eastAsia"/>
                <w:b/>
                <w:bCs w:val="0"/>
                <w:sz w:val="28"/>
                <w:szCs w:val="28"/>
                <w:lang w:val="en-US" w:eastAsia="zh-CN"/>
              </w:rPr>
              <w:t>考核要素</w:t>
            </w:r>
          </w:p>
        </w:tc>
        <w:tc>
          <w:tcPr>
            <w:tcW w:w="1501" w:type="dxa"/>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
                <w:bCs w:val="0"/>
                <w:sz w:val="28"/>
                <w:szCs w:val="28"/>
              </w:rPr>
            </w:pPr>
            <w:r>
              <w:rPr>
                <w:rFonts w:ascii="Times New Roman" w:eastAsia="仿宋" w:hAnsi="Times New Roman" w:cs="Times New Roman" w:hint="default"/>
                <w:b/>
                <w:bCs w:val="0"/>
                <w:sz w:val="28"/>
                <w:szCs w:val="28"/>
              </w:rPr>
              <w:t>分值</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1</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安全文明生产</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sz w:val="28"/>
                <w:szCs w:val="28"/>
              </w:rPr>
              <w:t>5</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钣金零件尺寸</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24</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3</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纹路方向</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折弯半径和角度</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w:t>
            </w:r>
          </w:p>
        </w:tc>
      </w:tr>
    </w:tbl>
    <w:p>
      <w:pPr>
        <w:sectPr>
          <w:headerReference w:type="default" r:id="rId46"/>
          <w:footerReference w:type="default" r:id="rId47"/>
          <w:type w:val="nextPage"/>
          <w:pgSz w:w="11906" w:h="16838"/>
          <w:pgMar w:top="1417" w:right="1417" w:bottom="1247" w:left="1417" w:header="851" w:footer="992" w:gutter="0"/>
          <w:pgNumType w:fmt="decimal" w:start="14"/>
          <w:cols w:num="1" w:space="720"/>
          <w:titlePg w:val="0"/>
          <w:docGrid w:type="linesAndChars" w:linePitch="319"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3"/>
        <w:gridCol w:w="6028"/>
        <w:gridCol w:w="150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所有边缘光滑、无磕伤</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6</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铆钉边距、间距、行距</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18</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7</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铆钉钉头、</w:t>
            </w:r>
            <w:r>
              <w:rPr>
                <w:rFonts w:ascii="Times New Roman" w:eastAsia="仿宋" w:hAnsi="Times New Roman" w:cs="Times New Roman" w:hint="default"/>
                <w:sz w:val="28"/>
                <w:szCs w:val="28"/>
              </w:rPr>
              <w:t>墩头</w:t>
            </w:r>
            <w:r>
              <w:rPr>
                <w:rFonts w:ascii="Times New Roman" w:eastAsia="仿宋" w:hAnsi="Times New Roman" w:cs="Times New Roman" w:hint="default"/>
                <w:bCs/>
                <w:sz w:val="28"/>
                <w:szCs w:val="28"/>
              </w:rPr>
              <w:t>质量</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21</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8</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折弯R区有无裂纹、桔皮</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9</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孔质量</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7</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w:t>
            </w: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表面质量/工具磕伤</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11</w:t>
            </w:r>
          </w:p>
        </w:tc>
        <w:tc>
          <w:tcPr>
            <w:tcW w:w="602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textAlignment w:val="auto"/>
              <w:rPr>
                <w:rFonts w:hint="default"/>
                <w:sz w:val="28"/>
                <w:szCs w:val="28"/>
              </w:rPr>
            </w:pPr>
            <w:r>
              <w:rPr>
                <w:rFonts w:ascii="Times New Roman" w:eastAsia="仿宋" w:hAnsi="Times New Roman" w:cs="Times New Roman" w:hint="default"/>
                <w:sz w:val="28"/>
                <w:szCs w:val="28"/>
              </w:rPr>
              <w:t>装配对称</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jc w:val="center"/>
              <w:textAlignment w:val="auto"/>
              <w:rPr>
                <w:rFonts w:hint="default"/>
                <w:spacing w:val="-20"/>
                <w:sz w:val="28"/>
                <w:szCs w:val="28"/>
              </w:rPr>
            </w:pPr>
            <w:r>
              <w:rPr>
                <w:rFonts w:ascii="Times New Roman" w:eastAsia="仿宋" w:hAnsi="Times New Roman" w:cs="Times New Roman" w:hint="default"/>
                <w:spacing w:val="-20"/>
                <w:sz w:val="28"/>
                <w:szCs w:val="28"/>
              </w:rPr>
              <w:t>12</w:t>
            </w:r>
          </w:p>
        </w:tc>
        <w:tc>
          <w:tcPr>
            <w:tcW w:w="602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textAlignment w:val="auto"/>
              <w:rPr>
                <w:rFonts w:hint="default"/>
                <w:spacing w:val="-20"/>
                <w:sz w:val="28"/>
                <w:szCs w:val="28"/>
              </w:rPr>
            </w:pPr>
            <w:r>
              <w:rPr>
                <w:rFonts w:ascii="Times New Roman" w:eastAsia="仿宋" w:hAnsi="Times New Roman" w:cs="Times New Roman" w:hint="default"/>
                <w:spacing w:val="-20"/>
                <w:sz w:val="28"/>
                <w:szCs w:val="28"/>
              </w:rPr>
              <w:t>工件表面变形量（平面度）</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13</w:t>
            </w:r>
          </w:p>
        </w:tc>
        <w:tc>
          <w:tcPr>
            <w:tcW w:w="602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textAlignment w:val="auto"/>
              <w:rPr>
                <w:rFonts w:hint="default"/>
                <w:sz w:val="28"/>
                <w:szCs w:val="28"/>
              </w:rPr>
            </w:pPr>
            <w:r>
              <w:rPr>
                <w:rFonts w:ascii="Times New Roman" w:eastAsia="仿宋" w:hAnsi="Times New Roman" w:cs="Times New Roman" w:hint="default"/>
                <w:sz w:val="28"/>
                <w:szCs w:val="28"/>
              </w:rPr>
              <w:t>工件间局部间隙</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jc w:val="center"/>
              <w:textAlignment w:val="auto"/>
              <w:rPr>
                <w:rFonts w:hint="default"/>
                <w:spacing w:val="-20"/>
                <w:sz w:val="28"/>
                <w:szCs w:val="28"/>
              </w:rPr>
            </w:pPr>
            <w:r>
              <w:rPr>
                <w:rFonts w:ascii="Times New Roman" w:eastAsia="仿宋" w:hAnsi="Times New Roman" w:cs="Times New Roman" w:hint="default"/>
                <w:spacing w:val="-20"/>
                <w:sz w:val="28"/>
                <w:szCs w:val="28"/>
              </w:rPr>
              <w:t>14</w:t>
            </w:r>
          </w:p>
        </w:tc>
        <w:tc>
          <w:tcPr>
            <w:tcW w:w="6028"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right="0"/>
              <w:textAlignment w:val="auto"/>
              <w:rPr>
                <w:rFonts w:hint="default"/>
                <w:spacing w:val="-20"/>
                <w:sz w:val="28"/>
                <w:szCs w:val="28"/>
              </w:rPr>
            </w:pPr>
            <w:r>
              <w:rPr>
                <w:rFonts w:ascii="Times New Roman" w:eastAsia="仿宋" w:hAnsi="Times New Roman" w:cs="Times New Roman" w:hint="default"/>
                <w:spacing w:val="-20"/>
                <w:sz w:val="28"/>
                <w:szCs w:val="28"/>
              </w:rPr>
              <w:t>工件之间不能有多余夹杂物</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w:t>
            </w:r>
          </w:p>
        </w:tc>
      </w:tr>
      <w:tr>
        <w:tblPrEx>
          <w:tblW w:w="0" w:type="auto"/>
          <w:jc w:val="center"/>
          <w:tblCellMar>
            <w:top w:w="0" w:type="dxa"/>
            <w:left w:w="108" w:type="dxa"/>
            <w:bottom w:w="0" w:type="dxa"/>
            <w:right w:w="108" w:type="dxa"/>
          </w:tblCellMar>
        </w:tblPrEx>
        <w:trPr>
          <w:trHeight w:val="23"/>
          <w:jc w:val="center"/>
        </w:trPr>
        <w:tc>
          <w:tcPr>
            <w:tcW w:w="993"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p>
        </w:tc>
        <w:tc>
          <w:tcPr>
            <w:tcW w:w="6028"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总计</w:t>
            </w:r>
          </w:p>
        </w:tc>
        <w:tc>
          <w:tcPr>
            <w:tcW w:w="1501" w:type="dxa"/>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100</w:t>
            </w:r>
          </w:p>
        </w:tc>
      </w:tr>
    </w:tbl>
    <w:p>
      <w:pPr>
        <w:pageBreakBefore w:val="0"/>
        <w:numPr>
          <w:ilvl w:val="0"/>
          <w:numId w:val="0"/>
        </w:numPr>
        <w:kinsoku/>
        <w:wordWrap/>
        <w:overflowPunct/>
        <w:topLinePunct w:val="0"/>
        <w:bidi w:val="0"/>
        <w:spacing w:beforeAutospacing="0" w:afterAutospacing="0" w:line="240" w:lineRule="auto"/>
        <w:ind w:left="0" w:right="0" w:firstLine="640" w:firstLineChars="200"/>
        <w:textAlignment w:val="auto"/>
        <w:rPr>
          <w:rFonts w:hint="default"/>
          <w:b/>
          <w:bCs/>
          <w:szCs w:val="32"/>
        </w:rPr>
      </w:pPr>
      <w:r>
        <w:rPr>
          <w:rFonts w:ascii="Times New Roman" w:eastAsia="仿宋" w:hAnsi="Times New Roman" w:cs="Times New Roman" w:hint="default"/>
          <w:b/>
          <w:bCs/>
          <w:sz w:val="32"/>
          <w:szCs w:val="32"/>
          <w:lang w:val="en-US" w:eastAsia="zh-CN"/>
        </w:rPr>
        <w:t>2. 外场可更换单元（LRU）电气</w:t>
      </w:r>
      <w:r>
        <w:rPr>
          <w:rFonts w:cs="Times New Roman" w:hint="eastAsia"/>
          <w:b/>
          <w:bCs/>
          <w:sz w:val="32"/>
          <w:szCs w:val="32"/>
          <w:lang w:val="en-US" w:eastAsia="zh-CN"/>
        </w:rPr>
        <w:t>模块</w:t>
      </w:r>
    </w:p>
    <w:p>
      <w:pPr>
        <w:pStyle w:val="BodyTextFirstIndent"/>
        <w:pageBreakBefore w:val="0"/>
        <w:kinsoku/>
        <w:wordWrap/>
        <w:overflowPunct/>
        <w:topLinePunct w:val="0"/>
        <w:bidi w:val="0"/>
        <w:spacing w:beforeAutospacing="0" w:afterAutospacing="0" w:line="240" w:lineRule="auto"/>
        <w:ind w:left="0" w:right="0" w:firstLine="640" w:leftChars="0" w:firstLineChars="20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t>（1）考核目标</w:t>
      </w:r>
    </w:p>
    <w:p>
      <w:pPr>
        <w:pStyle w:val="BodyTextFirstIndent"/>
        <w:pageBreakBefore w:val="0"/>
        <w:kinsoku/>
        <w:wordWrap/>
        <w:overflowPunct/>
        <w:topLinePunct w:val="0"/>
        <w:bidi w:val="0"/>
        <w:spacing w:beforeAutospacing="0" w:afterAutospacing="0" w:line="240" w:lineRule="auto"/>
        <w:ind w:left="0" w:right="0" w:firstLine="640" w:leftChars="0" w:firstLineChars="20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t>考核选手依据指定的线路图及标准规范，正确使用专用工具在模拟安装板上制作、装配及测试电缆的能力。</w:t>
      </w:r>
    </w:p>
    <w:p>
      <w:pPr>
        <w:pStyle w:val="BodyTextFirstIndent"/>
        <w:pageBreakBefore w:val="0"/>
        <w:kinsoku/>
        <w:wordWrap/>
        <w:overflowPunct/>
        <w:topLinePunct w:val="0"/>
        <w:bidi w:val="0"/>
        <w:spacing w:beforeAutospacing="0" w:afterAutospacing="0" w:line="240" w:lineRule="auto"/>
        <w:ind w:left="0" w:right="0" w:firstLine="640" w:leftChars="0" w:firstLineChars="20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t>（2）考核技术要素</w:t>
      </w:r>
    </w:p>
    <w:tbl>
      <w:tblPr>
        <w:tblStyle w:val="TableNormal"/>
        <w:tblW w:w="8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91"/>
        <w:gridCol w:w="7281"/>
      </w:tblGrid>
      <w:tr>
        <w:tblPrEx>
          <w:tblW w:w="8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b/>
                <w:bCs/>
                <w:sz w:val="28"/>
                <w:szCs w:val="28"/>
              </w:rPr>
            </w:pPr>
            <w:r>
              <w:rPr>
                <w:rFonts w:ascii="仿宋" w:eastAsia="仿宋" w:hAnsi="仿宋" w:cs="仿宋" w:hint="eastAsia"/>
                <w:b/>
                <w:bCs/>
                <w:sz w:val="28"/>
                <w:szCs w:val="28"/>
              </w:rPr>
              <w:t>序号</w:t>
            </w:r>
          </w:p>
        </w:tc>
        <w:tc>
          <w:tcPr>
            <w:tcW w:w="7281" w:type="dxa"/>
            <w:vAlign w:val="center"/>
          </w:tcPr>
          <w:p>
            <w:pPr>
              <w:jc w:val="center"/>
              <w:rPr>
                <w:rFonts w:ascii="仿宋" w:hAnsi="仿宋" w:cs="仿宋" w:hint="eastAsia"/>
                <w:b/>
                <w:bCs/>
                <w:sz w:val="28"/>
                <w:szCs w:val="28"/>
              </w:rPr>
            </w:pPr>
            <w:r>
              <w:rPr>
                <w:rFonts w:ascii="仿宋" w:eastAsia="仿宋" w:hAnsi="仿宋" w:cs="仿宋" w:hint="eastAsia"/>
                <w:b/>
                <w:bCs/>
                <w:sz w:val="28"/>
                <w:szCs w:val="28"/>
              </w:rPr>
              <w:t>考核要素</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1</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rPr>
              <w:t>理解线路图和标准手册。</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2</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元器件安装规范。</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3</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电缆成束及捆扎技能。</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4</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导线制作和导线标识要求</w:t>
            </w:r>
            <w:r>
              <w:rPr>
                <w:rFonts w:ascii="仿宋" w:eastAsia="仿宋" w:hAnsi="仿宋" w:cs="仿宋" w:hint="eastAsia"/>
                <w:sz w:val="28"/>
                <w:szCs w:val="28"/>
              </w:rPr>
              <w:t>。</w:t>
            </w:r>
          </w:p>
        </w:tc>
      </w:tr>
    </w:tbl>
    <w:p>
      <w:pPr>
        <w:sectPr>
          <w:headerReference w:type="default" r:id="rId48"/>
          <w:footerReference w:type="default" r:id="rId49"/>
          <w:type w:val="nextPage"/>
          <w:pgSz w:w="11906" w:h="16838"/>
          <w:pgMar w:top="1417" w:right="1417" w:bottom="1247" w:left="1417" w:header="851" w:footer="992" w:gutter="0"/>
          <w:pgNumType w:fmt="decimal" w:start="15"/>
          <w:cols w:num="1" w:space="720"/>
          <w:titlePg w:val="0"/>
          <w:docGrid w:type="linesAndChars" w:linePitch="319" w:charSpace="0"/>
        </w:sectPr>
      </w:pPr>
    </w:p>
    <w:tbl>
      <w:tblPr>
        <w:tblStyle w:val="TableNormal"/>
        <w:tblW w:w="8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91"/>
        <w:gridCol w:w="7281"/>
      </w:tblGrid>
      <w:tr>
        <w:tblPrEx>
          <w:tblW w:w="8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5</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插头座装配技能。</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6</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导线压接及焊接技能</w:t>
            </w:r>
            <w:r>
              <w:rPr>
                <w:rFonts w:ascii="仿宋" w:eastAsia="仿宋" w:hAnsi="仿宋" w:cs="仿宋" w:hint="eastAsia"/>
                <w:sz w:val="28"/>
                <w:szCs w:val="28"/>
              </w:rPr>
              <w:t>。</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7</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接线端子安装技能</w:t>
            </w:r>
            <w:r>
              <w:rPr>
                <w:rFonts w:ascii="仿宋" w:eastAsia="仿宋" w:hAnsi="仿宋" w:cs="仿宋" w:hint="eastAsia"/>
                <w:sz w:val="28"/>
                <w:szCs w:val="28"/>
              </w:rPr>
              <w:t>。</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8</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电压、电阻测量</w:t>
            </w:r>
            <w:r>
              <w:rPr>
                <w:rFonts w:ascii="仿宋" w:eastAsia="仿宋" w:hAnsi="仿宋" w:cs="仿宋" w:hint="eastAsia"/>
                <w:sz w:val="28"/>
                <w:szCs w:val="28"/>
              </w:rPr>
              <w:t>。</w:t>
            </w:r>
          </w:p>
        </w:tc>
      </w:tr>
      <w:tr>
        <w:tblPrEx>
          <w:tblW w:w="8372" w:type="dxa"/>
          <w:jc w:val="center"/>
          <w:tblLayout w:type="fixed"/>
          <w:tblCellMar>
            <w:top w:w="0" w:type="dxa"/>
            <w:left w:w="108" w:type="dxa"/>
            <w:bottom w:w="0" w:type="dxa"/>
            <w:right w:w="108" w:type="dxa"/>
          </w:tblCellMar>
        </w:tblPrEx>
        <w:trPr>
          <w:trHeight w:val="23"/>
          <w:jc w:val="center"/>
        </w:trPr>
        <w:tc>
          <w:tcPr>
            <w:tcW w:w="1091" w:type="dxa"/>
            <w:vAlign w:val="center"/>
          </w:tcPr>
          <w:p>
            <w:pPr>
              <w:jc w:val="center"/>
              <w:rPr>
                <w:rFonts w:ascii="仿宋" w:hAnsi="仿宋" w:cs="仿宋" w:hint="eastAsia"/>
                <w:sz w:val="28"/>
                <w:szCs w:val="28"/>
              </w:rPr>
            </w:pPr>
            <w:r>
              <w:rPr>
                <w:rFonts w:ascii="仿宋" w:eastAsia="仿宋" w:hAnsi="仿宋" w:cs="仿宋" w:hint="eastAsia"/>
                <w:sz w:val="28"/>
                <w:szCs w:val="28"/>
              </w:rPr>
              <w:t>9</w:t>
            </w:r>
          </w:p>
        </w:tc>
        <w:tc>
          <w:tcPr>
            <w:tcW w:w="7281" w:type="dxa"/>
            <w:vAlign w:val="center"/>
          </w:tcPr>
          <w:p>
            <w:pPr>
              <w:rPr>
                <w:rFonts w:ascii="仿宋" w:hAnsi="仿宋" w:cs="仿宋" w:hint="eastAsia"/>
                <w:sz w:val="28"/>
                <w:szCs w:val="28"/>
              </w:rPr>
            </w:pPr>
            <w:r>
              <w:rPr>
                <w:rFonts w:ascii="仿宋" w:eastAsia="仿宋" w:hAnsi="仿宋" w:cs="仿宋" w:hint="eastAsia"/>
                <w:sz w:val="28"/>
                <w:szCs w:val="28"/>
                <w:lang w:val="en-US" w:eastAsia="zh-CN"/>
              </w:rPr>
              <w:t>专用工量具的使用</w:t>
            </w:r>
            <w:r>
              <w:rPr>
                <w:rFonts w:ascii="仿宋" w:eastAsia="仿宋" w:hAnsi="仿宋" w:cs="仿宋" w:hint="eastAsia"/>
                <w:sz w:val="28"/>
                <w:szCs w:val="28"/>
              </w:rPr>
              <w:t>。</w:t>
            </w:r>
          </w:p>
        </w:tc>
      </w:tr>
    </w:tbl>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t>（3）比赛程序</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sz w:val="32"/>
          <w:szCs w:val="32"/>
        </w:rPr>
      </w:pPr>
      <w:r>
        <w:rPr>
          <w:rFonts w:ascii="Times New Roman" w:eastAsia="仿宋" w:hAnsi="Times New Roman" w:cs="Times New Roman" w:hint="default"/>
          <w:sz w:val="32"/>
          <w:szCs w:val="32"/>
        </w:rPr>
        <w:t>①按照清单清点工具、材料</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sz w:val="32"/>
          <w:szCs w:val="32"/>
        </w:rPr>
      </w:pPr>
      <w:r>
        <w:rPr>
          <w:rFonts w:ascii="Times New Roman" w:eastAsia="仿宋" w:hAnsi="Times New Roman" w:cs="Times New Roman" w:hint="default"/>
          <w:sz w:val="32"/>
          <w:szCs w:val="32"/>
        </w:rPr>
        <w:t>②按照线路图及标准规范安装元器件和准备线路板</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③按照线路图及标准规范布线成束</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④按照线路图及标准规范将线束安装固定在模拟安装板上，并进行标识</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⑤按照路图及标准规范进行端子压接及安装</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⑥按照接线图及标准规范安装并连接开关及灯组件的电线</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⑦按照线路图及及标准规范安装和完工插头接线</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⑧进行导通检查和电压检查</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⑨进行线路逻辑功能检查</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⑩清扫整理</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（5）比赛所用资料</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①标准与规范</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AC21-99 Sect 2 Chap 4</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SWPM 20-10-11</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sectPr>
          <w:headerReference w:type="default" r:id="rId50"/>
          <w:footerReference w:type="default" r:id="rId51"/>
          <w:type w:val="nextPage"/>
          <w:pgSz w:w="11906" w:h="16838"/>
          <w:pgMar w:top="1417" w:right="1417" w:bottom="1247" w:left="1417" w:header="851" w:footer="992" w:gutter="0"/>
          <w:pgNumType w:fmt="decimal" w:start="16"/>
          <w:cols w:num="1" w:space="720"/>
          <w:titlePg w:val="0"/>
          <w:docGrid w:type="linesAndChars" w:linePitch="319" w:charSpace="0"/>
        </w:sectPr>
      </w:pPr>
      <w:r>
        <w:rPr>
          <w:rFonts w:ascii="Times New Roman" w:eastAsia="仿宋" w:hAnsi="Times New Roman" w:cs="Times New Roman" w:hint="default"/>
          <w:sz w:val="32"/>
          <w:szCs w:val="32"/>
        </w:rPr>
        <w:t>SWPM 20-10-14</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SWPM 20-15-04</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SWPM 20-15-21</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②安装板位置图</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drawing>
          <wp:inline distT="0" distB="0" distL="114300" distR="114300">
            <wp:extent cx="5384165" cy="3808730"/>
            <wp:effectExtent l="0" t="0" r="6985" b="1270"/>
            <wp:docPr id="1" name="图片 1" descr="12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1_00"/>
                    <pic:cNvPicPr>
                      <a:picLocks noChangeAspect="1"/>
                    </pic:cNvPicPr>
                  </pic:nvPicPr>
                  <pic:blipFill>
                    <a:blip xmlns:r="http://schemas.openxmlformats.org/officeDocument/2006/relationships" r:embed="rId52"/>
                    <a:stretch>
                      <a:fillRect/>
                    </a:stretch>
                  </pic:blipFill>
                  <pic:spPr>
                    <a:xfrm>
                      <a:off x="0" y="0"/>
                      <a:ext cx="5384165" cy="3808730"/>
                    </a:xfrm>
                    <a:prstGeom prst="rect">
                      <a:avLst/>
                    </a:prstGeom>
                  </pic:spPr>
                </pic:pic>
              </a:graphicData>
            </a:graphic>
          </wp:inline>
        </w:drawing>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注：D</w:t>
      </w:r>
      <w:r>
        <w:rPr>
          <w:rFonts w:ascii="Times New Roman" w:eastAsia="仿宋" w:hAnsi="Times New Roman" w:cs="Times New Roman" w:hint="eastAsia"/>
          <w:sz w:val="32"/>
          <w:szCs w:val="32"/>
          <w:lang w:val="en-US" w:eastAsia="zh-CN"/>
        </w:rPr>
        <w:t>000</w:t>
      </w:r>
      <w:r>
        <w:rPr>
          <w:rFonts w:ascii="Times New Roman" w:eastAsia="仿宋" w:hAnsi="Times New Roman" w:cs="Times New Roman" w:hint="default"/>
          <w:sz w:val="32"/>
          <w:szCs w:val="32"/>
        </w:rPr>
        <w:t>1:按线路图所示选择正确的插头插座</w:t>
      </w:r>
    </w:p>
    <w:p>
      <w:pPr>
        <w:pStyle w:val="body"/>
        <w:pageBreakBefore w:val="0"/>
        <w:kinsoku/>
        <w:wordWrap/>
        <w:overflowPunct/>
        <w:topLinePunct w:val="0"/>
        <w:bidi w:val="0"/>
        <w:spacing w:before="0" w:beforeLines="0" w:beforeAutospacing="0" w:after="0" w:afterLines="0" w:afterAutospacing="0" w:line="240" w:lineRule="auto"/>
        <w:ind w:left="0" w:right="0" w:firstLine="1280" w:firstLineChars="40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SW1</w:t>
      </w:r>
      <w:r>
        <w:rPr>
          <w:rFonts w:ascii="Times New Roman" w:eastAsia="仿宋" w:hAnsi="Times New Roman" w:cs="Times New Roman" w:hint="default"/>
          <w:sz w:val="32"/>
          <w:szCs w:val="32"/>
          <w:lang w:val="en-US" w:eastAsia="zh-CN"/>
        </w:rPr>
        <w:t>/</w:t>
      </w:r>
      <w:r>
        <w:rPr>
          <w:rFonts w:ascii="Times New Roman" w:eastAsia="仿宋" w:hAnsi="Times New Roman" w:cs="Times New Roman" w:hint="default"/>
          <w:sz w:val="32"/>
          <w:szCs w:val="32"/>
        </w:rPr>
        <w:t>SW2：开关操作方向为上下扳动</w:t>
      </w:r>
    </w:p>
    <w:p>
      <w:pPr>
        <w:pStyle w:val="body"/>
        <w:pageBreakBefore w:val="0"/>
        <w:kinsoku/>
        <w:wordWrap/>
        <w:overflowPunct/>
        <w:topLinePunct w:val="0"/>
        <w:bidi w:val="0"/>
        <w:spacing w:before="0" w:beforeLines="0" w:beforeAutospacing="0" w:after="0" w:afterLines="0" w:afterAutospacing="0" w:line="240" w:lineRule="auto"/>
        <w:ind w:left="0" w:right="0" w:firstLine="1280" w:firstLineChars="400"/>
        <w:textAlignment w:val="auto"/>
        <w:rPr>
          <w:rFonts w:ascii="Times New Roman" w:eastAsia="仿宋" w:hAnsi="Times New Roman" w:cs="Times New Roman" w:hint="default"/>
        </w:rPr>
      </w:pPr>
      <w:r>
        <w:rPr>
          <w:rFonts w:ascii="Times New Roman" w:eastAsia="仿宋" w:hAnsi="Times New Roman" w:cs="Times New Roman" w:hint="default"/>
          <w:sz w:val="32"/>
          <w:szCs w:val="32"/>
        </w:rPr>
        <w:t>L1</w:t>
      </w:r>
      <w:r>
        <w:rPr>
          <w:rFonts w:ascii="Times New Roman" w:eastAsia="仿宋" w:hAnsi="Times New Roman" w:cs="Times New Roman" w:hint="default"/>
          <w:sz w:val="32"/>
          <w:szCs w:val="32"/>
          <w:lang w:val="en-US" w:eastAsia="zh-CN"/>
        </w:rPr>
        <w:t>/</w:t>
      </w:r>
      <w:r>
        <w:rPr>
          <w:rFonts w:ascii="Times New Roman" w:eastAsia="仿宋" w:hAnsi="Times New Roman" w:cs="Times New Roman" w:hint="default"/>
          <w:sz w:val="32"/>
          <w:szCs w:val="32"/>
        </w:rPr>
        <w:t>L2：信号灯</w:t>
      </w:r>
    </w:p>
    <w:p>
      <w:pPr>
        <w:pStyle w:val="body"/>
        <w:pageBreakBefore w:val="0"/>
        <w:kinsoku/>
        <w:wordWrap/>
        <w:overflowPunct/>
        <w:topLinePunct w:val="0"/>
        <w:bidi w:val="0"/>
        <w:spacing w:before="0" w:beforeLines="0" w:beforeAutospacing="0" w:after="0" w:afterLines="0" w:afterAutospacing="0" w:line="240" w:lineRule="auto"/>
        <w:ind w:left="0" w:right="0" w:firstLine="1280" w:firstLineChars="400"/>
        <w:textAlignment w:val="auto"/>
        <w:rPr>
          <w:rFonts w:ascii="Times New Roman" w:eastAsia="仿宋" w:hAnsi="Times New Roman" w:cs="Times New Roman" w:hint="default"/>
          <w:lang w:val="en-US" w:eastAsia="zh-CN"/>
        </w:rPr>
      </w:pPr>
      <w:r>
        <w:rPr>
          <w:rFonts w:ascii="Times New Roman" w:eastAsia="仿宋" w:hAnsi="Times New Roman" w:cs="Times New Roman" w:hint="default"/>
          <w:sz w:val="32"/>
          <w:szCs w:val="32"/>
          <w:lang w:val="en-US" w:eastAsia="zh-CN"/>
        </w:rPr>
        <w:t>C001/C002</w:t>
      </w:r>
      <w:r>
        <w:rPr>
          <w:rFonts w:ascii="Times New Roman" w:eastAsia="仿宋" w:hAnsi="Times New Roman" w:cs="Times New Roman" w:hint="eastAsia"/>
          <w:sz w:val="32"/>
          <w:szCs w:val="32"/>
          <w:lang w:val="en-US" w:eastAsia="zh-CN"/>
        </w:rPr>
        <w:t>：断路器</w:t>
      </w:r>
    </w:p>
    <w:p>
      <w:pPr>
        <w:pStyle w:val="body"/>
        <w:pageBreakBefore w:val="0"/>
        <w:kinsoku/>
        <w:wordWrap/>
        <w:overflowPunct/>
        <w:topLinePunct w:val="0"/>
        <w:bidi w:val="0"/>
        <w:spacing w:before="0" w:beforeLines="0" w:beforeAutospacing="0" w:after="0" w:afterLines="0" w:afterAutospacing="0" w:line="240" w:lineRule="auto"/>
        <w:ind w:left="0" w:right="0" w:firstLine="560"/>
        <w:textAlignment w:val="auto"/>
        <w:rPr>
          <w:rFonts w:ascii="Times New Roman" w:eastAsia="仿宋" w:hAnsi="Times New Roman" w:cs="Times New Roman" w:hint="default"/>
        </w:rPr>
        <w:sectPr>
          <w:headerReference w:type="default" r:id="rId53"/>
          <w:footerReference w:type="default" r:id="rId54"/>
          <w:type w:val="nextPage"/>
          <w:pgSz w:w="11906" w:h="16838"/>
          <w:pgMar w:top="1417" w:right="1417" w:bottom="1247" w:left="1417" w:header="851" w:footer="992" w:gutter="0"/>
          <w:pgNumType w:fmt="decimal" w:start="17"/>
          <w:cols w:num="1" w:space="720"/>
          <w:titlePg w:val="0"/>
          <w:docGrid w:type="linesAndChars" w:linePitch="319" w:charSpace="0"/>
        </w:sectPr>
      </w:pPr>
      <w:r>
        <w:rPr>
          <w:rFonts w:ascii="Times New Roman" w:eastAsia="仿宋" w:hAnsi="Times New Roman" w:cs="Times New Roman" w:hint="default"/>
          <w:sz w:val="32"/>
          <w:szCs w:val="32"/>
        </w:rPr>
        <w:t>③线路图</w:t>
      </w:r>
    </w:p>
    <w:p>
      <w:pPr>
        <w:pStyle w:val="BodyTextFirstIndent"/>
        <w:pageBreakBefore w:val="0"/>
        <w:kinsoku/>
        <w:wordWrap/>
        <w:overflowPunct/>
        <w:topLinePunct w:val="0"/>
        <w:bidi w:val="0"/>
        <w:spacing w:beforeAutospacing="0" w:afterAutospacing="0" w:line="240" w:lineRule="auto"/>
        <w:ind w:left="0" w:right="0" w:firstLine="0" w:leftChars="0" w:firstLineChars="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drawing>
          <wp:inline distT="0" distB="0" distL="114300" distR="114300">
            <wp:extent cx="3599815" cy="5686425"/>
            <wp:effectExtent l="0" t="0" r="9525" b="635"/>
            <wp:docPr id="6" name="图片 6" descr="省赛样题0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省赛样题01_00"/>
                    <pic:cNvPicPr>
                      <a:picLocks noChangeAspect="1"/>
                    </pic:cNvPicPr>
                  </pic:nvPicPr>
                  <pic:blipFill>
                    <a:blip xmlns:r="http://schemas.openxmlformats.org/officeDocument/2006/relationships" r:embed="rId55"/>
                    <a:srcRect l="10125" t="3174" r="7532" b="4828"/>
                    <a:stretch>
                      <a:fillRect/>
                    </a:stretch>
                  </pic:blipFill>
                  <pic:spPr>
                    <a:xfrm rot="5400000">
                      <a:off x="0" y="0"/>
                      <a:ext cx="3599815" cy="5686425"/>
                    </a:xfrm>
                    <a:prstGeom prst="rect">
                      <a:avLst/>
                    </a:prstGeom>
                  </pic:spPr>
                </pic:pic>
              </a:graphicData>
            </a:graphic>
          </wp:inline>
        </w:drawing>
      </w:r>
    </w:p>
    <w:p>
      <w:pPr>
        <w:pageBreakBefore w:val="0"/>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lang w:eastAsia="zh-CN"/>
        </w:rPr>
        <w:t>（</w:t>
      </w:r>
      <w:r>
        <w:rPr>
          <w:rFonts w:ascii="Times New Roman" w:eastAsia="仿宋" w:hAnsi="Times New Roman" w:cs="Times New Roman" w:hint="default"/>
          <w:sz w:val="32"/>
          <w:szCs w:val="32"/>
          <w:lang w:val="en-US" w:eastAsia="zh-CN"/>
        </w:rPr>
        <w:t>6</w:t>
      </w:r>
      <w:r>
        <w:rPr>
          <w:rFonts w:ascii="Times New Roman" w:eastAsia="仿宋" w:hAnsi="Times New Roman" w:cs="Times New Roman" w:hint="default"/>
          <w:sz w:val="32"/>
          <w:szCs w:val="32"/>
          <w:lang w:eastAsia="zh-CN"/>
        </w:rPr>
        <w:t>）</w:t>
      </w:r>
      <w:r>
        <w:rPr>
          <w:rFonts w:ascii="Times New Roman" w:eastAsia="仿宋" w:hAnsi="Times New Roman" w:cs="Times New Roman" w:hint="default"/>
          <w:sz w:val="32"/>
          <w:szCs w:val="32"/>
          <w:lang w:val="en-US" w:eastAsia="zh-CN"/>
        </w:rPr>
        <w:t>评分标准</w:t>
      </w:r>
    </w:p>
    <w:tbl>
      <w:tblPr>
        <w:tblStyle w:val="TableNormal"/>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41"/>
        <w:gridCol w:w="6585"/>
        <w:gridCol w:w="1096"/>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eastAsia"/>
                <w:b/>
                <w:bCs w:val="0"/>
                <w:sz w:val="28"/>
                <w:szCs w:val="28"/>
              </w:rPr>
            </w:pPr>
            <w:r>
              <w:rPr>
                <w:rFonts w:cs="Times New Roman" w:hint="eastAsia"/>
                <w:b/>
                <w:bCs w:val="0"/>
                <w:sz w:val="28"/>
                <w:szCs w:val="28"/>
                <w:lang w:val="en-US" w:eastAsia="zh-CN"/>
              </w:rPr>
              <w:t>序号</w:t>
            </w:r>
          </w:p>
        </w:tc>
        <w:tc>
          <w:tcPr>
            <w:tcW w:w="6585"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
                <w:bCs w:val="0"/>
                <w:sz w:val="28"/>
                <w:szCs w:val="28"/>
              </w:rPr>
            </w:pPr>
            <w:r>
              <w:rPr>
                <w:rFonts w:cs="Times New Roman" w:hint="eastAsia"/>
                <w:b/>
                <w:bCs w:val="0"/>
                <w:sz w:val="28"/>
                <w:szCs w:val="28"/>
                <w:lang w:val="en-US" w:eastAsia="zh-CN"/>
              </w:rPr>
              <w:t>考核要素</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
                <w:bCs w:val="0"/>
                <w:sz w:val="28"/>
                <w:szCs w:val="28"/>
              </w:rPr>
            </w:pPr>
            <w:r>
              <w:rPr>
                <w:rFonts w:ascii="Times New Roman" w:eastAsia="仿宋" w:hAnsi="Times New Roman" w:cs="Times New Roman" w:hint="default"/>
                <w:b/>
                <w:bCs w:val="0"/>
                <w:sz w:val="28"/>
                <w:szCs w:val="28"/>
              </w:rPr>
              <w:t>分值</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1</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outline/>
                <w:sz w:val="28"/>
                <w:szCs w:val="28"/>
                <w14:textOutline w14:w="9525">
                  <w14:solidFill>
                    <w14:srgbClr w14:val="000000"/>
                  </w14:solidFill>
                  <w14:prstDash w14:val="solid"/>
                  <w14:round/>
                </w14:textOutline>
                <w14:textFill>
                  <w14:noFill/>
                </w14:textFill>
              </w:rPr>
            </w:pPr>
            <w:r>
              <w:rPr>
                <w:rFonts w:ascii="Times New Roman" w:eastAsia="仿宋" w:hAnsi="Times New Roman" w:cs="Times New Roman" w:hint="default"/>
                <w:sz w:val="28"/>
                <w:szCs w:val="28"/>
              </w:rPr>
              <w:t>安全文明生产</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2</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接线板元器件安装</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11</w:t>
            </w:r>
          </w:p>
        </w:tc>
      </w:tr>
      <w:tr>
        <w:tblPrEx>
          <w:tblW w:w="8522" w:type="dxa"/>
          <w:jc w:val="center"/>
          <w:tblCellMar>
            <w:top w:w="0" w:type="dxa"/>
            <w:left w:w="108" w:type="dxa"/>
            <w:bottom w:w="0" w:type="dxa"/>
            <w:right w:w="108" w:type="dxa"/>
          </w:tblCellMar>
        </w:tblPrEx>
        <w:trPr>
          <w:trHeight w:val="169"/>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3</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布线与捆扎固定</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14</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4</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标识制作与安装</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5</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剥线</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6</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接线压接及装配</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24</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7</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焊接</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18</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sz w:val="28"/>
                <w:szCs w:val="28"/>
              </w:rPr>
            </w:pPr>
            <w:r>
              <w:rPr>
                <w:rFonts w:ascii="Times New Roman" w:eastAsia="仿宋" w:hAnsi="Times New Roman" w:cs="Times New Roman" w:hint="default"/>
                <w:sz w:val="28"/>
                <w:szCs w:val="28"/>
              </w:rPr>
              <w:t>8</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sz w:val="28"/>
                <w:szCs w:val="28"/>
              </w:rPr>
              <w:t>线束导通检查</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r>
      <w:tr>
        <w:tblPrEx>
          <w:tblW w:w="8522" w:type="dxa"/>
          <w:jc w:val="center"/>
          <w:tblCellMar>
            <w:top w:w="0" w:type="dxa"/>
            <w:left w:w="108" w:type="dxa"/>
            <w:bottom w:w="0" w:type="dxa"/>
            <w:right w:w="108" w:type="dxa"/>
          </w:tblCellMar>
        </w:tblPrEx>
        <w:trPr>
          <w:trHeight w:val="433"/>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9</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电压检测</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3</w:t>
            </w:r>
          </w:p>
        </w:tc>
      </w:tr>
      <w:tr>
        <w:tblPrEx>
          <w:tblW w:w="8522" w:type="dxa"/>
          <w:jc w:val="center"/>
          <w:tblCellMar>
            <w:top w:w="0" w:type="dxa"/>
            <w:left w:w="108" w:type="dxa"/>
            <w:bottom w:w="0" w:type="dxa"/>
            <w:right w:w="108" w:type="dxa"/>
          </w:tblCellMar>
        </w:tblPrEx>
        <w:trPr>
          <w:trHeight w:val="20"/>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w:t>
            </w:r>
          </w:p>
        </w:tc>
        <w:tc>
          <w:tcPr>
            <w:tcW w:w="6585" w:type="dxa"/>
            <w:vAlign w:val="center"/>
          </w:tcPr>
          <w:p>
            <w:pPr>
              <w:pageBreakBefore w:val="0"/>
              <w:kinsoku/>
              <w:wordWrap/>
              <w:overflowPunct/>
              <w:topLinePunct w:val="0"/>
              <w:bidi w:val="0"/>
              <w:spacing w:beforeAutospacing="0" w:afterAutospacing="0" w:line="240" w:lineRule="auto"/>
              <w:ind w:left="0" w:right="0"/>
              <w:textAlignment w:val="auto"/>
              <w:rPr>
                <w:rFonts w:hint="default"/>
                <w:bCs/>
                <w:sz w:val="28"/>
                <w:szCs w:val="28"/>
              </w:rPr>
            </w:pPr>
            <w:r>
              <w:rPr>
                <w:rFonts w:ascii="Times New Roman" w:eastAsia="仿宋" w:hAnsi="Times New Roman" w:cs="Times New Roman" w:hint="default"/>
                <w:bCs/>
                <w:sz w:val="28"/>
                <w:szCs w:val="28"/>
              </w:rPr>
              <w:t>功能检测</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r>
      <w:tr>
        <w:tblPrEx>
          <w:tblW w:w="8522" w:type="dxa"/>
          <w:jc w:val="center"/>
          <w:tblCellMar>
            <w:top w:w="0" w:type="dxa"/>
            <w:left w:w="108" w:type="dxa"/>
            <w:bottom w:w="0" w:type="dxa"/>
            <w:right w:w="108" w:type="dxa"/>
          </w:tblCellMar>
        </w:tblPrEx>
        <w:trPr>
          <w:trHeight w:val="433"/>
          <w:jc w:val="center"/>
        </w:trPr>
        <w:tc>
          <w:tcPr>
            <w:tcW w:w="841"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p>
        </w:tc>
        <w:tc>
          <w:tcPr>
            <w:tcW w:w="6585"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总计</w:t>
            </w:r>
          </w:p>
        </w:tc>
        <w:tc>
          <w:tcPr>
            <w:tcW w:w="1096"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100</w:t>
            </w:r>
          </w:p>
        </w:tc>
      </w:tr>
    </w:tbl>
    <w:p>
      <w:pPr>
        <w:sectPr>
          <w:headerReference w:type="default" r:id="rId56"/>
          <w:footerReference w:type="default" r:id="rId57"/>
          <w:type w:val="nextPage"/>
          <w:pgSz w:w="11906" w:h="16838"/>
          <w:pgMar w:top="1417" w:right="1417" w:bottom="1247" w:left="1417" w:header="851" w:footer="992" w:gutter="0"/>
          <w:pgNumType w:fmt="decimal" w:start="18"/>
          <w:cols w:num="1" w:space="720"/>
          <w:titlePg w:val="0"/>
          <w:docGrid w:type="linesAndChars" w:linePitch="319" w:charSpace="0"/>
        </w:sectPr>
      </w:pP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bCs/>
          <w:szCs w:val="32"/>
        </w:rPr>
      </w:pPr>
      <w:r>
        <w:rPr>
          <w:rFonts w:ascii="Times New Roman" w:eastAsia="仿宋" w:hAnsi="Times New Roman" w:cs="Times New Roman" w:hint="default"/>
          <w:b/>
          <w:bCs/>
          <w:sz w:val="32"/>
          <w:szCs w:val="32"/>
          <w:lang w:val="en-US" w:eastAsia="zh-CN"/>
        </w:rPr>
        <w:t>3. 初始验收检查</w:t>
      </w:r>
      <w:r>
        <w:rPr>
          <w:rFonts w:cs="Times New Roman" w:hint="eastAsia"/>
          <w:b/>
          <w:bCs/>
          <w:sz w:val="32"/>
          <w:szCs w:val="32"/>
          <w:lang w:val="en-US" w:eastAsia="zh-CN"/>
        </w:rPr>
        <w:t>模块</w:t>
      </w:r>
    </w:p>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sz w:val="32"/>
          <w:szCs w:val="32"/>
          <w:lang w:val="en-US" w:eastAsia="zh-CN"/>
        </w:rPr>
      </w:pPr>
      <w:r>
        <w:rPr>
          <w:rFonts w:ascii="Times New Roman" w:eastAsia="仿宋" w:hAnsi="Times New Roman" w:cs="Times New Roman" w:hint="default"/>
          <w:sz w:val="32"/>
          <w:szCs w:val="32"/>
          <w:lang w:val="en-US" w:eastAsia="zh-CN"/>
        </w:rPr>
        <w:t>特别提示：实际比赛时本模块考核内容和评分标准将根据承办单位所能提供的直升机（或飞机）型号进行相应改变。考核机型初定为Robinson R44或AW109，本技术文件依据R44机型编写。</w:t>
      </w:r>
    </w:p>
    <w:p>
      <w:pPr>
        <w:pageBreakBefore w:val="0"/>
        <w:widowControl/>
        <w:kinsoku/>
        <w:wordWrap/>
        <w:overflowPunct/>
        <w:topLinePunct w:val="0"/>
        <w:bidi w:val="0"/>
        <w:spacing w:beforeAutospacing="0" w:afterAutospacing="0" w:line="240" w:lineRule="auto"/>
        <w:ind w:left="0" w:right="0" w:firstLine="640" w:firstLineChars="200"/>
        <w:textAlignment w:val="auto"/>
        <w:outlineLvl w:val="3"/>
        <w:rPr>
          <w:rFonts w:hint="default"/>
          <w:b/>
          <w:bCs/>
          <w:szCs w:val="32"/>
        </w:rPr>
      </w:pPr>
      <w:r>
        <w:rPr>
          <w:rFonts w:ascii="Times New Roman" w:eastAsia="仿宋" w:hAnsi="Times New Roman" w:cs="Times New Roman" w:hint="default"/>
          <w:sz w:val="32"/>
          <w:szCs w:val="32"/>
        </w:rPr>
        <w:t>（1）</w:t>
      </w:r>
      <w:r>
        <w:rPr>
          <w:rFonts w:ascii="Times New Roman" w:eastAsia="仿宋" w:hAnsi="Times New Roman" w:cs="Times New Roman" w:hint="default"/>
          <w:sz w:val="32"/>
          <w:szCs w:val="32"/>
          <w:lang w:val="en-US" w:eastAsia="zh-CN"/>
        </w:rPr>
        <w:t>考核</w:t>
      </w:r>
      <w:r>
        <w:rPr>
          <w:rFonts w:ascii="Times New Roman" w:eastAsia="仿宋" w:hAnsi="Times New Roman" w:cs="Times New Roman" w:hint="default"/>
          <w:sz w:val="32"/>
          <w:szCs w:val="32"/>
        </w:rPr>
        <w:t>目标</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重点考核选手按照手册规定的程序完成直升机（或飞机）飞行前检查的能力，确保直升机（或飞机）各系统正常，可以正常执行飞行任务。根据现场作业情况，来评测选手的日常维护检查水平、工具资料的运用能力、问题的分析处理能力。</w:t>
      </w:r>
    </w:p>
    <w:p>
      <w:pPr>
        <w:pageBreakBefore w:val="0"/>
        <w:widowControl/>
        <w:kinsoku/>
        <w:wordWrap/>
        <w:overflowPunct/>
        <w:topLinePunct w:val="0"/>
        <w:bidi w:val="0"/>
        <w:spacing w:beforeAutospacing="0" w:afterAutospacing="0" w:line="240" w:lineRule="auto"/>
        <w:ind w:left="0" w:right="0" w:firstLine="640" w:firstLineChars="200"/>
        <w:textAlignment w:val="auto"/>
        <w:outlineLvl w:val="3"/>
        <w:rPr>
          <w:rFonts w:hint="default"/>
          <w:b/>
          <w:bCs/>
          <w:szCs w:val="32"/>
        </w:rPr>
      </w:pPr>
      <w:r>
        <w:rPr>
          <w:rFonts w:ascii="Times New Roman" w:eastAsia="仿宋" w:hAnsi="Times New Roman" w:cs="Times New Roman" w:hint="default"/>
          <w:sz w:val="32"/>
          <w:szCs w:val="32"/>
        </w:rPr>
        <w:t>（2）考核技术要素</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本模块考核技术要素见下表。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76"/>
        <w:gridCol w:w="777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b/>
                <w:sz w:val="28"/>
                <w:szCs w:val="28"/>
              </w:rPr>
              <w:t>序号</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b/>
                <w:sz w:val="28"/>
                <w:szCs w:val="28"/>
              </w:rPr>
              <w:t>考核要素</w:t>
            </w:r>
          </w:p>
        </w:tc>
      </w:tr>
      <w:tr>
        <w:tblPrEx>
          <w:tblW w:w="0" w:type="auto"/>
          <w:jc w:val="center"/>
          <w:tblLayout w:type="fixed"/>
          <w:tblCellMar>
            <w:top w:w="0" w:type="dxa"/>
            <w:left w:w="108" w:type="dxa"/>
            <w:bottom w:w="0" w:type="dxa"/>
            <w:right w:w="108" w:type="dxa"/>
          </w:tblCellMar>
        </w:tblPrEx>
        <w:trPr>
          <w:trHeight w:val="483"/>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1</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阅读并理解维护手册。</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2</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直升机（飞机）系统、布局等基本知识。</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3</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正确的检查路线。</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4</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观察周边环境并警示。</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5</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故障发现、判断。</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6</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故障正确描述。</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7</w:t>
            </w:r>
          </w:p>
        </w:tc>
        <w:tc>
          <w:tcPr>
            <w:tcW w:w="7777" w:type="dxa"/>
            <w:vAlign w:val="center"/>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使用辅助工具。</w:t>
            </w:r>
          </w:p>
        </w:tc>
      </w:tr>
      <w:tr>
        <w:tblPrEx>
          <w:tblW w:w="0" w:type="auto"/>
          <w:jc w:val="center"/>
          <w:tblLayout w:type="fixed"/>
          <w:tblCellMar>
            <w:top w:w="0" w:type="dxa"/>
            <w:left w:w="108" w:type="dxa"/>
            <w:bottom w:w="0" w:type="dxa"/>
            <w:right w:w="108" w:type="dxa"/>
          </w:tblCellMar>
        </w:tblPrEx>
        <w:trPr>
          <w:jc w:val="center"/>
        </w:trPr>
        <w:tc>
          <w:tcPr>
            <w:tcW w:w="1276" w:type="dxa"/>
          </w:tcPr>
          <w:p>
            <w:pPr>
              <w:pageBreakBefore w:val="0"/>
              <w:widowControl/>
              <w:shd w:val="clear" w:color="auto" w:fill="FFFFFF"/>
              <w:kinsoku/>
              <w:wordWrap/>
              <w:overflowPunct/>
              <w:topLinePunct w:val="0"/>
              <w:bidi w:val="0"/>
              <w:spacing w:beforeAutospacing="0" w:afterAutospacing="0" w:line="240" w:lineRule="auto"/>
              <w:ind w:left="0" w:right="0"/>
              <w:jc w:val="center"/>
              <w:textAlignment w:val="auto"/>
              <w:rPr>
                <w:rFonts w:hint="default"/>
                <w:b/>
                <w:bCs/>
                <w:sz w:val="28"/>
                <w:szCs w:val="28"/>
              </w:rPr>
            </w:pPr>
            <w:r>
              <w:rPr>
                <w:rFonts w:ascii="Times New Roman" w:eastAsia="仿宋" w:hAnsi="Times New Roman" w:cs="Times New Roman" w:hint="default"/>
                <w:sz w:val="28"/>
                <w:szCs w:val="28"/>
              </w:rPr>
              <w:t>8</w:t>
            </w:r>
          </w:p>
        </w:tc>
        <w:tc>
          <w:tcPr>
            <w:tcW w:w="7777" w:type="dxa"/>
          </w:tcPr>
          <w:p>
            <w:pPr>
              <w:pageBreakBefore w:val="0"/>
              <w:widowControl/>
              <w:shd w:val="clear" w:color="auto" w:fill="FFFFFF"/>
              <w:kinsoku/>
              <w:wordWrap/>
              <w:overflowPunct/>
              <w:topLinePunct w:val="0"/>
              <w:bidi w:val="0"/>
              <w:spacing w:beforeAutospacing="0" w:afterAutospacing="0" w:line="240" w:lineRule="auto"/>
              <w:ind w:left="0" w:right="0"/>
              <w:jc w:val="left"/>
              <w:textAlignment w:val="auto"/>
              <w:rPr>
                <w:rFonts w:hint="default"/>
                <w:b/>
                <w:bCs/>
                <w:sz w:val="28"/>
                <w:szCs w:val="28"/>
              </w:rPr>
            </w:pPr>
            <w:r>
              <w:rPr>
                <w:rFonts w:ascii="Times New Roman" w:eastAsia="仿宋" w:hAnsi="Times New Roman" w:cs="Times New Roman" w:hint="default"/>
                <w:sz w:val="28"/>
                <w:szCs w:val="28"/>
              </w:rPr>
              <w:t>清理、清洁。</w:t>
            </w:r>
          </w:p>
        </w:tc>
      </w:tr>
    </w:tbl>
    <w:p>
      <w:pPr>
        <w:pageBreakBefore w:val="0"/>
        <w:widowControl/>
        <w:kinsoku/>
        <w:wordWrap/>
        <w:overflowPunct/>
        <w:topLinePunct w:val="0"/>
        <w:bidi w:val="0"/>
        <w:spacing w:beforeAutospacing="0" w:afterAutospacing="0" w:line="240" w:lineRule="auto"/>
        <w:ind w:left="0" w:right="0" w:firstLine="640" w:firstLineChars="200"/>
        <w:textAlignment w:val="auto"/>
        <w:outlineLvl w:val="3"/>
        <w:rPr>
          <w:rFonts w:hint="eastAsia"/>
          <w:b/>
          <w:bCs/>
          <w:szCs w:val="32"/>
        </w:rPr>
      </w:pPr>
      <w:r>
        <w:rPr>
          <w:rFonts w:ascii="Times New Roman" w:eastAsia="仿宋" w:hAnsi="Times New Roman" w:cs="Times New Roman" w:hint="default"/>
          <w:sz w:val="32"/>
          <w:szCs w:val="32"/>
        </w:rPr>
        <w:t>（</w:t>
      </w:r>
      <w:r>
        <w:rPr>
          <w:rFonts w:ascii="Times New Roman" w:eastAsia="仿宋" w:hAnsi="Times New Roman" w:cs="Times New Roman" w:hint="default"/>
          <w:sz w:val="32"/>
          <w:szCs w:val="32"/>
          <w:lang w:val="en-US" w:eastAsia="zh-CN"/>
        </w:rPr>
        <w:t>3</w:t>
      </w:r>
      <w:r>
        <w:rPr>
          <w:rFonts w:ascii="Times New Roman" w:eastAsia="仿宋" w:hAnsi="Times New Roman" w:cs="Times New Roman" w:hint="default"/>
          <w:sz w:val="32"/>
          <w:szCs w:val="32"/>
        </w:rPr>
        <w:t>）</w:t>
      </w:r>
      <w:r>
        <w:rPr>
          <w:rFonts w:cs="Times New Roman" w:hint="eastAsia"/>
          <w:sz w:val="32"/>
          <w:szCs w:val="32"/>
          <w:lang w:eastAsia="zh-CN"/>
        </w:rPr>
        <w:t>考核程序</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sectPr>
          <w:headerReference w:type="default" r:id="rId58"/>
          <w:footerReference w:type="default" r:id="rId59"/>
          <w:type w:val="nextPage"/>
          <w:pgSz w:w="11906" w:h="16838"/>
          <w:pgMar w:top="1417" w:right="1417" w:bottom="1247" w:left="1417" w:header="851" w:footer="992" w:gutter="0"/>
          <w:pgNumType w:fmt="decimal" w:start="19"/>
          <w:cols w:num="1" w:space="720"/>
          <w:titlePg w:val="0"/>
          <w:docGrid w:type="linesAndChars" w:linePitch="319" w:charSpace="0"/>
        </w:sectPr>
      </w:pPr>
      <w:r>
        <w:rPr>
          <w:rFonts w:ascii="Times New Roman" w:eastAsia="仿宋" w:hAnsi="Times New Roman" w:cs="Times New Roman" w:hint="default"/>
          <w:sz w:val="32"/>
          <w:szCs w:val="32"/>
        </w:rPr>
        <w:t>①参赛者检查工具、材料是否齐全。</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②按照程序要求，对直升机各个系统进行检查。</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③选手对发现的缺陷进行描述，提交裁判。</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④裁判组根据选手检查结果，进行评判。</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⑤清理工作现场，清点工具，回收文件资料。</w:t>
      </w:r>
    </w:p>
    <w:p>
      <w:pPr>
        <w:pageBreakBefore w:val="0"/>
        <w:widowControl/>
        <w:kinsoku/>
        <w:wordWrap/>
        <w:overflowPunct/>
        <w:topLinePunct w:val="0"/>
        <w:bidi w:val="0"/>
        <w:spacing w:beforeAutospacing="0" w:afterAutospacing="0" w:line="240" w:lineRule="auto"/>
        <w:ind w:left="0" w:right="0" w:firstLine="640" w:firstLineChars="200"/>
        <w:textAlignment w:val="auto"/>
        <w:outlineLvl w:val="3"/>
        <w:rPr>
          <w:rFonts w:hint="default"/>
          <w:b/>
          <w:bCs/>
          <w:szCs w:val="32"/>
        </w:rPr>
      </w:pPr>
      <w:r>
        <w:rPr>
          <w:rFonts w:ascii="Times New Roman" w:eastAsia="仿宋" w:hAnsi="Times New Roman" w:cs="Times New Roman" w:hint="default"/>
          <w:sz w:val="32"/>
          <w:szCs w:val="32"/>
        </w:rPr>
        <w:t>（</w:t>
      </w:r>
      <w:r>
        <w:rPr>
          <w:rFonts w:ascii="Times New Roman" w:eastAsia="仿宋" w:hAnsi="Times New Roman" w:cs="Times New Roman" w:hint="default"/>
          <w:sz w:val="32"/>
          <w:szCs w:val="32"/>
          <w:lang w:val="en-US" w:eastAsia="zh-CN"/>
        </w:rPr>
        <w:t>4</w:t>
      </w:r>
      <w:r>
        <w:rPr>
          <w:rFonts w:ascii="Times New Roman" w:eastAsia="仿宋" w:hAnsi="Times New Roman" w:cs="Times New Roman" w:hint="default"/>
          <w:sz w:val="32"/>
          <w:szCs w:val="32"/>
        </w:rPr>
        <w:t>）比赛所用资料</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①飞行前检查问题报告。</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②评分表（供裁判组使用）。</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b/>
          <w:szCs w:val="32"/>
        </w:rPr>
      </w:pPr>
      <w:r>
        <w:rPr>
          <w:rFonts w:ascii="Times New Roman" w:eastAsia="仿宋" w:hAnsi="Times New Roman" w:cs="Times New Roman" w:hint="default"/>
          <w:sz w:val="32"/>
          <w:szCs w:val="32"/>
        </w:rPr>
        <w:t>③维护手册相关章节。</w:t>
      </w:r>
    </w:p>
    <w:p>
      <w:pPr>
        <w:pageBreakBefore w:val="0"/>
        <w:widowControl/>
        <w:kinsoku/>
        <w:wordWrap/>
        <w:overflowPunct/>
        <w:topLinePunct w:val="0"/>
        <w:bidi w:val="0"/>
        <w:spacing w:beforeAutospacing="0" w:afterAutospacing="0" w:line="240" w:lineRule="auto"/>
        <w:ind w:left="0" w:right="0" w:firstLine="640" w:firstLineChars="200"/>
        <w:textAlignment w:val="auto"/>
        <w:outlineLvl w:val="3"/>
        <w:rPr>
          <w:rFonts w:hint="default"/>
          <w:b/>
          <w:bCs/>
          <w:szCs w:val="32"/>
        </w:rPr>
      </w:pPr>
      <w:r>
        <w:rPr>
          <w:rFonts w:ascii="Times New Roman" w:eastAsia="仿宋" w:hAnsi="Times New Roman" w:cs="Times New Roman" w:hint="default"/>
          <w:sz w:val="32"/>
          <w:szCs w:val="32"/>
        </w:rPr>
        <w:t>（6）评分标准</w:t>
      </w:r>
    </w:p>
    <w:p>
      <w:pPr>
        <w:pageBreakBefore w:val="0"/>
        <w:kinsoku/>
        <w:wordWrap/>
        <w:overflowPunct/>
        <w:topLinePunct w:val="0"/>
        <w:bidi w:val="0"/>
        <w:spacing w:beforeAutospacing="0" w:afterAutospacing="0" w:line="240" w:lineRule="auto"/>
        <w:ind w:left="0" w:right="0" w:firstLine="640" w:firstLineChars="200"/>
        <w:textAlignment w:val="auto"/>
        <w:rPr>
          <w:rFonts w:hint="default"/>
          <w:szCs w:val="32"/>
        </w:rPr>
      </w:pPr>
      <w:r>
        <w:rPr>
          <w:rFonts w:ascii="Times New Roman" w:eastAsia="仿宋" w:hAnsi="Times New Roman" w:cs="Times New Roman" w:hint="default"/>
          <w:sz w:val="32"/>
          <w:szCs w:val="32"/>
        </w:rPr>
        <w:t>由裁判组按评委评分表对参赛选手比赛过程中的操作和检查及故障描述情况进行评分，具体如下表所示。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32"/>
        <w:gridCol w:w="5121"/>
        <w:gridCol w:w="16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832" w:type="dxa"/>
          </w:tcPr>
          <w:p>
            <w:pPr>
              <w:pageBreakBefore w:val="0"/>
              <w:kinsoku/>
              <w:wordWrap/>
              <w:overflowPunct/>
              <w:topLinePunct w:val="0"/>
              <w:bidi w:val="0"/>
              <w:spacing w:beforeAutospacing="0" w:afterAutospacing="0" w:line="240" w:lineRule="auto"/>
              <w:ind w:left="0" w:right="0"/>
              <w:jc w:val="center"/>
              <w:textAlignment w:val="auto"/>
              <w:rPr>
                <w:rFonts w:hint="eastAsia"/>
                <w:b/>
                <w:bCs w:val="0"/>
                <w:sz w:val="28"/>
                <w:szCs w:val="28"/>
              </w:rPr>
            </w:pPr>
            <w:r>
              <w:rPr>
                <w:rFonts w:cs="Times New Roman" w:hint="eastAsia"/>
                <w:b/>
                <w:bCs w:val="0"/>
                <w:sz w:val="28"/>
                <w:szCs w:val="28"/>
                <w:lang w:val="en-US" w:eastAsia="zh-CN"/>
              </w:rPr>
              <w:t>序号</w:t>
            </w:r>
          </w:p>
        </w:tc>
        <w:tc>
          <w:tcPr>
            <w:tcW w:w="5121" w:type="dxa"/>
          </w:tcPr>
          <w:p>
            <w:pPr>
              <w:pageBreakBefore w:val="0"/>
              <w:kinsoku/>
              <w:wordWrap/>
              <w:overflowPunct/>
              <w:topLinePunct w:val="0"/>
              <w:bidi w:val="0"/>
              <w:spacing w:beforeAutospacing="0" w:afterAutospacing="0" w:line="240" w:lineRule="auto"/>
              <w:ind w:left="0" w:right="0"/>
              <w:jc w:val="center"/>
              <w:textAlignment w:val="auto"/>
              <w:rPr>
                <w:rFonts w:hint="default"/>
                <w:b/>
                <w:bCs w:val="0"/>
                <w:sz w:val="28"/>
                <w:szCs w:val="28"/>
              </w:rPr>
            </w:pPr>
            <w:r>
              <w:rPr>
                <w:rFonts w:cs="Times New Roman" w:hint="eastAsia"/>
                <w:b/>
                <w:bCs w:val="0"/>
                <w:sz w:val="28"/>
                <w:szCs w:val="28"/>
                <w:lang w:val="en-US" w:eastAsia="zh-CN"/>
              </w:rPr>
              <w:t>考核要素</w:t>
            </w:r>
          </w:p>
        </w:tc>
        <w:tc>
          <w:tcPr>
            <w:tcW w:w="1610" w:type="dxa"/>
          </w:tcPr>
          <w:p>
            <w:pPr>
              <w:pageBreakBefore w:val="0"/>
              <w:kinsoku/>
              <w:wordWrap/>
              <w:overflowPunct/>
              <w:topLinePunct w:val="0"/>
              <w:bidi w:val="0"/>
              <w:spacing w:beforeAutospacing="0" w:afterAutospacing="0" w:line="240" w:lineRule="auto"/>
              <w:ind w:left="0" w:right="0"/>
              <w:jc w:val="center"/>
              <w:textAlignment w:val="auto"/>
              <w:rPr>
                <w:rFonts w:hint="default"/>
                <w:b/>
                <w:bCs w:val="0"/>
                <w:sz w:val="28"/>
                <w:szCs w:val="28"/>
              </w:rPr>
            </w:pPr>
            <w:r>
              <w:rPr>
                <w:rFonts w:ascii="Times New Roman" w:eastAsia="仿宋" w:hAnsi="Times New Roman" w:cs="Times New Roman" w:hint="default"/>
                <w:b/>
                <w:bCs w:val="0"/>
                <w:sz w:val="28"/>
                <w:szCs w:val="28"/>
              </w:rPr>
              <w:t>分值</w:t>
            </w:r>
          </w:p>
        </w:tc>
      </w:tr>
      <w:tr>
        <w:tblPrEx>
          <w:tblW w:w="0" w:type="auto"/>
          <w:jc w:val="center"/>
          <w:tblCellMar>
            <w:top w:w="0" w:type="dxa"/>
            <w:left w:w="108" w:type="dxa"/>
            <w:bottom w:w="0" w:type="dxa"/>
            <w:right w:w="108" w:type="dxa"/>
          </w:tblCellMar>
        </w:tblPrEx>
        <w:trPr>
          <w:jc w:val="center"/>
        </w:trPr>
        <w:tc>
          <w:tcPr>
            <w:tcW w:w="832" w:type="dxa"/>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w:t>
            </w:r>
          </w:p>
        </w:tc>
        <w:tc>
          <w:tcPr>
            <w:tcW w:w="5121" w:type="dxa"/>
          </w:tcPr>
          <w:p>
            <w:pPr>
              <w:pageBreakBefore w:val="0"/>
              <w:kinsoku/>
              <w:wordWrap/>
              <w:overflowPunct/>
              <w:topLinePunct w:val="0"/>
              <w:bidi w:val="0"/>
              <w:spacing w:beforeAutospacing="0" w:afterAutospacing="0" w:line="240" w:lineRule="auto"/>
              <w:ind w:left="0" w:right="0"/>
              <w:jc w:val="left"/>
              <w:textAlignment w:val="auto"/>
              <w:rPr>
                <w:rFonts w:hint="default"/>
                <w:bCs/>
                <w:sz w:val="28"/>
                <w:szCs w:val="28"/>
              </w:rPr>
            </w:pPr>
            <w:r>
              <w:rPr>
                <w:rFonts w:ascii="Times New Roman" w:eastAsia="仿宋" w:hAnsi="Times New Roman" w:cs="Times New Roman" w:hint="default"/>
                <w:bCs/>
                <w:sz w:val="28"/>
                <w:szCs w:val="28"/>
              </w:rPr>
              <w:t>PPE安全防护</w:t>
            </w:r>
          </w:p>
        </w:tc>
        <w:tc>
          <w:tcPr>
            <w:tcW w:w="1610" w:type="dxa"/>
            <w:vAlign w:val="center"/>
          </w:tcPr>
          <w:p>
            <w:pPr>
              <w:pageBreakBefore w:val="0"/>
              <w:tabs>
                <w:tab w:val="left" w:pos="435"/>
                <w:tab w:val="center" w:pos="697"/>
              </w:tabs>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r>
      <w:tr>
        <w:tblPrEx>
          <w:tblW w:w="0" w:type="auto"/>
          <w:jc w:val="center"/>
          <w:tblCellMar>
            <w:top w:w="0" w:type="dxa"/>
            <w:left w:w="108" w:type="dxa"/>
            <w:bottom w:w="0" w:type="dxa"/>
            <w:right w:w="108" w:type="dxa"/>
          </w:tblCellMar>
        </w:tblPrEx>
        <w:trPr>
          <w:jc w:val="center"/>
        </w:trPr>
        <w:tc>
          <w:tcPr>
            <w:tcW w:w="832" w:type="dxa"/>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w:t>
            </w:r>
          </w:p>
        </w:tc>
        <w:tc>
          <w:tcPr>
            <w:tcW w:w="5121" w:type="dxa"/>
          </w:tcPr>
          <w:p>
            <w:pPr>
              <w:pageBreakBefore w:val="0"/>
              <w:kinsoku/>
              <w:wordWrap/>
              <w:overflowPunct/>
              <w:topLinePunct w:val="0"/>
              <w:bidi w:val="0"/>
              <w:spacing w:beforeAutospacing="0" w:afterAutospacing="0" w:line="240" w:lineRule="auto"/>
              <w:ind w:left="0" w:right="0"/>
              <w:jc w:val="left"/>
              <w:textAlignment w:val="auto"/>
              <w:rPr>
                <w:rFonts w:hint="default"/>
                <w:bCs/>
                <w:sz w:val="28"/>
                <w:szCs w:val="28"/>
              </w:rPr>
            </w:pPr>
            <w:r>
              <w:rPr>
                <w:rFonts w:ascii="Times New Roman" w:eastAsia="仿宋" w:hAnsi="Times New Roman" w:cs="Times New Roman" w:hint="default"/>
                <w:bCs/>
                <w:sz w:val="28"/>
                <w:szCs w:val="28"/>
              </w:rPr>
              <w:t>安全和警示</w:t>
            </w:r>
          </w:p>
        </w:tc>
        <w:tc>
          <w:tcPr>
            <w:tcW w:w="1610"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5</w:t>
            </w:r>
          </w:p>
        </w:tc>
      </w:tr>
      <w:tr>
        <w:tblPrEx>
          <w:tblW w:w="0" w:type="auto"/>
          <w:jc w:val="center"/>
          <w:tblCellMar>
            <w:top w:w="0" w:type="dxa"/>
            <w:left w:w="108" w:type="dxa"/>
            <w:bottom w:w="0" w:type="dxa"/>
            <w:right w:w="108" w:type="dxa"/>
          </w:tblCellMar>
        </w:tblPrEx>
        <w:trPr>
          <w:jc w:val="center"/>
        </w:trPr>
        <w:tc>
          <w:tcPr>
            <w:tcW w:w="832" w:type="dxa"/>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3</w:t>
            </w:r>
          </w:p>
        </w:tc>
        <w:tc>
          <w:tcPr>
            <w:tcW w:w="5121" w:type="dxa"/>
          </w:tcPr>
          <w:p>
            <w:pPr>
              <w:pageBreakBefore w:val="0"/>
              <w:kinsoku/>
              <w:wordWrap/>
              <w:overflowPunct/>
              <w:topLinePunct w:val="0"/>
              <w:bidi w:val="0"/>
              <w:spacing w:beforeAutospacing="0" w:afterAutospacing="0" w:line="240" w:lineRule="auto"/>
              <w:ind w:left="0" w:right="0"/>
              <w:jc w:val="left"/>
              <w:textAlignment w:val="auto"/>
              <w:rPr>
                <w:rFonts w:hint="default"/>
                <w:bCs/>
                <w:sz w:val="28"/>
                <w:szCs w:val="28"/>
              </w:rPr>
            </w:pPr>
            <w:r>
              <w:rPr>
                <w:rFonts w:ascii="Times New Roman" w:eastAsia="仿宋" w:hAnsi="Times New Roman" w:cs="Times New Roman" w:hint="default"/>
                <w:bCs/>
                <w:sz w:val="28"/>
                <w:szCs w:val="28"/>
              </w:rPr>
              <w:t>正确完成飞行前检查</w:t>
            </w:r>
          </w:p>
        </w:tc>
        <w:tc>
          <w:tcPr>
            <w:tcW w:w="1610"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25</w:t>
            </w:r>
          </w:p>
        </w:tc>
      </w:tr>
      <w:tr>
        <w:tblPrEx>
          <w:tblW w:w="0" w:type="auto"/>
          <w:jc w:val="center"/>
          <w:tblCellMar>
            <w:top w:w="0" w:type="dxa"/>
            <w:left w:w="108" w:type="dxa"/>
            <w:bottom w:w="0" w:type="dxa"/>
            <w:right w:w="108" w:type="dxa"/>
          </w:tblCellMar>
        </w:tblPrEx>
        <w:trPr>
          <w:jc w:val="center"/>
        </w:trPr>
        <w:tc>
          <w:tcPr>
            <w:tcW w:w="832" w:type="dxa"/>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4</w:t>
            </w:r>
          </w:p>
        </w:tc>
        <w:tc>
          <w:tcPr>
            <w:tcW w:w="5121" w:type="dxa"/>
          </w:tcPr>
          <w:p>
            <w:pPr>
              <w:pageBreakBefore w:val="0"/>
              <w:kinsoku/>
              <w:wordWrap/>
              <w:overflowPunct/>
              <w:topLinePunct w:val="0"/>
              <w:bidi w:val="0"/>
              <w:spacing w:beforeAutospacing="0" w:afterAutospacing="0" w:line="240" w:lineRule="auto"/>
              <w:ind w:left="0" w:right="0"/>
              <w:jc w:val="left"/>
              <w:textAlignment w:val="auto"/>
              <w:rPr>
                <w:rFonts w:hint="default"/>
                <w:bCs/>
                <w:sz w:val="28"/>
                <w:szCs w:val="28"/>
              </w:rPr>
            </w:pPr>
            <w:r>
              <w:rPr>
                <w:rFonts w:ascii="Times New Roman" w:eastAsia="仿宋" w:hAnsi="Times New Roman" w:cs="Times New Roman" w:hint="default"/>
                <w:bCs/>
                <w:sz w:val="28"/>
                <w:szCs w:val="28"/>
              </w:rPr>
              <w:t>故障查找和描述</w:t>
            </w:r>
          </w:p>
        </w:tc>
        <w:tc>
          <w:tcPr>
            <w:tcW w:w="1610" w:type="dxa"/>
            <w:vAlign w:val="center"/>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65</w:t>
            </w:r>
          </w:p>
        </w:tc>
      </w:tr>
      <w:tr>
        <w:tblPrEx>
          <w:tblW w:w="0" w:type="auto"/>
          <w:jc w:val="center"/>
          <w:tblCellMar>
            <w:top w:w="0" w:type="dxa"/>
            <w:left w:w="108" w:type="dxa"/>
            <w:bottom w:w="0" w:type="dxa"/>
            <w:right w:w="108" w:type="dxa"/>
          </w:tblCellMar>
        </w:tblPrEx>
        <w:trPr>
          <w:jc w:val="center"/>
        </w:trPr>
        <w:tc>
          <w:tcPr>
            <w:tcW w:w="5953" w:type="dxa"/>
            <w:gridSpan w:val="2"/>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总计</w:t>
            </w:r>
          </w:p>
        </w:tc>
        <w:tc>
          <w:tcPr>
            <w:tcW w:w="1610" w:type="dxa"/>
          </w:tcPr>
          <w:p>
            <w:pPr>
              <w:pageBreakBefore w:val="0"/>
              <w:kinsoku/>
              <w:wordWrap/>
              <w:overflowPunct/>
              <w:topLinePunct w:val="0"/>
              <w:bidi w:val="0"/>
              <w:spacing w:beforeAutospacing="0" w:afterAutospacing="0" w:line="240" w:lineRule="auto"/>
              <w:ind w:left="0" w:right="0"/>
              <w:jc w:val="center"/>
              <w:textAlignment w:val="auto"/>
              <w:rPr>
                <w:rFonts w:hint="default"/>
                <w:bCs/>
                <w:sz w:val="28"/>
                <w:szCs w:val="28"/>
              </w:rPr>
            </w:pPr>
            <w:r>
              <w:rPr>
                <w:rFonts w:ascii="Times New Roman" w:eastAsia="仿宋" w:hAnsi="Times New Roman" w:cs="Times New Roman" w:hint="default"/>
                <w:bCs/>
                <w:sz w:val="28"/>
                <w:szCs w:val="28"/>
              </w:rPr>
              <w:t>100</w:t>
            </w:r>
          </w:p>
        </w:tc>
      </w:tr>
    </w:tbl>
    <w:p>
      <w:pPr>
        <w:pStyle w:val="BodyTextFirstIndent"/>
        <w:pageBreakBefore w:val="0"/>
        <w:kinsoku/>
        <w:wordWrap/>
        <w:overflowPunct/>
        <w:topLinePunct w:val="0"/>
        <w:bidi w:val="0"/>
        <w:spacing w:beforeAutospacing="0" w:afterAutospacing="0" w:line="240" w:lineRule="auto"/>
        <w:ind w:left="0" w:right="0"/>
        <w:textAlignment w:val="auto"/>
        <w:rPr>
          <w:rFonts w:ascii="Times New Roman" w:eastAsia="仿宋" w:hAnsi="Times New Roman" w:cs="Times New Roman" w:hint="default"/>
          <w:b/>
          <w:bCs/>
          <w:sz w:val="32"/>
          <w:szCs w:val="32"/>
          <w:lang w:val="en-US" w:eastAsia="zh-CN"/>
        </w:rPr>
      </w:pPr>
      <w:r>
        <w:rPr>
          <w:rFonts w:ascii="Times New Roman" w:eastAsia="仿宋" w:hAnsi="Times New Roman" w:cs="Times New Roman" w:hint="default"/>
          <w:b/>
          <w:bCs/>
          <w:sz w:val="32"/>
          <w:szCs w:val="32"/>
          <w:lang w:val="en-US" w:eastAsia="zh-CN"/>
        </w:rPr>
        <w:t>4. 复合材料修理</w:t>
      </w:r>
      <w:r>
        <w:rPr>
          <w:rFonts w:ascii="Times New Roman" w:eastAsia="仿宋" w:cs="Times New Roman" w:hint="eastAsia"/>
          <w:b/>
          <w:bCs/>
          <w:sz w:val="32"/>
          <w:szCs w:val="32"/>
          <w:lang w:val="en-US" w:eastAsia="zh-CN"/>
        </w:rPr>
        <w:t>模块</w:t>
      </w:r>
    </w:p>
    <w:p>
      <w:pPr>
        <w:pageBreakBefore w:val="0"/>
        <w:kinsoku/>
        <w:wordWrap/>
        <w:overflowPunct/>
        <w:topLinePunct w:val="0"/>
        <w:bidi w:val="0"/>
        <w:spacing w:beforeAutospacing="0" w:afterAutospacing="0" w:line="240" w:lineRule="auto"/>
        <w:ind w:left="0" w:right="0" w:firstLine="640" w:firstLineChars="200"/>
        <w:jc w:val="both"/>
        <w:textAlignment w:val="auto"/>
        <w:rPr>
          <w:rFonts w:hint="default"/>
          <w:b/>
          <w:bCs/>
          <w:szCs w:val="32"/>
        </w:rPr>
      </w:pPr>
      <w:r>
        <w:rPr>
          <w:rFonts w:ascii="Times New Roman" w:eastAsia="仿宋" w:hAnsi="Times New Roman" w:cs="Times New Roman" w:hint="default"/>
          <w:sz w:val="32"/>
          <w:szCs w:val="32"/>
          <w:lang w:val="en-US" w:eastAsia="zh-CN"/>
        </w:rPr>
        <w:t>（1）</w:t>
      </w:r>
      <w:r>
        <w:rPr>
          <w:rFonts w:cs="Times New Roman" w:hint="eastAsia"/>
          <w:sz w:val="32"/>
          <w:szCs w:val="32"/>
          <w:lang w:val="en-US" w:eastAsia="zh-CN"/>
        </w:rPr>
        <w:t>考核目标</w:t>
      </w:r>
    </w:p>
    <w:p>
      <w:pPr>
        <w:pageBreakBefore w:val="0"/>
        <w:kinsoku/>
        <w:wordWrap/>
        <w:overflowPunct/>
        <w:topLinePunct w:val="0"/>
        <w:bidi w:val="0"/>
        <w:spacing w:beforeAutospacing="0" w:afterAutospacing="0" w:line="240" w:lineRule="auto"/>
        <w:ind w:left="0" w:right="0" w:firstLine="640" w:firstLineChars="200"/>
        <w:jc w:val="both"/>
        <w:textAlignment w:val="auto"/>
        <w:rPr>
          <w:rFonts w:hint="default"/>
          <w:szCs w:val="32"/>
        </w:rPr>
      </w:pPr>
      <w:r>
        <w:rPr>
          <w:rFonts w:hint="default"/>
          <w:szCs w:val="32"/>
        </w:rPr>
        <w:br/>
      </w:r>
      <w:r>
        <w:rPr>
          <w:rFonts w:hint="default"/>
          <w:szCs w:val="32"/>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https://d.book118.com/016241003031010100</w:t>
        </w:r>
      </w:hyperlink>
    </w:p>
    <w:p>
      <w:pPr>
        <w:pageBreakBefore w:val="0"/>
        <w:kinsoku/>
        <w:wordWrap/>
        <w:overflowPunct/>
        <w:topLinePunct w:val="0"/>
        <w:bidi w:val="0"/>
        <w:spacing w:beforeAutospacing="0" w:afterAutospacing="0" w:line="240" w:lineRule="auto"/>
        <w:ind w:left="0" w:right="0" w:firstLine="640" w:firstLineChars="200"/>
        <w:jc w:val="both"/>
        <w:textAlignment w:val="auto"/>
        <w:rPr>
          <w:rFonts w:hint="default"/>
          <w:szCs w:val="32"/>
        </w:rPr>
      </w:pPr>
    </w:p>
    <w:sectPr>
      <w:headerReference w:type="default" r:id="rId61"/>
      <w:footerReference w:type="default" r:id="rId62"/>
      <w:type w:val="nextPage"/>
      <w:pgSz w:w="11906" w:h="16838"/>
      <w:pgMar w:top="1417" w:right="1417" w:bottom="1247" w:left="1417" w:header="851" w:footer="992" w:gutter="0"/>
      <w:pgNumType w:fmt="decimal" w:start="20"/>
      <w:cols w:num="1" w:space="720"/>
      <w:titlePg w:val="0"/>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embedRegular r:id="rId1" w:subsetted="1" w:fontKey="{246CE22F-EA21-430D-A90E-9222E14408F4}"/>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subsetted="1" w:fontKey="{B93E1F32-A552-4419-9B29-597CA48D6378}"/>
  </w:font>
  <w:font w:name="楷体">
    <w:panose1 w:val="02010609060101010101"/>
    <w:charset w:val="86"/>
    <w:family w:val="auto"/>
    <w:pitch w:val="default"/>
    <w:sig w:usb0="800002BF" w:usb1="38CF7CFA" w:usb2="00000016" w:usb3="00000000" w:csb0="00040001" w:csb1="00000000"/>
    <w:embedRegular r:id="rId3" w:subsetted="1" w:fontKey="{C40FD768-25B6-42CC-A0ED-9A12C2B04448}"/>
  </w:font>
  <w:font w:name="仿宋_GB2312">
    <w:altName w:val="仿宋"/>
    <w:panose1 w:val="00000000000000000000"/>
    <w:charset w:val="86"/>
    <w:family w:val="modern"/>
    <w:pitch w:val="default"/>
    <w:sig w:usb0="00000000" w:usb1="00000000" w:usb2="00000000" w:usb3="00000000" w:csb0="00040000" w:csb1="00000000"/>
    <w:embedRegular r:id="rId4" w:subsetted="1" w:fontKey="{E85955DA-84AB-4837-986C-B3EB149642E8}"/>
  </w:font>
  <w:font w:name="Frutiger LT Com 45 Light">
    <w:altName w:val="Calibri"/>
    <w:panose1 w:val="00000000000000000000"/>
    <w:charset w:val="00"/>
    <w:family w:val="swiss"/>
    <w:pitch w:val="default"/>
    <w:sig w:usb0="00000000" w:usb1="00000000" w:usb2="00000000" w:usb3="00000000" w:csb0="00000001" w:csb1="00000000"/>
  </w:font>
  <w:font w:name="Inria Serif">
    <w:altName w:val="Segoe Print"/>
    <w:panose1 w:val="00000000000000000000"/>
    <w:charset w:val="00"/>
    <w:family w:val="auto"/>
    <w:pitch w:val="default"/>
    <w:sig w:usb0="00000000" w:usb1="00000000" w:usb2="00000000" w:usb3="00000000" w:csb0="00000001" w:csb1="00000000"/>
  </w:font>
  <w:font w:name="Times New Roman (Headings CS)">
    <w:altName w:val="Times New Roman"/>
    <w:panose1 w:val="000000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方正公文小标宋">
    <w:panose1 w:val="02000500000000000000"/>
    <w:charset w:val="86"/>
    <w:family w:val="auto"/>
    <w:pitch w:val="default"/>
    <w:sig w:usb0="A00002BF" w:usb1="38CF7CFA" w:usb2="00000016" w:usb3="00000000" w:csb0="00040001" w:csb1="00000000"/>
    <w:embedRegular r:id="rId5" w:subsetted="1" w:fontKey="{647175B6-47B4-4FA1-BC8B-207DE85B8B93}"/>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5F" w:usb2="00000000" w:usb3="00000000" w:csb0="2000019F" w:csb1="00000000"/>
  </w:font>
  <w:font w:name="SimSun">
    <w:charset w:val="00"/>
    <w:family w:val="auto"/>
    <w:pitch w:val="default"/>
    <w:sig w:usb0="00000000" w:usb1="00000000" w:usb2="00000000" w:usb3="00000000" w:csb0="00000001" w:csb1="00000000"/>
    <w:embedRegular r:id="rId6" w:subsetted="1" w:fontKey="{D784E7FD-ED99-4C00-88CE-2B58F840FA3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846705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803950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831819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9166177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hint="eastAsia"/>
      </w:rPr>
      <w:tab/>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87570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hint="eastAsia"/>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73757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hint="eastAsia"/>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575456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hint="eastAsia"/>
      </w:rPr>
      <w:tab/>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099491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rFonts w:hint="eastAsia"/>
      </w:rPr>
      <w:tab/>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931197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rFonts w:hint="eastAsia"/>
      </w:rPr>
      <w:tab/>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768883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r>
      <w:rPr>
        <w:rFonts w:hint="eastAsia"/>
      </w:rPr>
      <w:tab/>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59631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r>
      <w:rPr>
        <w:rFonts w:hint="eastAsia"/>
      </w:rPr>
      <w:tab/>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175827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r>
      <w:rPr>
        <w:rFonts w:hint="eastAsia"/>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207763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r>
      <w:rPr>
        <w:rFonts w:hint="eastAsia"/>
      </w:rPr>
      <w:tab/>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7369869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rFonts w:hint="eastAsia"/>
      </w:rPr>
      <w:tab/>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8908313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r>
      <w:rPr>
        <w:rFonts w:hint="eastAsia"/>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8636162"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r>
      <w:rPr>
        <w:rFonts w:hint="eastAsia"/>
      </w:rPr>
      <w:tab/>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0022489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r>
      <w:rPr>
        <w:rFonts w:hint="eastAsia"/>
      </w:rPr>
      <w:tab/>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396286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r>
      <w:rPr>
        <w:rFonts w:hint="eastAsia"/>
      </w:rPr>
      <w:tab/>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480063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r>
      <w:rPr>
        <w:rFonts w:hint="eastAsia"/>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95DE97"/>
    <w:multiLevelType w:val="singleLevel"/>
    <w:tmpl w:val="8495DE97"/>
    <w:lvl w:ilvl="0">
      <w:start w:val="2"/>
      <w:numFmt w:val="decimal"/>
      <w:suff w:val="space"/>
      <w:lvlText w:val="%1."/>
      <w:lvlJc w:val="left"/>
    </w:lvl>
  </w:abstractNum>
  <w:abstractNum w:abstractNumId="1">
    <w:nsid w:val="00000002"/>
    <w:multiLevelType w:val="multilevel"/>
    <w:tmpl w:val="00000002"/>
    <w:lvl w:ilvl="0">
      <w:start w:val="4"/>
      <w:numFmt w:val="bullet"/>
      <w:lvlText w:val="□"/>
      <w:lvlJc w:val="left"/>
      <w:pPr>
        <w:tabs>
          <w:tab w:val="left" w:pos="360"/>
        </w:tabs>
        <w:ind w:left="360" w:hanging="360"/>
      </w:pPr>
      <w:rPr>
        <w:rFonts w:ascii="宋体" w:eastAsia="宋体" w:hAnsi="宋体" w:cs="Times New Roman" w:hint="eastAsia"/>
        <w:b/>
        <w:sz w:val="44"/>
      </w:rPr>
    </w:lvl>
    <w:lvl w:ilvl="1">
      <w:start w:val="1"/>
      <w:numFmt w:val="bullet"/>
      <w:lvlText w:val=""/>
      <w:lvlJc w:val="left"/>
      <w:pPr>
        <w:tabs>
          <w:tab w:val="left" w:pos="840"/>
        </w:tabs>
        <w:ind w:left="840" w:hanging="420"/>
      </w:pPr>
      <w:rPr>
        <w:rFonts w:ascii="Wingdings" w:hAnsi="Wingdings" w:hint="default"/>
      </w:rPr>
    </w:lvl>
    <w:lvl w:ilvl="2">
      <w:start w:val="1"/>
      <w:numFmt w:val="bullet"/>
      <w:pStyle w:val="Heading3"/>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nsid w:val="00000003"/>
    <w:multiLevelType w:val="multilevel"/>
    <w:tmpl w:val="00000003"/>
    <w:lvl w:ilvl="0">
      <w:start w:val="4"/>
      <w:numFmt w:val="japaneseCounting"/>
      <w:pStyle w:val="TableBullet"/>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20"/>
    <w:multiLevelType w:val="multilevel"/>
    <w:tmpl w:val="0000002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048F2890"/>
    <w:multiLevelType w:val="singleLevel"/>
    <w:tmpl w:val="048F2890"/>
    <w:lvl w:ilvl="0">
      <w:start w:val="1"/>
      <w:numFmt w:val="decimal"/>
      <w:suff w:val="space"/>
      <w:lvlText w:val="%1."/>
      <w:lvlJc w:val="left"/>
    </w:lvl>
  </w:abstractNum>
  <w:abstractNum w:abstractNumId="5">
    <w:nsid w:val="14C6AEFE"/>
    <w:multiLevelType w:val="singleLevel"/>
    <w:tmpl w:val="14C6AEFE"/>
    <w:lvl w:ilvl="0">
      <w:start w:val="1"/>
      <w:numFmt w:val="upperLetter"/>
      <w:suff w:val="space"/>
      <w:lvlText w:val="%1."/>
      <w:lvlJc w:val="left"/>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9"/>
  <w:doNotShadeFormData/>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80EB9C8E"/>
    <w:rsid w:val="810D72BC"/>
    <w:rsid w:val="819BF8A3"/>
    <w:rsid w:val="82046577"/>
    <w:rsid w:val="828D24D9"/>
    <w:rsid w:val="83154A7D"/>
    <w:rsid w:val="84121031"/>
    <w:rsid w:val="848B8D23"/>
    <w:rsid w:val="84D5D5C7"/>
    <w:rsid w:val="84E56920"/>
    <w:rsid w:val="854E0CEC"/>
    <w:rsid w:val="85F4D4C0"/>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8B1C0CA"/>
    <w:rsid w:val="A8F8ACCD"/>
    <w:rsid w:val="A9480421"/>
    <w:rsid w:val="A9556EAB"/>
    <w:rsid w:val="A9AC0F16"/>
    <w:rsid w:val="AA0B33C1"/>
    <w:rsid w:val="AB997272"/>
    <w:rsid w:val="AC3096C3"/>
    <w:rsid w:val="AC5E7F18"/>
    <w:rsid w:val="ACC3C60F"/>
    <w:rsid w:val="ACCA8DDA"/>
    <w:rsid w:val="ACF3D4EF"/>
    <w:rsid w:val="ACFE0A8F"/>
    <w:rsid w:val="AEC1CB2F"/>
    <w:rsid w:val="B00A5B3A"/>
    <w:rsid w:val="B23B1FA1"/>
    <w:rsid w:val="B344D3C6"/>
    <w:rsid w:val="B3C92320"/>
    <w:rsid w:val="B4CEDC3B"/>
    <w:rsid w:val="B59D3E5B"/>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E2D1C01C"/>
    <w:rsid w:val="E346D6E3"/>
    <w:rsid w:val="E3684ABE"/>
    <w:rsid w:val="E3DA5805"/>
    <w:rsid w:val="E443D085"/>
    <w:rsid w:val="E4C901BD"/>
    <w:rsid w:val="E4EAE958"/>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F75275"/>
    <w:rsid w:val="00002E0E"/>
    <w:rsid w:val="000031F3"/>
    <w:rsid w:val="000034E7"/>
    <w:rsid w:val="000038CE"/>
    <w:rsid w:val="00003A52"/>
    <w:rsid w:val="00003CD2"/>
    <w:rsid w:val="00004218"/>
    <w:rsid w:val="0000542C"/>
    <w:rsid w:val="00006790"/>
    <w:rsid w:val="00012499"/>
    <w:rsid w:val="00012F2F"/>
    <w:rsid w:val="00017B7A"/>
    <w:rsid w:val="0002283E"/>
    <w:rsid w:val="000238DE"/>
    <w:rsid w:val="00025548"/>
    <w:rsid w:val="0002644F"/>
    <w:rsid w:val="00032A69"/>
    <w:rsid w:val="0003478D"/>
    <w:rsid w:val="0003640E"/>
    <w:rsid w:val="00037886"/>
    <w:rsid w:val="0004175D"/>
    <w:rsid w:val="00044355"/>
    <w:rsid w:val="0004578A"/>
    <w:rsid w:val="00045BA5"/>
    <w:rsid w:val="00046F3E"/>
    <w:rsid w:val="00047F51"/>
    <w:rsid w:val="00050437"/>
    <w:rsid w:val="00050E06"/>
    <w:rsid w:val="00051399"/>
    <w:rsid w:val="00053900"/>
    <w:rsid w:val="000552DB"/>
    <w:rsid w:val="000564E4"/>
    <w:rsid w:val="000609BE"/>
    <w:rsid w:val="000609D5"/>
    <w:rsid w:val="000616F5"/>
    <w:rsid w:val="00062AA5"/>
    <w:rsid w:val="00065145"/>
    <w:rsid w:val="000667A7"/>
    <w:rsid w:val="000736FE"/>
    <w:rsid w:val="00073991"/>
    <w:rsid w:val="00074C03"/>
    <w:rsid w:val="00075B9D"/>
    <w:rsid w:val="00077B9D"/>
    <w:rsid w:val="00080948"/>
    <w:rsid w:val="000844E7"/>
    <w:rsid w:val="00087E81"/>
    <w:rsid w:val="000900B8"/>
    <w:rsid w:val="000940B5"/>
    <w:rsid w:val="00095C95"/>
    <w:rsid w:val="00095E32"/>
    <w:rsid w:val="000967E5"/>
    <w:rsid w:val="000A0494"/>
    <w:rsid w:val="000A117E"/>
    <w:rsid w:val="000A273E"/>
    <w:rsid w:val="000A39ED"/>
    <w:rsid w:val="000A4277"/>
    <w:rsid w:val="000A4D81"/>
    <w:rsid w:val="000B3EA9"/>
    <w:rsid w:val="000B6571"/>
    <w:rsid w:val="000B7729"/>
    <w:rsid w:val="000C31F5"/>
    <w:rsid w:val="000C3354"/>
    <w:rsid w:val="000C4A1A"/>
    <w:rsid w:val="000C572A"/>
    <w:rsid w:val="000C5AF3"/>
    <w:rsid w:val="000C5BD2"/>
    <w:rsid w:val="000C6C5F"/>
    <w:rsid w:val="000D2B9D"/>
    <w:rsid w:val="000D474F"/>
    <w:rsid w:val="000D66D4"/>
    <w:rsid w:val="000D7DE6"/>
    <w:rsid w:val="000E1676"/>
    <w:rsid w:val="000E3615"/>
    <w:rsid w:val="000E396B"/>
    <w:rsid w:val="000E50CD"/>
    <w:rsid w:val="000E6A82"/>
    <w:rsid w:val="000E71B1"/>
    <w:rsid w:val="000E76D4"/>
    <w:rsid w:val="000F02C3"/>
    <w:rsid w:val="000F070E"/>
    <w:rsid w:val="000F1F6F"/>
    <w:rsid w:val="000F4FA9"/>
    <w:rsid w:val="000F5D34"/>
    <w:rsid w:val="000F69A5"/>
    <w:rsid w:val="000F77FF"/>
    <w:rsid w:val="00100856"/>
    <w:rsid w:val="001015F0"/>
    <w:rsid w:val="001017E4"/>
    <w:rsid w:val="0010421C"/>
    <w:rsid w:val="00104227"/>
    <w:rsid w:val="001050F3"/>
    <w:rsid w:val="00107CDB"/>
    <w:rsid w:val="00110C84"/>
    <w:rsid w:val="0011228B"/>
    <w:rsid w:val="00113592"/>
    <w:rsid w:val="001146A4"/>
    <w:rsid w:val="00114A20"/>
    <w:rsid w:val="00116099"/>
    <w:rsid w:val="001200FD"/>
    <w:rsid w:val="001201BE"/>
    <w:rsid w:val="001204C2"/>
    <w:rsid w:val="0012242E"/>
    <w:rsid w:val="00123069"/>
    <w:rsid w:val="0012693B"/>
    <w:rsid w:val="00126E80"/>
    <w:rsid w:val="001273E2"/>
    <w:rsid w:val="001278B9"/>
    <w:rsid w:val="00133F93"/>
    <w:rsid w:val="0013518A"/>
    <w:rsid w:val="00135B9D"/>
    <w:rsid w:val="001371F3"/>
    <w:rsid w:val="00137B7A"/>
    <w:rsid w:val="001416A0"/>
    <w:rsid w:val="00142087"/>
    <w:rsid w:val="00142262"/>
    <w:rsid w:val="00142E5C"/>
    <w:rsid w:val="00143067"/>
    <w:rsid w:val="00143F7E"/>
    <w:rsid w:val="00146A7E"/>
    <w:rsid w:val="001471E5"/>
    <w:rsid w:val="00156224"/>
    <w:rsid w:val="00156509"/>
    <w:rsid w:val="00160024"/>
    <w:rsid w:val="00161015"/>
    <w:rsid w:val="00162406"/>
    <w:rsid w:val="0016326D"/>
    <w:rsid w:val="001634CA"/>
    <w:rsid w:val="001637E7"/>
    <w:rsid w:val="001649EF"/>
    <w:rsid w:val="00165BB8"/>
    <w:rsid w:val="00166768"/>
    <w:rsid w:val="00166917"/>
    <w:rsid w:val="0016712D"/>
    <w:rsid w:val="00167589"/>
    <w:rsid w:val="00167942"/>
    <w:rsid w:val="00170610"/>
    <w:rsid w:val="001713D7"/>
    <w:rsid w:val="00172046"/>
    <w:rsid w:val="00172A27"/>
    <w:rsid w:val="00172C3C"/>
    <w:rsid w:val="00176571"/>
    <w:rsid w:val="00180A89"/>
    <w:rsid w:val="001837C3"/>
    <w:rsid w:val="00183880"/>
    <w:rsid w:val="00184512"/>
    <w:rsid w:val="0018660C"/>
    <w:rsid w:val="00186D47"/>
    <w:rsid w:val="001872B6"/>
    <w:rsid w:val="00187368"/>
    <w:rsid w:val="00191F61"/>
    <w:rsid w:val="001946A3"/>
    <w:rsid w:val="00195F47"/>
    <w:rsid w:val="00196E8E"/>
    <w:rsid w:val="001A0801"/>
    <w:rsid w:val="001A0ACC"/>
    <w:rsid w:val="001A1480"/>
    <w:rsid w:val="001A26F3"/>
    <w:rsid w:val="001A386B"/>
    <w:rsid w:val="001A3E7F"/>
    <w:rsid w:val="001A4562"/>
    <w:rsid w:val="001A50B6"/>
    <w:rsid w:val="001A6F89"/>
    <w:rsid w:val="001B0299"/>
    <w:rsid w:val="001B2354"/>
    <w:rsid w:val="001B3E09"/>
    <w:rsid w:val="001B6359"/>
    <w:rsid w:val="001B64A6"/>
    <w:rsid w:val="001C0B8C"/>
    <w:rsid w:val="001C1AA3"/>
    <w:rsid w:val="001C212C"/>
    <w:rsid w:val="001C2B18"/>
    <w:rsid w:val="001C3A39"/>
    <w:rsid w:val="001C405E"/>
    <w:rsid w:val="001C4E49"/>
    <w:rsid w:val="001C6017"/>
    <w:rsid w:val="001C6224"/>
    <w:rsid w:val="001C64B5"/>
    <w:rsid w:val="001C6B06"/>
    <w:rsid w:val="001C74BF"/>
    <w:rsid w:val="001D0773"/>
    <w:rsid w:val="001D20C0"/>
    <w:rsid w:val="001D2D2C"/>
    <w:rsid w:val="001D572A"/>
    <w:rsid w:val="001D5CDD"/>
    <w:rsid w:val="001D770E"/>
    <w:rsid w:val="001E00E7"/>
    <w:rsid w:val="001E25C2"/>
    <w:rsid w:val="001E6E56"/>
    <w:rsid w:val="001E7422"/>
    <w:rsid w:val="001E7AE0"/>
    <w:rsid w:val="001E7B09"/>
    <w:rsid w:val="001F0197"/>
    <w:rsid w:val="001F1116"/>
    <w:rsid w:val="001F1D70"/>
    <w:rsid w:val="001F2C23"/>
    <w:rsid w:val="001F36AF"/>
    <w:rsid w:val="001F3B36"/>
    <w:rsid w:val="001F3C38"/>
    <w:rsid w:val="001F48CD"/>
    <w:rsid w:val="001F61E2"/>
    <w:rsid w:val="00200000"/>
    <w:rsid w:val="0020054A"/>
    <w:rsid w:val="0020142F"/>
    <w:rsid w:val="002016EA"/>
    <w:rsid w:val="002058F1"/>
    <w:rsid w:val="00205A24"/>
    <w:rsid w:val="0020787B"/>
    <w:rsid w:val="00210F53"/>
    <w:rsid w:val="00211797"/>
    <w:rsid w:val="00213E38"/>
    <w:rsid w:val="002145A8"/>
    <w:rsid w:val="0021548E"/>
    <w:rsid w:val="002157E8"/>
    <w:rsid w:val="00215A7F"/>
    <w:rsid w:val="002167B4"/>
    <w:rsid w:val="0022187B"/>
    <w:rsid w:val="00221EA3"/>
    <w:rsid w:val="0022201D"/>
    <w:rsid w:val="0022545D"/>
    <w:rsid w:val="00225883"/>
    <w:rsid w:val="00230A29"/>
    <w:rsid w:val="002312C8"/>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A0E"/>
    <w:rsid w:val="00250A83"/>
    <w:rsid w:val="00250F5F"/>
    <w:rsid w:val="00251669"/>
    <w:rsid w:val="002522E6"/>
    <w:rsid w:val="00252F03"/>
    <w:rsid w:val="00253867"/>
    <w:rsid w:val="00254F2F"/>
    <w:rsid w:val="00255D2A"/>
    <w:rsid w:val="0025690D"/>
    <w:rsid w:val="00256E0F"/>
    <w:rsid w:val="00257C59"/>
    <w:rsid w:val="0026053E"/>
    <w:rsid w:val="00261164"/>
    <w:rsid w:val="00261240"/>
    <w:rsid w:val="00263284"/>
    <w:rsid w:val="00263BD7"/>
    <w:rsid w:val="00267284"/>
    <w:rsid w:val="002677BA"/>
    <w:rsid w:val="00271FBB"/>
    <w:rsid w:val="00272A13"/>
    <w:rsid w:val="00272AC7"/>
    <w:rsid w:val="00273039"/>
    <w:rsid w:val="0027501D"/>
    <w:rsid w:val="0027627F"/>
    <w:rsid w:val="002762D7"/>
    <w:rsid w:val="00277F26"/>
    <w:rsid w:val="002801B5"/>
    <w:rsid w:val="00280214"/>
    <w:rsid w:val="00281014"/>
    <w:rsid w:val="00282205"/>
    <w:rsid w:val="002823BB"/>
    <w:rsid w:val="00282C86"/>
    <w:rsid w:val="00284A2E"/>
    <w:rsid w:val="00284F98"/>
    <w:rsid w:val="00286035"/>
    <w:rsid w:val="002860E6"/>
    <w:rsid w:val="0028628E"/>
    <w:rsid w:val="002865F1"/>
    <w:rsid w:val="00290392"/>
    <w:rsid w:val="00291C5A"/>
    <w:rsid w:val="002933A8"/>
    <w:rsid w:val="002937D2"/>
    <w:rsid w:val="00293C12"/>
    <w:rsid w:val="00293F42"/>
    <w:rsid w:val="00295F55"/>
    <w:rsid w:val="0029652D"/>
    <w:rsid w:val="002A095D"/>
    <w:rsid w:val="002A1F35"/>
    <w:rsid w:val="002A3AC9"/>
    <w:rsid w:val="002A4BE1"/>
    <w:rsid w:val="002A5468"/>
    <w:rsid w:val="002A554D"/>
    <w:rsid w:val="002A71A1"/>
    <w:rsid w:val="002A73F3"/>
    <w:rsid w:val="002B6309"/>
    <w:rsid w:val="002B709A"/>
    <w:rsid w:val="002B7E77"/>
    <w:rsid w:val="002C062F"/>
    <w:rsid w:val="002C08F5"/>
    <w:rsid w:val="002C0D98"/>
    <w:rsid w:val="002C122C"/>
    <w:rsid w:val="002C2CCC"/>
    <w:rsid w:val="002C2EC4"/>
    <w:rsid w:val="002C4723"/>
    <w:rsid w:val="002C4D61"/>
    <w:rsid w:val="002C69F9"/>
    <w:rsid w:val="002C7D78"/>
    <w:rsid w:val="002D2DE3"/>
    <w:rsid w:val="002D356F"/>
    <w:rsid w:val="002D3F55"/>
    <w:rsid w:val="002D479B"/>
    <w:rsid w:val="002D49A3"/>
    <w:rsid w:val="002D6C8E"/>
    <w:rsid w:val="002E06DC"/>
    <w:rsid w:val="002E0823"/>
    <w:rsid w:val="002E1849"/>
    <w:rsid w:val="002E1E1F"/>
    <w:rsid w:val="002E29A4"/>
    <w:rsid w:val="002E3224"/>
    <w:rsid w:val="002E3459"/>
    <w:rsid w:val="002E3791"/>
    <w:rsid w:val="002E660C"/>
    <w:rsid w:val="002E66BD"/>
    <w:rsid w:val="002E77E5"/>
    <w:rsid w:val="002F23FB"/>
    <w:rsid w:val="002F27AD"/>
    <w:rsid w:val="002F387B"/>
    <w:rsid w:val="00300F52"/>
    <w:rsid w:val="00302632"/>
    <w:rsid w:val="00303AD4"/>
    <w:rsid w:val="00304A19"/>
    <w:rsid w:val="00305767"/>
    <w:rsid w:val="00306941"/>
    <w:rsid w:val="00307CFE"/>
    <w:rsid w:val="00310C7A"/>
    <w:rsid w:val="003124E5"/>
    <w:rsid w:val="00312937"/>
    <w:rsid w:val="00312FF5"/>
    <w:rsid w:val="00314C32"/>
    <w:rsid w:val="00314D01"/>
    <w:rsid w:val="00316CA1"/>
    <w:rsid w:val="003171DD"/>
    <w:rsid w:val="00317736"/>
    <w:rsid w:val="00317C8E"/>
    <w:rsid w:val="00321CCB"/>
    <w:rsid w:val="0032281A"/>
    <w:rsid w:val="00323086"/>
    <w:rsid w:val="00327157"/>
    <w:rsid w:val="00327847"/>
    <w:rsid w:val="003316E2"/>
    <w:rsid w:val="00333515"/>
    <w:rsid w:val="00333A41"/>
    <w:rsid w:val="003359CA"/>
    <w:rsid w:val="00335F99"/>
    <w:rsid w:val="00336499"/>
    <w:rsid w:val="00337C19"/>
    <w:rsid w:val="00341F22"/>
    <w:rsid w:val="0034380C"/>
    <w:rsid w:val="00343819"/>
    <w:rsid w:val="00344124"/>
    <w:rsid w:val="00344157"/>
    <w:rsid w:val="00344B05"/>
    <w:rsid w:val="0034585F"/>
    <w:rsid w:val="0034719D"/>
    <w:rsid w:val="00347F41"/>
    <w:rsid w:val="003505E8"/>
    <w:rsid w:val="00350CC1"/>
    <w:rsid w:val="0035218A"/>
    <w:rsid w:val="00352345"/>
    <w:rsid w:val="0036030A"/>
    <w:rsid w:val="00360CD0"/>
    <w:rsid w:val="0036238F"/>
    <w:rsid w:val="00362BB2"/>
    <w:rsid w:val="00362D9D"/>
    <w:rsid w:val="00364DA0"/>
    <w:rsid w:val="003665F7"/>
    <w:rsid w:val="00366657"/>
    <w:rsid w:val="00367B02"/>
    <w:rsid w:val="003709FC"/>
    <w:rsid w:val="003727DD"/>
    <w:rsid w:val="0037477A"/>
    <w:rsid w:val="00374CD5"/>
    <w:rsid w:val="003753C3"/>
    <w:rsid w:val="00375892"/>
    <w:rsid w:val="00377ED2"/>
    <w:rsid w:val="00381FF9"/>
    <w:rsid w:val="00383746"/>
    <w:rsid w:val="00384660"/>
    <w:rsid w:val="00386E7F"/>
    <w:rsid w:val="00387D90"/>
    <w:rsid w:val="00391356"/>
    <w:rsid w:val="0039158E"/>
    <w:rsid w:val="00393017"/>
    <w:rsid w:val="003934C6"/>
    <w:rsid w:val="003935ED"/>
    <w:rsid w:val="003952B9"/>
    <w:rsid w:val="003976A2"/>
    <w:rsid w:val="003A0CC9"/>
    <w:rsid w:val="003A0E59"/>
    <w:rsid w:val="003A10DA"/>
    <w:rsid w:val="003A1DD1"/>
    <w:rsid w:val="003A2755"/>
    <w:rsid w:val="003A3823"/>
    <w:rsid w:val="003A3E10"/>
    <w:rsid w:val="003A504A"/>
    <w:rsid w:val="003A551C"/>
    <w:rsid w:val="003A5B30"/>
    <w:rsid w:val="003A6B8E"/>
    <w:rsid w:val="003B1AD7"/>
    <w:rsid w:val="003B1B8A"/>
    <w:rsid w:val="003B3B99"/>
    <w:rsid w:val="003B4480"/>
    <w:rsid w:val="003B52B6"/>
    <w:rsid w:val="003C048E"/>
    <w:rsid w:val="003C1383"/>
    <w:rsid w:val="003C3075"/>
    <w:rsid w:val="003C678F"/>
    <w:rsid w:val="003C75E2"/>
    <w:rsid w:val="003D067E"/>
    <w:rsid w:val="003D2AB1"/>
    <w:rsid w:val="003D436A"/>
    <w:rsid w:val="003D45FE"/>
    <w:rsid w:val="003D601F"/>
    <w:rsid w:val="003D7582"/>
    <w:rsid w:val="003D78DA"/>
    <w:rsid w:val="003D7D76"/>
    <w:rsid w:val="003E25C5"/>
    <w:rsid w:val="003E2D1A"/>
    <w:rsid w:val="003E6C9A"/>
    <w:rsid w:val="003F0168"/>
    <w:rsid w:val="003F1D1B"/>
    <w:rsid w:val="003F1EFF"/>
    <w:rsid w:val="003F2C87"/>
    <w:rsid w:val="003F2E13"/>
    <w:rsid w:val="003F3768"/>
    <w:rsid w:val="003F38F7"/>
    <w:rsid w:val="003F4820"/>
    <w:rsid w:val="003F5E75"/>
    <w:rsid w:val="003F6380"/>
    <w:rsid w:val="003F6797"/>
    <w:rsid w:val="0040119F"/>
    <w:rsid w:val="004037EC"/>
    <w:rsid w:val="00404019"/>
    <w:rsid w:val="00405384"/>
    <w:rsid w:val="00406C2D"/>
    <w:rsid w:val="004110BF"/>
    <w:rsid w:val="00411812"/>
    <w:rsid w:val="0041207A"/>
    <w:rsid w:val="00412931"/>
    <w:rsid w:val="004138AC"/>
    <w:rsid w:val="00414B7F"/>
    <w:rsid w:val="004158EA"/>
    <w:rsid w:val="00415989"/>
    <w:rsid w:val="00416A19"/>
    <w:rsid w:val="00416AF2"/>
    <w:rsid w:val="004228C8"/>
    <w:rsid w:val="00422B4D"/>
    <w:rsid w:val="004246CC"/>
    <w:rsid w:val="00426609"/>
    <w:rsid w:val="00427E4E"/>
    <w:rsid w:val="00430188"/>
    <w:rsid w:val="00431812"/>
    <w:rsid w:val="00432EB2"/>
    <w:rsid w:val="00434358"/>
    <w:rsid w:val="0043503F"/>
    <w:rsid w:val="00436D31"/>
    <w:rsid w:val="004379EF"/>
    <w:rsid w:val="004410CA"/>
    <w:rsid w:val="00441AAB"/>
    <w:rsid w:val="004430B4"/>
    <w:rsid w:val="00445714"/>
    <w:rsid w:val="00446B58"/>
    <w:rsid w:val="00447A07"/>
    <w:rsid w:val="00450063"/>
    <w:rsid w:val="00450EFF"/>
    <w:rsid w:val="00450FA7"/>
    <w:rsid w:val="00451F68"/>
    <w:rsid w:val="00453248"/>
    <w:rsid w:val="00455A2B"/>
    <w:rsid w:val="00456C27"/>
    <w:rsid w:val="004626E3"/>
    <w:rsid w:val="004651DA"/>
    <w:rsid w:val="00465FB6"/>
    <w:rsid w:val="00467BC6"/>
    <w:rsid w:val="00467E57"/>
    <w:rsid w:val="00470B61"/>
    <w:rsid w:val="00470EA1"/>
    <w:rsid w:val="00471F1B"/>
    <w:rsid w:val="004731A6"/>
    <w:rsid w:val="00473E15"/>
    <w:rsid w:val="004740C3"/>
    <w:rsid w:val="0047558A"/>
    <w:rsid w:val="00475FDB"/>
    <w:rsid w:val="004761DA"/>
    <w:rsid w:val="00476C23"/>
    <w:rsid w:val="004808AD"/>
    <w:rsid w:val="00480D8F"/>
    <w:rsid w:val="004816A0"/>
    <w:rsid w:val="00482FBA"/>
    <w:rsid w:val="00484119"/>
    <w:rsid w:val="004911BB"/>
    <w:rsid w:val="0049131A"/>
    <w:rsid w:val="00491C34"/>
    <w:rsid w:val="00492290"/>
    <w:rsid w:val="004942C7"/>
    <w:rsid w:val="00495FC2"/>
    <w:rsid w:val="004A0EE1"/>
    <w:rsid w:val="004A102B"/>
    <w:rsid w:val="004A3210"/>
    <w:rsid w:val="004A660A"/>
    <w:rsid w:val="004A7617"/>
    <w:rsid w:val="004B020E"/>
    <w:rsid w:val="004B12BE"/>
    <w:rsid w:val="004B12F5"/>
    <w:rsid w:val="004B151F"/>
    <w:rsid w:val="004B1B5D"/>
    <w:rsid w:val="004B2D29"/>
    <w:rsid w:val="004B2D34"/>
    <w:rsid w:val="004B3397"/>
    <w:rsid w:val="004B3E51"/>
    <w:rsid w:val="004B4629"/>
    <w:rsid w:val="004B720F"/>
    <w:rsid w:val="004B759D"/>
    <w:rsid w:val="004B7E23"/>
    <w:rsid w:val="004C01A0"/>
    <w:rsid w:val="004C028E"/>
    <w:rsid w:val="004C02CE"/>
    <w:rsid w:val="004C0C72"/>
    <w:rsid w:val="004C2B89"/>
    <w:rsid w:val="004C3A9D"/>
    <w:rsid w:val="004C41DA"/>
    <w:rsid w:val="004D3C1D"/>
    <w:rsid w:val="004D3D3A"/>
    <w:rsid w:val="004D4789"/>
    <w:rsid w:val="004D53C2"/>
    <w:rsid w:val="004D56ED"/>
    <w:rsid w:val="004E0369"/>
    <w:rsid w:val="004E1A1B"/>
    <w:rsid w:val="004E1FA4"/>
    <w:rsid w:val="004E21A2"/>
    <w:rsid w:val="004E2F59"/>
    <w:rsid w:val="004E312C"/>
    <w:rsid w:val="004E4B2C"/>
    <w:rsid w:val="004E4B71"/>
    <w:rsid w:val="004E4CAE"/>
    <w:rsid w:val="004E5198"/>
    <w:rsid w:val="004E53A6"/>
    <w:rsid w:val="004E5563"/>
    <w:rsid w:val="004E5F24"/>
    <w:rsid w:val="004E716D"/>
    <w:rsid w:val="004E74C6"/>
    <w:rsid w:val="004F0839"/>
    <w:rsid w:val="004F098E"/>
    <w:rsid w:val="004F4BF1"/>
    <w:rsid w:val="004F506E"/>
    <w:rsid w:val="00504B32"/>
    <w:rsid w:val="00506261"/>
    <w:rsid w:val="00507BC5"/>
    <w:rsid w:val="0051417A"/>
    <w:rsid w:val="00516A33"/>
    <w:rsid w:val="00520CBB"/>
    <w:rsid w:val="005212AF"/>
    <w:rsid w:val="0052173B"/>
    <w:rsid w:val="0052382F"/>
    <w:rsid w:val="00524A0F"/>
    <w:rsid w:val="0052522A"/>
    <w:rsid w:val="00525E11"/>
    <w:rsid w:val="00527BD8"/>
    <w:rsid w:val="00530A51"/>
    <w:rsid w:val="00531A45"/>
    <w:rsid w:val="00536B8D"/>
    <w:rsid w:val="005370A8"/>
    <w:rsid w:val="005371D5"/>
    <w:rsid w:val="0054247E"/>
    <w:rsid w:val="005525DE"/>
    <w:rsid w:val="00553499"/>
    <w:rsid w:val="005538FA"/>
    <w:rsid w:val="00554657"/>
    <w:rsid w:val="00555DB2"/>
    <w:rsid w:val="00556B0B"/>
    <w:rsid w:val="0055712C"/>
    <w:rsid w:val="005574F9"/>
    <w:rsid w:val="00557AB0"/>
    <w:rsid w:val="005606FE"/>
    <w:rsid w:val="005664AF"/>
    <w:rsid w:val="00566AC4"/>
    <w:rsid w:val="00570640"/>
    <w:rsid w:val="00570C1F"/>
    <w:rsid w:val="00571449"/>
    <w:rsid w:val="00571717"/>
    <w:rsid w:val="00571E38"/>
    <w:rsid w:val="005729CC"/>
    <w:rsid w:val="00572E44"/>
    <w:rsid w:val="005737FF"/>
    <w:rsid w:val="00573A78"/>
    <w:rsid w:val="005760BC"/>
    <w:rsid w:val="005777F1"/>
    <w:rsid w:val="0058099C"/>
    <w:rsid w:val="00584BF8"/>
    <w:rsid w:val="00585371"/>
    <w:rsid w:val="00585416"/>
    <w:rsid w:val="005867D0"/>
    <w:rsid w:val="00586A2A"/>
    <w:rsid w:val="005937DC"/>
    <w:rsid w:val="00593A34"/>
    <w:rsid w:val="00595A55"/>
    <w:rsid w:val="005A0388"/>
    <w:rsid w:val="005A0722"/>
    <w:rsid w:val="005A1B2D"/>
    <w:rsid w:val="005A1F4D"/>
    <w:rsid w:val="005A46B9"/>
    <w:rsid w:val="005A5808"/>
    <w:rsid w:val="005A6A13"/>
    <w:rsid w:val="005A7729"/>
    <w:rsid w:val="005A7885"/>
    <w:rsid w:val="005B0170"/>
    <w:rsid w:val="005B037D"/>
    <w:rsid w:val="005B0438"/>
    <w:rsid w:val="005B0A15"/>
    <w:rsid w:val="005B0CCE"/>
    <w:rsid w:val="005B4A1E"/>
    <w:rsid w:val="005B55B2"/>
    <w:rsid w:val="005C0995"/>
    <w:rsid w:val="005C1B38"/>
    <w:rsid w:val="005C3FC2"/>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1433"/>
    <w:rsid w:val="005E1ACD"/>
    <w:rsid w:val="005E1C3A"/>
    <w:rsid w:val="005E1DEF"/>
    <w:rsid w:val="005F0F47"/>
    <w:rsid w:val="005F3FBA"/>
    <w:rsid w:val="005F476E"/>
    <w:rsid w:val="005F6576"/>
    <w:rsid w:val="005F6ADF"/>
    <w:rsid w:val="005F7B74"/>
    <w:rsid w:val="00601C5B"/>
    <w:rsid w:val="0060503B"/>
    <w:rsid w:val="00611DB1"/>
    <w:rsid w:val="006159A1"/>
    <w:rsid w:val="00615A3A"/>
    <w:rsid w:val="00616B1D"/>
    <w:rsid w:val="00616BB5"/>
    <w:rsid w:val="00617051"/>
    <w:rsid w:val="00617239"/>
    <w:rsid w:val="00620326"/>
    <w:rsid w:val="00621057"/>
    <w:rsid w:val="00622465"/>
    <w:rsid w:val="00622BFB"/>
    <w:rsid w:val="00622C01"/>
    <w:rsid w:val="006233A3"/>
    <w:rsid w:val="006247E9"/>
    <w:rsid w:val="00624E7A"/>
    <w:rsid w:val="00626330"/>
    <w:rsid w:val="00631980"/>
    <w:rsid w:val="00631F3F"/>
    <w:rsid w:val="00631FAD"/>
    <w:rsid w:val="0063381A"/>
    <w:rsid w:val="00634DC1"/>
    <w:rsid w:val="006426D6"/>
    <w:rsid w:val="00644321"/>
    <w:rsid w:val="00645B54"/>
    <w:rsid w:val="00650377"/>
    <w:rsid w:val="00651A60"/>
    <w:rsid w:val="00651BB9"/>
    <w:rsid w:val="00653CC5"/>
    <w:rsid w:val="006544FF"/>
    <w:rsid w:val="00654BE0"/>
    <w:rsid w:val="0065526F"/>
    <w:rsid w:val="00655A2E"/>
    <w:rsid w:val="00656140"/>
    <w:rsid w:val="00656507"/>
    <w:rsid w:val="0066010A"/>
    <w:rsid w:val="00661EF9"/>
    <w:rsid w:val="0066205A"/>
    <w:rsid w:val="00663479"/>
    <w:rsid w:val="006650F0"/>
    <w:rsid w:val="006651C1"/>
    <w:rsid w:val="00665444"/>
    <w:rsid w:val="00666477"/>
    <w:rsid w:val="006667DB"/>
    <w:rsid w:val="00670D3A"/>
    <w:rsid w:val="0067401C"/>
    <w:rsid w:val="006749BA"/>
    <w:rsid w:val="00675AEE"/>
    <w:rsid w:val="00676F53"/>
    <w:rsid w:val="00677FF3"/>
    <w:rsid w:val="006801DF"/>
    <w:rsid w:val="00683F58"/>
    <w:rsid w:val="006846AF"/>
    <w:rsid w:val="00684BCE"/>
    <w:rsid w:val="00685084"/>
    <w:rsid w:val="00685EF3"/>
    <w:rsid w:val="00690155"/>
    <w:rsid w:val="00693772"/>
    <w:rsid w:val="00696D96"/>
    <w:rsid w:val="00696DD8"/>
    <w:rsid w:val="00696F71"/>
    <w:rsid w:val="006A203E"/>
    <w:rsid w:val="006A31A6"/>
    <w:rsid w:val="006A360E"/>
    <w:rsid w:val="006A4D82"/>
    <w:rsid w:val="006A7493"/>
    <w:rsid w:val="006A7D58"/>
    <w:rsid w:val="006B12EC"/>
    <w:rsid w:val="006B19C1"/>
    <w:rsid w:val="006B25DF"/>
    <w:rsid w:val="006B275B"/>
    <w:rsid w:val="006B278C"/>
    <w:rsid w:val="006B2FA8"/>
    <w:rsid w:val="006B48B3"/>
    <w:rsid w:val="006B61A5"/>
    <w:rsid w:val="006C38D3"/>
    <w:rsid w:val="006C5467"/>
    <w:rsid w:val="006C59E0"/>
    <w:rsid w:val="006C5B04"/>
    <w:rsid w:val="006C5F70"/>
    <w:rsid w:val="006C6476"/>
    <w:rsid w:val="006C74AD"/>
    <w:rsid w:val="006D1D0D"/>
    <w:rsid w:val="006D2D2C"/>
    <w:rsid w:val="006D2FAE"/>
    <w:rsid w:val="006D357F"/>
    <w:rsid w:val="006D4DF2"/>
    <w:rsid w:val="006D56E0"/>
    <w:rsid w:val="006D5954"/>
    <w:rsid w:val="006D6FC4"/>
    <w:rsid w:val="006E0117"/>
    <w:rsid w:val="006E1733"/>
    <w:rsid w:val="006E28FB"/>
    <w:rsid w:val="006E42A4"/>
    <w:rsid w:val="006E7633"/>
    <w:rsid w:val="006E7CF8"/>
    <w:rsid w:val="006E7F24"/>
    <w:rsid w:val="006F0C6A"/>
    <w:rsid w:val="006F0CB4"/>
    <w:rsid w:val="006F2EAB"/>
    <w:rsid w:val="006F4032"/>
    <w:rsid w:val="006F66B2"/>
    <w:rsid w:val="006F7794"/>
    <w:rsid w:val="007004FF"/>
    <w:rsid w:val="00700B20"/>
    <w:rsid w:val="0070794B"/>
    <w:rsid w:val="0071036D"/>
    <w:rsid w:val="007127A9"/>
    <w:rsid w:val="007136BF"/>
    <w:rsid w:val="00714CF7"/>
    <w:rsid w:val="00721095"/>
    <w:rsid w:val="00722296"/>
    <w:rsid w:val="007246FC"/>
    <w:rsid w:val="00724CAE"/>
    <w:rsid w:val="007256C0"/>
    <w:rsid w:val="0072640A"/>
    <w:rsid w:val="007304AF"/>
    <w:rsid w:val="00731F89"/>
    <w:rsid w:val="007330E4"/>
    <w:rsid w:val="007354DF"/>
    <w:rsid w:val="007364E8"/>
    <w:rsid w:val="00736A1C"/>
    <w:rsid w:val="007373B1"/>
    <w:rsid w:val="0073749A"/>
    <w:rsid w:val="00740B80"/>
    <w:rsid w:val="0074110E"/>
    <w:rsid w:val="007412C6"/>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57C8"/>
    <w:rsid w:val="00755B81"/>
    <w:rsid w:val="0075654A"/>
    <w:rsid w:val="00756B7C"/>
    <w:rsid w:val="007576D7"/>
    <w:rsid w:val="00757B5E"/>
    <w:rsid w:val="00760614"/>
    <w:rsid w:val="00761DB6"/>
    <w:rsid w:val="00764151"/>
    <w:rsid w:val="0076527F"/>
    <w:rsid w:val="00767356"/>
    <w:rsid w:val="00770125"/>
    <w:rsid w:val="00774A1F"/>
    <w:rsid w:val="00774D4F"/>
    <w:rsid w:val="00777BEA"/>
    <w:rsid w:val="00780FD3"/>
    <w:rsid w:val="0078120D"/>
    <w:rsid w:val="00781E61"/>
    <w:rsid w:val="00783ADA"/>
    <w:rsid w:val="00784D82"/>
    <w:rsid w:val="007856DE"/>
    <w:rsid w:val="00786FC8"/>
    <w:rsid w:val="007873A6"/>
    <w:rsid w:val="00787A9F"/>
    <w:rsid w:val="00790D9D"/>
    <w:rsid w:val="00792FF0"/>
    <w:rsid w:val="007931E7"/>
    <w:rsid w:val="007937D5"/>
    <w:rsid w:val="00793C68"/>
    <w:rsid w:val="00794BAD"/>
    <w:rsid w:val="00796484"/>
    <w:rsid w:val="007967EF"/>
    <w:rsid w:val="007A16E9"/>
    <w:rsid w:val="007A1E91"/>
    <w:rsid w:val="007A222F"/>
    <w:rsid w:val="007A2AAC"/>
    <w:rsid w:val="007A31E4"/>
    <w:rsid w:val="007A4392"/>
    <w:rsid w:val="007A5B01"/>
    <w:rsid w:val="007A6482"/>
    <w:rsid w:val="007B1BF1"/>
    <w:rsid w:val="007B30F3"/>
    <w:rsid w:val="007B47AC"/>
    <w:rsid w:val="007B54F8"/>
    <w:rsid w:val="007B5571"/>
    <w:rsid w:val="007B739C"/>
    <w:rsid w:val="007B7AAA"/>
    <w:rsid w:val="007C0914"/>
    <w:rsid w:val="007C2668"/>
    <w:rsid w:val="007C3E11"/>
    <w:rsid w:val="007D0555"/>
    <w:rsid w:val="007D0BE9"/>
    <w:rsid w:val="007D1864"/>
    <w:rsid w:val="007D226F"/>
    <w:rsid w:val="007D298A"/>
    <w:rsid w:val="007D53E6"/>
    <w:rsid w:val="007D73C6"/>
    <w:rsid w:val="007D7F8E"/>
    <w:rsid w:val="007E1D0A"/>
    <w:rsid w:val="007E3069"/>
    <w:rsid w:val="007E3940"/>
    <w:rsid w:val="007E4CAB"/>
    <w:rsid w:val="007F0968"/>
    <w:rsid w:val="007F0E77"/>
    <w:rsid w:val="007F1F16"/>
    <w:rsid w:val="007F207C"/>
    <w:rsid w:val="007F2658"/>
    <w:rsid w:val="007F2B28"/>
    <w:rsid w:val="007F542C"/>
    <w:rsid w:val="007F5973"/>
    <w:rsid w:val="007F6803"/>
    <w:rsid w:val="007F771B"/>
    <w:rsid w:val="00802C9F"/>
    <w:rsid w:val="00803880"/>
    <w:rsid w:val="00803C65"/>
    <w:rsid w:val="00803FE2"/>
    <w:rsid w:val="0080614F"/>
    <w:rsid w:val="00807DD4"/>
    <w:rsid w:val="008115FC"/>
    <w:rsid w:val="00812252"/>
    <w:rsid w:val="0081401A"/>
    <w:rsid w:val="0081506B"/>
    <w:rsid w:val="00817246"/>
    <w:rsid w:val="00820D1A"/>
    <w:rsid w:val="00822A27"/>
    <w:rsid w:val="0082325A"/>
    <w:rsid w:val="008329B6"/>
    <w:rsid w:val="00833264"/>
    <w:rsid w:val="0083331A"/>
    <w:rsid w:val="008333C4"/>
    <w:rsid w:val="00833FC0"/>
    <w:rsid w:val="008369FA"/>
    <w:rsid w:val="0084142E"/>
    <w:rsid w:val="008425DA"/>
    <w:rsid w:val="00842826"/>
    <w:rsid w:val="0084291E"/>
    <w:rsid w:val="0084301B"/>
    <w:rsid w:val="0084374A"/>
    <w:rsid w:val="00844064"/>
    <w:rsid w:val="00844137"/>
    <w:rsid w:val="0084426A"/>
    <w:rsid w:val="00844AD3"/>
    <w:rsid w:val="00844AD4"/>
    <w:rsid w:val="008467CD"/>
    <w:rsid w:val="008468AC"/>
    <w:rsid w:val="0084693F"/>
    <w:rsid w:val="008474FD"/>
    <w:rsid w:val="00851233"/>
    <w:rsid w:val="0085239E"/>
    <w:rsid w:val="0085478F"/>
    <w:rsid w:val="008556B5"/>
    <w:rsid w:val="00856B90"/>
    <w:rsid w:val="00857378"/>
    <w:rsid w:val="0086036E"/>
    <w:rsid w:val="00861194"/>
    <w:rsid w:val="00861624"/>
    <w:rsid w:val="008619DA"/>
    <w:rsid w:val="00862BF7"/>
    <w:rsid w:val="00864A9F"/>
    <w:rsid w:val="00865959"/>
    <w:rsid w:val="00865BC5"/>
    <w:rsid w:val="00866049"/>
    <w:rsid w:val="0086619C"/>
    <w:rsid w:val="00866630"/>
    <w:rsid w:val="008722AE"/>
    <w:rsid w:val="0087462D"/>
    <w:rsid w:val="008759F1"/>
    <w:rsid w:val="00876B52"/>
    <w:rsid w:val="00881715"/>
    <w:rsid w:val="00885111"/>
    <w:rsid w:val="00886933"/>
    <w:rsid w:val="008870CE"/>
    <w:rsid w:val="00890F29"/>
    <w:rsid w:val="008921F8"/>
    <w:rsid w:val="008960FD"/>
    <w:rsid w:val="00896684"/>
    <w:rsid w:val="008974B5"/>
    <w:rsid w:val="00897F69"/>
    <w:rsid w:val="008A08A7"/>
    <w:rsid w:val="008A1533"/>
    <w:rsid w:val="008A23AA"/>
    <w:rsid w:val="008A583B"/>
    <w:rsid w:val="008B08FD"/>
    <w:rsid w:val="008B2CE6"/>
    <w:rsid w:val="008B4770"/>
    <w:rsid w:val="008B566C"/>
    <w:rsid w:val="008B5686"/>
    <w:rsid w:val="008B6C47"/>
    <w:rsid w:val="008B6E1C"/>
    <w:rsid w:val="008C0BC7"/>
    <w:rsid w:val="008C17D8"/>
    <w:rsid w:val="008C4756"/>
    <w:rsid w:val="008C580D"/>
    <w:rsid w:val="008C65A3"/>
    <w:rsid w:val="008C72C9"/>
    <w:rsid w:val="008C79D9"/>
    <w:rsid w:val="008C7B87"/>
    <w:rsid w:val="008D0E3C"/>
    <w:rsid w:val="008D20BA"/>
    <w:rsid w:val="008D2C89"/>
    <w:rsid w:val="008D2F39"/>
    <w:rsid w:val="008D33F1"/>
    <w:rsid w:val="008D36CE"/>
    <w:rsid w:val="008D4A8F"/>
    <w:rsid w:val="008D77EB"/>
    <w:rsid w:val="008D795B"/>
    <w:rsid w:val="008E0E21"/>
    <w:rsid w:val="008E181D"/>
    <w:rsid w:val="008E23FF"/>
    <w:rsid w:val="008E384C"/>
    <w:rsid w:val="008E3FB8"/>
    <w:rsid w:val="008E4C52"/>
    <w:rsid w:val="008E57C0"/>
    <w:rsid w:val="008F0003"/>
    <w:rsid w:val="008F27A6"/>
    <w:rsid w:val="008F458E"/>
    <w:rsid w:val="008F4F86"/>
    <w:rsid w:val="008F5389"/>
    <w:rsid w:val="008F5487"/>
    <w:rsid w:val="008F5F1D"/>
    <w:rsid w:val="008F64D9"/>
    <w:rsid w:val="008F77B1"/>
    <w:rsid w:val="008F7BA8"/>
    <w:rsid w:val="00900442"/>
    <w:rsid w:val="009047B6"/>
    <w:rsid w:val="00904FE4"/>
    <w:rsid w:val="009075C8"/>
    <w:rsid w:val="009110FE"/>
    <w:rsid w:val="009137B3"/>
    <w:rsid w:val="00914031"/>
    <w:rsid w:val="00914D66"/>
    <w:rsid w:val="009169C0"/>
    <w:rsid w:val="00916C6D"/>
    <w:rsid w:val="0092044D"/>
    <w:rsid w:val="009240FF"/>
    <w:rsid w:val="00924DFA"/>
    <w:rsid w:val="0092608B"/>
    <w:rsid w:val="00927C2F"/>
    <w:rsid w:val="009332FD"/>
    <w:rsid w:val="00936586"/>
    <w:rsid w:val="00941866"/>
    <w:rsid w:val="00941F63"/>
    <w:rsid w:val="00942436"/>
    <w:rsid w:val="009442A2"/>
    <w:rsid w:val="00944D0D"/>
    <w:rsid w:val="00945A64"/>
    <w:rsid w:val="00946330"/>
    <w:rsid w:val="009471B5"/>
    <w:rsid w:val="00950DD0"/>
    <w:rsid w:val="00951A14"/>
    <w:rsid w:val="009531F0"/>
    <w:rsid w:val="009537D2"/>
    <w:rsid w:val="00954B9F"/>
    <w:rsid w:val="00956418"/>
    <w:rsid w:val="00957BE0"/>
    <w:rsid w:val="00960E57"/>
    <w:rsid w:val="00965062"/>
    <w:rsid w:val="00965BC0"/>
    <w:rsid w:val="0096630F"/>
    <w:rsid w:val="009670D6"/>
    <w:rsid w:val="00967EBE"/>
    <w:rsid w:val="0097097D"/>
    <w:rsid w:val="00970B0F"/>
    <w:rsid w:val="00972398"/>
    <w:rsid w:val="00974811"/>
    <w:rsid w:val="00974E95"/>
    <w:rsid w:val="009825BA"/>
    <w:rsid w:val="00984217"/>
    <w:rsid w:val="00984E5E"/>
    <w:rsid w:val="00985F11"/>
    <w:rsid w:val="0098686B"/>
    <w:rsid w:val="009869E5"/>
    <w:rsid w:val="00986BE8"/>
    <w:rsid w:val="00987AB6"/>
    <w:rsid w:val="00987B45"/>
    <w:rsid w:val="00987D33"/>
    <w:rsid w:val="009900CD"/>
    <w:rsid w:val="00990732"/>
    <w:rsid w:val="00990AE7"/>
    <w:rsid w:val="00990B9C"/>
    <w:rsid w:val="00992785"/>
    <w:rsid w:val="009937EF"/>
    <w:rsid w:val="00994554"/>
    <w:rsid w:val="00994B1C"/>
    <w:rsid w:val="00996D03"/>
    <w:rsid w:val="00997D0E"/>
    <w:rsid w:val="009A163B"/>
    <w:rsid w:val="009A25F3"/>
    <w:rsid w:val="009A38C9"/>
    <w:rsid w:val="009A4821"/>
    <w:rsid w:val="009A5C2C"/>
    <w:rsid w:val="009A7101"/>
    <w:rsid w:val="009A75D5"/>
    <w:rsid w:val="009B0747"/>
    <w:rsid w:val="009B0E28"/>
    <w:rsid w:val="009B1200"/>
    <w:rsid w:val="009B1510"/>
    <w:rsid w:val="009B2A07"/>
    <w:rsid w:val="009B6412"/>
    <w:rsid w:val="009C062D"/>
    <w:rsid w:val="009C2556"/>
    <w:rsid w:val="009C2C38"/>
    <w:rsid w:val="009C39DB"/>
    <w:rsid w:val="009C5CA2"/>
    <w:rsid w:val="009D00D0"/>
    <w:rsid w:val="009D39DD"/>
    <w:rsid w:val="009D51E4"/>
    <w:rsid w:val="009D6B96"/>
    <w:rsid w:val="009E3853"/>
    <w:rsid w:val="009E5DE3"/>
    <w:rsid w:val="009E6533"/>
    <w:rsid w:val="009E6C0F"/>
    <w:rsid w:val="009E7920"/>
    <w:rsid w:val="009F17B3"/>
    <w:rsid w:val="009F4FDE"/>
    <w:rsid w:val="009F61BC"/>
    <w:rsid w:val="009F6594"/>
    <w:rsid w:val="00A01CF2"/>
    <w:rsid w:val="00A03280"/>
    <w:rsid w:val="00A03B6F"/>
    <w:rsid w:val="00A0485A"/>
    <w:rsid w:val="00A0546D"/>
    <w:rsid w:val="00A05472"/>
    <w:rsid w:val="00A06688"/>
    <w:rsid w:val="00A07F0A"/>
    <w:rsid w:val="00A15FE2"/>
    <w:rsid w:val="00A16AE4"/>
    <w:rsid w:val="00A16E6E"/>
    <w:rsid w:val="00A204D5"/>
    <w:rsid w:val="00A21269"/>
    <w:rsid w:val="00A246B7"/>
    <w:rsid w:val="00A25774"/>
    <w:rsid w:val="00A26057"/>
    <w:rsid w:val="00A308CF"/>
    <w:rsid w:val="00A32511"/>
    <w:rsid w:val="00A32EA5"/>
    <w:rsid w:val="00A33963"/>
    <w:rsid w:val="00A35F93"/>
    <w:rsid w:val="00A36C30"/>
    <w:rsid w:val="00A41204"/>
    <w:rsid w:val="00A44334"/>
    <w:rsid w:val="00A44726"/>
    <w:rsid w:val="00A4548A"/>
    <w:rsid w:val="00A47D0A"/>
    <w:rsid w:val="00A51489"/>
    <w:rsid w:val="00A55783"/>
    <w:rsid w:val="00A5590C"/>
    <w:rsid w:val="00A55A44"/>
    <w:rsid w:val="00A5770D"/>
    <w:rsid w:val="00A612A4"/>
    <w:rsid w:val="00A64C6E"/>
    <w:rsid w:val="00A66191"/>
    <w:rsid w:val="00A7136E"/>
    <w:rsid w:val="00A717CB"/>
    <w:rsid w:val="00A72E9C"/>
    <w:rsid w:val="00A73154"/>
    <w:rsid w:val="00A73744"/>
    <w:rsid w:val="00A74388"/>
    <w:rsid w:val="00A74838"/>
    <w:rsid w:val="00A772D6"/>
    <w:rsid w:val="00A80DFB"/>
    <w:rsid w:val="00A83780"/>
    <w:rsid w:val="00A84A3C"/>
    <w:rsid w:val="00A851F9"/>
    <w:rsid w:val="00A8585F"/>
    <w:rsid w:val="00A87D29"/>
    <w:rsid w:val="00A9134B"/>
    <w:rsid w:val="00A91AF7"/>
    <w:rsid w:val="00A93A41"/>
    <w:rsid w:val="00A94DC2"/>
    <w:rsid w:val="00A96E51"/>
    <w:rsid w:val="00AA066D"/>
    <w:rsid w:val="00AA0EE7"/>
    <w:rsid w:val="00AA167C"/>
    <w:rsid w:val="00AA624C"/>
    <w:rsid w:val="00AA6A04"/>
    <w:rsid w:val="00AB1BC3"/>
    <w:rsid w:val="00AB3CC8"/>
    <w:rsid w:val="00AB5B83"/>
    <w:rsid w:val="00AB5EFF"/>
    <w:rsid w:val="00AC39A3"/>
    <w:rsid w:val="00AC3BF5"/>
    <w:rsid w:val="00AD3ABE"/>
    <w:rsid w:val="00AD5AF6"/>
    <w:rsid w:val="00AE0360"/>
    <w:rsid w:val="00AE0D98"/>
    <w:rsid w:val="00AE26F0"/>
    <w:rsid w:val="00AE325A"/>
    <w:rsid w:val="00AE376E"/>
    <w:rsid w:val="00AF0601"/>
    <w:rsid w:val="00AF104F"/>
    <w:rsid w:val="00AF13D6"/>
    <w:rsid w:val="00AF1A2B"/>
    <w:rsid w:val="00AF1A84"/>
    <w:rsid w:val="00AF1D08"/>
    <w:rsid w:val="00AF29F0"/>
    <w:rsid w:val="00AF4460"/>
    <w:rsid w:val="00AF6121"/>
    <w:rsid w:val="00AF6F47"/>
    <w:rsid w:val="00AF73E2"/>
    <w:rsid w:val="00B014AC"/>
    <w:rsid w:val="00B01AB4"/>
    <w:rsid w:val="00B02AA2"/>
    <w:rsid w:val="00B0387A"/>
    <w:rsid w:val="00B04469"/>
    <w:rsid w:val="00B0481A"/>
    <w:rsid w:val="00B05287"/>
    <w:rsid w:val="00B05D8F"/>
    <w:rsid w:val="00B05E5C"/>
    <w:rsid w:val="00B06FBF"/>
    <w:rsid w:val="00B11868"/>
    <w:rsid w:val="00B131BF"/>
    <w:rsid w:val="00B13466"/>
    <w:rsid w:val="00B1413C"/>
    <w:rsid w:val="00B1441E"/>
    <w:rsid w:val="00B16369"/>
    <w:rsid w:val="00B16414"/>
    <w:rsid w:val="00B16714"/>
    <w:rsid w:val="00B169C3"/>
    <w:rsid w:val="00B17A7E"/>
    <w:rsid w:val="00B22455"/>
    <w:rsid w:val="00B2320A"/>
    <w:rsid w:val="00B241BF"/>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AFD"/>
    <w:rsid w:val="00B43400"/>
    <w:rsid w:val="00B4351C"/>
    <w:rsid w:val="00B44219"/>
    <w:rsid w:val="00B44E17"/>
    <w:rsid w:val="00B50728"/>
    <w:rsid w:val="00B53018"/>
    <w:rsid w:val="00B53BA2"/>
    <w:rsid w:val="00B541DE"/>
    <w:rsid w:val="00B62359"/>
    <w:rsid w:val="00B62458"/>
    <w:rsid w:val="00B62DC3"/>
    <w:rsid w:val="00B642A8"/>
    <w:rsid w:val="00B65FD5"/>
    <w:rsid w:val="00B666E1"/>
    <w:rsid w:val="00B71198"/>
    <w:rsid w:val="00B71DF4"/>
    <w:rsid w:val="00B7267A"/>
    <w:rsid w:val="00B76232"/>
    <w:rsid w:val="00B7636F"/>
    <w:rsid w:val="00B765E1"/>
    <w:rsid w:val="00B76D1B"/>
    <w:rsid w:val="00B771EE"/>
    <w:rsid w:val="00B77D39"/>
    <w:rsid w:val="00B8060A"/>
    <w:rsid w:val="00B80C69"/>
    <w:rsid w:val="00B8188A"/>
    <w:rsid w:val="00B81989"/>
    <w:rsid w:val="00B83D68"/>
    <w:rsid w:val="00B90777"/>
    <w:rsid w:val="00B90A69"/>
    <w:rsid w:val="00B90D88"/>
    <w:rsid w:val="00B92251"/>
    <w:rsid w:val="00B93D0D"/>
    <w:rsid w:val="00B93E25"/>
    <w:rsid w:val="00B94E28"/>
    <w:rsid w:val="00B95747"/>
    <w:rsid w:val="00B9709C"/>
    <w:rsid w:val="00B97B4E"/>
    <w:rsid w:val="00BA00F8"/>
    <w:rsid w:val="00BA0C95"/>
    <w:rsid w:val="00BA1607"/>
    <w:rsid w:val="00BA3027"/>
    <w:rsid w:val="00BA3EA8"/>
    <w:rsid w:val="00BA4D5A"/>
    <w:rsid w:val="00BA650B"/>
    <w:rsid w:val="00BA6EFE"/>
    <w:rsid w:val="00BB0E7D"/>
    <w:rsid w:val="00BB1B8C"/>
    <w:rsid w:val="00BB465D"/>
    <w:rsid w:val="00BB4C3D"/>
    <w:rsid w:val="00BB55D5"/>
    <w:rsid w:val="00BB5D94"/>
    <w:rsid w:val="00BC1311"/>
    <w:rsid w:val="00BC134D"/>
    <w:rsid w:val="00BC307E"/>
    <w:rsid w:val="00BC37D3"/>
    <w:rsid w:val="00BC3831"/>
    <w:rsid w:val="00BC5E36"/>
    <w:rsid w:val="00BC62C1"/>
    <w:rsid w:val="00BC63D0"/>
    <w:rsid w:val="00BC72E1"/>
    <w:rsid w:val="00BD1E89"/>
    <w:rsid w:val="00BD2E40"/>
    <w:rsid w:val="00BD49E6"/>
    <w:rsid w:val="00BD6F56"/>
    <w:rsid w:val="00BE002C"/>
    <w:rsid w:val="00BE30E8"/>
    <w:rsid w:val="00BE30F3"/>
    <w:rsid w:val="00BE3653"/>
    <w:rsid w:val="00BE652D"/>
    <w:rsid w:val="00BE657E"/>
    <w:rsid w:val="00BE7F87"/>
    <w:rsid w:val="00BF102C"/>
    <w:rsid w:val="00BF3B7D"/>
    <w:rsid w:val="00BF3F75"/>
    <w:rsid w:val="00BF43A9"/>
    <w:rsid w:val="00BF48EE"/>
    <w:rsid w:val="00BF4AB6"/>
    <w:rsid w:val="00BF6860"/>
    <w:rsid w:val="00BF70D6"/>
    <w:rsid w:val="00BF765F"/>
    <w:rsid w:val="00BF7BBD"/>
    <w:rsid w:val="00BF7C64"/>
    <w:rsid w:val="00C00531"/>
    <w:rsid w:val="00C02587"/>
    <w:rsid w:val="00C02A4E"/>
    <w:rsid w:val="00C035B9"/>
    <w:rsid w:val="00C037F1"/>
    <w:rsid w:val="00C039E6"/>
    <w:rsid w:val="00C03BC7"/>
    <w:rsid w:val="00C045FF"/>
    <w:rsid w:val="00C04E09"/>
    <w:rsid w:val="00C04FBB"/>
    <w:rsid w:val="00C06C84"/>
    <w:rsid w:val="00C100FD"/>
    <w:rsid w:val="00C10D05"/>
    <w:rsid w:val="00C11C13"/>
    <w:rsid w:val="00C126C2"/>
    <w:rsid w:val="00C130C4"/>
    <w:rsid w:val="00C13E25"/>
    <w:rsid w:val="00C15F7E"/>
    <w:rsid w:val="00C1645E"/>
    <w:rsid w:val="00C16911"/>
    <w:rsid w:val="00C1754A"/>
    <w:rsid w:val="00C21ACB"/>
    <w:rsid w:val="00C22E0B"/>
    <w:rsid w:val="00C22F14"/>
    <w:rsid w:val="00C23E74"/>
    <w:rsid w:val="00C2513C"/>
    <w:rsid w:val="00C25320"/>
    <w:rsid w:val="00C3011E"/>
    <w:rsid w:val="00C302CD"/>
    <w:rsid w:val="00C30A49"/>
    <w:rsid w:val="00C33D80"/>
    <w:rsid w:val="00C34E04"/>
    <w:rsid w:val="00C34E05"/>
    <w:rsid w:val="00C35111"/>
    <w:rsid w:val="00C35CF7"/>
    <w:rsid w:val="00C40867"/>
    <w:rsid w:val="00C456B8"/>
    <w:rsid w:val="00C467D9"/>
    <w:rsid w:val="00C4733A"/>
    <w:rsid w:val="00C51E88"/>
    <w:rsid w:val="00C52E7E"/>
    <w:rsid w:val="00C54125"/>
    <w:rsid w:val="00C55234"/>
    <w:rsid w:val="00C60267"/>
    <w:rsid w:val="00C6208B"/>
    <w:rsid w:val="00C6332F"/>
    <w:rsid w:val="00C639BD"/>
    <w:rsid w:val="00C63B49"/>
    <w:rsid w:val="00C65A8C"/>
    <w:rsid w:val="00C67EFB"/>
    <w:rsid w:val="00C72755"/>
    <w:rsid w:val="00C7285A"/>
    <w:rsid w:val="00C73AE6"/>
    <w:rsid w:val="00C73DA2"/>
    <w:rsid w:val="00C818E2"/>
    <w:rsid w:val="00C827E7"/>
    <w:rsid w:val="00C8626E"/>
    <w:rsid w:val="00C86FF3"/>
    <w:rsid w:val="00C9075D"/>
    <w:rsid w:val="00C91275"/>
    <w:rsid w:val="00C93556"/>
    <w:rsid w:val="00C93C55"/>
    <w:rsid w:val="00C94E15"/>
    <w:rsid w:val="00C95266"/>
    <w:rsid w:val="00C9615C"/>
    <w:rsid w:val="00C9647A"/>
    <w:rsid w:val="00C97CED"/>
    <w:rsid w:val="00CA11E4"/>
    <w:rsid w:val="00CA1234"/>
    <w:rsid w:val="00CA484F"/>
    <w:rsid w:val="00CA6301"/>
    <w:rsid w:val="00CA6FA9"/>
    <w:rsid w:val="00CA7A03"/>
    <w:rsid w:val="00CB0B64"/>
    <w:rsid w:val="00CB4F37"/>
    <w:rsid w:val="00CB53A4"/>
    <w:rsid w:val="00CB6885"/>
    <w:rsid w:val="00CBA8BB"/>
    <w:rsid w:val="00CC0972"/>
    <w:rsid w:val="00CC4A6D"/>
    <w:rsid w:val="00CC5056"/>
    <w:rsid w:val="00CC66C7"/>
    <w:rsid w:val="00CD04DE"/>
    <w:rsid w:val="00CD19E5"/>
    <w:rsid w:val="00CD2474"/>
    <w:rsid w:val="00CD3546"/>
    <w:rsid w:val="00CD4AE1"/>
    <w:rsid w:val="00CD4F90"/>
    <w:rsid w:val="00CE17D4"/>
    <w:rsid w:val="00CE299C"/>
    <w:rsid w:val="00CE739F"/>
    <w:rsid w:val="00CF079D"/>
    <w:rsid w:val="00CF1101"/>
    <w:rsid w:val="00CF1D68"/>
    <w:rsid w:val="00CF247F"/>
    <w:rsid w:val="00CF2809"/>
    <w:rsid w:val="00CF3B6E"/>
    <w:rsid w:val="00CF5FA2"/>
    <w:rsid w:val="00CF627A"/>
    <w:rsid w:val="00CF6E13"/>
    <w:rsid w:val="00CF726A"/>
    <w:rsid w:val="00D00932"/>
    <w:rsid w:val="00D01E35"/>
    <w:rsid w:val="00D02E45"/>
    <w:rsid w:val="00D03629"/>
    <w:rsid w:val="00D04709"/>
    <w:rsid w:val="00D06A1E"/>
    <w:rsid w:val="00D0726A"/>
    <w:rsid w:val="00D07E07"/>
    <w:rsid w:val="00D10E34"/>
    <w:rsid w:val="00D1243C"/>
    <w:rsid w:val="00D128BA"/>
    <w:rsid w:val="00D145D0"/>
    <w:rsid w:val="00D14937"/>
    <w:rsid w:val="00D164FD"/>
    <w:rsid w:val="00D16970"/>
    <w:rsid w:val="00D16BDF"/>
    <w:rsid w:val="00D16EC8"/>
    <w:rsid w:val="00D16F2B"/>
    <w:rsid w:val="00D17C59"/>
    <w:rsid w:val="00D21023"/>
    <w:rsid w:val="00D2145D"/>
    <w:rsid w:val="00D221F6"/>
    <w:rsid w:val="00D237E8"/>
    <w:rsid w:val="00D2418E"/>
    <w:rsid w:val="00D24868"/>
    <w:rsid w:val="00D26278"/>
    <w:rsid w:val="00D26780"/>
    <w:rsid w:val="00D26B66"/>
    <w:rsid w:val="00D277A6"/>
    <w:rsid w:val="00D278DA"/>
    <w:rsid w:val="00D32AB7"/>
    <w:rsid w:val="00D33ACD"/>
    <w:rsid w:val="00D33B11"/>
    <w:rsid w:val="00D3605B"/>
    <w:rsid w:val="00D360A0"/>
    <w:rsid w:val="00D40897"/>
    <w:rsid w:val="00D40B6D"/>
    <w:rsid w:val="00D41C1A"/>
    <w:rsid w:val="00D42FC2"/>
    <w:rsid w:val="00D447F5"/>
    <w:rsid w:val="00D45933"/>
    <w:rsid w:val="00D46527"/>
    <w:rsid w:val="00D47486"/>
    <w:rsid w:val="00D47624"/>
    <w:rsid w:val="00D52AAE"/>
    <w:rsid w:val="00D53F64"/>
    <w:rsid w:val="00D55EAE"/>
    <w:rsid w:val="00D56AED"/>
    <w:rsid w:val="00D573CD"/>
    <w:rsid w:val="00D6208F"/>
    <w:rsid w:val="00D6236E"/>
    <w:rsid w:val="00D63286"/>
    <w:rsid w:val="00D64A00"/>
    <w:rsid w:val="00D70684"/>
    <w:rsid w:val="00D73377"/>
    <w:rsid w:val="00D73B12"/>
    <w:rsid w:val="00D82F23"/>
    <w:rsid w:val="00D853E5"/>
    <w:rsid w:val="00D856A4"/>
    <w:rsid w:val="00D8632D"/>
    <w:rsid w:val="00D8644F"/>
    <w:rsid w:val="00D94163"/>
    <w:rsid w:val="00D947A9"/>
    <w:rsid w:val="00D969E6"/>
    <w:rsid w:val="00D97600"/>
    <w:rsid w:val="00DA1EE0"/>
    <w:rsid w:val="00DA372C"/>
    <w:rsid w:val="00DA544D"/>
    <w:rsid w:val="00DA5E41"/>
    <w:rsid w:val="00DA7589"/>
    <w:rsid w:val="00DB07A1"/>
    <w:rsid w:val="00DB10FE"/>
    <w:rsid w:val="00DB224A"/>
    <w:rsid w:val="00DB2300"/>
    <w:rsid w:val="00DB2D5F"/>
    <w:rsid w:val="00DB7BE0"/>
    <w:rsid w:val="00DC2822"/>
    <w:rsid w:val="00DC2B62"/>
    <w:rsid w:val="00DC3C09"/>
    <w:rsid w:val="00DC4AE6"/>
    <w:rsid w:val="00DC6EB8"/>
    <w:rsid w:val="00DC70D1"/>
    <w:rsid w:val="00DD0C24"/>
    <w:rsid w:val="00DD121E"/>
    <w:rsid w:val="00DD16C5"/>
    <w:rsid w:val="00DD374D"/>
    <w:rsid w:val="00DD3A09"/>
    <w:rsid w:val="00DD3F3A"/>
    <w:rsid w:val="00DD41E0"/>
    <w:rsid w:val="00DD4999"/>
    <w:rsid w:val="00DD53E8"/>
    <w:rsid w:val="00DD590E"/>
    <w:rsid w:val="00DD5D93"/>
    <w:rsid w:val="00DE0FBF"/>
    <w:rsid w:val="00DE14B0"/>
    <w:rsid w:val="00DE156B"/>
    <w:rsid w:val="00DE2E9E"/>
    <w:rsid w:val="00DE3384"/>
    <w:rsid w:val="00DE52A6"/>
    <w:rsid w:val="00DF0870"/>
    <w:rsid w:val="00DF09E5"/>
    <w:rsid w:val="00DF190F"/>
    <w:rsid w:val="00DF2BC9"/>
    <w:rsid w:val="00DF45C5"/>
    <w:rsid w:val="00DF5215"/>
    <w:rsid w:val="00DF54B9"/>
    <w:rsid w:val="00DF5DFD"/>
    <w:rsid w:val="00DF6B6B"/>
    <w:rsid w:val="00DF7603"/>
    <w:rsid w:val="00DF7AF5"/>
    <w:rsid w:val="00E00193"/>
    <w:rsid w:val="00E02AD7"/>
    <w:rsid w:val="00E02E66"/>
    <w:rsid w:val="00E03A2E"/>
    <w:rsid w:val="00E10CFE"/>
    <w:rsid w:val="00E1268B"/>
    <w:rsid w:val="00E12822"/>
    <w:rsid w:val="00E13688"/>
    <w:rsid w:val="00E13F92"/>
    <w:rsid w:val="00E145B0"/>
    <w:rsid w:val="00E1479D"/>
    <w:rsid w:val="00E14A15"/>
    <w:rsid w:val="00E166A4"/>
    <w:rsid w:val="00E2126D"/>
    <w:rsid w:val="00E221C1"/>
    <w:rsid w:val="00E22C01"/>
    <w:rsid w:val="00E256B7"/>
    <w:rsid w:val="00E271C3"/>
    <w:rsid w:val="00E27C09"/>
    <w:rsid w:val="00E27E4D"/>
    <w:rsid w:val="00E30FD3"/>
    <w:rsid w:val="00E31256"/>
    <w:rsid w:val="00E3223D"/>
    <w:rsid w:val="00E344BE"/>
    <w:rsid w:val="00E35C63"/>
    <w:rsid w:val="00E36A93"/>
    <w:rsid w:val="00E37343"/>
    <w:rsid w:val="00E375E0"/>
    <w:rsid w:val="00E378DC"/>
    <w:rsid w:val="00E405CF"/>
    <w:rsid w:val="00E412C7"/>
    <w:rsid w:val="00E4276B"/>
    <w:rsid w:val="00E431C5"/>
    <w:rsid w:val="00E43E80"/>
    <w:rsid w:val="00E44BD0"/>
    <w:rsid w:val="00E4540F"/>
    <w:rsid w:val="00E4643F"/>
    <w:rsid w:val="00E466E7"/>
    <w:rsid w:val="00E4732A"/>
    <w:rsid w:val="00E5037E"/>
    <w:rsid w:val="00E534B2"/>
    <w:rsid w:val="00E5391E"/>
    <w:rsid w:val="00E53AF3"/>
    <w:rsid w:val="00E54EC2"/>
    <w:rsid w:val="00E55B51"/>
    <w:rsid w:val="00E56CC1"/>
    <w:rsid w:val="00E57BD5"/>
    <w:rsid w:val="00E61A89"/>
    <w:rsid w:val="00E62655"/>
    <w:rsid w:val="00E62E90"/>
    <w:rsid w:val="00E657A1"/>
    <w:rsid w:val="00E6678D"/>
    <w:rsid w:val="00E67821"/>
    <w:rsid w:val="00E67F32"/>
    <w:rsid w:val="00E67F7A"/>
    <w:rsid w:val="00E71721"/>
    <w:rsid w:val="00E729E6"/>
    <w:rsid w:val="00E72E6F"/>
    <w:rsid w:val="00E72F51"/>
    <w:rsid w:val="00E73628"/>
    <w:rsid w:val="00E738E5"/>
    <w:rsid w:val="00E73CE4"/>
    <w:rsid w:val="00E76B86"/>
    <w:rsid w:val="00E76F67"/>
    <w:rsid w:val="00E77E7C"/>
    <w:rsid w:val="00E80BD9"/>
    <w:rsid w:val="00E819DD"/>
    <w:rsid w:val="00E823BF"/>
    <w:rsid w:val="00E82BC9"/>
    <w:rsid w:val="00E84049"/>
    <w:rsid w:val="00E87A37"/>
    <w:rsid w:val="00E87EC3"/>
    <w:rsid w:val="00E900B6"/>
    <w:rsid w:val="00E9051C"/>
    <w:rsid w:val="00E934DA"/>
    <w:rsid w:val="00E9660E"/>
    <w:rsid w:val="00E97123"/>
    <w:rsid w:val="00E9723C"/>
    <w:rsid w:val="00E97442"/>
    <w:rsid w:val="00EA0219"/>
    <w:rsid w:val="00EA1C97"/>
    <w:rsid w:val="00EA563F"/>
    <w:rsid w:val="00EA63A9"/>
    <w:rsid w:val="00EA7A91"/>
    <w:rsid w:val="00EA7DA5"/>
    <w:rsid w:val="00EB03B0"/>
    <w:rsid w:val="00EB0409"/>
    <w:rsid w:val="00EB14AF"/>
    <w:rsid w:val="00EB1553"/>
    <w:rsid w:val="00EB3FFB"/>
    <w:rsid w:val="00EB5224"/>
    <w:rsid w:val="00EB5E3F"/>
    <w:rsid w:val="00EB6F61"/>
    <w:rsid w:val="00EC0986"/>
    <w:rsid w:val="00EC1206"/>
    <w:rsid w:val="00EC1948"/>
    <w:rsid w:val="00EC1BC1"/>
    <w:rsid w:val="00EC30AB"/>
    <w:rsid w:val="00EC4E21"/>
    <w:rsid w:val="00EC53D5"/>
    <w:rsid w:val="00EC55B6"/>
    <w:rsid w:val="00EC737B"/>
    <w:rsid w:val="00EC79DE"/>
    <w:rsid w:val="00ED2D80"/>
    <w:rsid w:val="00ED3278"/>
    <w:rsid w:val="00ED5681"/>
    <w:rsid w:val="00EE0D11"/>
    <w:rsid w:val="00EE0D1D"/>
    <w:rsid w:val="00EE2F74"/>
    <w:rsid w:val="00EE53CC"/>
    <w:rsid w:val="00EE61FB"/>
    <w:rsid w:val="00EE7846"/>
    <w:rsid w:val="00EF1E8D"/>
    <w:rsid w:val="00EF20EF"/>
    <w:rsid w:val="00EF2743"/>
    <w:rsid w:val="00EF2859"/>
    <w:rsid w:val="00EF3207"/>
    <w:rsid w:val="00EF400A"/>
    <w:rsid w:val="00EF4201"/>
    <w:rsid w:val="00EF4E0C"/>
    <w:rsid w:val="00EF5948"/>
    <w:rsid w:val="00EF618D"/>
    <w:rsid w:val="00EF68D7"/>
    <w:rsid w:val="00EF74D7"/>
    <w:rsid w:val="00EF75B2"/>
    <w:rsid w:val="00EF7904"/>
    <w:rsid w:val="00F007EC"/>
    <w:rsid w:val="00F00AD5"/>
    <w:rsid w:val="00F01766"/>
    <w:rsid w:val="00F0432C"/>
    <w:rsid w:val="00F04B29"/>
    <w:rsid w:val="00F052CB"/>
    <w:rsid w:val="00F05D39"/>
    <w:rsid w:val="00F06739"/>
    <w:rsid w:val="00F07C72"/>
    <w:rsid w:val="00F11114"/>
    <w:rsid w:val="00F11433"/>
    <w:rsid w:val="00F11C71"/>
    <w:rsid w:val="00F11D41"/>
    <w:rsid w:val="00F12102"/>
    <w:rsid w:val="00F20B42"/>
    <w:rsid w:val="00F24EAD"/>
    <w:rsid w:val="00F25222"/>
    <w:rsid w:val="00F27373"/>
    <w:rsid w:val="00F309E4"/>
    <w:rsid w:val="00F31A3F"/>
    <w:rsid w:val="00F34F65"/>
    <w:rsid w:val="00F3642F"/>
    <w:rsid w:val="00F40714"/>
    <w:rsid w:val="00F41087"/>
    <w:rsid w:val="00F41257"/>
    <w:rsid w:val="00F44FF9"/>
    <w:rsid w:val="00F460EB"/>
    <w:rsid w:val="00F46B11"/>
    <w:rsid w:val="00F46B3A"/>
    <w:rsid w:val="00F5166D"/>
    <w:rsid w:val="00F51E5B"/>
    <w:rsid w:val="00F51EDF"/>
    <w:rsid w:val="00F53B05"/>
    <w:rsid w:val="00F545FB"/>
    <w:rsid w:val="00F54D5C"/>
    <w:rsid w:val="00F57333"/>
    <w:rsid w:val="00F5740E"/>
    <w:rsid w:val="00F605D6"/>
    <w:rsid w:val="00F60872"/>
    <w:rsid w:val="00F617EB"/>
    <w:rsid w:val="00F61B31"/>
    <w:rsid w:val="00F620C9"/>
    <w:rsid w:val="00F633CE"/>
    <w:rsid w:val="00F639EB"/>
    <w:rsid w:val="00F64EF1"/>
    <w:rsid w:val="00F65D1C"/>
    <w:rsid w:val="00F71BEC"/>
    <w:rsid w:val="00F72458"/>
    <w:rsid w:val="00F73530"/>
    <w:rsid w:val="00F807CA"/>
    <w:rsid w:val="00F830EE"/>
    <w:rsid w:val="00F841EC"/>
    <w:rsid w:val="00F8435B"/>
    <w:rsid w:val="00F84BDE"/>
    <w:rsid w:val="00F87159"/>
    <w:rsid w:val="00F87A66"/>
    <w:rsid w:val="00F91D18"/>
    <w:rsid w:val="00F91D42"/>
    <w:rsid w:val="00F923B3"/>
    <w:rsid w:val="00FA05A1"/>
    <w:rsid w:val="00FA0BE2"/>
    <w:rsid w:val="00FA0FAB"/>
    <w:rsid w:val="00FA2D9B"/>
    <w:rsid w:val="00FA304B"/>
    <w:rsid w:val="00FA3525"/>
    <w:rsid w:val="00FA5182"/>
    <w:rsid w:val="00FB20C9"/>
    <w:rsid w:val="00FB2A65"/>
    <w:rsid w:val="00FB3236"/>
    <w:rsid w:val="00FB3771"/>
    <w:rsid w:val="00FB4DFC"/>
    <w:rsid w:val="00FB50A9"/>
    <w:rsid w:val="00FB65A4"/>
    <w:rsid w:val="00FB68CC"/>
    <w:rsid w:val="00FC3EC9"/>
    <w:rsid w:val="00FD0016"/>
    <w:rsid w:val="00FD21F8"/>
    <w:rsid w:val="00FD227B"/>
    <w:rsid w:val="00FD456A"/>
    <w:rsid w:val="00FD4A6E"/>
    <w:rsid w:val="00FD5AA5"/>
    <w:rsid w:val="00FD65C0"/>
    <w:rsid w:val="00FE02A1"/>
    <w:rsid w:val="00FE1784"/>
    <w:rsid w:val="00FE2580"/>
    <w:rsid w:val="00FE4191"/>
    <w:rsid w:val="00FE48F9"/>
    <w:rsid w:val="00FE4F87"/>
    <w:rsid w:val="00FE64C0"/>
    <w:rsid w:val="00FE6715"/>
    <w:rsid w:val="00FF0B92"/>
    <w:rsid w:val="00FF2551"/>
    <w:rsid w:val="00FF32A1"/>
    <w:rsid w:val="00FF4CD9"/>
    <w:rsid w:val="00FF5A29"/>
    <w:rsid w:val="00FF5F33"/>
    <w:rsid w:val="00FF71E0"/>
    <w:rsid w:val="00FF756A"/>
    <w:rsid w:val="00FF7868"/>
    <w:rsid w:val="014F7CF4"/>
    <w:rsid w:val="01D02198"/>
    <w:rsid w:val="0223110B"/>
    <w:rsid w:val="02783771"/>
    <w:rsid w:val="02926EDD"/>
    <w:rsid w:val="02D00D71"/>
    <w:rsid w:val="03193138"/>
    <w:rsid w:val="046C633C"/>
    <w:rsid w:val="049282BA"/>
    <w:rsid w:val="0499395F"/>
    <w:rsid w:val="0552062F"/>
    <w:rsid w:val="05937E42"/>
    <w:rsid w:val="05AF19FF"/>
    <w:rsid w:val="05C55B91"/>
    <w:rsid w:val="060A2D8E"/>
    <w:rsid w:val="067C420A"/>
    <w:rsid w:val="06C7560E"/>
    <w:rsid w:val="06E00430"/>
    <w:rsid w:val="07178000"/>
    <w:rsid w:val="07EC2E3C"/>
    <w:rsid w:val="085BE636"/>
    <w:rsid w:val="08D83C6E"/>
    <w:rsid w:val="09B6DBF1"/>
    <w:rsid w:val="0A15E635"/>
    <w:rsid w:val="0A2540A4"/>
    <w:rsid w:val="0A583C5E"/>
    <w:rsid w:val="0A7A1D8B"/>
    <w:rsid w:val="0AE72C93"/>
    <w:rsid w:val="0AFD0DE9"/>
    <w:rsid w:val="0B25B709"/>
    <w:rsid w:val="0BC652BE"/>
    <w:rsid w:val="0BD572AB"/>
    <w:rsid w:val="0C8851D3"/>
    <w:rsid w:val="0CB0C856"/>
    <w:rsid w:val="0CC7718C"/>
    <w:rsid w:val="0D5955BB"/>
    <w:rsid w:val="0DF6724F"/>
    <w:rsid w:val="0E455EF3"/>
    <w:rsid w:val="0EC1E2EA"/>
    <w:rsid w:val="0F0768CC"/>
    <w:rsid w:val="0F1AD1FA"/>
    <w:rsid w:val="0F3BA219"/>
    <w:rsid w:val="0FD975BB"/>
    <w:rsid w:val="0FE8F6E0"/>
    <w:rsid w:val="10052B19"/>
    <w:rsid w:val="100B7E4F"/>
    <w:rsid w:val="103B255D"/>
    <w:rsid w:val="10CE7107"/>
    <w:rsid w:val="1150ECE3"/>
    <w:rsid w:val="11BF14EE"/>
    <w:rsid w:val="11F10866"/>
    <w:rsid w:val="12556038"/>
    <w:rsid w:val="128A02F3"/>
    <w:rsid w:val="12F06AE7"/>
    <w:rsid w:val="1311EFDA"/>
    <w:rsid w:val="13290EE9"/>
    <w:rsid w:val="13B92A99"/>
    <w:rsid w:val="13FF53D2"/>
    <w:rsid w:val="149D532A"/>
    <w:rsid w:val="14A171B0"/>
    <w:rsid w:val="14BCE334"/>
    <w:rsid w:val="14EE3EA6"/>
    <w:rsid w:val="150313CC"/>
    <w:rsid w:val="152D0E4A"/>
    <w:rsid w:val="15954377"/>
    <w:rsid w:val="15B75FD0"/>
    <w:rsid w:val="16461C2B"/>
    <w:rsid w:val="16C5FC12"/>
    <w:rsid w:val="16FB6B01"/>
    <w:rsid w:val="170E09D7"/>
    <w:rsid w:val="171E171B"/>
    <w:rsid w:val="17266DB9"/>
    <w:rsid w:val="173D563B"/>
    <w:rsid w:val="17570A9D"/>
    <w:rsid w:val="17E74599"/>
    <w:rsid w:val="180003C1"/>
    <w:rsid w:val="18266979"/>
    <w:rsid w:val="18D19BAB"/>
    <w:rsid w:val="1906B066"/>
    <w:rsid w:val="19AA11C8"/>
    <w:rsid w:val="19B2645D"/>
    <w:rsid w:val="19D317DC"/>
    <w:rsid w:val="1A135AD3"/>
    <w:rsid w:val="1A255B58"/>
    <w:rsid w:val="1A2D4976"/>
    <w:rsid w:val="1ABF69B6"/>
    <w:rsid w:val="1B100D94"/>
    <w:rsid w:val="1BA40064"/>
    <w:rsid w:val="1BC22EEF"/>
    <w:rsid w:val="1C792CCF"/>
    <w:rsid w:val="1C9E9A70"/>
    <w:rsid w:val="1CCDDEB9"/>
    <w:rsid w:val="1CEBBC3B"/>
    <w:rsid w:val="1DBB2BB3"/>
    <w:rsid w:val="1E27B3BF"/>
    <w:rsid w:val="1EC09D29"/>
    <w:rsid w:val="1EFC4C0E"/>
    <w:rsid w:val="1F485C6B"/>
    <w:rsid w:val="1FBE640C"/>
    <w:rsid w:val="1FD22914"/>
    <w:rsid w:val="210B5969"/>
    <w:rsid w:val="211C28E4"/>
    <w:rsid w:val="2152178C"/>
    <w:rsid w:val="2191BD15"/>
    <w:rsid w:val="21FAE2FC"/>
    <w:rsid w:val="22634583"/>
    <w:rsid w:val="226B7742"/>
    <w:rsid w:val="226CC27F"/>
    <w:rsid w:val="226D0375"/>
    <w:rsid w:val="22E70218"/>
    <w:rsid w:val="234A5C37"/>
    <w:rsid w:val="23D6FBBD"/>
    <w:rsid w:val="240767B9"/>
    <w:rsid w:val="246142B7"/>
    <w:rsid w:val="24915AF2"/>
    <w:rsid w:val="24A97AFC"/>
    <w:rsid w:val="24B165EE"/>
    <w:rsid w:val="24DD4782"/>
    <w:rsid w:val="258306BF"/>
    <w:rsid w:val="25E14B1C"/>
    <w:rsid w:val="25F14299"/>
    <w:rsid w:val="262189B7"/>
    <w:rsid w:val="264547AA"/>
    <w:rsid w:val="267458BC"/>
    <w:rsid w:val="274D51A7"/>
    <w:rsid w:val="27D87753"/>
    <w:rsid w:val="283066DB"/>
    <w:rsid w:val="289CFCCF"/>
    <w:rsid w:val="28A86EFD"/>
    <w:rsid w:val="28B6662B"/>
    <w:rsid w:val="28B94503"/>
    <w:rsid w:val="294B7D60"/>
    <w:rsid w:val="297B775C"/>
    <w:rsid w:val="29E37CB0"/>
    <w:rsid w:val="29E856A5"/>
    <w:rsid w:val="2A2D866A"/>
    <w:rsid w:val="2A8B5D6B"/>
    <w:rsid w:val="2AAB341F"/>
    <w:rsid w:val="2B001B28"/>
    <w:rsid w:val="2BBFA5AB"/>
    <w:rsid w:val="2C4E4F9E"/>
    <w:rsid w:val="2C7D4278"/>
    <w:rsid w:val="2CA91E7C"/>
    <w:rsid w:val="2CE38929"/>
    <w:rsid w:val="2D14509E"/>
    <w:rsid w:val="2D1E14FE"/>
    <w:rsid w:val="2D945C72"/>
    <w:rsid w:val="2DCE29F8"/>
    <w:rsid w:val="2E501244"/>
    <w:rsid w:val="2E50EBD0"/>
    <w:rsid w:val="2E5F5159"/>
    <w:rsid w:val="2EA63495"/>
    <w:rsid w:val="2EF6B6CA"/>
    <w:rsid w:val="2F0174DB"/>
    <w:rsid w:val="2F40B8DD"/>
    <w:rsid w:val="2F90748F"/>
    <w:rsid w:val="2FA837E3"/>
    <w:rsid w:val="305A4545"/>
    <w:rsid w:val="30E02B35"/>
    <w:rsid w:val="313E0823"/>
    <w:rsid w:val="31482A82"/>
    <w:rsid w:val="31B7156C"/>
    <w:rsid w:val="3205125F"/>
    <w:rsid w:val="32076C91"/>
    <w:rsid w:val="32245769"/>
    <w:rsid w:val="3238FF26"/>
    <w:rsid w:val="3284345F"/>
    <w:rsid w:val="32920BD0"/>
    <w:rsid w:val="32A0463D"/>
    <w:rsid w:val="32A36EF5"/>
    <w:rsid w:val="32EAD7D5"/>
    <w:rsid w:val="3346CC92"/>
    <w:rsid w:val="336C2FCF"/>
    <w:rsid w:val="33C764DD"/>
    <w:rsid w:val="33F0BFFC"/>
    <w:rsid w:val="33F567F9"/>
    <w:rsid w:val="341F406A"/>
    <w:rsid w:val="34524C9A"/>
    <w:rsid w:val="34BB6E2B"/>
    <w:rsid w:val="35197150"/>
    <w:rsid w:val="355515BE"/>
    <w:rsid w:val="35E24811"/>
    <w:rsid w:val="36237F58"/>
    <w:rsid w:val="368360DD"/>
    <w:rsid w:val="36B12F79"/>
    <w:rsid w:val="36E6A134"/>
    <w:rsid w:val="372202AB"/>
    <w:rsid w:val="3804A5CB"/>
    <w:rsid w:val="38648F56"/>
    <w:rsid w:val="389816BC"/>
    <w:rsid w:val="38B149D8"/>
    <w:rsid w:val="38C42826"/>
    <w:rsid w:val="38F014B8"/>
    <w:rsid w:val="38F33413"/>
    <w:rsid w:val="3937176C"/>
    <w:rsid w:val="39541737"/>
    <w:rsid w:val="39A36974"/>
    <w:rsid w:val="3A3571AE"/>
    <w:rsid w:val="3A510665"/>
    <w:rsid w:val="3AAA3F21"/>
    <w:rsid w:val="3B0BE100"/>
    <w:rsid w:val="3B784281"/>
    <w:rsid w:val="3BECE58C"/>
    <w:rsid w:val="3C7FA563"/>
    <w:rsid w:val="3DBC13A2"/>
    <w:rsid w:val="3DE417D8"/>
    <w:rsid w:val="3DE42A6E"/>
    <w:rsid w:val="3DE5407C"/>
    <w:rsid w:val="3E7F6790"/>
    <w:rsid w:val="3EE62395"/>
    <w:rsid w:val="3EEF6D25"/>
    <w:rsid w:val="3F256899"/>
    <w:rsid w:val="3F5B06A9"/>
    <w:rsid w:val="3F692B7A"/>
    <w:rsid w:val="3F911EF6"/>
    <w:rsid w:val="3FB6362D"/>
    <w:rsid w:val="3FBF6617"/>
    <w:rsid w:val="4014BAA9"/>
    <w:rsid w:val="406541D9"/>
    <w:rsid w:val="420B2418"/>
    <w:rsid w:val="4256950B"/>
    <w:rsid w:val="428025DA"/>
    <w:rsid w:val="42962497"/>
    <w:rsid w:val="42A95D67"/>
    <w:rsid w:val="42EC19E3"/>
    <w:rsid w:val="43557BFF"/>
    <w:rsid w:val="4372094D"/>
    <w:rsid w:val="44454E6E"/>
    <w:rsid w:val="44993FC0"/>
    <w:rsid w:val="44FF452C"/>
    <w:rsid w:val="4530F7C8"/>
    <w:rsid w:val="454B80F6"/>
    <w:rsid w:val="45E88903"/>
    <w:rsid w:val="46EE26F7"/>
    <w:rsid w:val="4776607A"/>
    <w:rsid w:val="477C7FA9"/>
    <w:rsid w:val="47B9BEA8"/>
    <w:rsid w:val="47DC2904"/>
    <w:rsid w:val="47FEA2C5"/>
    <w:rsid w:val="486121FA"/>
    <w:rsid w:val="4899D084"/>
    <w:rsid w:val="489C68D4"/>
    <w:rsid w:val="49290E84"/>
    <w:rsid w:val="49354150"/>
    <w:rsid w:val="49669AB3"/>
    <w:rsid w:val="49C30C33"/>
    <w:rsid w:val="4A4F76C6"/>
    <w:rsid w:val="4A77C1BF"/>
    <w:rsid w:val="4A90863D"/>
    <w:rsid w:val="4ABD46DB"/>
    <w:rsid w:val="4AC80EBE"/>
    <w:rsid w:val="4AD7F995"/>
    <w:rsid w:val="4B473D7B"/>
    <w:rsid w:val="4BC03867"/>
    <w:rsid w:val="4C22B589"/>
    <w:rsid w:val="4C47CD58"/>
    <w:rsid w:val="4C9F525D"/>
    <w:rsid w:val="4CFC5AB1"/>
    <w:rsid w:val="4D54B539"/>
    <w:rsid w:val="4D8B79D0"/>
    <w:rsid w:val="4DCD9E07"/>
    <w:rsid w:val="4E059C4A"/>
    <w:rsid w:val="4E263C3F"/>
    <w:rsid w:val="4E815AA9"/>
    <w:rsid w:val="4F0A2A1D"/>
    <w:rsid w:val="4F252B19"/>
    <w:rsid w:val="4F5E8ECB"/>
    <w:rsid w:val="4F9F6605"/>
    <w:rsid w:val="505E3B25"/>
    <w:rsid w:val="509FD3FD"/>
    <w:rsid w:val="50A92AA6"/>
    <w:rsid w:val="50B2525A"/>
    <w:rsid w:val="50E44491"/>
    <w:rsid w:val="50F4E8FA"/>
    <w:rsid w:val="51399E05"/>
    <w:rsid w:val="51ECCE9D"/>
    <w:rsid w:val="52C1536E"/>
    <w:rsid w:val="52DBF136"/>
    <w:rsid w:val="53844E6A"/>
    <w:rsid w:val="54206EAB"/>
    <w:rsid w:val="549324B9"/>
    <w:rsid w:val="54A90485"/>
    <w:rsid w:val="54B23519"/>
    <w:rsid w:val="551F92D6"/>
    <w:rsid w:val="557466CD"/>
    <w:rsid w:val="559A0BD6"/>
    <w:rsid w:val="56CC3053"/>
    <w:rsid w:val="56E2BAE0"/>
    <w:rsid w:val="5787FE53"/>
    <w:rsid w:val="57935454"/>
    <w:rsid w:val="57B18A9F"/>
    <w:rsid w:val="57E54EE6"/>
    <w:rsid w:val="58272E98"/>
    <w:rsid w:val="59911962"/>
    <w:rsid w:val="599381B1"/>
    <w:rsid w:val="59D95774"/>
    <w:rsid w:val="59EC2B5A"/>
    <w:rsid w:val="5A0C31C4"/>
    <w:rsid w:val="5A968A13"/>
    <w:rsid w:val="5B2D127C"/>
    <w:rsid w:val="5B468E3B"/>
    <w:rsid w:val="5BC784BF"/>
    <w:rsid w:val="5C213B48"/>
    <w:rsid w:val="5CD0930D"/>
    <w:rsid w:val="5D151CA7"/>
    <w:rsid w:val="5D695377"/>
    <w:rsid w:val="5DE52EF1"/>
    <w:rsid w:val="5DF6A528"/>
    <w:rsid w:val="5E1A66E0"/>
    <w:rsid w:val="5E608ACA"/>
    <w:rsid w:val="5E61A367"/>
    <w:rsid w:val="5E9A53ED"/>
    <w:rsid w:val="5EF363CC"/>
    <w:rsid w:val="5F3B21E9"/>
    <w:rsid w:val="5FAF7E7A"/>
    <w:rsid w:val="5FEC6734"/>
    <w:rsid w:val="5FF73B31"/>
    <w:rsid w:val="5FFE856C"/>
    <w:rsid w:val="6066ADFD"/>
    <w:rsid w:val="609B5488"/>
    <w:rsid w:val="611E7685"/>
    <w:rsid w:val="612A5259"/>
    <w:rsid w:val="61701B08"/>
    <w:rsid w:val="619B24DD"/>
    <w:rsid w:val="61BF6849"/>
    <w:rsid w:val="61F085CF"/>
    <w:rsid w:val="61FA7BA6"/>
    <w:rsid w:val="62243475"/>
    <w:rsid w:val="62798BD0"/>
    <w:rsid w:val="627B119A"/>
    <w:rsid w:val="62A17E58"/>
    <w:rsid w:val="62B4E02A"/>
    <w:rsid w:val="62C24F18"/>
    <w:rsid w:val="6328591B"/>
    <w:rsid w:val="63300BD6"/>
    <w:rsid w:val="636F6365"/>
    <w:rsid w:val="640E16DA"/>
    <w:rsid w:val="650B5194"/>
    <w:rsid w:val="65242DF5"/>
    <w:rsid w:val="653579C4"/>
    <w:rsid w:val="65685488"/>
    <w:rsid w:val="65FA96E8"/>
    <w:rsid w:val="6634002F"/>
    <w:rsid w:val="66620B2A"/>
    <w:rsid w:val="66DE1520"/>
    <w:rsid w:val="68835983"/>
    <w:rsid w:val="68DAF95F"/>
    <w:rsid w:val="68FF461F"/>
    <w:rsid w:val="69080048"/>
    <w:rsid w:val="6909039D"/>
    <w:rsid w:val="69213631"/>
    <w:rsid w:val="692BAA75"/>
    <w:rsid w:val="693EB55F"/>
    <w:rsid w:val="695754E9"/>
    <w:rsid w:val="699C22A3"/>
    <w:rsid w:val="69B775C2"/>
    <w:rsid w:val="6A49B7C3"/>
    <w:rsid w:val="6AAC42C4"/>
    <w:rsid w:val="6B0A2BAB"/>
    <w:rsid w:val="6B111F70"/>
    <w:rsid w:val="6B88CC3C"/>
    <w:rsid w:val="6B914480"/>
    <w:rsid w:val="6C2DA63C"/>
    <w:rsid w:val="6C6A8476"/>
    <w:rsid w:val="6C8A83F7"/>
    <w:rsid w:val="6CCAE6F2"/>
    <w:rsid w:val="6CD482D2"/>
    <w:rsid w:val="6CDC02F3"/>
    <w:rsid w:val="6D25D3D4"/>
    <w:rsid w:val="6D3C12A8"/>
    <w:rsid w:val="6DA790DE"/>
    <w:rsid w:val="6E28606D"/>
    <w:rsid w:val="6EDE5998"/>
    <w:rsid w:val="6EF921C6"/>
    <w:rsid w:val="6F436116"/>
    <w:rsid w:val="6F552352"/>
    <w:rsid w:val="6F849BF7"/>
    <w:rsid w:val="6FAD18AE"/>
    <w:rsid w:val="70117D48"/>
    <w:rsid w:val="705971F7"/>
    <w:rsid w:val="709070F4"/>
    <w:rsid w:val="70A82B2E"/>
    <w:rsid w:val="7103C641"/>
    <w:rsid w:val="712AD2B4"/>
    <w:rsid w:val="726C739C"/>
    <w:rsid w:val="72FAC5CD"/>
    <w:rsid w:val="730C1CC5"/>
    <w:rsid w:val="733F6E3A"/>
    <w:rsid w:val="742A3158"/>
    <w:rsid w:val="7444A969"/>
    <w:rsid w:val="751710E9"/>
    <w:rsid w:val="755666B7"/>
    <w:rsid w:val="755E594A"/>
    <w:rsid w:val="760E6CB7"/>
    <w:rsid w:val="761977B9"/>
    <w:rsid w:val="761C5D27"/>
    <w:rsid w:val="76A63AB8"/>
    <w:rsid w:val="76AC05AB"/>
    <w:rsid w:val="76AD2822"/>
    <w:rsid w:val="776031D4"/>
    <w:rsid w:val="77C3D1EE"/>
    <w:rsid w:val="77FB6A72"/>
    <w:rsid w:val="77FFBE2E"/>
    <w:rsid w:val="78492845"/>
    <w:rsid w:val="78C61844"/>
    <w:rsid w:val="78C70F51"/>
    <w:rsid w:val="794068AB"/>
    <w:rsid w:val="79B9EF4F"/>
    <w:rsid w:val="79E1F351"/>
    <w:rsid w:val="79F22524"/>
    <w:rsid w:val="7A34172F"/>
    <w:rsid w:val="7A8556CB"/>
    <w:rsid w:val="7AFD75F6"/>
    <w:rsid w:val="7B146E4E"/>
    <w:rsid w:val="7B1509B1"/>
    <w:rsid w:val="7B1BDCC7"/>
    <w:rsid w:val="7B302BA6"/>
    <w:rsid w:val="7B491171"/>
    <w:rsid w:val="7B5C0D1A"/>
    <w:rsid w:val="7B7878F1"/>
    <w:rsid w:val="7B8A7F76"/>
    <w:rsid w:val="7C6F8552"/>
    <w:rsid w:val="7CCFBE5A"/>
    <w:rsid w:val="7CDE514C"/>
    <w:rsid w:val="7D45285A"/>
    <w:rsid w:val="7D5F11D1"/>
    <w:rsid w:val="7DD2110E"/>
    <w:rsid w:val="7EB414FE"/>
    <w:rsid w:val="7ECD26AD"/>
    <w:rsid w:val="7F5F09AC"/>
    <w:rsid w:val="7F7891B0"/>
    <w:rsid w:val="7F9349B1"/>
    <w:rsid w:val="7FA377D4"/>
    <w:rsid w:val="7FC9E86F"/>
    <w:rsid w:val="7FCF95A1"/>
    <w:rsid w:val="7FDF6079"/>
    <w:rsid w:val="7FE31F22"/>
    <w:rsid w:val="7FF05C21"/>
    <w:rsid w:val="7FFB9CEA"/>
  </w:rsids>
  <w:docVars>
    <w:docVar w:name="commondata" w:val="eyJoZGlkIjoiMjIwZGJlNTVjZDVlZGE0MGQ5ZGY3MjBmMTM2YjFmZ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ind w:firstLine="0" w:firstLineChars="0"/>
      <w:jc w:val="both"/>
    </w:pPr>
    <w:rPr>
      <w:rFonts w:ascii="Times New Roman" w:eastAsia="仿宋" w:hAnsi="Times New Roman" w:cs="Times New Roman"/>
      <w:kern w:val="2"/>
      <w:sz w:val="32"/>
      <w:szCs w:val="24"/>
      <w:lang w:val="en-US" w:eastAsia="zh-CN" w:bidi="ar-SA"/>
    </w:rPr>
  </w:style>
  <w:style w:type="paragraph" w:styleId="Heading1">
    <w:name w:val="heading 1"/>
    <w:basedOn w:val="Normal"/>
    <w:next w:val="Normal"/>
    <w:link w:val="11"/>
    <w:qFormat/>
    <w:pPr>
      <w:keepNext/>
      <w:keepLines/>
      <w:widowControl/>
      <w:numPr>
        <w:ilvl w:val="0"/>
        <w:numId w:val="0"/>
      </w:numPr>
      <w:ind w:left="0" w:firstLine="880" w:firstLineChars="200"/>
      <w:outlineLvl w:val="0"/>
    </w:pPr>
    <w:rPr>
      <w:rFonts w:eastAsia="黑体" w:cs="黑体"/>
      <w:color w:val="auto"/>
      <w:kern w:val="0"/>
      <w:szCs w:val="32"/>
      <w:lang w:val="en-GB" w:eastAsia="en-US"/>
    </w:rPr>
  </w:style>
  <w:style w:type="paragraph" w:styleId="Heading2">
    <w:name w:val="heading 2"/>
    <w:basedOn w:val="Normal"/>
    <w:next w:val="Normal"/>
    <w:link w:val="20"/>
    <w:qFormat/>
    <w:pPr>
      <w:keepNext/>
      <w:keepLines/>
      <w:widowControl/>
      <w:numPr>
        <w:ilvl w:val="1"/>
        <w:numId w:val="0"/>
      </w:numPr>
      <w:ind w:left="0" w:firstLine="880" w:firstLineChars="200"/>
      <w:outlineLvl w:val="1"/>
    </w:pPr>
    <w:rPr>
      <w:rFonts w:eastAsia="楷体" w:cs="楷体"/>
      <w:b/>
      <w:color w:val="auto"/>
      <w:kern w:val="0"/>
      <w:szCs w:val="32"/>
      <w:lang w:val="en-GB"/>
    </w:rPr>
  </w:style>
  <w:style w:type="paragraph" w:styleId="Heading3">
    <w:name w:val="heading 3"/>
    <w:basedOn w:val="Normal"/>
    <w:next w:val="Normal"/>
    <w:link w:val="30"/>
    <w:qFormat/>
    <w:pPr>
      <w:widowControl/>
      <w:numPr>
        <w:ilvl w:val="2"/>
        <w:numId w:val="1"/>
      </w:numPr>
      <w:spacing w:line="240" w:lineRule="auto"/>
      <w:ind w:left="0" w:firstLine="1760" w:firstLineChars="400"/>
      <w:outlineLvl w:val="2"/>
    </w:pPr>
    <w:rPr>
      <w:rFonts w:ascii="Times New Roman" w:eastAsia="仿宋" w:hAnsi="Times New Roman" w:cs="仿宋"/>
      <w:color w:val="auto"/>
      <w:kern w:val="0"/>
      <w:sz w:val="32"/>
      <w:lang w:val="en-GB"/>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qFormat/>
    <w:pPr>
      <w:spacing w:line="560" w:lineRule="exact"/>
      <w:ind w:firstLine="721" w:firstLineChars="200"/>
    </w:pPr>
    <w:rPr>
      <w:rFonts w:ascii="Calibri"/>
    </w:rPr>
  </w:style>
  <w:style w:type="paragraph" w:styleId="BodyText">
    <w:name w:val="Body Text"/>
    <w:basedOn w:val="Normal"/>
    <w:qFormat/>
    <w:rPr>
      <w:rFonts w:ascii="仿宋_GB2312" w:eastAsia="仿宋_GB2312"/>
      <w:sz w:val="32"/>
    </w:rPr>
  </w:style>
  <w:style w:type="paragraph" w:styleId="NormalIndent">
    <w:name w:val="Normal Indent"/>
    <w:basedOn w:val="Normal"/>
    <w:uiPriority w:val="99"/>
    <w:qFormat/>
    <w:pPr>
      <w:spacing w:line="360" w:lineRule="auto"/>
      <w:ind w:firstLine="465"/>
    </w:pPr>
    <w:rPr>
      <w:rFonts w:ascii="宋体" w:hAnsi="宋体"/>
      <w:sz w:val="24"/>
    </w:rPr>
  </w:style>
  <w:style w:type="paragraph" w:styleId="CommentText">
    <w:name w:val="annotation text"/>
    <w:basedOn w:val="Normal"/>
    <w:link w:val="a0"/>
    <w:qFormat/>
    <w:pPr>
      <w:jc w:val="left"/>
    </w:pPr>
    <w:rPr>
      <w:sz w:val="24"/>
      <w:szCs w:val="20"/>
    </w:rPr>
  </w:style>
  <w:style w:type="paragraph" w:styleId="TOC3">
    <w:name w:val="toc 3"/>
    <w:basedOn w:val="Normal"/>
    <w:next w:val="Normal"/>
    <w:qFormat/>
    <w:pPr>
      <w:widowControl/>
      <w:spacing w:line="256" w:lineRule="auto"/>
      <w:contextualSpacing/>
    </w:pPr>
    <w:rPr>
      <w:rFonts w:ascii="Frutiger LT Com 45 Light" w:hAnsi="Frutiger LT Com 45 Light"/>
      <w:i/>
      <w:kern w:val="0"/>
      <w:sz w:val="18"/>
      <w:szCs w:val="22"/>
      <w:lang w:val="en-GB" w:eastAsia="en-US"/>
    </w:rPr>
  </w:style>
  <w:style w:type="paragraph" w:styleId="BalloonText">
    <w:name w:val="Balloon Text"/>
    <w:basedOn w:val="Normal"/>
    <w:link w:val="a3"/>
    <w:qFormat/>
    <w:rPr>
      <w:sz w:val="18"/>
      <w:szCs w:val="18"/>
    </w:rPr>
  </w:style>
  <w:style w:type="paragraph" w:styleId="Footer">
    <w:name w:val="footer"/>
    <w:basedOn w:val="Normal"/>
    <w:link w:val="a2"/>
    <w:uiPriority w:val="99"/>
    <w:qFormat/>
    <w:pPr>
      <w:tabs>
        <w:tab w:val="center" w:pos="4153"/>
        <w:tab w:val="right" w:pos="8306"/>
      </w:tabs>
      <w:snapToGrid w:val="0"/>
      <w:jc w:val="left"/>
    </w:pPr>
    <w:rPr>
      <w:kern w:val="0"/>
      <w:sz w:val="18"/>
      <w:szCs w:val="18"/>
    </w:rPr>
  </w:style>
  <w:style w:type="paragraph" w:styleId="Header">
    <w:name w:val="header"/>
    <w:basedOn w:val="Normal"/>
    <w:link w:val="a1"/>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link w:val="a"/>
    <w:qFormat/>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CommentSubject">
    <w:name w:val="annotation subject"/>
    <w:basedOn w:val="CommentText"/>
    <w:next w:val="CommentText"/>
    <w:qFormat/>
    <w:rPr>
      <w:b/>
      <w:bCs/>
      <w:sz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Pr>
      <w:rFonts w:ascii="Calibri" w:eastAsia="宋体" w:hAnsi="Calibri" w:cs="Times New Roman"/>
    </w:rPr>
  </w:style>
  <w:style w:type="character" w:styleId="Hyperlink">
    <w:name w:val="Hyperlink"/>
    <w:qFormat/>
    <w:rPr>
      <w:rFonts w:ascii="Calibri" w:eastAsia="宋体" w:hAnsi="Calibri" w:cs="Times New Roman"/>
      <w:color w:val="0000FF"/>
      <w:u w:val="single"/>
    </w:rPr>
  </w:style>
  <w:style w:type="character" w:styleId="CommentReference">
    <w:name w:val="annotation reference"/>
    <w:qFormat/>
    <w:rPr>
      <w:rFonts w:ascii="Calibri" w:eastAsia="宋体" w:hAnsi="Calibri" w:cs="Times New Roman"/>
      <w:sz w:val="21"/>
      <w:szCs w:val="21"/>
    </w:rPr>
  </w:style>
  <w:style w:type="paragraph" w:customStyle="1" w:styleId="p0">
    <w:name w:val="p0"/>
    <w:basedOn w:val="Normal"/>
    <w:qFormat/>
    <w:pPr>
      <w:widowControl/>
      <w:spacing w:line="590" w:lineRule="atLeast"/>
      <w:ind w:firstLine="624"/>
    </w:pPr>
    <w:rPr>
      <w:kern w:val="0"/>
      <w:sz w:val="32"/>
      <w:szCs w:val="32"/>
    </w:rPr>
  </w:style>
  <w:style w:type="paragraph" w:customStyle="1" w:styleId="TOC10">
    <w:name w:val="TOC 标题1"/>
    <w:basedOn w:val="Heading1"/>
    <w:next w:val="Normal"/>
    <w:qFormat/>
    <w:pPr>
      <w:numPr>
        <w:numId w:val="0"/>
      </w:numPr>
      <w:tabs>
        <w:tab w:val="left" w:pos="360"/>
      </w:tabs>
      <w:spacing w:before="240" w:after="0" w:line="256" w:lineRule="auto"/>
      <w:outlineLvl w:val="9"/>
    </w:pPr>
    <w:rPr>
      <w:rFonts w:ascii="Calibri Light" w:eastAsia="宋体" w:hAnsi="Calibri Light" w:cs="Times New Roman"/>
      <w:color w:val="2E74B5"/>
      <w:sz w:val="32"/>
      <w:lang w:val="en-US" w:eastAsia="zh-CN"/>
    </w:rPr>
  </w:style>
  <w:style w:type="paragraph" w:customStyle="1" w:styleId="1">
    <w:name w:val="列出段落1"/>
    <w:basedOn w:val="Normal"/>
    <w:qFormat/>
    <w:pPr>
      <w:ind w:firstLine="420" w:firstLineChars="200"/>
    </w:pPr>
  </w:style>
  <w:style w:type="paragraph" w:customStyle="1" w:styleId="TableBullet">
    <w:name w:val="Table Bullet"/>
    <w:basedOn w:val="Normal"/>
    <w:qFormat/>
    <w:pPr>
      <w:widowControl/>
      <w:numPr>
        <w:ilvl w:val="0"/>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Editabletabletext">
    <w:name w:val="Editable table text"/>
    <w:basedOn w:val="Normal"/>
    <w:link w:val="EditabletabletextChar"/>
    <w:qFormat/>
    <w:pPr>
      <w:widowControl/>
    </w:pPr>
    <w:rPr>
      <w:rFonts w:ascii="Frutiger LT Com 45 Light" w:hAnsi="Frutiger LT Com 45 Light"/>
      <w:color w:val="62B5E5"/>
      <w:kern w:val="0"/>
      <w:sz w:val="20"/>
      <w:lang w:val="en-GB" w:eastAsia="en-US"/>
    </w:rPr>
  </w:style>
  <w:style w:type="paragraph" w:customStyle="1" w:styleId="2">
    <w:name w:val="样式2"/>
    <w:basedOn w:val="Heading1"/>
    <w:next w:val="Normal"/>
    <w:qFormat/>
    <w:pPr>
      <w:widowControl w:val="0"/>
      <w:numPr>
        <w:numId w:val="0"/>
      </w:numPr>
      <w:spacing w:before="340" w:after="330" w:line="576" w:lineRule="auto"/>
    </w:pPr>
    <w:rPr>
      <w:rFonts w:ascii="Times New Roman" w:eastAsia="宋体" w:hAnsi="Times New Roman" w:cs="Times New Roman"/>
      <w:bCs/>
      <w:color w:val="auto"/>
      <w:kern w:val="44"/>
      <w:sz w:val="44"/>
      <w:szCs w:val="44"/>
      <w:lang w:val="en-US" w:eastAsia="zh-CN"/>
    </w:rPr>
  </w:style>
  <w:style w:type="paragraph" w:customStyle="1" w:styleId="10">
    <w:name w:val="公文1"/>
    <w:basedOn w:val="Normal"/>
    <w:qFormat/>
    <w:rPr>
      <w:rFonts w:eastAsia="仿宋"/>
      <w:sz w:val="32"/>
    </w:rPr>
  </w:style>
  <w:style w:type="paragraph" w:customStyle="1" w:styleId="3">
    <w:name w:val="样式3"/>
    <w:basedOn w:val="Heading1"/>
    <w:next w:val="Normal"/>
    <w:qFormat/>
    <w:pPr>
      <w:widowControl w:val="0"/>
      <w:numPr>
        <w:numId w:val="0"/>
      </w:numPr>
      <w:spacing w:before="340" w:after="330" w:line="576" w:lineRule="auto"/>
    </w:pPr>
    <w:rPr>
      <w:rFonts w:ascii="Calibri" w:eastAsia="华文中宋" w:hAnsi="Calibri" w:cs="Times New Roman"/>
      <w:color w:val="auto"/>
      <w:kern w:val="44"/>
      <w:sz w:val="44"/>
      <w:szCs w:val="24"/>
      <w:lang w:val="en-US" w:eastAsia="zh-CN"/>
    </w:rPr>
  </w:style>
  <w:style w:type="character" w:customStyle="1" w:styleId="a">
    <w:name w:val="标题 字符"/>
    <w:link w:val="Title"/>
    <w:qFormat/>
    <w:rPr>
      <w:rFonts w:ascii="Inria Serif" w:eastAsia="宋体" w:hAnsi="Inria Serif" w:cs="Times New Roman (Headings CS)"/>
      <w:b/>
      <w:color w:val="0084AD"/>
      <w:spacing w:val="-10"/>
      <w:kern w:val="28"/>
      <w:sz w:val="50"/>
      <w:szCs w:val="56"/>
      <w:lang w:val="en-AU" w:eastAsia="en-US" w:bidi="ar-SA"/>
    </w:rPr>
  </w:style>
  <w:style w:type="character" w:customStyle="1" w:styleId="CharCharChar">
    <w:name w:val="页眉 Char Char Char"/>
    <w:qFormat/>
    <w:rPr>
      <w:rFonts w:ascii="Calibri" w:eastAsia="宋体" w:hAnsi="Calibri" w:cs="Times New Roman"/>
      <w:kern w:val="2"/>
      <w:sz w:val="18"/>
      <w:szCs w:val="18"/>
    </w:rPr>
  </w:style>
  <w:style w:type="character" w:customStyle="1" w:styleId="a0">
    <w:name w:val="批注文字 字符"/>
    <w:link w:val="CommentText"/>
    <w:qFormat/>
    <w:rPr>
      <w:rFonts w:ascii="Calibri" w:eastAsia="宋体" w:hAnsi="Calibri" w:cs="Times New Roman"/>
      <w:kern w:val="2"/>
      <w:sz w:val="24"/>
      <w:lang w:bidi="ar-SA"/>
    </w:rPr>
  </w:style>
  <w:style w:type="character" w:customStyle="1" w:styleId="Editable">
    <w:name w:val="Editable"/>
    <w:qFormat/>
    <w:rPr>
      <w:rFonts w:ascii="Times New Roman" w:eastAsia="宋体" w:hAnsi="Times New Roman" w:cs="Times New Roman" w:hint="default"/>
      <w:color w:val="62B5E5"/>
    </w:rPr>
  </w:style>
  <w:style w:type="character" w:customStyle="1" w:styleId="20">
    <w:name w:val="标题 2 字符"/>
    <w:link w:val="Heading2"/>
    <w:qFormat/>
    <w:rPr>
      <w:rFonts w:ascii="Times New Roman" w:eastAsia="楷体" w:hAnsi="Times New Roman" w:cs="楷体"/>
      <w:b/>
      <w:color w:val="auto"/>
      <w:sz w:val="32"/>
      <w:szCs w:val="32"/>
      <w:lang w:val="en-GB" w:eastAsia="zh-CN" w:bidi="ar-SA"/>
    </w:rPr>
  </w:style>
  <w:style w:type="character" w:customStyle="1" w:styleId="CommentTextChar">
    <w:name w:val="Comment Text Char"/>
    <w:qFormat/>
    <w:rPr>
      <w:rFonts w:ascii="Calibri" w:eastAsia="宋体" w:hAnsi="Calibri" w:cs="Times New Roman"/>
      <w:szCs w:val="24"/>
    </w:rPr>
  </w:style>
  <w:style w:type="character" w:customStyle="1" w:styleId="11">
    <w:name w:val="标题 1 字符"/>
    <w:link w:val="Heading1"/>
    <w:qFormat/>
    <w:rPr>
      <w:rFonts w:ascii="Times New Roman" w:eastAsia="黑体" w:hAnsi="Times New Roman" w:cs="黑体"/>
      <w:color w:val="auto"/>
      <w:sz w:val="32"/>
      <w:szCs w:val="32"/>
      <w:lang w:val="en-GB" w:eastAsia="en-US" w:bidi="ar-SA"/>
    </w:rPr>
  </w:style>
  <w:style w:type="character" w:customStyle="1" w:styleId="EditabletabletextChar">
    <w:name w:val="Editable table text Char"/>
    <w:link w:val="Editabletabletext"/>
    <w:qFormat/>
    <w:rPr>
      <w:rFonts w:ascii="Frutiger LT Com 45 Light" w:eastAsia="宋体" w:hAnsi="Frutiger LT Com 45 Light" w:cs="Times New Roman"/>
      <w:color w:val="62B5E5"/>
      <w:szCs w:val="24"/>
      <w:lang w:val="en-GB" w:eastAsia="en-US" w:bidi="ar-SA"/>
    </w:rPr>
  </w:style>
  <w:style w:type="character" w:customStyle="1" w:styleId="a1">
    <w:name w:val="页眉 字符"/>
    <w:link w:val="Header"/>
    <w:qFormat/>
    <w:rPr>
      <w:rFonts w:ascii="Calibri" w:eastAsia="宋体" w:hAnsi="Calibri" w:cs="Times New Roman"/>
      <w:sz w:val="18"/>
      <w:szCs w:val="18"/>
      <w:lang w:bidi="ar-SA"/>
    </w:rPr>
  </w:style>
  <w:style w:type="character" w:customStyle="1" w:styleId="12">
    <w:name w:val="页码1"/>
    <w:qFormat/>
    <w:rPr>
      <w:rFonts w:ascii="Calibri" w:eastAsia="宋体" w:hAnsi="Calibri" w:cs="Times New Roman"/>
    </w:rPr>
  </w:style>
  <w:style w:type="character" w:customStyle="1" w:styleId="30">
    <w:name w:val="标题 3 字符"/>
    <w:link w:val="Heading3"/>
    <w:qFormat/>
    <w:rPr>
      <w:rFonts w:ascii="Times New Roman" w:eastAsia="仿宋" w:hAnsi="Times New Roman" w:cs="仿宋"/>
      <w:color w:val="auto"/>
      <w:sz w:val="32"/>
      <w:szCs w:val="24"/>
      <w:lang w:val="en-GB" w:eastAsia="zh-CN" w:bidi="ar-SA"/>
    </w:rPr>
  </w:style>
  <w:style w:type="character" w:customStyle="1" w:styleId="a2">
    <w:name w:val="页脚 字符"/>
    <w:link w:val="Footer"/>
    <w:uiPriority w:val="99"/>
    <w:qFormat/>
    <w:rPr>
      <w:rFonts w:ascii="Calibri" w:eastAsia="宋体" w:hAnsi="Calibri" w:cs="Times New Roman"/>
      <w:sz w:val="18"/>
      <w:szCs w:val="18"/>
      <w:lang w:bidi="ar-SA"/>
    </w:rPr>
  </w:style>
  <w:style w:type="character" w:customStyle="1" w:styleId="a3">
    <w:name w:val="批注框文本 字符"/>
    <w:link w:val="BalloonText"/>
    <w:qFormat/>
    <w:rPr>
      <w:kern w:val="2"/>
      <w:sz w:val="18"/>
      <w:szCs w:val="18"/>
    </w:rPr>
  </w:style>
  <w:style w:type="paragraph" w:customStyle="1" w:styleId="body">
    <w:name w:val="body"/>
    <w:basedOn w:val="Normal"/>
    <w:qFormat/>
    <w:pPr>
      <w:autoSpaceDE w:val="0"/>
      <w:autoSpaceDN w:val="0"/>
      <w:adjustRightInd w:val="0"/>
      <w:spacing w:before="0" w:beforeLines="0" w:after="0" w:afterLines="0" w:line="540" w:lineRule="exact"/>
      <w:ind w:firstLine="640" w:firstLineChars="200"/>
    </w:pPr>
    <w:rPr>
      <w:rFonts w:ascii="仿宋_GB2312" w:eastAsia="仿宋_GB2312" w:hAnsi="仿宋"/>
      <w:kern w:val="2"/>
      <w:sz w:val="32"/>
      <w:szCs w:val="32"/>
    </w:r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image" Target="media/image1.png" /><Relationship Id="rId36" Type="http://schemas.openxmlformats.org/officeDocument/2006/relationships/image" Target="media/image2.png" /><Relationship Id="rId37" Type="http://schemas.openxmlformats.org/officeDocument/2006/relationships/image" Target="media/image3.png" /><Relationship Id="rId38" Type="http://schemas.openxmlformats.org/officeDocument/2006/relationships/image" Target="media/image4.png" /><Relationship Id="rId39" Type="http://schemas.openxmlformats.org/officeDocument/2006/relationships/image" Target="media/image5.png" /><Relationship Id="rId4" Type="http://schemas.openxmlformats.org/officeDocument/2006/relationships/customXml" Target="../customXml/item1.xml" /><Relationship Id="rId40" Type="http://schemas.openxmlformats.org/officeDocument/2006/relationships/image" Target="media/image6.png" /><Relationship Id="rId41" Type="http://schemas.openxmlformats.org/officeDocument/2006/relationships/image" Target="media/image7.png" /><Relationship Id="rId42" Type="http://schemas.openxmlformats.org/officeDocument/2006/relationships/image" Target="media/image8.png" /><Relationship Id="rId43" Type="http://schemas.openxmlformats.org/officeDocument/2006/relationships/image" Target="media/image9.png" /><Relationship Id="rId44" Type="http://schemas.openxmlformats.org/officeDocument/2006/relationships/image" Target="media/image10.png" /><Relationship Id="rId45" Type="http://schemas.openxmlformats.org/officeDocument/2006/relationships/image" Target="media/image11.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header" Target="head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image" Target="media/image12.png" /><Relationship Id="rId53" Type="http://schemas.openxmlformats.org/officeDocument/2006/relationships/header" Target="header19.xml" /><Relationship Id="rId54" Type="http://schemas.openxmlformats.org/officeDocument/2006/relationships/footer" Target="footer19.xml" /><Relationship Id="rId55" Type="http://schemas.openxmlformats.org/officeDocument/2006/relationships/image" Target="media/image13.png" /><Relationship Id="rId56" Type="http://schemas.openxmlformats.org/officeDocument/2006/relationships/header" Target="header20.xml" /><Relationship Id="rId57" Type="http://schemas.openxmlformats.org/officeDocument/2006/relationships/footer" Target="footer20.xml" /><Relationship Id="rId58" Type="http://schemas.openxmlformats.org/officeDocument/2006/relationships/header" Target="header21.xml" /><Relationship Id="rId59" Type="http://schemas.openxmlformats.org/officeDocument/2006/relationships/footer" Target="footer21.xml" /><Relationship Id="rId6" Type="http://schemas.openxmlformats.org/officeDocument/2006/relationships/footer" Target="footer1.xml" /><Relationship Id="rId60" Type="http://schemas.openxmlformats.org/officeDocument/2006/relationships/hyperlink" Target="https://d.book118.com/016241003031010100" TargetMode="External" /><Relationship Id="rId61" Type="http://schemas.openxmlformats.org/officeDocument/2006/relationships/header" Target="header22.xml" /><Relationship Id="rId62" Type="http://schemas.openxmlformats.org/officeDocument/2006/relationships/footer" Target="footer22.xml" /><Relationship Id="rId63" Type="http://schemas.openxmlformats.org/officeDocument/2006/relationships/theme" Target="theme/theme1.xml" /><Relationship Id="rId64" Type="http://schemas.openxmlformats.org/officeDocument/2006/relationships/numbering" Target="numbering.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27</Pages>
  <Words>14393</Words>
  <Characters>16463</Characters>
  <Application>Microsoft Office Word</Application>
  <DocSecurity>0</DocSecurity>
  <Lines>17</Lines>
  <Paragraphs>4</Paragraphs>
  <ScaleCrop>false</ScaleCrop>
  <Company>HP</Company>
  <LinksUpToDate>false</LinksUpToDate>
  <CharactersWithSpaces>17492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like</dc:creator>
  <cp:lastModifiedBy>Tsai</cp:lastModifiedBy>
  <cp:revision>4</cp:revision>
  <cp:lastPrinted>2022-07-08T01:07:00Z</cp:lastPrinted>
  <dcterms:created xsi:type="dcterms:W3CDTF">2020-09-07T05:48:00Z</dcterms:created>
  <dcterms:modified xsi:type="dcterms:W3CDTF">2022-07-09T09:36:58Z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E102EC7733AF48D1A9109449A6463752</vt:lpwstr>
  </property>
  <property fmtid="{D5CDD505-2E9C-101B-9397-08002B2CF9AE}" pid="3" name="KSOProductBuildVer">
    <vt:lpwstr>2052-11.1.0.11830</vt:lpwstr>
  </property>
</Properties>
</file>