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hint="default"/>
          <w:b/>
          <w:bCs/>
          <w:sz w:val="30"/>
          <w:szCs w:val="30"/>
        </w:rPr>
      </w:pPr>
      <w:bookmarkStart w:id="0" w:name="_GoBack"/>
      <w:r>
        <w:rPr>
          <w:rFonts w:ascii="黑体" w:eastAsia="黑体" w:hAnsi="黑体" w:hint="eastAsia"/>
          <w:b/>
          <w:bCs/>
          <w:sz w:val="30"/>
          <w:szCs w:val="30"/>
          <w:lang w:val="en-US" w:eastAsia="zh-CN"/>
        </w:rPr>
        <w:t>大学生参与志愿服务行为及其影响因素的调研分析报告</w:t>
      </w:r>
    </w:p>
    <w:bookmarkEnd w:id="0"/>
    <w:sdt>
      <w:sdtPr>
        <w:rPr>
          <w:rFonts w:asciiTheme="minorHAnsi" w:eastAsiaTheme="minorEastAsia" w:hAnsiTheme="minorHAnsi" w:cstheme="minorBidi"/>
          <w:bCs w:val="0"/>
          <w:color w:val="auto"/>
          <w:kern w:val="2"/>
          <w:sz w:val="21"/>
          <w:szCs w:val="22"/>
          <w:lang w:val="zh-CN"/>
        </w:rPr>
        <w:id w:val="-1503317436"/>
        <w:docPartObj>
          <w:docPartGallery w:val="Table of Contents"/>
          <w:docPartUnique/>
        </w:docPartObj>
      </w:sdtPr>
      <w:sdtEndPr>
        <w:rPr>
          <w:rFonts w:asciiTheme="minorHAnsi" w:eastAsiaTheme="minorEastAsia" w:hAnsiTheme="minorHAnsi" w:cstheme="minorBidi"/>
          <w:bCs w:val="0"/>
          <w:color w:val="auto"/>
          <w:kern w:val="2"/>
          <w:sz w:val="21"/>
          <w:szCs w:val="22"/>
          <w:lang w:val="en-US"/>
        </w:rPr>
      </w:sdtEndPr>
      <w:sdtContent>
        <w:p>
          <w:pPr>
            <w:pStyle w:val="TOCHeading"/>
            <w:jc w:val="center"/>
            <w:rPr>
              <w:rFonts w:ascii="黑体" w:eastAsia="黑体" w:hAnsi="黑体"/>
              <w:color w:val="000000" w:themeColor="text1"/>
              <w:sz w:val="32"/>
              <w:szCs w:val="32"/>
              <w:lang w:val="zh-CN"/>
            </w:rPr>
          </w:pPr>
          <w:r>
            <w:rPr>
              <w:rFonts w:ascii="黑体" w:eastAsia="黑体" w:hAnsi="黑体"/>
              <w:color w:val="000000" w:themeColor="text1"/>
              <w:sz w:val="32"/>
              <w:szCs w:val="32"/>
              <w:lang w:val="zh-CN"/>
            </w:rPr>
            <w:t>目</w:t>
          </w:r>
          <w:r>
            <w:rPr>
              <w:rFonts w:ascii="黑体" w:eastAsia="黑体" w:hAnsi="黑体" w:hint="eastAsia"/>
              <w:color w:val="000000" w:themeColor="text1"/>
              <w:sz w:val="32"/>
              <w:szCs w:val="32"/>
              <w:lang w:val="zh-CN"/>
            </w:rPr>
            <w:t xml:space="preserve">  </w:t>
          </w:r>
          <w:r>
            <w:rPr>
              <w:rFonts w:ascii="黑体" w:eastAsia="黑体" w:hAnsi="黑体"/>
              <w:color w:val="000000" w:themeColor="text1"/>
              <w:sz w:val="32"/>
              <w:szCs w:val="32"/>
              <w:lang w:val="zh-CN"/>
            </w:rPr>
            <w:t>录</w:t>
          </w:r>
        </w:p>
        <w:p>
          <w:pPr>
            <w:pStyle w:val="TOC1"/>
            <w:tabs>
              <w:tab w:val="left" w:pos="840"/>
              <w:tab w:val="right" w:leader="dot" w:pos="8296"/>
            </w:tabs>
            <w:rPr>
              <w:rFonts w:ascii="黑体" w:eastAsia="黑体" w:hAnsi="黑体"/>
              <w:kern w:val="2"/>
              <w:sz w:val="24"/>
              <w:szCs w:val="24"/>
            </w:rPr>
          </w:pPr>
          <w:r>
            <w:fldChar w:fldCharType="begin"/>
          </w:r>
          <w:r>
            <w:instrText xml:space="preserve"> TOC \o "1-3" \h \z \u </w:instrText>
          </w:r>
          <w:r>
            <w:fldChar w:fldCharType="separate"/>
          </w:r>
          <w:hyperlink w:anchor="_Toc70685775" w:history="1">
            <w:r>
              <w:rPr>
                <w:rStyle w:val="Hyperlink"/>
                <w:rFonts w:ascii="黑体" w:eastAsia="黑体" w:hAnsi="黑体" w:hint="eastAsia"/>
                <w:sz w:val="24"/>
                <w:szCs w:val="24"/>
              </w:rPr>
              <w:t>一、</w:t>
            </w:r>
            <w:r>
              <w:rPr>
                <w:rFonts w:ascii="黑体" w:eastAsia="黑体" w:hAnsi="黑体"/>
                <w:kern w:val="2"/>
                <w:sz w:val="24"/>
                <w:szCs w:val="24"/>
              </w:rPr>
              <w:tab/>
            </w:r>
            <w:r>
              <w:rPr>
                <w:rStyle w:val="Hyperlink"/>
                <w:rFonts w:ascii="黑体" w:eastAsia="黑体" w:hAnsi="黑体" w:hint="eastAsia"/>
                <w:sz w:val="24"/>
                <w:szCs w:val="24"/>
              </w:rPr>
              <w:t>导论</w:t>
            </w:r>
            <w:r>
              <w:rPr>
                <w:rFonts w:ascii="黑体" w:eastAsia="黑体" w:hAnsi="黑体"/>
                <w:sz w:val="24"/>
                <w:szCs w:val="24"/>
              </w:rPr>
              <w:tab/>
            </w:r>
            <w:r>
              <w:rPr>
                <w:rFonts w:ascii="黑体" w:eastAsia="黑体" w:hAnsi="黑体"/>
                <w:sz w:val="24"/>
                <w:szCs w:val="24"/>
              </w:rPr>
              <w:fldChar w:fldCharType="begin"/>
            </w:r>
            <w:r>
              <w:rPr>
                <w:rFonts w:ascii="黑体" w:eastAsia="黑体" w:hAnsi="黑体"/>
                <w:sz w:val="24"/>
                <w:szCs w:val="24"/>
              </w:rPr>
              <w:instrText xml:space="preserve"> PAGEREF _Toc70685775 \h </w:instrText>
            </w:r>
            <w:r>
              <w:rPr>
                <w:rFonts w:ascii="黑体" w:eastAsia="黑体" w:hAnsi="黑体"/>
                <w:sz w:val="24"/>
                <w:szCs w:val="24"/>
              </w:rPr>
              <w:fldChar w:fldCharType="separate"/>
            </w:r>
            <w:r>
              <w:rPr>
                <w:rFonts w:ascii="黑体" w:eastAsia="黑体" w:hAnsi="黑体"/>
                <w:sz w:val="24"/>
                <w:szCs w:val="24"/>
              </w:rPr>
              <w:t>5</w:t>
            </w:r>
            <w:r>
              <w:rPr>
                <w:rFonts w:ascii="黑体" w:eastAsia="黑体" w:hAnsi="黑体"/>
                <w:sz w:val="24"/>
                <w:szCs w:val="24"/>
              </w:rPr>
              <w:fldChar w:fldCharType="end"/>
            </w:r>
          </w:hyperlink>
        </w:p>
        <w:p>
          <w:pPr>
            <w:pStyle w:val="TOC2"/>
            <w:tabs>
              <w:tab w:val="left" w:pos="840"/>
              <w:tab w:val="right" w:leader="dot" w:pos="8296"/>
            </w:tabs>
            <w:rPr>
              <w:rFonts w:asciiTheme="minorEastAsia" w:hAnsiTheme="minorEastAsia"/>
              <w:kern w:val="2"/>
              <w:sz w:val="21"/>
              <w:szCs w:val="21"/>
            </w:rPr>
          </w:pPr>
          <w:hyperlink w:anchor="_Toc70685776" w:history="1">
            <w:r>
              <w:rPr>
                <w:rStyle w:val="Hyperlink"/>
                <w:rFonts w:asciiTheme="minorEastAsia" w:hAnsiTheme="minorEastAsia" w:hint="eastAsia"/>
                <w:sz w:val="21"/>
                <w:szCs w:val="21"/>
              </w:rPr>
              <w:t>(一)</w:t>
            </w:r>
            <w:r>
              <w:rPr>
                <w:rFonts w:asciiTheme="minorEastAsia" w:hAnsiTheme="minorEastAsia"/>
                <w:kern w:val="2"/>
                <w:sz w:val="21"/>
                <w:szCs w:val="21"/>
              </w:rPr>
              <w:tab/>
            </w:r>
            <w:r>
              <w:rPr>
                <w:rStyle w:val="Hyperlink"/>
                <w:rFonts w:asciiTheme="minorEastAsia" w:hAnsiTheme="minorEastAsia" w:hint="eastAsia"/>
                <w:sz w:val="21"/>
                <w:szCs w:val="21"/>
              </w:rPr>
              <w:t>研究背景</w:t>
            </w:r>
            <w:r>
              <w:rPr>
                <w:rFonts w:asciiTheme="minorEastAsia" w:hAnsiTheme="minorEastAsia"/>
                <w:sz w:val="21"/>
                <w:szCs w:val="21"/>
              </w:rPr>
              <w:tab/>
            </w:r>
            <w:r>
              <w:rPr>
                <w:rFonts w:asciiTheme="minorEastAsia" w:hAnsiTheme="minorEastAsia"/>
                <w:sz w:val="21"/>
                <w:szCs w:val="21"/>
              </w:rPr>
              <w:fldChar w:fldCharType="begin"/>
            </w:r>
            <w:r>
              <w:rPr>
                <w:rFonts w:asciiTheme="minorEastAsia" w:hAnsiTheme="minorEastAsia"/>
                <w:sz w:val="21"/>
                <w:szCs w:val="21"/>
              </w:rPr>
              <w:instrText xml:space="preserve"> PAGEREF _Toc70685776 \h </w:instrText>
            </w:r>
            <w:r>
              <w:rPr>
                <w:rFonts w:asciiTheme="minorEastAsia" w:hAnsiTheme="minorEastAsia"/>
                <w:sz w:val="21"/>
                <w:szCs w:val="21"/>
              </w:rPr>
              <w:fldChar w:fldCharType="separate"/>
            </w:r>
            <w:r>
              <w:rPr>
                <w:rFonts w:asciiTheme="minorEastAsia" w:hAnsiTheme="minorEastAsia"/>
                <w:sz w:val="21"/>
                <w:szCs w:val="21"/>
              </w:rPr>
              <w:t>5</w:t>
            </w:r>
            <w:r>
              <w:rPr>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77" w:history="1">
            <w:r>
              <w:rPr>
                <w:rStyle w:val="Hyperlink"/>
                <w:rFonts w:asciiTheme="minorEastAsia" w:hAnsiTheme="minorEastAsia" w:hint="eastAsia"/>
                <w:sz w:val="21"/>
                <w:szCs w:val="21"/>
              </w:rPr>
              <w:t>(二)</w:t>
            </w:r>
            <w:r>
              <w:rPr>
                <w:rStyle w:val="Hyperlink"/>
                <w:rFonts w:asciiTheme="minorEastAsia" w:hAnsiTheme="minorEastAsia"/>
                <w:sz w:val="21"/>
                <w:szCs w:val="21"/>
              </w:rPr>
              <w:tab/>
            </w:r>
            <w:r>
              <w:rPr>
                <w:rStyle w:val="Hyperlink"/>
                <w:rFonts w:asciiTheme="minorEastAsia" w:hAnsiTheme="minorEastAsia" w:hint="eastAsia"/>
                <w:sz w:val="21"/>
                <w:szCs w:val="21"/>
              </w:rPr>
              <w:t>研究意义</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_Toc70685777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7</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78" w:history="1">
            <w:r>
              <w:rPr>
                <w:rStyle w:val="Hyperlink"/>
                <w:rFonts w:asciiTheme="minorEastAsia" w:hAnsiTheme="minorEastAsia" w:hint="eastAsia"/>
                <w:sz w:val="21"/>
                <w:szCs w:val="21"/>
              </w:rPr>
              <w:t>(三)</w:t>
            </w:r>
            <w:r>
              <w:rPr>
                <w:rStyle w:val="Hyperlink"/>
                <w:rFonts w:asciiTheme="minorEastAsia" w:hAnsiTheme="minorEastAsia"/>
                <w:sz w:val="21"/>
                <w:szCs w:val="21"/>
              </w:rPr>
              <w:tab/>
            </w:r>
            <w:r>
              <w:rPr>
                <w:rStyle w:val="Hyperlink"/>
                <w:rFonts w:asciiTheme="minorEastAsia" w:hAnsiTheme="minorEastAsia" w:hint="eastAsia"/>
                <w:sz w:val="21"/>
                <w:szCs w:val="21"/>
              </w:rPr>
              <w:t>相关概念界定</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_Toc70685778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8</w:t>
            </w:r>
            <w:r>
              <w:rPr>
                <w:rStyle w:val="Hyperlink"/>
                <w:rFonts w:asciiTheme="minorEastAsia" w:hAnsiTheme="minorEastAsia"/>
                <w:sz w:val="21"/>
                <w:szCs w:val="21"/>
              </w:rPr>
              <w:fldChar w:fldCharType="end"/>
            </w:r>
          </w:hyperlink>
        </w:p>
        <w:p>
          <w:pPr>
            <w:pStyle w:val="TOC1"/>
            <w:tabs>
              <w:tab w:val="left" w:pos="840"/>
              <w:tab w:val="right" w:leader="dot" w:pos="8296"/>
            </w:tabs>
            <w:rPr>
              <w:rStyle w:val="Hyperlink"/>
              <w:rFonts w:ascii="黑体" w:eastAsia="黑体" w:hAnsi="黑体"/>
              <w:sz w:val="24"/>
              <w:szCs w:val="24"/>
            </w:rPr>
          </w:pPr>
          <w:hyperlink w:anchor="_Toc70685779" w:history="1">
            <w:r>
              <w:rPr>
                <w:rStyle w:val="Hyperlink"/>
                <w:rFonts w:ascii="黑体" w:eastAsia="黑体" w:hAnsi="黑体" w:hint="eastAsia"/>
                <w:sz w:val="24"/>
                <w:szCs w:val="24"/>
              </w:rPr>
              <w:t>二、</w:t>
            </w:r>
            <w:r>
              <w:rPr>
                <w:rStyle w:val="Hyperlink"/>
                <w:rFonts w:ascii="黑体" w:eastAsia="黑体" w:hAnsi="黑体"/>
                <w:sz w:val="24"/>
                <w:szCs w:val="24"/>
              </w:rPr>
              <w:tab/>
            </w:r>
            <w:r>
              <w:rPr>
                <w:rStyle w:val="Hyperlink"/>
                <w:rFonts w:ascii="黑体" w:eastAsia="黑体" w:hAnsi="黑体" w:hint="eastAsia"/>
                <w:sz w:val="24"/>
                <w:szCs w:val="24"/>
              </w:rPr>
              <w:t>研究设计</w:t>
            </w:r>
            <w:r>
              <w:rPr>
                <w:rStyle w:val="Hyperlink"/>
                <w:rFonts w:ascii="黑体" w:eastAsia="黑体" w:hAnsi="黑体"/>
                <w:sz w:val="24"/>
                <w:szCs w:val="24"/>
              </w:rPr>
              <w:tab/>
            </w:r>
            <w:r>
              <w:rPr>
                <w:rStyle w:val="Hyperlink"/>
                <w:rFonts w:ascii="黑体" w:eastAsia="黑体" w:hAnsi="黑体"/>
                <w:sz w:val="24"/>
                <w:szCs w:val="24"/>
              </w:rPr>
              <w:fldChar w:fldCharType="begin"/>
            </w:r>
            <w:r>
              <w:rPr>
                <w:rStyle w:val="Hyperlink"/>
                <w:rFonts w:ascii="黑体" w:eastAsia="黑体" w:hAnsi="黑体"/>
                <w:sz w:val="24"/>
                <w:szCs w:val="24"/>
              </w:rPr>
              <w:instrText xml:space="preserve"> PAGEREF _Toc70685779 \h </w:instrText>
            </w:r>
            <w:r>
              <w:rPr>
                <w:rStyle w:val="Hyperlink"/>
                <w:rFonts w:ascii="黑体" w:eastAsia="黑体" w:hAnsi="黑体"/>
                <w:sz w:val="24"/>
                <w:szCs w:val="24"/>
              </w:rPr>
              <w:fldChar w:fldCharType="separate"/>
            </w:r>
            <w:r>
              <w:rPr>
                <w:rStyle w:val="Hyperlink"/>
                <w:rFonts w:ascii="黑体" w:eastAsia="黑体" w:hAnsi="黑体"/>
                <w:sz w:val="24"/>
                <w:szCs w:val="24"/>
              </w:rPr>
              <w:t>10</w:t>
            </w:r>
            <w:r>
              <w:rPr>
                <w:rStyle w:val="Hyperlink"/>
                <w:rFonts w:ascii="黑体" w:eastAsia="黑体" w:hAnsi="黑体"/>
                <w:sz w:val="24"/>
                <w:szCs w:val="24"/>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0" w:history="1">
            <w:r>
              <w:rPr>
                <w:rStyle w:val="Hyperlink"/>
                <w:rFonts w:asciiTheme="minorEastAsia" w:hAnsiTheme="minorEastAsia" w:hint="eastAsia"/>
                <w:sz w:val="21"/>
                <w:szCs w:val="21"/>
              </w:rPr>
              <w:t>(一)</w:t>
            </w:r>
            <w:r>
              <w:rPr>
                <w:rStyle w:val="Hyperlink"/>
                <w:rFonts w:asciiTheme="minorEastAsia" w:hAnsiTheme="minorEastAsia"/>
                <w:sz w:val="21"/>
                <w:szCs w:val="21"/>
              </w:rPr>
              <w:tab/>
            </w:r>
            <w:r>
              <w:rPr>
                <w:rStyle w:val="Hyperlink"/>
                <w:rFonts w:asciiTheme="minorEastAsia" w:hAnsiTheme="minorEastAsia" w:hint="eastAsia"/>
                <w:sz w:val="21"/>
                <w:szCs w:val="21"/>
              </w:rPr>
              <w:t>研究思路</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_Toc70685780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10</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1" w:history="1">
            <w:r>
              <w:rPr>
                <w:rStyle w:val="Hyperlink"/>
                <w:rFonts w:asciiTheme="minorEastAsia" w:hAnsiTheme="minorEastAsia" w:hint="eastAsia"/>
                <w:sz w:val="21"/>
                <w:szCs w:val="21"/>
              </w:rPr>
              <w:t>(二)</w:t>
            </w:r>
            <w:r>
              <w:rPr>
                <w:rStyle w:val="Hyperlink"/>
                <w:rFonts w:asciiTheme="minorEastAsia" w:hAnsiTheme="minorEastAsia"/>
                <w:sz w:val="21"/>
                <w:szCs w:val="21"/>
              </w:rPr>
              <w:tab/>
            </w:r>
            <w:r>
              <w:rPr>
                <w:rStyle w:val="Hyperlink"/>
                <w:rFonts w:asciiTheme="minorEastAsia" w:hAnsiTheme="minorEastAsia" w:hint="eastAsia"/>
                <w:sz w:val="21"/>
                <w:szCs w:val="21"/>
              </w:rPr>
              <w:t>研究方法</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_Toc70685781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11</w:t>
            </w:r>
            <w:r>
              <w:rPr>
                <w:rStyle w:val="Hyperlink"/>
                <w:rFonts w:asciiTheme="minorEastAsia" w:hAnsiTheme="minorEastAsia"/>
                <w:sz w:val="21"/>
                <w:szCs w:val="21"/>
              </w:rPr>
              <w:fldChar w:fldCharType="end"/>
            </w:r>
          </w:hyperlink>
        </w:p>
        <w:p>
          <w:pPr>
            <w:pStyle w:val="TOC1"/>
            <w:tabs>
              <w:tab w:val="left" w:pos="840"/>
              <w:tab w:val="right" w:leader="dot" w:pos="8296"/>
            </w:tabs>
            <w:rPr>
              <w:rStyle w:val="Hyperlink"/>
              <w:rFonts w:ascii="黑体" w:eastAsia="黑体" w:hAnsi="黑体"/>
              <w:sz w:val="24"/>
              <w:szCs w:val="24"/>
            </w:rPr>
          </w:pPr>
          <w:hyperlink w:anchor="_Toc70685782" w:history="1">
            <w:r>
              <w:rPr>
                <w:rStyle w:val="Hyperlink"/>
                <w:rFonts w:ascii="黑体" w:eastAsia="黑体" w:hAnsi="黑体" w:hint="eastAsia"/>
                <w:sz w:val="24"/>
                <w:szCs w:val="24"/>
              </w:rPr>
              <w:t>三、</w:t>
            </w:r>
            <w:r>
              <w:rPr>
                <w:rStyle w:val="Hyperlink"/>
                <w:rFonts w:ascii="黑体" w:eastAsia="黑体" w:hAnsi="黑体"/>
                <w:sz w:val="24"/>
                <w:szCs w:val="24"/>
              </w:rPr>
              <w:tab/>
            </w:r>
            <w:r>
              <w:rPr>
                <w:rStyle w:val="Hyperlink"/>
                <w:rFonts w:ascii="黑体" w:eastAsia="黑体" w:hAnsi="黑体" w:hint="eastAsia"/>
                <w:sz w:val="24"/>
                <w:szCs w:val="24"/>
              </w:rPr>
              <w:t>大学生志愿服务行为现状与影响因素分析</w:t>
            </w:r>
            <w:r>
              <w:rPr>
                <w:rStyle w:val="Hyperlink"/>
                <w:rFonts w:ascii="黑体" w:eastAsia="黑体" w:hAnsi="黑体"/>
                <w:sz w:val="24"/>
                <w:szCs w:val="24"/>
              </w:rPr>
              <w:tab/>
            </w:r>
            <w:r>
              <w:rPr>
                <w:rStyle w:val="Hyperlink"/>
                <w:rFonts w:ascii="黑体" w:eastAsia="黑体" w:hAnsi="黑体"/>
                <w:sz w:val="24"/>
                <w:szCs w:val="24"/>
              </w:rPr>
              <w:fldChar w:fldCharType="begin"/>
            </w:r>
            <w:r>
              <w:rPr>
                <w:rStyle w:val="Hyperlink"/>
                <w:rFonts w:ascii="黑体" w:eastAsia="黑体" w:hAnsi="黑体"/>
                <w:sz w:val="24"/>
                <w:szCs w:val="24"/>
              </w:rPr>
              <w:instrText xml:space="preserve"> PAGEREF _Toc70685782 \h </w:instrText>
            </w:r>
            <w:r>
              <w:rPr>
                <w:rStyle w:val="Hyperlink"/>
                <w:rFonts w:ascii="黑体" w:eastAsia="黑体" w:hAnsi="黑体"/>
                <w:sz w:val="24"/>
                <w:szCs w:val="24"/>
              </w:rPr>
              <w:fldChar w:fldCharType="separate"/>
            </w:r>
            <w:r>
              <w:rPr>
                <w:rStyle w:val="Hyperlink"/>
                <w:rFonts w:ascii="黑体" w:eastAsia="黑体" w:hAnsi="黑体"/>
                <w:sz w:val="24"/>
                <w:szCs w:val="24"/>
              </w:rPr>
              <w:t>13</w:t>
            </w:r>
            <w:r>
              <w:rPr>
                <w:rStyle w:val="Hyperlink"/>
                <w:rFonts w:ascii="黑体" w:eastAsia="黑体" w:hAnsi="黑体"/>
                <w:sz w:val="24"/>
                <w:szCs w:val="24"/>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3" w:history="1">
            <w:r>
              <w:rPr>
                <w:rStyle w:val="Hyperlink"/>
                <w:rFonts w:asciiTheme="minorEastAsia" w:hAnsiTheme="minorEastAsia" w:hint="eastAsia"/>
                <w:sz w:val="21"/>
                <w:szCs w:val="21"/>
              </w:rPr>
              <w:t>(一)</w:t>
            </w:r>
            <w:r>
              <w:rPr>
                <w:rStyle w:val="Hyperlink"/>
                <w:rFonts w:asciiTheme="minorEastAsia" w:hAnsiTheme="minorEastAsia"/>
                <w:sz w:val="21"/>
                <w:szCs w:val="21"/>
              </w:rPr>
              <w:tab/>
            </w:r>
            <w:r>
              <w:rPr>
                <w:rStyle w:val="Hyperlink"/>
                <w:rFonts w:asciiTheme="minorEastAsia" w:hAnsiTheme="minorEastAsia" w:hint="eastAsia"/>
                <w:sz w:val="21"/>
                <w:szCs w:val="21"/>
              </w:rPr>
              <w:t>样本基本情况</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_Toc70685783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13</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4" w:history="1">
            <w:r>
              <w:rPr>
                <w:rStyle w:val="Hyperlink"/>
                <w:rFonts w:asciiTheme="minorEastAsia" w:hAnsiTheme="minorEastAsia" w:hint="eastAsia"/>
                <w:sz w:val="21"/>
                <w:szCs w:val="21"/>
              </w:rPr>
              <w:t>(二)</w:t>
            </w:r>
            <w:r>
              <w:rPr>
                <w:rStyle w:val="Hyperlink"/>
                <w:rFonts w:asciiTheme="minorEastAsia" w:hAnsiTheme="minorEastAsia"/>
                <w:sz w:val="21"/>
                <w:szCs w:val="21"/>
              </w:rPr>
              <w:tab/>
            </w:r>
            <w:r>
              <w:rPr>
                <w:rStyle w:val="Hyperlink"/>
                <w:rFonts w:asciiTheme="minorEastAsia" w:hAnsiTheme="minorEastAsia" w:hint="eastAsia"/>
                <w:sz w:val="21"/>
                <w:szCs w:val="21"/>
              </w:rPr>
              <w:t>大学生志愿服务现状</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_Toc70685784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14</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5" w:history="1">
            <w:r>
              <w:rPr>
                <w:rStyle w:val="Hyperlink"/>
                <w:rFonts w:asciiTheme="minorEastAsia" w:hAnsiTheme="minorEastAsia" w:hint="eastAsia"/>
                <w:sz w:val="21"/>
                <w:szCs w:val="21"/>
              </w:rPr>
              <w:t>(三)</w:t>
            </w:r>
            <w:r>
              <w:rPr>
                <w:rStyle w:val="Hyperlink"/>
                <w:rFonts w:asciiTheme="minorEastAsia" w:hAnsiTheme="minorEastAsia"/>
                <w:sz w:val="21"/>
                <w:szCs w:val="21"/>
              </w:rPr>
              <w:tab/>
            </w:r>
            <w:r>
              <w:rPr>
                <w:rStyle w:val="Hyperlink"/>
                <w:rFonts w:asciiTheme="minorEastAsia" w:hAnsiTheme="minorEastAsia" w:hint="eastAsia"/>
                <w:sz w:val="21"/>
                <w:szCs w:val="21"/>
              </w:rPr>
              <w:t>微观层面因素分析</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_Toc70685785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17</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6" w:history="1">
            <w:r>
              <w:rPr>
                <w:rStyle w:val="Hyperlink"/>
                <w:rFonts w:asciiTheme="minorEastAsia" w:hAnsiTheme="minorEastAsia" w:hint="eastAsia"/>
                <w:sz w:val="21"/>
                <w:szCs w:val="21"/>
              </w:rPr>
              <w:t>(四)</w:t>
            </w:r>
            <w:r>
              <w:rPr>
                <w:rStyle w:val="Hyperlink"/>
                <w:rFonts w:asciiTheme="minorEastAsia" w:hAnsiTheme="minorEastAsia"/>
                <w:sz w:val="21"/>
                <w:szCs w:val="21"/>
              </w:rPr>
              <w:tab/>
            </w:r>
            <w:r>
              <w:rPr>
                <w:rStyle w:val="Hyperlink"/>
                <w:rFonts w:asciiTheme="minorEastAsia" w:hAnsiTheme="minorEastAsia" w:hint="eastAsia"/>
                <w:sz w:val="21"/>
                <w:szCs w:val="21"/>
              </w:rPr>
              <w:t>中观层面因素分析</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_Toc70685786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21</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7" w:history="1">
            <w:r>
              <w:rPr>
                <w:rStyle w:val="Hyperlink"/>
                <w:rFonts w:asciiTheme="minorEastAsia" w:hAnsiTheme="minorEastAsia" w:hint="eastAsia"/>
                <w:sz w:val="21"/>
                <w:szCs w:val="21"/>
              </w:rPr>
              <w:t>(五)</w:t>
            </w:r>
            <w:r>
              <w:rPr>
                <w:rStyle w:val="Hyperlink"/>
                <w:rFonts w:asciiTheme="minorEastAsia" w:hAnsiTheme="minorEastAsia"/>
                <w:sz w:val="21"/>
                <w:szCs w:val="21"/>
              </w:rPr>
              <w:tab/>
            </w:r>
            <w:r>
              <w:rPr>
                <w:rStyle w:val="Hyperlink"/>
                <w:rFonts w:asciiTheme="minorEastAsia" w:hAnsiTheme="minorEastAsia" w:hint="eastAsia"/>
                <w:sz w:val="21"/>
                <w:szCs w:val="21"/>
              </w:rPr>
              <w:t>宏观层面因素分析</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_Toc70685787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25</w:t>
            </w:r>
            <w:r>
              <w:rPr>
                <w:rStyle w:val="Hyperlink"/>
                <w:rFonts w:asciiTheme="minorEastAsia" w:hAnsiTheme="minorEastAsia"/>
                <w:sz w:val="21"/>
                <w:szCs w:val="21"/>
              </w:rPr>
              <w:fldChar w:fldCharType="end"/>
            </w:r>
          </w:hyperlink>
        </w:p>
        <w:p>
          <w:pPr>
            <w:pStyle w:val="TOC1"/>
            <w:tabs>
              <w:tab w:val="left" w:pos="840"/>
              <w:tab w:val="right" w:leader="dot" w:pos="8296"/>
            </w:tabs>
            <w:rPr>
              <w:rStyle w:val="Hyperlink"/>
              <w:rFonts w:ascii="黑体" w:eastAsia="黑体" w:hAnsi="黑体"/>
              <w:sz w:val="24"/>
              <w:szCs w:val="24"/>
            </w:rPr>
          </w:pPr>
          <w:hyperlink w:anchor="_Toc70685788" w:history="1">
            <w:r>
              <w:rPr>
                <w:rStyle w:val="Hyperlink"/>
                <w:rFonts w:ascii="黑体" w:eastAsia="黑体" w:hAnsi="黑体" w:hint="eastAsia"/>
                <w:sz w:val="24"/>
                <w:szCs w:val="24"/>
              </w:rPr>
              <w:t>四、</w:t>
            </w:r>
            <w:r>
              <w:rPr>
                <w:rStyle w:val="Hyperlink"/>
                <w:rFonts w:ascii="黑体" w:eastAsia="黑体" w:hAnsi="黑体"/>
                <w:sz w:val="24"/>
                <w:szCs w:val="24"/>
              </w:rPr>
              <w:tab/>
            </w:r>
            <w:r>
              <w:rPr>
                <w:rStyle w:val="Hyperlink"/>
                <w:rFonts w:ascii="黑体" w:eastAsia="黑体" w:hAnsi="黑体" w:hint="eastAsia"/>
                <w:sz w:val="24"/>
                <w:szCs w:val="24"/>
              </w:rPr>
              <w:t>促进大学生志愿服务行为的建议</w:t>
            </w:r>
            <w:r>
              <w:rPr>
                <w:rStyle w:val="Hyperlink"/>
                <w:rFonts w:ascii="黑体" w:eastAsia="黑体" w:hAnsi="黑体"/>
                <w:sz w:val="24"/>
                <w:szCs w:val="24"/>
              </w:rPr>
              <w:tab/>
            </w:r>
            <w:r>
              <w:rPr>
                <w:rStyle w:val="Hyperlink"/>
                <w:rFonts w:ascii="黑体" w:eastAsia="黑体" w:hAnsi="黑体"/>
                <w:sz w:val="24"/>
                <w:szCs w:val="24"/>
              </w:rPr>
              <w:fldChar w:fldCharType="begin"/>
            </w:r>
            <w:r>
              <w:rPr>
                <w:rStyle w:val="Hyperlink"/>
                <w:rFonts w:ascii="黑体" w:eastAsia="黑体" w:hAnsi="黑体"/>
                <w:sz w:val="24"/>
                <w:szCs w:val="24"/>
              </w:rPr>
              <w:instrText xml:space="preserve"> PAGEREF _Toc70685788 \h </w:instrText>
            </w:r>
            <w:r>
              <w:rPr>
                <w:rStyle w:val="Hyperlink"/>
                <w:rFonts w:ascii="黑体" w:eastAsia="黑体" w:hAnsi="黑体"/>
                <w:sz w:val="24"/>
                <w:szCs w:val="24"/>
              </w:rPr>
              <w:fldChar w:fldCharType="separate"/>
            </w:r>
            <w:r>
              <w:rPr>
                <w:rStyle w:val="Hyperlink"/>
                <w:rFonts w:ascii="黑体" w:eastAsia="黑体" w:hAnsi="黑体"/>
                <w:sz w:val="24"/>
                <w:szCs w:val="24"/>
              </w:rPr>
              <w:t>27</w:t>
            </w:r>
            <w:r>
              <w:rPr>
                <w:rStyle w:val="Hyperlink"/>
                <w:rFonts w:ascii="黑体" w:eastAsia="黑体" w:hAnsi="黑体"/>
                <w:sz w:val="24"/>
                <w:szCs w:val="24"/>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89" w:history="1">
            <w:r>
              <w:rPr>
                <w:rStyle w:val="Hyperlink"/>
                <w:rFonts w:asciiTheme="minorEastAsia" w:hAnsiTheme="minorEastAsia" w:hint="eastAsia"/>
                <w:sz w:val="21"/>
                <w:szCs w:val="21"/>
              </w:rPr>
              <w:t>(一)</w:t>
            </w:r>
            <w:r>
              <w:rPr>
                <w:rStyle w:val="Hyperlink"/>
                <w:rFonts w:asciiTheme="minorEastAsia" w:hAnsiTheme="minorEastAsia"/>
                <w:sz w:val="21"/>
                <w:szCs w:val="21"/>
              </w:rPr>
              <w:tab/>
            </w:r>
            <w:r>
              <w:rPr>
                <w:rStyle w:val="Hyperlink"/>
                <w:rFonts w:asciiTheme="minorEastAsia" w:hAnsiTheme="minorEastAsia" w:hint="eastAsia"/>
                <w:sz w:val="21"/>
                <w:szCs w:val="21"/>
              </w:rPr>
              <w:t>个体层面</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_Toc70685789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27</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90" w:history="1">
            <w:r>
              <w:rPr>
                <w:rStyle w:val="Hyperlink"/>
                <w:rFonts w:asciiTheme="minorEastAsia" w:hAnsiTheme="minorEastAsia" w:hint="eastAsia"/>
                <w:sz w:val="21"/>
                <w:szCs w:val="21"/>
              </w:rPr>
              <w:t>(二)</w:t>
            </w:r>
            <w:r>
              <w:rPr>
                <w:rStyle w:val="Hyperlink"/>
                <w:rFonts w:asciiTheme="minorEastAsia" w:hAnsiTheme="minorEastAsia"/>
                <w:sz w:val="21"/>
                <w:szCs w:val="21"/>
              </w:rPr>
              <w:tab/>
            </w:r>
            <w:r>
              <w:rPr>
                <w:rStyle w:val="Hyperlink"/>
                <w:rFonts w:asciiTheme="minorEastAsia" w:hAnsiTheme="minorEastAsia" w:hint="eastAsia"/>
                <w:sz w:val="21"/>
                <w:szCs w:val="21"/>
              </w:rPr>
              <w:t>学校层面</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_Toc70685790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27</w:t>
            </w:r>
            <w:r>
              <w:rPr>
                <w:rStyle w:val="Hyperlink"/>
                <w:rFonts w:asciiTheme="minorEastAsia" w:hAnsiTheme="minorEastAsia"/>
                <w:sz w:val="21"/>
                <w:szCs w:val="21"/>
              </w:rPr>
              <w:fldChar w:fldCharType="end"/>
            </w:r>
          </w:hyperlink>
        </w:p>
        <w:p>
          <w:pPr>
            <w:pStyle w:val="TOC2"/>
            <w:tabs>
              <w:tab w:val="left" w:pos="840"/>
              <w:tab w:val="right" w:leader="dot" w:pos="8296"/>
            </w:tabs>
            <w:rPr>
              <w:rStyle w:val="Hyperlink"/>
              <w:rFonts w:asciiTheme="minorEastAsia" w:hAnsiTheme="minorEastAsia"/>
              <w:sz w:val="21"/>
              <w:szCs w:val="21"/>
            </w:rPr>
          </w:pPr>
          <w:hyperlink w:anchor="_Toc70685791" w:history="1">
            <w:r>
              <w:rPr>
                <w:rStyle w:val="Hyperlink"/>
                <w:rFonts w:asciiTheme="minorEastAsia" w:hAnsiTheme="minorEastAsia" w:hint="eastAsia"/>
                <w:sz w:val="21"/>
                <w:szCs w:val="21"/>
              </w:rPr>
              <w:t>(三)</w:t>
            </w:r>
            <w:r>
              <w:rPr>
                <w:rStyle w:val="Hyperlink"/>
                <w:rFonts w:asciiTheme="minorEastAsia" w:hAnsiTheme="minorEastAsia"/>
                <w:sz w:val="21"/>
                <w:szCs w:val="21"/>
              </w:rPr>
              <w:tab/>
            </w:r>
            <w:r>
              <w:rPr>
                <w:rStyle w:val="Hyperlink"/>
                <w:rFonts w:asciiTheme="minorEastAsia" w:hAnsiTheme="minorEastAsia" w:hint="eastAsia"/>
                <w:sz w:val="21"/>
                <w:szCs w:val="21"/>
              </w:rPr>
              <w:t>社会层面</w:t>
            </w:r>
            <w:r>
              <w:rPr>
                <w:rStyle w:val="Hyperlink"/>
                <w:rFonts w:asciiTheme="minorEastAsia" w:hAnsiTheme="minorEastAsia"/>
                <w:sz w:val="21"/>
                <w:szCs w:val="21"/>
              </w:rPr>
              <w:tab/>
            </w:r>
            <w:r>
              <w:rPr>
                <w:rStyle w:val="Hyperlink"/>
                <w:rFonts w:asciiTheme="minorEastAsia" w:hAnsiTheme="minorEastAsia"/>
                <w:sz w:val="21"/>
                <w:szCs w:val="21"/>
              </w:rPr>
              <w:fldChar w:fldCharType="begin"/>
            </w:r>
            <w:r>
              <w:rPr>
                <w:rStyle w:val="Hyperlink"/>
                <w:rFonts w:asciiTheme="minorEastAsia" w:hAnsiTheme="minorEastAsia"/>
                <w:sz w:val="21"/>
                <w:szCs w:val="21"/>
              </w:rPr>
              <w:instrText xml:space="preserve"> PAGEREF _Toc70685791 \h </w:instrText>
            </w:r>
            <w:r>
              <w:rPr>
                <w:rStyle w:val="Hyperlink"/>
                <w:rFonts w:asciiTheme="minorEastAsia" w:hAnsiTheme="minorEastAsia"/>
                <w:sz w:val="21"/>
                <w:szCs w:val="21"/>
              </w:rPr>
              <w:fldChar w:fldCharType="separate"/>
            </w:r>
            <w:r>
              <w:rPr>
                <w:rStyle w:val="Hyperlink"/>
                <w:rFonts w:asciiTheme="minorEastAsia" w:hAnsiTheme="minorEastAsia"/>
                <w:sz w:val="21"/>
                <w:szCs w:val="21"/>
              </w:rPr>
              <w:t>28</w:t>
            </w:r>
            <w:r>
              <w:rPr>
                <w:rStyle w:val="Hyperlink"/>
                <w:rFonts w:asciiTheme="minorEastAsia" w:hAnsiTheme="minorEastAsia"/>
                <w:sz w:val="21"/>
                <w:szCs w:val="21"/>
              </w:rPr>
              <w:fldChar w:fldCharType="end"/>
            </w:r>
          </w:hyperlink>
        </w:p>
        <w:p>
          <w:pPr>
            <w:pStyle w:val="TOC1"/>
            <w:tabs>
              <w:tab w:val="left" w:pos="840"/>
              <w:tab w:val="right" w:leader="dot" w:pos="8296"/>
            </w:tabs>
            <w:rPr>
              <w:rStyle w:val="Hyperlink"/>
              <w:rFonts w:ascii="黑体" w:eastAsia="黑体" w:hAnsi="黑体"/>
              <w:sz w:val="24"/>
              <w:szCs w:val="24"/>
            </w:rPr>
          </w:pPr>
          <w:hyperlink w:anchor="_Toc70685792" w:history="1">
            <w:r>
              <w:rPr>
                <w:rStyle w:val="Hyperlink"/>
                <w:rFonts w:ascii="黑体" w:eastAsia="黑体" w:hAnsi="黑体" w:hint="eastAsia"/>
                <w:sz w:val="24"/>
                <w:szCs w:val="24"/>
              </w:rPr>
              <w:t>五、</w:t>
            </w:r>
            <w:r>
              <w:rPr>
                <w:rStyle w:val="Hyperlink"/>
                <w:rFonts w:ascii="黑体" w:eastAsia="黑体" w:hAnsi="黑体"/>
                <w:sz w:val="24"/>
                <w:szCs w:val="24"/>
              </w:rPr>
              <w:tab/>
            </w:r>
            <w:r>
              <w:rPr>
                <w:rStyle w:val="Hyperlink"/>
                <w:rFonts w:ascii="黑体" w:eastAsia="黑体" w:hAnsi="黑体" w:hint="eastAsia"/>
                <w:sz w:val="24"/>
                <w:szCs w:val="24"/>
              </w:rPr>
              <w:t>总结</w:t>
            </w:r>
            <w:r>
              <w:rPr>
                <w:rStyle w:val="Hyperlink"/>
                <w:rFonts w:ascii="黑体" w:eastAsia="黑体" w:hAnsi="黑体"/>
                <w:sz w:val="24"/>
                <w:szCs w:val="24"/>
              </w:rPr>
              <w:tab/>
            </w:r>
            <w:r>
              <w:rPr>
                <w:rStyle w:val="Hyperlink"/>
                <w:rFonts w:ascii="黑体" w:eastAsia="黑体" w:hAnsi="黑体"/>
                <w:sz w:val="24"/>
                <w:szCs w:val="24"/>
              </w:rPr>
              <w:fldChar w:fldCharType="begin"/>
            </w:r>
            <w:r>
              <w:rPr>
                <w:rStyle w:val="Hyperlink"/>
                <w:rFonts w:ascii="黑体" w:eastAsia="黑体" w:hAnsi="黑体"/>
                <w:sz w:val="24"/>
                <w:szCs w:val="24"/>
              </w:rPr>
              <w:instrText xml:space="preserve"> PAGEREF _Toc70685792 \h </w:instrText>
            </w:r>
            <w:r>
              <w:rPr>
                <w:rStyle w:val="Hyperlink"/>
                <w:rFonts w:ascii="黑体" w:eastAsia="黑体" w:hAnsi="黑体"/>
                <w:sz w:val="24"/>
                <w:szCs w:val="24"/>
              </w:rPr>
              <w:fldChar w:fldCharType="separate"/>
            </w:r>
            <w:r>
              <w:rPr>
                <w:rStyle w:val="Hyperlink"/>
                <w:rFonts w:ascii="黑体" w:eastAsia="黑体" w:hAnsi="黑体"/>
                <w:sz w:val="24"/>
                <w:szCs w:val="24"/>
              </w:rPr>
              <w:t>29</w:t>
            </w:r>
            <w:r>
              <w:rPr>
                <w:rStyle w:val="Hyperlink"/>
                <w:rFonts w:ascii="黑体" w:eastAsia="黑体" w:hAnsi="黑体"/>
                <w:sz w:val="24"/>
                <w:szCs w:val="24"/>
              </w:rPr>
              <w:fldChar w:fldCharType="end"/>
            </w:r>
          </w:hyperlink>
        </w:p>
        <w:p>
          <w:pPr>
            <w:pStyle w:val="TOC1"/>
            <w:tabs>
              <w:tab w:val="right" w:leader="dot" w:pos="8296"/>
            </w:tabs>
            <w:rPr>
              <w:rStyle w:val="Hyperlink"/>
              <w:rFonts w:ascii="黑体" w:eastAsia="黑体" w:hAnsi="黑体"/>
              <w:sz w:val="28"/>
              <w:szCs w:val="28"/>
            </w:rPr>
          </w:pPr>
          <w:hyperlink w:anchor="_Toc70685792" w:history="1">
            <w:r>
              <w:rPr>
                <w:rStyle w:val="Hyperlink"/>
                <w:rFonts w:ascii="黑体" w:eastAsia="黑体" w:hAnsi="黑体" w:hint="eastAsia"/>
                <w:sz w:val="28"/>
                <w:szCs w:val="28"/>
              </w:rPr>
              <w:t>参考文献</w:t>
            </w:r>
            <w:r>
              <w:rPr>
                <w:rStyle w:val="Hyperlink"/>
                <w:rFonts w:ascii="黑体" w:eastAsia="黑体" w:hAnsi="黑体"/>
                <w:sz w:val="28"/>
                <w:szCs w:val="28"/>
              </w:rPr>
              <w:tab/>
            </w:r>
            <w:r>
              <w:rPr>
                <w:rStyle w:val="Hyperlink"/>
                <w:rFonts w:ascii="黑体" w:eastAsia="黑体" w:hAnsi="黑体" w:hint="eastAsia"/>
                <w:sz w:val="28"/>
                <w:szCs w:val="28"/>
              </w:rPr>
              <w:t>30</w:t>
            </w:r>
          </w:hyperlink>
        </w:p>
        <w:p>
          <w:pPr>
            <w:pStyle w:val="TOC1"/>
            <w:tabs>
              <w:tab w:val="right" w:leader="dot" w:pos="8296"/>
            </w:tabs>
            <w:rPr>
              <w:rStyle w:val="Hyperlink"/>
              <w:rFonts w:ascii="黑体" w:eastAsia="黑体" w:hAnsi="黑体"/>
              <w:sz w:val="28"/>
              <w:szCs w:val="28"/>
            </w:rPr>
          </w:pPr>
          <w:hyperlink w:anchor="_Toc70685792" w:history="1">
            <w:r>
              <w:rPr>
                <w:rStyle w:val="Hyperlink"/>
                <w:rFonts w:ascii="黑体" w:eastAsia="黑体" w:hAnsi="黑体" w:hint="eastAsia"/>
                <w:sz w:val="28"/>
                <w:szCs w:val="28"/>
              </w:rPr>
              <w:t>附录</w:t>
            </w:r>
            <w:r>
              <w:rPr>
                <w:rStyle w:val="Hyperlink"/>
                <w:rFonts w:ascii="黑体" w:eastAsia="黑体" w:hAnsi="黑体"/>
                <w:sz w:val="28"/>
                <w:szCs w:val="28"/>
              </w:rPr>
              <w:tab/>
            </w:r>
            <w:r>
              <w:rPr>
                <w:rStyle w:val="Hyperlink"/>
                <w:rFonts w:ascii="黑体" w:eastAsia="黑体" w:hAnsi="黑体" w:hint="eastAsia"/>
                <w:sz w:val="28"/>
                <w:szCs w:val="28"/>
              </w:rPr>
              <w:t>33</w:t>
            </w:r>
          </w:hyperlink>
        </w:p>
        <w:p/>
        <w:p>
          <w:r>
            <w:fldChar w:fldCharType="end"/>
          </w:r>
          <w:bookmarkStart w:id="1" w:name="_Toc70685775"/>
        </w:p>
      </w:sdtContent>
    </w:sdt>
    <w:p>
      <w:pPr>
        <w:pStyle w:val="Heading1"/>
      </w:pPr>
      <w:r>
        <w:t>导论</w:t>
      </w:r>
      <w:bookmarkEnd w:id="1"/>
    </w:p>
    <w:p>
      <w:pPr>
        <w:spacing w:line="360" w:lineRule="auto"/>
        <w:ind w:firstLine="480" w:firstLineChars="200"/>
        <w:rPr>
          <w:rFonts w:ascii="宋体" w:hAnsi="宋体"/>
          <w:sz w:val="24"/>
          <w:szCs w:val="24"/>
        </w:rPr>
        <w:sectPr>
          <w:footerReference w:type="default" r:id="rId7"/>
          <w:footnotePr>
            <w:numFmt w:val="decimalEnclosedCircleChinese"/>
            <w:numRestart w:val="eachPage"/>
          </w:footnotePr>
          <w:pgSz w:w="11906" w:h="16838"/>
          <w:pgMar w:top="1440" w:right="1800" w:bottom="1440" w:left="1800" w:header="851" w:footer="992" w:gutter="0"/>
          <w:cols w:num="1" w:space="425"/>
          <w:docGrid w:type="lines" w:linePitch="312" w:charSpace="0"/>
        </w:sectPr>
      </w:pPr>
    </w:p>
    <w:p>
      <w:pPr>
        <w:spacing w:line="360" w:lineRule="auto"/>
        <w:ind w:firstLine="480" w:firstLineChars="200"/>
        <w:rPr>
          <w:rFonts w:ascii="宋体" w:hAnsi="宋体"/>
          <w:sz w:val="24"/>
          <w:szCs w:val="24"/>
        </w:rPr>
      </w:pPr>
      <w:r>
        <w:rPr>
          <w:rFonts w:asciiTheme="minorEastAsia" w:hAnsiTheme="minorEastAsia" w:cs="Times New Roman" w:hint="eastAsia"/>
          <w:sz w:val="24"/>
          <w:szCs w:val="24"/>
        </w:rPr>
        <w:t>随着高校教育体系的优化，志愿服务活动也逐渐成为大学生课余生活的一部分，志愿服务精神在更多方面开始影响着大学生的人生观、价值观和世界观。大学生作为新时代社会主义事业的后备军，即将担当起促进社会和谐、国家繁荣的重任，他们需要更多的积极因素来促进良好道德观和正向利他行为的养成。本文期望能够借助对于大学生志愿服务行为及其影响因素的分析，厘清微观、中观、宏观三个层面有哪些影响因素作用于大学生志愿服务行为，最后提出</w:t>
      </w:r>
      <w:r>
        <w:rPr>
          <w:rFonts w:ascii="宋体" w:eastAsia="宋体" w:hAnsi="宋体" w:cs="Times New Roman" w:hint="eastAsia"/>
          <w:sz w:val="24"/>
          <w:szCs w:val="24"/>
        </w:rPr>
        <w:t>关于提升大学生志愿服务意愿和促进其正向利他行为的对策和建议</w:t>
      </w:r>
      <w:r>
        <w:rPr>
          <w:rFonts w:ascii="宋体" w:hAnsi="宋体" w:hint="eastAsia"/>
          <w:sz w:val="24"/>
          <w:szCs w:val="24"/>
        </w:rPr>
        <w:t>。</w:t>
      </w:r>
    </w:p>
    <w:p>
      <w:pPr>
        <w:pStyle w:val="Heading2"/>
      </w:pPr>
      <w:bookmarkStart w:id="2" w:name="_Toc70685776"/>
      <w:r>
        <w:rPr>
          <w:rFonts w:hint="eastAsia"/>
        </w:rPr>
        <w:t>研究背景</w:t>
      </w:r>
      <w:bookmarkEnd w:id="2"/>
    </w:p>
    <w:p>
      <w:pPr>
        <w:pStyle w:val="ListParagraph"/>
        <w:numPr>
          <w:ilvl w:val="0"/>
          <w:numId w:val="3"/>
        </w:numPr>
        <w:spacing w:line="360" w:lineRule="auto"/>
        <w:ind w:firstLineChars="0"/>
        <w:rPr>
          <w:rFonts w:ascii="黑体" w:eastAsia="黑体" w:hAnsi="黑体"/>
          <w:sz w:val="24"/>
          <w:szCs w:val="24"/>
        </w:rPr>
      </w:pPr>
      <w:r>
        <w:rPr>
          <w:rFonts w:ascii="黑体" w:eastAsia="黑体" w:hAnsi="黑体" w:hint="eastAsia"/>
          <w:sz w:val="24"/>
          <w:szCs w:val="24"/>
        </w:rPr>
        <w:t>选题原因</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从个体层面看来，现今的高校教育体系之下，志愿服务活动以更高的频率出现在大学生的日常生活当中。志愿服务精神影响着大学生的日常行为和认知、情绪，对于大学生良好道德观和正向利他行为的养成有着促进作用。所以对于大学生志愿服务行为影响因素的研究能够找到促进大学生志愿服务行为的关键，并让志愿服务精神对于大学生的潜移默化作用进一步深化，促进个人发展和品行养成。</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从学校层面来看，近年来，志愿服务活动为高校大学生的思想政治教育提供了程度不小的助力。志愿服务活动不仅将高校思想政治教育的实践形式生动化，更使得大学生的思想政治提升活动延伸到了课堂之外，为辅导员所需要关注和进行的学生工作提出了更多路径。针对大学生志愿服务行为现状与影响因素的研究，可以了解大学生群体当前额利他行为意愿和道德观养成情况，从而得知高校的思政教育成果情况，对于高校的思想政治教育工作有着借鉴意义。</w:t>
      </w:r>
    </w:p>
    <w:p>
      <w:pPr>
        <w:spacing w:line="360" w:lineRule="auto"/>
        <w:ind w:firstLine="480" w:firstLineChars="200"/>
        <w:rPr>
          <w:rFonts w:ascii="宋体" w:hAnsi="宋体" w:cs="宋体"/>
          <w:sz w:val="24"/>
          <w:szCs w:val="24"/>
        </w:rPr>
        <w:sectPr>
          <w:footerReference w:type="default" r:id="rId8"/>
          <w:footnotePr>
            <w:numFmt w:val="decimalEnclosedCircleChinese"/>
            <w:numRestart w:val="eachPage"/>
          </w:footnotePr>
          <w:type w:val="nextPage"/>
          <w:pgSz w:w="11906" w:h="16838"/>
          <w:pgMar w:top="1440" w:right="1800" w:bottom="1440" w:left="1800" w:header="851" w:footer="992" w:gutter="0"/>
          <w:pgNumType w:start="2"/>
          <w:cols w:num="1" w:space="425"/>
          <w:titlePg w:val="0"/>
          <w:docGrid w:type="lines" w:linePitch="312" w:charSpace="0"/>
        </w:sectPr>
      </w:pPr>
      <w:r>
        <w:rPr>
          <w:rFonts w:asciiTheme="minorEastAsia" w:hAnsiTheme="minorEastAsia" w:hint="eastAsia"/>
          <w:sz w:val="24"/>
          <w:szCs w:val="24"/>
        </w:rPr>
        <w:t>从社会层面来看，</w:t>
      </w:r>
    </w:p>
    <w:p>
      <w:pPr>
        <w:spacing w:line="360" w:lineRule="auto"/>
        <w:ind w:firstLine="480" w:firstLineChars="200"/>
        <w:rPr>
          <w:rFonts w:ascii="宋体" w:hAnsi="宋体" w:cs="宋体"/>
          <w:sz w:val="24"/>
          <w:szCs w:val="24"/>
        </w:rPr>
      </w:pPr>
      <w:r>
        <w:rPr>
          <w:rFonts w:ascii="宋体" w:hAnsi="宋体" w:cs="宋体" w:hint="eastAsia"/>
          <w:sz w:val="24"/>
          <w:szCs w:val="24"/>
        </w:rPr>
        <w:t>一些社会负性事件的发生让原本因为城镇化而逐渐疏远的人际关系更添距离感。人与人之间的信任程度越来越难以在短时间内提升，人们对于陌生人施以援手的行为逐渐减少，特别在2006年的彭宇一案和2009年的许云鹤一案后，中国人民的利他行为发生了整体性的变化，更多社会成员选择像身边大多数人一样“少管闲事”。但是，说到底，人的本质是各种社会关系的总和，人只有时刻处于与外界以及其他社会成员互动的状态才得以生存。2020年的新冠疫情推动志愿服务活动的大力发展，使得更多的中国人又重新体会到了志愿服务精神的温暖之处，热心人士和专业人员的志愿服务精神在此次疫情成功遏制中发挥了重要作用。所以，志愿服务是一种能够推动社会发展、促进社会和谐的活动。大学生作为</w:t>
      </w:r>
      <w:r>
        <w:rPr>
          <w:rFonts w:ascii="宋体" w:eastAsia="宋体" w:hAnsi="宋体" w:cs="宋体" w:hint="eastAsia"/>
          <w:sz w:val="24"/>
          <w:szCs w:val="24"/>
        </w:rPr>
        <w:t>共产主义接班人，需要培养良好的个人品德，将来才能够在自己所属的岗位上更好地为人民服务，奉献社会，推动社会稳定有序发展。</w:t>
      </w:r>
      <w:r>
        <w:rPr>
          <w:rFonts w:ascii="宋体" w:hAnsi="宋体" w:cs="宋体" w:hint="eastAsia"/>
          <w:sz w:val="24"/>
          <w:szCs w:val="24"/>
        </w:rPr>
        <w:t>因而对于大学生志愿服务行为及其影响因素研究是不可缺少的，少年强则国强，如果能够找到促进大学生志愿服务意愿和正向利他行为的更多方法，那必然能够带动全体公民素质迈向更高的阶梯。</w:t>
      </w:r>
    </w:p>
    <w:p>
      <w:pPr>
        <w:pStyle w:val="ListParagraph"/>
        <w:numPr>
          <w:ilvl w:val="0"/>
          <w:numId w:val="3"/>
        </w:numPr>
        <w:spacing w:line="360" w:lineRule="auto"/>
        <w:ind w:firstLineChars="0"/>
        <w:rPr>
          <w:rFonts w:ascii="黑体" w:eastAsia="黑体" w:hAnsi="黑体"/>
          <w:sz w:val="24"/>
          <w:szCs w:val="24"/>
        </w:rPr>
      </w:pPr>
      <w:r>
        <w:rPr>
          <w:rFonts w:ascii="黑体" w:eastAsia="黑体" w:hAnsi="黑体" w:hint="eastAsia"/>
          <w:sz w:val="24"/>
          <w:szCs w:val="24"/>
        </w:rPr>
        <w:t>研究方向</w:t>
      </w:r>
    </w:p>
    <w:p>
      <w:pPr>
        <w:spacing w:line="360" w:lineRule="auto"/>
        <w:ind w:firstLine="480" w:firstLineChars="200"/>
        <w:rPr>
          <w:rFonts w:asciiTheme="minorEastAsia" w:hAnsiTheme="minorEastAsia" w:cs="Arial"/>
          <w:color w:val="000000" w:themeColor="text1"/>
          <w:spacing w:val="9"/>
          <w:sz w:val="24"/>
          <w:szCs w:val="24"/>
          <w:shd w:val="clear" w:color="auto" w:fill="FFFFFF"/>
        </w:rPr>
      </w:pPr>
      <w:r>
        <w:rPr>
          <w:rFonts w:asciiTheme="minorEastAsia" w:hAnsiTheme="minorEastAsia" w:cs="Arial" w:hint="eastAsia"/>
          <w:color w:val="000000" w:themeColor="text1"/>
          <w:spacing w:val="9"/>
          <w:sz w:val="24"/>
          <w:szCs w:val="24"/>
          <w:shd w:val="clear" w:color="auto" w:fill="FFFFFF"/>
        </w:rPr>
        <w:t>阅读已有的调查研究可知，</w:t>
      </w:r>
      <w:r>
        <w:rPr>
          <w:rFonts w:ascii="微软雅黑" w:hAnsi="微软雅黑"/>
          <w:sz w:val="24"/>
          <w:szCs w:val="24"/>
          <w:shd w:val="clear" w:color="auto" w:fill="FFFFFF"/>
        </w:rPr>
        <w:t>志愿服务因其独特优势使其具有强大的育人功能，成为高校实现立德树人目标和开展实践育人工作的重要载体，也是青年学生促进自身健康可持续发展、实现社会参与的重要形式</w:t>
      </w:r>
      <w:r>
        <w:rPr>
          <w:rStyle w:val="FootnoteReference"/>
          <w:rFonts w:ascii="微软雅黑" w:hAnsi="微软雅黑" w:hint="eastAsia"/>
          <w:sz w:val="24"/>
          <w:szCs w:val="24"/>
          <w:shd w:val="clear" w:color="auto" w:fill="FFFFFF"/>
        </w:rPr>
        <w:footnoteReference w:id="2"/>
      </w:r>
      <w:r>
        <w:rPr>
          <w:rFonts w:ascii="微软雅黑" w:hAnsi="微软雅黑"/>
          <w:sz w:val="24"/>
          <w:szCs w:val="24"/>
          <w:shd w:val="clear" w:color="auto" w:fill="FFFFFF"/>
        </w:rPr>
        <w:t>。</w:t>
      </w:r>
      <w:r>
        <w:rPr>
          <w:rFonts w:asciiTheme="minorEastAsia" w:hAnsiTheme="minorEastAsia" w:cs="Arial" w:hint="eastAsia"/>
          <w:color w:val="000000" w:themeColor="text1"/>
          <w:spacing w:val="9"/>
          <w:sz w:val="24"/>
          <w:szCs w:val="24"/>
          <w:shd w:val="clear" w:color="auto" w:fill="FFFFFF"/>
        </w:rPr>
        <w:t>大学生的志愿服务行为对于个体和整个社会都具有较好的正向促进作用。国外的志愿服务活动和关于志愿服务行为的研究要早于国内，在第二次世界大战之后，国外志愿服务的相关工作便朝着专业化、制度化的方向发展。有研究发现，</w:t>
      </w:r>
      <w:r>
        <w:rPr>
          <w:rFonts w:ascii="Times New Roman" w:hAnsi="Times New Roman" w:cs="Times New Roman" w:hint="eastAsia"/>
          <w:sz w:val="24"/>
          <w:szCs w:val="24"/>
        </w:rPr>
        <w:t>游行、请愿、参加戏剧试镜等不同的学生活动之间的联系是其自愿性质。在课堂之外，无论是过去还是现在，学生们都积极地为自己和他人的利益策划和开展广泛的活动。这种类型的活动对社会是至关重要的，因此一直是研究的对象。志愿活动更有利于培养学生的社会责任感，使他们更好地进行社区服务并推动教育教学工作</w:t>
      </w:r>
      <w:r>
        <w:rPr>
          <w:rStyle w:val="FootnoteReference"/>
          <w:rFonts w:ascii="Times New Roman" w:hAnsi="Times New Roman" w:cs="Times New Roman"/>
          <w:sz w:val="24"/>
          <w:szCs w:val="24"/>
        </w:rPr>
        <w:footnoteReference w:id="3"/>
      </w:r>
      <w:r>
        <w:rPr>
          <w:rFonts w:ascii="Times New Roman" w:hAnsi="Times New Roman" w:cs="Times New Roman" w:hint="eastAsia"/>
          <w:sz w:val="24"/>
          <w:szCs w:val="24"/>
        </w:rPr>
        <w:t>。因此，</w:t>
      </w:r>
      <w:r>
        <w:rPr>
          <w:rFonts w:asciiTheme="minorEastAsia" w:hAnsiTheme="minorEastAsia" w:cs="Arial" w:hint="eastAsia"/>
          <w:color w:val="000000" w:themeColor="text1"/>
          <w:spacing w:val="9"/>
          <w:sz w:val="24"/>
          <w:szCs w:val="24"/>
          <w:shd w:val="clear" w:color="auto" w:fill="FFFFFF"/>
        </w:rPr>
        <w:t>志愿服务的起步时间和水平与所产生的社会效益有着莫大的联系。</w:t>
      </w:r>
    </w:p>
    <w:p>
      <w:pPr>
        <w:spacing w:line="360" w:lineRule="auto"/>
        <w:ind w:firstLine="480" w:firstLineChars="200"/>
        <w:rPr>
          <w:rFonts w:ascii="微软雅黑" w:hAnsi="微软雅黑" w:hint="eastAsia"/>
          <w:sz w:val="24"/>
          <w:szCs w:val="24"/>
          <w:shd w:val="clear" w:color="auto" w:fill="FFFFFF"/>
        </w:rPr>
        <w:sectPr>
          <w:footerReference w:type="default" r:id="rId9"/>
          <w:footnotePr>
            <w:numFmt w:val="decimalEnclosedCircleChinese"/>
            <w:numRestart w:val="eachPage"/>
          </w:footnotePr>
          <w:type w:val="nextPage"/>
          <w:pgSz w:w="11906" w:h="16838"/>
          <w:pgMar w:top="1440" w:right="1800" w:bottom="1440" w:left="1800" w:header="851" w:footer="992" w:gutter="0"/>
          <w:pgNumType w:start="3"/>
          <w:cols w:num="1" w:space="425"/>
          <w:titlePg w:val="0"/>
          <w:docGrid w:type="lines" w:linePitch="312" w:charSpace="0"/>
        </w:sectPr>
      </w:pPr>
      <w:r>
        <w:rPr>
          <w:rFonts w:asciiTheme="minorEastAsia" w:hAnsiTheme="minorEastAsia" w:cs="Arial" w:hint="eastAsia"/>
          <w:color w:val="000000" w:themeColor="text1"/>
          <w:spacing w:val="9"/>
          <w:sz w:val="24"/>
          <w:szCs w:val="24"/>
          <w:shd w:val="clear" w:color="auto" w:fill="FFFFFF"/>
        </w:rPr>
        <w:t>而在国内，志愿服务在改革开放之后发展起来，时至今日，相关的制度和工作机制已经比较完善。经历过一些抗震救灾、灾后重建、运动会以及上一年的疫情，国内志愿者群体和专业的社会工作者群体迅速壮大起来，也用事实证明了志愿服务所带来的良好社会效益。国内对于大学生志愿服务行为的研究主要在于行为状况和影响因素，也多次提出应用其积极影响带来更好的高校教育。而大学生的志愿服务行为影响因素主要在于内因和外因两个方面，其中内因包括大学生的各个方面的认知，如成效认知、重要性认知、心理和感受等（</w:t>
      </w:r>
    </w:p>
    <w:p>
      <w:pPr>
        <w:spacing w:line="360" w:lineRule="auto"/>
        <w:ind w:firstLine="480" w:firstLineChars="200"/>
        <w:rPr>
          <w:rFonts w:ascii="微软雅黑" w:hAnsi="微软雅黑" w:hint="eastAsia"/>
          <w:sz w:val="24"/>
          <w:szCs w:val="24"/>
          <w:shd w:val="clear" w:color="auto" w:fill="FFFFFF"/>
        </w:rPr>
      </w:pPr>
      <w:r>
        <w:rPr>
          <w:rFonts w:ascii="Arial" w:hAnsi="Arial" w:cs="Arial"/>
          <w:spacing w:val="9"/>
          <w:sz w:val="24"/>
          <w:szCs w:val="24"/>
          <w:shd w:val="clear" w:color="auto" w:fill="FFFFFF"/>
        </w:rPr>
        <w:t>大学生对志愿服务认知越正确充分，对参与志愿服务的态度越积极乐观，其参与志愿服务的可能性也就越大；反之，有较多志愿活动经历的大学生，他们对志愿服务的概念、组织、活动等有关信息了解的也会更多，也促使志愿者对志愿服务有更强的参与性</w:t>
      </w:r>
      <w:r>
        <w:rPr>
          <w:rFonts w:ascii="Arial" w:hAnsi="Arial" w:cs="Arial" w:hint="eastAsia"/>
          <w:spacing w:val="9"/>
          <w:sz w:val="24"/>
          <w:szCs w:val="24"/>
          <w:shd w:val="clear" w:color="auto" w:fill="FFFFFF"/>
        </w:rPr>
        <w:t>，</w:t>
      </w:r>
      <w:r>
        <w:rPr>
          <w:rFonts w:ascii="Arial" w:hAnsi="Arial" w:cs="Arial"/>
          <w:spacing w:val="9"/>
          <w:sz w:val="24"/>
          <w:szCs w:val="24"/>
          <w:shd w:val="clear" w:color="auto" w:fill="FFFFFF"/>
        </w:rPr>
        <w:t>进而形成良性循环</w:t>
      </w:r>
      <w:r>
        <w:rPr>
          <w:rStyle w:val="FootnoteReference"/>
          <w:rFonts w:ascii="Arial" w:hAnsi="Arial" w:cs="Arial"/>
          <w:spacing w:val="9"/>
          <w:sz w:val="24"/>
          <w:szCs w:val="24"/>
          <w:shd w:val="clear" w:color="auto" w:fill="FFFFFF"/>
        </w:rPr>
        <w:footnoteReference w:id="4"/>
      </w:r>
      <w:r>
        <w:rPr>
          <w:rFonts w:ascii="Arial" w:hAnsi="Arial" w:cs="Arial"/>
          <w:spacing w:val="9"/>
          <w:sz w:val="24"/>
          <w:szCs w:val="24"/>
          <w:shd w:val="clear" w:color="auto" w:fill="FFFFFF"/>
        </w:rPr>
        <w:t>。</w:t>
      </w:r>
      <w:r>
        <w:rPr>
          <w:rFonts w:asciiTheme="minorEastAsia" w:hAnsiTheme="minorEastAsia" w:cs="Arial" w:hint="eastAsia"/>
          <w:color w:val="000000" w:themeColor="text1"/>
          <w:spacing w:val="9"/>
          <w:sz w:val="24"/>
          <w:szCs w:val="24"/>
          <w:shd w:val="clear" w:color="auto" w:fill="FFFFFF"/>
        </w:rPr>
        <w:t>）；而外因包括志愿服务组织的情况和社会各方面的支持，如志愿者的保障、组织福利、家庭支持、社会支持等。</w:t>
      </w:r>
      <w:r>
        <w:rPr>
          <w:rFonts w:ascii="微软雅黑" w:hAnsi="微软雅黑"/>
          <w:sz w:val="24"/>
          <w:szCs w:val="24"/>
          <w:shd w:val="clear" w:color="auto" w:fill="FFFFFF"/>
        </w:rPr>
        <w:t>内在因素是影响大学生是否会成为志愿者的主要因素，外在因素是影响大学生持续参加志愿服务的主要因素，推动大学生持续性志愿服务行为要依靠完善外在管理和保障，从而有效防止志愿者中途大量流失，构建志愿服务长效机制</w:t>
      </w:r>
      <w:r>
        <w:rPr>
          <w:rStyle w:val="FootnoteReference"/>
          <w:rFonts w:ascii="微软雅黑" w:hAnsi="微软雅黑" w:hint="eastAsia"/>
          <w:sz w:val="24"/>
          <w:szCs w:val="24"/>
          <w:shd w:val="clear" w:color="auto" w:fill="FFFFFF"/>
        </w:rPr>
        <w:footnoteReference w:id="5"/>
      </w:r>
      <w:r>
        <w:rPr>
          <w:rFonts w:ascii="微软雅黑" w:hAnsi="微软雅黑"/>
          <w:sz w:val="24"/>
          <w:szCs w:val="24"/>
          <w:shd w:val="clear" w:color="auto" w:fill="FFFFFF"/>
        </w:rPr>
        <w:t>。</w:t>
      </w:r>
      <w:r>
        <w:rPr>
          <w:rFonts w:asciiTheme="minorEastAsia" w:hAnsiTheme="minorEastAsia" w:cs="Arial" w:hint="eastAsia"/>
          <w:color w:val="000000" w:themeColor="text1"/>
          <w:spacing w:val="9"/>
          <w:sz w:val="24"/>
          <w:szCs w:val="24"/>
          <w:shd w:val="clear" w:color="auto" w:fill="FFFFFF"/>
        </w:rPr>
        <w:t>所以，志愿服务活动经常作为一种课堂之外的教育途径。</w:t>
      </w:r>
    </w:p>
    <w:p>
      <w:pPr>
        <w:spacing w:line="360" w:lineRule="auto"/>
        <w:ind w:firstLine="480" w:firstLineChars="200"/>
        <w:rPr>
          <w:rFonts w:asciiTheme="minorEastAsia" w:hAnsiTheme="minorEastAsia"/>
          <w:sz w:val="24"/>
          <w:szCs w:val="24"/>
        </w:rPr>
      </w:pPr>
      <w:r>
        <w:rPr>
          <w:rFonts w:asciiTheme="minorEastAsia" w:hAnsiTheme="minorEastAsia" w:cs="Arial" w:hint="eastAsia"/>
          <w:color w:val="000000" w:themeColor="text1"/>
          <w:spacing w:val="9"/>
          <w:sz w:val="24"/>
          <w:szCs w:val="24"/>
          <w:shd w:val="clear" w:color="auto" w:fill="FFFFFF"/>
        </w:rPr>
        <w:t>已有的志愿服务行为相关的影响因素研究对于影响因素的分类有外在因素和内在因素，本文希望在已有文献的基础之上，细化分类，得到更深入的相关信息。故</w:t>
      </w:r>
      <w:r>
        <w:rPr>
          <w:rFonts w:ascii="宋体" w:hAnsi="宋体" w:hint="eastAsia"/>
          <w:sz w:val="24"/>
          <w:szCs w:val="24"/>
        </w:rPr>
        <w:t>本文的研究将从以下方面进行：①了解大学生志愿服务行为现状（包括持续时间、频率、类型等）。②分析微观、中观、宏观三个层面的因素对大学生志愿服务行为的作用。③对于大学生个体道德观和正向行为的培养，提出合理化的建议。</w:t>
      </w:r>
    </w:p>
    <w:p>
      <w:pPr>
        <w:pStyle w:val="Heading2"/>
      </w:pPr>
      <w:bookmarkStart w:id="3" w:name="_Toc70685777"/>
      <w:r>
        <w:rPr>
          <w:rFonts w:hint="eastAsia"/>
        </w:rPr>
        <w:t>研究意义</w:t>
      </w:r>
      <w:bookmarkEnd w:id="3"/>
    </w:p>
    <w:p>
      <w:pPr>
        <w:pStyle w:val="ListParagraph"/>
        <w:numPr>
          <w:ilvl w:val="0"/>
          <w:numId w:val="4"/>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理论意义</w:t>
      </w:r>
    </w:p>
    <w:p>
      <w:pPr>
        <w:spacing w:line="360" w:lineRule="auto"/>
        <w:ind w:firstLine="480" w:firstLineChars="200"/>
        <w:rPr>
          <w:rFonts w:ascii="宋体" w:hAnsi="宋体"/>
          <w:sz w:val="24"/>
          <w:szCs w:val="24"/>
        </w:rPr>
        <w:sectPr>
          <w:footerReference w:type="default" r:id="rId10"/>
          <w:footnotePr>
            <w:numFmt w:val="decimalEnclosedCircleChinese"/>
            <w:numRestart w:val="eachPage"/>
          </w:footnote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Times New Roman" w:hint="eastAsia"/>
          <w:sz w:val="24"/>
          <w:szCs w:val="24"/>
        </w:rPr>
        <w:t>志愿服务是指社会成员个体自愿贡献个人的时间或者精力，在不以获得物质报酬为目的的情况下，为改善社会各方面的环境（包括自然环境与人文环境等）和社会成员，促进社会整体的进步而提供的服务。联合国秘书长安南指出，志愿精神的中心是服务、团结的理想和共同使这个世界变得愈加美好的信念，从这个意义上说，志愿精神是联合国精神的最终体现,更是人文精神的最高级表现方式</w:t>
      </w:r>
      <w:r>
        <w:rPr>
          <w:rStyle w:val="FootnoteReference"/>
          <w:rFonts w:ascii="宋体" w:eastAsia="宋体" w:hAnsi="宋体" w:cs="Times New Roman"/>
          <w:sz w:val="24"/>
          <w:szCs w:val="24"/>
        </w:rPr>
        <w:footnoteReference w:id="6"/>
      </w:r>
    </w:p>
    <w:p>
      <w:pPr>
        <w:spacing w:line="360" w:lineRule="auto"/>
        <w:ind w:firstLine="480" w:firstLineChars="200"/>
        <w:rPr>
          <w:rFonts w:ascii="宋体" w:hAnsi="宋体"/>
          <w:sz w:val="24"/>
          <w:szCs w:val="24"/>
        </w:rPr>
      </w:pPr>
      <w:r>
        <w:rPr>
          <w:rFonts w:ascii="宋体" w:eastAsia="宋体" w:hAnsi="宋体" w:cs="Times New Roman" w:hint="eastAsia"/>
          <w:sz w:val="24"/>
          <w:szCs w:val="24"/>
        </w:rPr>
        <w:t>。所以说，志愿服务活动与个体的志愿服务行为对于整个社会的发展与进步都是起着重要作用的。近年来，由于一些社会原因中国人的利他行为产生了变化，而大学生群体作为社会成员当中个性较鲜明的社会群体，其利他行为的变化也是较为明显的，因而大学生的志愿服务行为有着重要的研究价值。此次将影响大学生志愿服务行为的因素划分为微观、中观、宏观三个层面，根据社会工作专业中的人类行为与社会环境相关理论进一步细化因素，因而最后得出的大学生志愿服务行为的研究结果不仅仅对大学生个体塑造良好的价值观和道德观有着促进作用，还能够为高校的学生教育和学校社会工作的开展提供少许借鉴意义，丰富个体发展和高校教育的相关实务理论。</w:t>
      </w:r>
    </w:p>
    <w:p>
      <w:pPr>
        <w:pStyle w:val="ListParagraph"/>
        <w:numPr>
          <w:ilvl w:val="0"/>
          <w:numId w:val="4"/>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现实意义</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近年社会负性事件的频发在中国人民的利他行为变化中起到了不小的影响作用。人与人之间的信任随着几个较为突出的社会负性事件的出现变得越发稀少，中国人民的“自保”观念在各种日常行为当中更为明显。但是，说到底，人类的日常生活脱离不开与社会环境以及社会成员的互动，人只有时刻处于与外界以及其他社会成员互动的状态下才能更好地进行“生存游戏”。</w:t>
      </w:r>
    </w:p>
    <w:p>
      <w:pPr>
        <w:spacing w:line="360" w:lineRule="auto"/>
        <w:ind w:firstLine="480" w:firstLineChars="200"/>
        <w:rPr>
          <w:rFonts w:asciiTheme="minorEastAsia" w:hAnsiTheme="minorEastAsia" w:cs="Times New Roman"/>
          <w:sz w:val="24"/>
          <w:szCs w:val="24"/>
        </w:rPr>
      </w:pPr>
      <w:r>
        <w:rPr>
          <w:rFonts w:ascii="宋体" w:eastAsia="宋体" w:hAnsi="宋体" w:cs="宋体" w:hint="eastAsia"/>
          <w:sz w:val="24"/>
          <w:szCs w:val="24"/>
        </w:rPr>
        <w:t>大学生是极具特质的群体，他们对于一些社会事件的反响更为鲜明。对于一些涉及社会公正和个人正义感的事件，大学生往往会表现出分明的爱憎态度。并且，随着高校思政教育的升级，志愿服务活动也成为大学生必不可少的课余活动，对于大学生的日常行为（包括行为意愿）以及价值观有着重要的影响。因而对于大学生志愿服务行为及其影响因素研究是不可缺少的。少年强则国强，大学生作为共产主义接班人，需要培养良好的个人品德，将来在自己的岗位上为人民、为社会甚至是世界贡献出自己的一份力量。本文将基于当今社会现状和已有的相关研究文献，在对于收集到的数据资料进行分析之后，了解更多触发大学生志愿服务行为变化的因素，提出关于促进大学生志愿服务行为和道德观培养的合理可行的意见或建议。</w:t>
      </w:r>
    </w:p>
    <w:p>
      <w:pPr>
        <w:pStyle w:val="Heading2"/>
      </w:pPr>
      <w:bookmarkStart w:id="4" w:name="_Toc70685778"/>
      <w:r>
        <w:rPr>
          <w:rFonts w:hint="eastAsia"/>
        </w:rPr>
        <w:t>相关概念界定</w:t>
      </w:r>
      <w:bookmarkEnd w:id="4"/>
    </w:p>
    <w:p>
      <w:pPr>
        <w:pStyle w:val="ListParagraph"/>
        <w:numPr>
          <w:ilvl w:val="0"/>
          <w:numId w:val="5"/>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志愿服务</w:t>
      </w:r>
    </w:p>
    <w:p>
      <w:pPr>
        <w:spacing w:line="360" w:lineRule="auto"/>
        <w:ind w:firstLine="480" w:firstLineChars="200"/>
        <w:rPr>
          <w:rFonts w:asciiTheme="minorEastAsia" w:hAnsiTheme="minorEastAsia" w:cs="Times New Roman"/>
          <w:sz w:val="24"/>
          <w:szCs w:val="24"/>
        </w:rPr>
        <w:sectPr>
          <w:footerReference w:type="default" r:id="rId11"/>
          <w:footnotePr>
            <w:numFmt w:val="decimalEnclosedCircleChinese"/>
            <w:numRestart w:val="eachPage"/>
          </w:footnotePr>
          <w:type w:val="nextPage"/>
          <w:pgSz w:w="11906" w:h="16838"/>
          <w:pgMar w:top="1440" w:right="1800" w:bottom="1440" w:left="1800" w:header="851" w:footer="992" w:gutter="0"/>
          <w:pgNumType w:start="5"/>
          <w:cols w:num="1" w:space="425"/>
          <w:titlePg w:val="0"/>
          <w:docGrid w:type="lines" w:linePitch="312" w:charSpace="0"/>
        </w:sectPr>
      </w:pPr>
      <w:r>
        <w:rPr>
          <w:rFonts w:ascii="Calibri" w:eastAsia="宋体" w:hAnsi="Calibri" w:cs="Times New Roman" w:hint="eastAsia"/>
          <w:sz w:val="24"/>
          <w:szCs w:val="24"/>
        </w:rPr>
        <w:t>志愿服务是指在不以求取回报为目的的情况下，为社会和社会上的其他成员志愿付出个体的时间或者精力而进行的服务活动，这样的服务工作更够推动社会和谐和繁荣发展。奉献精神中包含着大无畏与博爱的信念，是志愿服务精神的核心要点。志愿者通过参与志愿服务活动，得到自身技能提升和三观优化或重塑的同时，也为社会的进步与发展注入了自己的力量。</w:t>
      </w:r>
    </w:p>
    <w:p>
      <w:pPr>
        <w:spacing w:line="360" w:lineRule="auto"/>
        <w:ind w:firstLine="480" w:firstLineChars="200"/>
        <w:rPr>
          <w:rFonts w:asciiTheme="minorEastAsia" w:hAnsiTheme="minorEastAsia" w:cs="Times New Roman"/>
          <w:sz w:val="24"/>
          <w:szCs w:val="24"/>
        </w:rPr>
      </w:pPr>
      <w:r>
        <w:rPr>
          <w:rFonts w:ascii="宋体" w:eastAsia="宋体" w:hAnsi="宋体" w:cs="Times New Roman" w:hint="eastAsia"/>
          <w:sz w:val="24"/>
          <w:szCs w:val="24"/>
        </w:rPr>
        <w:t>从广义上来说，志愿服务指的是利用自己的时间、技能、资源、善心为邻居、社区、社会提供非盈利、无偿、非职业化援助的行为</w:t>
      </w:r>
      <w:r>
        <w:rPr>
          <w:rStyle w:val="FootnoteReference"/>
          <w:rFonts w:ascii="宋体" w:eastAsia="宋体" w:hAnsi="宋体" w:cs="Times New Roman"/>
          <w:sz w:val="24"/>
          <w:szCs w:val="24"/>
        </w:rPr>
        <w:footnoteReference w:id="7"/>
      </w:r>
      <w:r>
        <w:rPr>
          <w:rFonts w:ascii="宋体" w:eastAsia="宋体" w:hAnsi="宋体" w:cs="Times New Roman" w:hint="eastAsia"/>
          <w:sz w:val="24"/>
          <w:szCs w:val="24"/>
        </w:rPr>
        <w:t>。志愿服务的范围很广，包括:扶贫开发、社区建设、环境保护、大型赛会、应急救助、海外服务等。</w:t>
      </w:r>
      <w:r>
        <w:rPr>
          <w:rFonts w:ascii="宋体" w:eastAsia="宋体" w:hAnsi="宋体" w:cs="宋体" w:hint="eastAsia"/>
          <w:sz w:val="24"/>
          <w:szCs w:val="24"/>
        </w:rPr>
        <w:t>志愿服务行为作为其中一种利他行为，</w:t>
      </w:r>
      <w:r>
        <w:rPr>
          <w:rFonts w:ascii="宋体" w:eastAsia="宋体" w:hAnsi="宋体" w:cs="Times New Roman" w:hint="eastAsia"/>
          <w:sz w:val="24"/>
          <w:szCs w:val="24"/>
        </w:rPr>
        <w:t>其功能包括社会动员、社会保障、社会整合、社会教化、促进社会和谐、促进社会进步。</w:t>
      </w:r>
    </w:p>
    <w:p>
      <w:pPr>
        <w:pStyle w:val="ListParagraph"/>
        <w:numPr>
          <w:ilvl w:val="0"/>
          <w:numId w:val="5"/>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大学生志愿服务</w:t>
      </w:r>
    </w:p>
    <w:p>
      <w:pPr>
        <w:spacing w:line="360" w:lineRule="auto"/>
        <w:ind w:firstLine="480" w:firstLineChars="200"/>
        <w:rPr>
          <w:rFonts w:asciiTheme="minorEastAsia" w:hAnsiTheme="minorEastAsia"/>
          <w:color w:val="000000" w:themeColor="text1"/>
          <w:sz w:val="24"/>
          <w:szCs w:val="24"/>
        </w:rPr>
        <w:sectPr>
          <w:footerReference w:type="default" r:id="rId12"/>
          <w:footnotePr>
            <w:numFmt w:val="decimalEnclosedCircleChinese"/>
            <w:numRestart w:val="eachPage"/>
          </w:footnotePr>
          <w:type w:val="nextPage"/>
          <w:pgSz w:w="11906" w:h="16838"/>
          <w:pgMar w:top="1440" w:right="1800" w:bottom="1440" w:left="1800" w:header="851" w:footer="992" w:gutter="0"/>
          <w:pgNumType w:start="6"/>
          <w:cols w:num="1" w:space="425"/>
          <w:titlePg w:val="0"/>
          <w:docGrid w:type="lines" w:linePitch="312" w:charSpace="0"/>
        </w:sectPr>
      </w:pPr>
      <w:r>
        <w:rPr>
          <w:rFonts w:asciiTheme="minorEastAsia" w:hAnsiTheme="minorEastAsia" w:cs="Arial"/>
          <w:color w:val="000000" w:themeColor="text1"/>
          <w:spacing w:val="9"/>
          <w:sz w:val="24"/>
          <w:szCs w:val="24"/>
          <w:shd w:val="clear" w:color="auto" w:fill="FFFFFF"/>
        </w:rPr>
        <w:t>本文中大学生志愿服务是指主要由大学生志愿者组织或参与的自愿、无偿向社会或者</w:t>
      </w:r>
      <w:r>
        <w:rPr>
          <w:rFonts w:asciiTheme="minorEastAsia" w:hAnsiTheme="minorEastAsia" w:cs="Arial" w:hint="eastAsia"/>
          <w:color w:val="000000" w:themeColor="text1"/>
          <w:spacing w:val="9"/>
          <w:sz w:val="24"/>
          <w:szCs w:val="24"/>
          <w:shd w:val="clear" w:color="auto" w:fill="FFFFFF"/>
        </w:rPr>
        <w:t>其他社会成员</w:t>
      </w:r>
      <w:r>
        <w:rPr>
          <w:rFonts w:asciiTheme="minorEastAsia" w:hAnsiTheme="minorEastAsia" w:cs="Arial"/>
          <w:color w:val="000000" w:themeColor="text1"/>
          <w:spacing w:val="9"/>
          <w:sz w:val="24"/>
          <w:szCs w:val="24"/>
          <w:shd w:val="clear" w:color="auto" w:fill="FFFFFF"/>
        </w:rPr>
        <w:t>提供的公益服务。大学生社会志愿服务涉及的范围和方面也是种类繁多的</w:t>
      </w:r>
      <w:r>
        <w:rPr>
          <w:rFonts w:asciiTheme="minorEastAsia" w:hAnsiTheme="minorEastAsia" w:cs="Arial" w:hint="eastAsia"/>
          <w:color w:val="000000" w:themeColor="text1"/>
          <w:spacing w:val="9"/>
          <w:sz w:val="24"/>
          <w:szCs w:val="24"/>
          <w:shd w:val="clear" w:color="auto" w:fill="FFFFFF"/>
        </w:rPr>
        <w:t>，</w:t>
      </w:r>
      <w:r>
        <w:rPr>
          <w:rFonts w:asciiTheme="minorEastAsia" w:hAnsiTheme="minorEastAsia" w:cs="Arial"/>
          <w:color w:val="000000" w:themeColor="text1"/>
          <w:spacing w:val="9"/>
          <w:sz w:val="24"/>
          <w:szCs w:val="24"/>
          <w:shd w:val="clear" w:color="auto" w:fill="FFFFFF"/>
        </w:rPr>
        <w:t>主要包括扶贫帮困、助老助残、支农支教、赛事会议、政策宣讲、环境保护及社会突发事件等方面。志愿服务具有</w:t>
      </w:r>
      <w:r>
        <w:rPr>
          <w:rFonts w:asciiTheme="minorEastAsia" w:hAnsiTheme="minorEastAsia" w:cs="Arial" w:hint="eastAsia"/>
          <w:color w:val="000000" w:themeColor="text1"/>
          <w:spacing w:val="9"/>
          <w:sz w:val="24"/>
          <w:szCs w:val="24"/>
          <w:shd w:val="clear" w:color="auto" w:fill="FFFFFF"/>
        </w:rPr>
        <w:t>较高的</w:t>
      </w:r>
      <w:r>
        <w:rPr>
          <w:rFonts w:asciiTheme="minorEastAsia" w:hAnsiTheme="minorEastAsia" w:cs="Arial"/>
          <w:color w:val="000000" w:themeColor="text1"/>
          <w:spacing w:val="9"/>
          <w:sz w:val="24"/>
          <w:szCs w:val="24"/>
          <w:shd w:val="clear" w:color="auto" w:fill="FFFFFF"/>
        </w:rPr>
        <w:t>组织灵活度与较强的创新性。以志愿服务旗帜作引领，志愿者能够迅速凝心聚力助推突发事件的解决。2020年这一特殊时期，让我们再次看到了志愿者的强大力量。而志愿者中不乏大学生志愿者，他们协助相关部门讲解政策、疏导情绪、后勤保障，参与社区医护防控等。如华东师范大学公费师范生组成的志愿者团队，面向医护一线工作人员的子女，提供一对一专门辅导，缓解了医护一线工作人员的后顾之忧</w:t>
      </w:r>
      <w:r>
        <w:rPr>
          <w:rStyle w:val="FootnoteReference"/>
          <w:rFonts w:asciiTheme="minorEastAsia" w:hAnsiTheme="minorEastAsia" w:cs="Arial"/>
          <w:color w:val="000000" w:themeColor="text1"/>
          <w:spacing w:val="9"/>
          <w:sz w:val="24"/>
          <w:szCs w:val="24"/>
          <w:shd w:val="clear" w:color="auto" w:fill="FFFFFF"/>
        </w:rPr>
        <w:footnoteReference w:id="8"/>
      </w:r>
      <w:r>
        <w:rPr>
          <w:rFonts w:asciiTheme="minorEastAsia" w:hAnsiTheme="minorEastAsia" w:cs="Arial"/>
          <w:color w:val="000000" w:themeColor="text1"/>
          <w:spacing w:val="9"/>
          <w:sz w:val="24"/>
          <w:szCs w:val="24"/>
          <w:shd w:val="clear" w:color="auto" w:fill="FFFFFF"/>
        </w:rPr>
        <w:t>。在已有的社会事实和研究当中可知</w:t>
      </w:r>
      <w:r>
        <w:rPr>
          <w:rFonts w:asciiTheme="minorEastAsia" w:hAnsiTheme="minorEastAsia" w:cs="Arial" w:hint="eastAsia"/>
          <w:color w:val="000000" w:themeColor="text1"/>
          <w:spacing w:val="9"/>
          <w:sz w:val="24"/>
          <w:szCs w:val="24"/>
          <w:shd w:val="clear" w:color="auto" w:fill="FFFFFF"/>
        </w:rPr>
        <w:t>，</w:t>
      </w:r>
      <w:r>
        <w:rPr>
          <w:rFonts w:asciiTheme="minorEastAsia" w:hAnsiTheme="minorEastAsia" w:cs="Arial"/>
          <w:color w:val="000000" w:themeColor="text1"/>
          <w:spacing w:val="9"/>
          <w:sz w:val="24"/>
          <w:szCs w:val="24"/>
          <w:shd w:val="clear" w:color="auto" w:fill="FFFFFF"/>
        </w:rPr>
        <w:t>大学生志愿服务有着多项积极功能</w:t>
      </w:r>
      <w:r>
        <w:rPr>
          <w:rFonts w:asciiTheme="minorEastAsia" w:hAnsiTheme="minorEastAsia" w:cs="Arial" w:hint="eastAsia"/>
          <w:color w:val="000000" w:themeColor="text1"/>
          <w:spacing w:val="9"/>
          <w:sz w:val="24"/>
          <w:szCs w:val="24"/>
          <w:shd w:val="clear" w:color="auto" w:fill="FFFFFF"/>
        </w:rPr>
        <w:t>，</w:t>
      </w:r>
      <w:r>
        <w:rPr>
          <w:rFonts w:asciiTheme="minorEastAsia" w:hAnsiTheme="minorEastAsia" w:cs="Arial"/>
          <w:color w:val="000000" w:themeColor="text1"/>
          <w:spacing w:val="9"/>
          <w:sz w:val="24"/>
          <w:szCs w:val="24"/>
          <w:shd w:val="clear" w:color="auto" w:fill="FFFFFF"/>
        </w:rPr>
        <w:t>如助力社会治理</w:t>
      </w:r>
      <w:r>
        <w:rPr>
          <w:rFonts w:asciiTheme="minorEastAsia" w:hAnsiTheme="minorEastAsia" w:cs="Arial" w:hint="eastAsia"/>
          <w:color w:val="000000" w:themeColor="text1"/>
          <w:spacing w:val="9"/>
          <w:sz w:val="24"/>
          <w:szCs w:val="24"/>
          <w:shd w:val="clear" w:color="auto" w:fill="FFFFFF"/>
        </w:rPr>
        <w:t>（良好应对社会突发事件的能力）、</w:t>
      </w:r>
      <w:r>
        <w:rPr>
          <w:rFonts w:asciiTheme="minorEastAsia" w:hAnsiTheme="minorEastAsia" w:cs="Arial"/>
          <w:color w:val="000000" w:themeColor="text1"/>
          <w:spacing w:val="9"/>
          <w:sz w:val="24"/>
          <w:szCs w:val="24"/>
          <w:shd w:val="clear" w:color="auto" w:fill="FFFFFF"/>
        </w:rPr>
        <w:t>促进社会文明</w:t>
      </w:r>
      <w:r>
        <w:rPr>
          <w:rFonts w:asciiTheme="minorEastAsia" w:hAnsiTheme="minorEastAsia" w:cs="Arial" w:hint="eastAsia"/>
          <w:color w:val="000000" w:themeColor="text1"/>
          <w:spacing w:val="9"/>
          <w:sz w:val="24"/>
          <w:szCs w:val="24"/>
          <w:shd w:val="clear" w:color="auto" w:fill="FFFFFF"/>
        </w:rPr>
        <w:t>（正能量的传递，促进社会精神文明建设进程）、</w:t>
      </w:r>
      <w:r>
        <w:rPr>
          <w:rFonts w:asciiTheme="minorEastAsia" w:hAnsiTheme="minorEastAsia" w:cs="Arial"/>
          <w:color w:val="000000" w:themeColor="text1"/>
          <w:spacing w:val="9"/>
          <w:sz w:val="24"/>
          <w:szCs w:val="24"/>
          <w:shd w:val="clear" w:color="auto" w:fill="FFFFFF"/>
        </w:rPr>
        <w:t>促进社会和谐</w:t>
      </w:r>
      <w:r>
        <w:rPr>
          <w:rFonts w:asciiTheme="minorEastAsia" w:hAnsiTheme="minorEastAsia" w:cs="Arial" w:hint="eastAsia"/>
          <w:color w:val="000000" w:themeColor="text1"/>
          <w:spacing w:val="9"/>
          <w:sz w:val="24"/>
          <w:szCs w:val="24"/>
          <w:shd w:val="clear" w:color="auto" w:fill="FFFFFF"/>
        </w:rPr>
        <w:t>（关怀弱势群体的活动与项目，推动保障体系建设健全）</w:t>
      </w:r>
      <w:r>
        <w:rPr>
          <w:rFonts w:asciiTheme="minorEastAsia" w:hAnsiTheme="minorEastAsia" w:cs="Arial"/>
          <w:color w:val="000000" w:themeColor="text1"/>
          <w:spacing w:val="9"/>
          <w:sz w:val="24"/>
          <w:szCs w:val="24"/>
          <w:shd w:val="clear" w:color="auto" w:fill="FFFFFF"/>
        </w:rPr>
        <w:t>等</w:t>
      </w:r>
      <w:r>
        <w:rPr>
          <w:rFonts w:asciiTheme="minorEastAsia" w:hAnsiTheme="minorEastAsia" w:cs="Arial" w:hint="eastAsia"/>
          <w:color w:val="000000" w:themeColor="text1"/>
          <w:spacing w:val="9"/>
          <w:sz w:val="24"/>
          <w:szCs w:val="24"/>
          <w:shd w:val="clear" w:color="auto" w:fill="FFFFFF"/>
        </w:rPr>
        <w:t>。</w:t>
      </w:r>
      <w:r>
        <w:rPr>
          <w:rFonts w:asciiTheme="minorEastAsia" w:hAnsiTheme="minorEastAsia" w:cs="Arial"/>
          <w:color w:val="000000" w:themeColor="text1"/>
          <w:spacing w:val="9"/>
          <w:sz w:val="24"/>
          <w:szCs w:val="24"/>
          <w:shd w:val="clear" w:color="auto" w:fill="FFFFFF"/>
        </w:rPr>
        <w:t>朱雄等指出大学生志愿服务能够维护国家核心价值观念、培养民族意识，能够聚集社会正能量、促进社会和谐，能够引导公民遵守社会公德、自觉承担社会责任</w:t>
      </w:r>
      <w:r>
        <w:rPr>
          <w:rStyle w:val="FootnoteReference"/>
          <w:rFonts w:asciiTheme="minorEastAsia" w:hAnsiTheme="minorEastAsia" w:cs="Arial"/>
          <w:color w:val="000000" w:themeColor="text1"/>
          <w:spacing w:val="9"/>
          <w:sz w:val="24"/>
          <w:szCs w:val="24"/>
          <w:shd w:val="clear" w:color="auto" w:fill="FFFFFF"/>
        </w:rPr>
        <w:footnoteReference w:id="9"/>
      </w:r>
      <w:r>
        <w:rPr>
          <w:rFonts w:asciiTheme="minorEastAsia" w:hAnsiTheme="minorEastAsia" w:cs="Arial" w:hint="eastAsia"/>
          <w:color w:val="000000" w:themeColor="text1"/>
          <w:spacing w:val="9"/>
          <w:sz w:val="24"/>
          <w:szCs w:val="24"/>
          <w:shd w:val="clear" w:color="auto" w:fill="FFFFFF"/>
        </w:rPr>
        <w:t>。</w:t>
      </w:r>
      <w:r>
        <w:rPr>
          <w:rFonts w:asciiTheme="minorEastAsia" w:hAnsiTheme="minorEastAsia" w:cs="Arial"/>
          <w:color w:val="000000" w:themeColor="text1"/>
          <w:spacing w:val="9"/>
          <w:sz w:val="24"/>
          <w:szCs w:val="24"/>
          <w:shd w:val="clear" w:color="auto" w:fill="FFFFFF"/>
        </w:rPr>
        <w:t>中国青年志愿服务正逐渐成为一种新的社会动员机制、社会心理机制、社会参与机制和社会整合机制</w:t>
      </w:r>
      <w:r>
        <w:rPr>
          <w:rStyle w:val="FootnoteReference"/>
          <w:rFonts w:asciiTheme="minorEastAsia" w:hAnsiTheme="minorEastAsia" w:cs="Arial"/>
          <w:color w:val="000000" w:themeColor="text1"/>
          <w:spacing w:val="9"/>
          <w:sz w:val="24"/>
          <w:szCs w:val="24"/>
          <w:shd w:val="clear" w:color="auto" w:fill="FFFFFF"/>
        </w:rPr>
        <w:footnoteReference w:id="10"/>
      </w:r>
      <w:r>
        <w:rPr>
          <w:rFonts w:asciiTheme="minorEastAsia" w:hAnsiTheme="minorEastAsia" w:cs="Arial"/>
          <w:color w:val="000000" w:themeColor="text1"/>
          <w:spacing w:val="9"/>
          <w:sz w:val="24"/>
          <w:szCs w:val="24"/>
          <w:shd w:val="clear" w:color="auto" w:fill="FFFFFF"/>
        </w:rPr>
        <w:t>。</w:t>
      </w:r>
    </w:p>
    <w:p>
      <w:pPr>
        <w:pStyle w:val="Heading1"/>
      </w:pPr>
      <w:bookmarkStart w:id="5" w:name="_Toc70685779"/>
      <w:r>
        <w:rPr>
          <w:rFonts w:hint="eastAsia"/>
        </w:rPr>
        <w:t>研究设计</w:t>
      </w:r>
      <w:bookmarkEnd w:id="5"/>
    </w:p>
    <w:p>
      <w:pPr>
        <w:pStyle w:val="Heading2"/>
        <w:numPr>
          <w:numId w:val="6"/>
        </w:numPr>
      </w:pPr>
      <w:bookmarkStart w:id="6" w:name="_Toc70685780"/>
      <w:r>
        <w:rPr>
          <w:rFonts w:hint="eastAsia"/>
        </w:rPr>
        <w:t>研究思路</w:t>
      </w:r>
      <w:bookmarkEnd w:id="6"/>
    </w:p>
    <w:p>
      <w:pPr>
        <w:pStyle w:val="ListParagraph"/>
        <w:numPr>
          <w:ilvl w:val="0"/>
          <w:numId w:val="7"/>
        </w:numPr>
        <w:spacing w:line="360" w:lineRule="auto"/>
        <w:ind w:firstLineChars="0"/>
        <w:rPr>
          <w:rFonts w:ascii="黑体" w:eastAsia="黑体" w:hAnsi="黑体"/>
          <w:sz w:val="24"/>
        </w:rPr>
      </w:pPr>
      <w:r>
        <w:rPr>
          <w:rFonts w:ascii="黑体" w:eastAsia="黑体" w:hAnsi="黑体" w:hint="eastAsia"/>
          <w:sz w:val="24"/>
        </w:rPr>
        <w:t>通过问卷调查法了解大学生志愿服务行为的现状</w:t>
      </w:r>
    </w:p>
    <w:p>
      <w:pPr>
        <w:spacing w:line="360" w:lineRule="auto"/>
        <w:ind w:firstLine="480" w:firstLineChars="200"/>
        <w:rPr>
          <w:rFonts w:ascii="宋体" w:hAnsi="宋体"/>
          <w:sz w:val="24"/>
          <w:szCs w:val="24"/>
        </w:rPr>
      </w:pPr>
      <w:r>
        <w:rPr>
          <w:rFonts w:ascii="宋体" w:hAnsi="宋体" w:hint="eastAsia"/>
          <w:sz w:val="24"/>
          <w:szCs w:val="24"/>
        </w:rPr>
        <w:t>本研究将通过科学客观的问卷调查，在现有研究资料的基础之上，获得大学生志愿服务行为的现状。本次的问卷将借助已有的北京志愿者协会和石牌街家庭综合服务中心的志愿者问卷以及利他人格自陈量表来编制一份能够体现大学生志愿服务行为现状（行为频率、持续时间、起因、类型、对于志愿服务的关注度等）以及影响因素（个体认知、同辈群体、家庭、学校、社区、社会认可、国家政策等）的问卷。</w:t>
      </w:r>
    </w:p>
    <w:p>
      <w:pPr>
        <w:numPr>
          <w:ilvl w:val="0"/>
          <w:numId w:val="7"/>
        </w:numPr>
        <w:spacing w:line="360" w:lineRule="auto"/>
        <w:rPr>
          <w:rFonts w:ascii="黑体" w:eastAsia="黑体" w:hAnsi="黑体"/>
          <w:sz w:val="24"/>
        </w:rPr>
      </w:pPr>
      <w:r>
        <w:rPr>
          <w:rFonts w:ascii="黑体" w:eastAsia="黑体" w:hAnsi="黑体" w:hint="eastAsia"/>
          <w:sz w:val="24"/>
        </w:rPr>
        <w:t>分析各个层面的影响因素对于大学生志愿服务行为的影响</w:t>
      </w:r>
    </w:p>
    <w:p>
      <w:pPr>
        <w:spacing w:line="360" w:lineRule="auto"/>
        <w:ind w:firstLine="480" w:firstLineChars="200"/>
        <w:rPr>
          <w:rFonts w:ascii="宋体" w:hAnsi="宋体"/>
          <w:sz w:val="24"/>
          <w:szCs w:val="24"/>
        </w:rPr>
      </w:pPr>
      <w:r>
        <w:rPr>
          <w:rFonts w:ascii="宋体" w:hAnsi="宋体" w:hint="eastAsia"/>
          <w:sz w:val="24"/>
          <w:szCs w:val="24"/>
        </w:rPr>
        <w:t>此次分析从微观、中观、宏观三个层面出发，对于大学生志愿服务意愿和行为受影响的情况进行梳理。依据问卷收集到的数据，在已有研究文献的基础上，结合大学生群体的特性和人身发展阶段相关理论，清楚了解以上因素对于大学生的志愿服务意愿和行为产生正面或是负面的影响。最终分析归纳出这些因素对于大学生志愿服务行为产生的利弊作用。</w:t>
      </w:r>
    </w:p>
    <w:p>
      <w:pPr>
        <w:pStyle w:val="ListParagraph"/>
        <w:numPr>
          <w:ilvl w:val="0"/>
          <w:numId w:val="7"/>
        </w:numPr>
        <w:spacing w:line="360" w:lineRule="auto"/>
        <w:ind w:firstLineChars="0"/>
        <w:rPr>
          <w:rFonts w:ascii="黑体" w:eastAsia="黑体" w:hAnsi="黑体"/>
          <w:sz w:val="24"/>
          <w:szCs w:val="24"/>
        </w:rPr>
      </w:pPr>
      <w:r>
        <w:rPr>
          <w:rFonts w:ascii="黑体" w:eastAsia="黑体" w:hAnsi="黑体" w:hint="eastAsia"/>
          <w:sz w:val="24"/>
          <w:szCs w:val="24"/>
        </w:rPr>
        <w:t>提出大学生个体道德观和正向利他行为培养的相关建议</w:t>
      </w:r>
    </w:p>
    <w:p>
      <w:pPr>
        <w:widowControl/>
        <w:spacing w:line="360" w:lineRule="auto"/>
        <w:ind w:firstLine="480" w:firstLineChars="200"/>
        <w:jc w:val="left"/>
        <w:rPr>
          <w:rFonts w:ascii="宋体" w:hAnsi="宋体"/>
          <w:sz w:val="24"/>
          <w:szCs w:val="24"/>
        </w:rPr>
      </w:pPr>
      <w:r>
        <w:rPr>
          <w:rFonts w:ascii="宋体" w:hAnsi="宋体" w:hint="eastAsia"/>
          <w:sz w:val="24"/>
          <w:szCs w:val="24"/>
        </w:rPr>
        <w:t>根据现有研究可知，大学生志愿服务行为可能受到以下因素的影响：①正向的促进作用：积极的个人认知和宏观、中观层面各群体的支持都能够促进个体志愿服务行为的产生；②负面的阻碍作用：消极的个人认知和宏观、中观层面各个群体较低的认可度会阻碍个体志愿服务行为的产生。通过以上两个方面的分析，有针对性的提出</w:t>
      </w:r>
      <w:r>
        <w:rPr>
          <w:rFonts w:ascii="宋体" w:hAnsi="宋体" w:cs="宋体" w:hint="eastAsia"/>
          <w:sz w:val="24"/>
          <w:szCs w:val="24"/>
        </w:rPr>
        <w:t>关于促进大学生正向的志愿服务行为和规避消极影响因素的合理可行的意见或建议。</w:t>
      </w:r>
    </w:p>
    <w:p>
      <w:pPr>
        <w:spacing w:line="360" w:lineRule="auto"/>
        <w:ind w:firstLine="480" w:firstLineChars="200"/>
        <w:rPr>
          <w:rFonts w:ascii="宋体" w:hAnsi="宋体"/>
          <w:sz w:val="24"/>
          <w:szCs w:val="24"/>
        </w:rPr>
      </w:pPr>
      <w:r>
        <w:rPr>
          <w:rFonts w:ascii="宋体" w:hAnsi="宋体" w:hint="eastAsia"/>
          <w:sz w:val="24"/>
          <w:szCs w:val="24"/>
        </w:rPr>
        <w:t>为更直观展示研究思路，以下是研究思路结构图：</w:t>
      </w: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sectPr>
          <w:footerReference w:type="default" r:id="rId13"/>
          <w:footnotePr>
            <w:numFmt w:val="decimalEnclosedCircleChinese"/>
            <w:numRestart w:val="eachPage"/>
          </w:footnotePr>
          <w:type w:val="nextPage"/>
          <w:pgSz w:w="11906" w:h="16838"/>
          <w:pgMar w:top="1440" w:right="1800" w:bottom="1440" w:left="1800" w:header="851" w:footer="992" w:gutter="0"/>
          <w:pgNumType w:start="7"/>
          <w:cols w:num="1" w:space="425"/>
          <w:titlePg w:val="0"/>
          <w:docGrid w:type="lines" w:linePitch="312" w:charSpace="0"/>
        </w:sectPr>
      </w:pPr>
    </w:p>
    <w:p>
      <w:pPr>
        <w:spacing w:line="360" w:lineRule="auto"/>
        <w:rPr>
          <w:rFonts w:asciiTheme="minorEastAsia" w:hAnsiTheme="minorEastAsia" w:cs="Times New Roman"/>
          <w:sz w:val="24"/>
          <w:szCs w:val="24"/>
        </w:rPr>
      </w:pPr>
      <w:r>
        <w:rPr>
          <w:rFonts w:asciiTheme="minorEastAsia" w:hAnsiTheme="minorEastAsia" w:cs="Times New Roman"/>
          <w:sz w:val="24"/>
          <w:szCs w:val="24"/>
        </w:rPr>
        <mc:AlternateContent>
          <mc:Choice Requires="wps">
            <w:drawing>
              <wp:anchor distT="0" distB="0" distL="114300" distR="114300" simplePos="0" relativeHeight="251661312" behindDoc="0" locked="0" layoutInCell="1" allowOverlap="1">
                <wp:simplePos x="0" y="0"/>
                <wp:positionH relativeFrom="column">
                  <wp:posOffset>990600</wp:posOffset>
                </wp:positionH>
                <wp:positionV relativeFrom="paragraph">
                  <wp:posOffset>196215</wp:posOffset>
                </wp:positionV>
                <wp:extent cx="3274060" cy="737235"/>
                <wp:effectExtent l="4445" t="4445" r="17145" b="20320"/>
                <wp:wrapNone/>
                <wp:docPr id="1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3274060" cy="737235"/>
                        </a:xfrm>
                        <a:prstGeom prst="rect">
                          <a:avLst/>
                        </a:prstGeom>
                        <a:solidFill>
                          <a:srgbClr val="FFFFFF"/>
                        </a:solidFill>
                        <a:ln w="0">
                          <a:solidFill>
                            <a:srgbClr val="FFFFFF"/>
                          </a:solidFill>
                          <a:prstDash val="solid"/>
                          <a:miter lim="0"/>
                          <a:headEnd/>
                          <a:tailEnd/>
                        </a:ln>
                      </wps:spPr>
                      <wps:txbx>
                        <w:txbxContent>
                          <w:p>
                            <w:pPr>
                              <w:rPr>
                                <w:rFonts w:ascii="宋体" w:hAnsi="宋体"/>
                                <w:sz w:val="18"/>
                                <w:szCs w:val="18"/>
                              </w:rPr>
                            </w:pPr>
                            <w:r>
                              <w:rPr>
                                <w:rFonts w:ascii="宋体" w:hAnsi="宋体" w:hint="eastAsia"/>
                                <w:sz w:val="18"/>
                                <w:szCs w:val="18"/>
                              </w:rPr>
                              <w:t>了解大学生志愿服务行为现状（包括持续时间、频率、类型等）</w:t>
                            </w:r>
                          </w:p>
                          <w:p>
                            <w:pPr>
                              <w:numPr>
                                <w:ilvl w:val="0"/>
                                <w:numId w:val="8"/>
                              </w:numPr>
                              <w:rPr>
                                <w:rFonts w:ascii="宋体" w:hAnsi="宋体"/>
                                <w:sz w:val="18"/>
                                <w:szCs w:val="18"/>
                              </w:rPr>
                            </w:pPr>
                            <w:r>
                              <w:rPr>
                                <w:rFonts w:ascii="宋体" w:hAnsi="宋体" w:hint="eastAsia"/>
                                <w:sz w:val="18"/>
                                <w:szCs w:val="18"/>
                              </w:rPr>
                              <w:t>通过问卷收集相关数据</w:t>
                            </w:r>
                          </w:p>
                          <w:p>
                            <w:pPr>
                              <w:numPr>
                                <w:ilvl w:val="0"/>
                                <w:numId w:val="8"/>
                              </w:numPr>
                              <w:rPr>
                                <w:sz w:val="18"/>
                                <w:szCs w:val="18"/>
                              </w:rPr>
                            </w:pPr>
                            <w:r>
                              <w:rPr>
                                <w:rFonts w:ascii="宋体" w:hAnsi="宋体" w:hint="eastAsia"/>
                                <w:sz w:val="18"/>
                                <w:szCs w:val="18"/>
                              </w:rPr>
                              <w:t>进行现状分析和影响因素梳理</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16" o:spid="_x0000_s1025" type="#_x0000_t202" style="width:257.8pt;height:58.05pt;margin-top:15.45pt;margin-left:78pt;mso-wrap-distance-bottom:0;mso-wrap-distance-left:9pt;mso-wrap-distance-right:9pt;mso-wrap-distance-top:0;position:absolute;v-text-anchor:top;z-index:251660288" fillcolor="white" stroked="t" strokecolor="white" strokeweight="0.14pt">
                <v:stroke joinstyle="miter"/>
                <v:textbox>
                  <w:txbxContent>
                    <w:p>
                      <w:pPr>
                        <w:rPr>
                          <w:rFonts w:ascii="宋体" w:hAnsi="宋体"/>
                          <w:sz w:val="18"/>
                          <w:szCs w:val="18"/>
                        </w:rPr>
                      </w:pPr>
                      <w:r>
                        <w:rPr>
                          <w:rFonts w:ascii="宋体" w:hAnsi="宋体" w:hint="eastAsia"/>
                          <w:sz w:val="18"/>
                          <w:szCs w:val="18"/>
                        </w:rPr>
                        <w:t>了解大学生志愿服务行为现状（包括持续时间、频率、类型等）</w:t>
                      </w:r>
                    </w:p>
                    <w:p>
                      <w:pPr>
                        <w:numPr>
                          <w:ilvl w:val="0"/>
                          <w:numId w:val="8"/>
                        </w:numPr>
                        <w:rPr>
                          <w:rFonts w:ascii="宋体" w:hAnsi="宋体"/>
                          <w:sz w:val="18"/>
                          <w:szCs w:val="18"/>
                        </w:rPr>
                      </w:pPr>
                      <w:r>
                        <w:rPr>
                          <w:rFonts w:ascii="宋体" w:hAnsi="宋体" w:hint="eastAsia"/>
                          <w:sz w:val="18"/>
                          <w:szCs w:val="18"/>
                        </w:rPr>
                        <w:t>通过问卷收集相关数据</w:t>
                      </w:r>
                    </w:p>
                    <w:p>
                      <w:pPr>
                        <w:numPr>
                          <w:ilvl w:val="0"/>
                          <w:numId w:val="8"/>
                        </w:numPr>
                        <w:rPr>
                          <w:sz w:val="18"/>
                          <w:szCs w:val="18"/>
                        </w:rPr>
                      </w:pPr>
                      <w:r>
                        <w:rPr>
                          <w:rFonts w:ascii="宋体" w:hAnsi="宋体" w:hint="eastAsia"/>
                          <w:sz w:val="18"/>
                          <w:szCs w:val="18"/>
                        </w:rPr>
                        <w:t>进行现状分析和影响因素梳理</w:t>
                      </w:r>
                    </w:p>
                  </w:txbxContent>
                </v:textbox>
              </v:shape>
            </w:pict>
          </mc:Fallback>
        </mc:AlternateContent>
      </w:r>
      <w:r>
        <w:rPr>
          <w:rFonts w:asciiTheme="minorEastAsia" w:hAnsiTheme="minorEastAsia" w:cs="Times New Roman"/>
          <w:sz w:val="24"/>
          <w:szCs w:val="24"/>
        </w:rPr>
        <mc:AlternateContent>
          <mc:Choice Requires="wpg">
            <w:drawing>
              <wp:anchor distT="0" distB="0" distL="114300" distR="114300" simplePos="0" relativeHeight="251659264" behindDoc="0" locked="0" layoutInCell="1" allowOverlap="1">
                <wp:simplePos x="0" y="0"/>
                <wp:positionH relativeFrom="column">
                  <wp:posOffset>866775</wp:posOffset>
                </wp:positionH>
                <wp:positionV relativeFrom="paragraph">
                  <wp:posOffset>26035</wp:posOffset>
                </wp:positionV>
                <wp:extent cx="3533775" cy="4638675"/>
                <wp:effectExtent l="5080" t="4445" r="4445" b="5080"/>
                <wp:wrapNone/>
                <wp:docPr id="12" name="组合 8"/>
                <wp:cNvGraphicFramePr/>
                <a:graphic xmlns:a="http://schemas.openxmlformats.org/drawingml/2006/main">
                  <a:graphicData uri="http://schemas.microsoft.com/office/word/2010/wordprocessingGroup">
                    <wpg:wgp xmlns:wpg="http://schemas.microsoft.com/office/word/2010/wordprocessingGroup">
                      <wpg:cNvGrpSpPr/>
                      <wpg:grpSpPr>
                        <a:xfrm>
                          <a:off x="0" y="0"/>
                          <a:ext cx="3533775" cy="4638675"/>
                          <a:chOff x="2790" y="8400"/>
                          <a:chExt cx="3975" cy="6930"/>
                        </a:xfrm>
                      </wpg:grpSpPr>
                      <wps:wsp xmlns:wps="http://schemas.microsoft.com/office/word/2010/wordprocessingShape">
                        <wps:cNvPr id="1" name="矩形 9"/>
                        <wps:cNvSpPr/>
                        <wps:spPr>
                          <a:xfrm>
                            <a:off x="2790" y="8400"/>
                            <a:ext cx="3975" cy="1560"/>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2" name="矩形 10"/>
                        <wps:cNvSpPr/>
                        <wps:spPr>
                          <a:xfrm>
                            <a:off x="2790" y="11040"/>
                            <a:ext cx="3975" cy="1995"/>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9" name="矩形 11"/>
                        <wps:cNvSpPr/>
                        <wps:spPr>
                          <a:xfrm>
                            <a:off x="2790" y="14085"/>
                            <a:ext cx="3975" cy="1245"/>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10" name="自选图形 12"/>
                        <wps:cNvSpPr/>
                        <wps:spPr>
                          <a:xfrm>
                            <a:off x="4395" y="9960"/>
                            <a:ext cx="645" cy="1005"/>
                          </a:xfrm>
                          <a:prstGeom prst="downArrow">
                            <a:avLst>
                              <a:gd name="adj1" fmla="val 50000"/>
                              <a:gd name="adj2" fmla="val 38953"/>
                            </a:avLst>
                          </a:prstGeom>
                          <a:solidFill>
                            <a:srgbClr val="000000"/>
                          </a:solidFill>
                          <a:ln w="38100">
                            <a:solidFill>
                              <a:srgbClr val="F2F2F2"/>
                            </a:solidFill>
                            <a:prstDash val="solid"/>
                            <a:miter lim="0"/>
                            <a:headEnd/>
                            <a:tailEnd/>
                          </a:ln>
                          <a:effectLst>
                            <a:outerShdw blurRad="0" dist="28398" dir="3806096" sx="100000" sy="100000" kx="0" ky="0" algn="ctr" rotWithShape="0">
                              <a:srgbClr val="7F7F7F">
                                <a:alpha val="50000"/>
                              </a:srgbClr>
                            </a:outerShdw>
                          </a:effectLst>
                        </wps:spPr>
                        <wps:bodyPr vert="eaVert" upright="1"/>
                      </wps:wsp>
                      <wps:wsp xmlns:wps="http://schemas.microsoft.com/office/word/2010/wordprocessingShape">
                        <wps:cNvPr id="11" name="自选图形 13"/>
                        <wps:cNvSpPr/>
                        <wps:spPr>
                          <a:xfrm>
                            <a:off x="4395" y="12990"/>
                            <a:ext cx="645" cy="1005"/>
                          </a:xfrm>
                          <a:prstGeom prst="downArrow">
                            <a:avLst>
                              <a:gd name="adj1" fmla="val 50000"/>
                              <a:gd name="adj2" fmla="val 38953"/>
                            </a:avLst>
                          </a:prstGeom>
                          <a:solidFill>
                            <a:srgbClr val="000000"/>
                          </a:solidFill>
                          <a:ln w="38100">
                            <a:solidFill>
                              <a:srgbClr val="F2F2F2"/>
                            </a:solidFill>
                            <a:prstDash val="solid"/>
                            <a:miter lim="0"/>
                            <a:headEnd/>
                            <a:tailEnd/>
                          </a:ln>
                          <a:effectLst>
                            <a:outerShdw blurRad="0" dist="28398" dir="3806096" sx="100000" sy="100000" kx="0" ky="0" algn="ctr" rotWithShape="0">
                              <a:srgbClr val="7F7F7F">
                                <a:alpha val="50000"/>
                              </a:srgbClr>
                            </a:outerShdw>
                          </a:effectLst>
                        </wps:spPr>
                        <wps:bodyPr vert="eaVert" upright="1"/>
                      </wps:wsp>
                    </wpg:wgp>
                  </a:graphicData>
                </a:graphic>
              </wp:anchor>
            </w:drawing>
          </mc:Choice>
          <mc:Fallback>
            <w:pict>
              <v:group id="组合 8" o:spid="_x0000_s1026" style="width:279pt;height:366pt;margin-top:2.05pt;margin-left:68.25pt;mso-wrap-distance-bottom:0;mso-wrap-distance-left:9pt;mso-wrap-distance-right:9pt;mso-wrap-distance-top:0;position:absolute;z-index:251658240" coordorigin="15160,26181" coordsize="21600,21600">
                <v:rect id="_x0000_s1027" style="width:21600;height:4862;left:15161;position:absolute;top:26182;v-text-anchor:top" fillcolor="white" stroked="t" strokecolor="black" strokeweight="0.75pt">
                  <v:stroke joinstyle="miter"/>
                </v:rect>
                <v:rect id="_x0000_s1028" style="width:21600;height:6218;left:15161;position:absolute;top:34410;v-text-anchor:top" fillcolor="white" stroked="t" strokecolor="black" strokeweight="0.75pt">
                  <v:stroke joinstyle="miter"/>
                </v:rect>
                <v:rect id="_x0000_s1029" style="width:21600;height:3881;left:15161;position:absolute;top:43901;v-text-anchor:top" fillcolor="white" stroked="t" strokecolor="black" strokeweight="0.75pt">
                  <v:stroke joinstyle="miter"/>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0" type="#_x0000_t67" style="width:3505;height:3132;left:23882;position:absolute;top:31044;v-text-anchor:top" adj="14669" fillcolor="black" stroked="t" strokecolor="#f2f2f2" strokeweight="3pt">
                  <v:stroke joinstyle="miter"/>
                  <v:shadow on="t" type="perspective" color="#7f7f7f" opacity="32897f" offset="1pt,2pt"/>
                </v:shape>
                <v:shape id="_x0000_s1031" type="#_x0000_t67" style="width:3505;height:3132;left:23882;position:absolute;top:40488;v-text-anchor:top" adj="14669" fillcolor="black" stroked="t" strokecolor="#f2f2f2" strokeweight="3pt">
                  <v:stroke joinstyle="miter"/>
                  <v:shadow on="t" type="perspective" color="#7f7f7f" opacity="32897f" offset="1pt,2pt"/>
                </v:shape>
              </v:group>
            </w:pict>
          </mc:Fallback>
        </mc:AlternateContent>
      </w: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r>
        <w:rPr>
          <w:rFonts w:asciiTheme="minorEastAsia" w:hAnsiTheme="minorEastAsia" w:cs="Times New Roman"/>
          <w:sz w:val="24"/>
          <w:szCs w:val="24"/>
        </w:rPr>
        <mc:AlternateContent>
          <mc:Choice Requires="wps">
            <w:drawing>
              <wp:anchor distT="0" distB="0" distL="114300" distR="114300" simplePos="0" relativeHeight="251663360" behindDoc="0" locked="0" layoutInCell="1" allowOverlap="1">
                <wp:simplePos x="0" y="0"/>
                <wp:positionH relativeFrom="column">
                  <wp:posOffset>1000125</wp:posOffset>
                </wp:positionH>
                <wp:positionV relativeFrom="paragraph">
                  <wp:posOffset>64770</wp:posOffset>
                </wp:positionV>
                <wp:extent cx="3274060" cy="1141095"/>
                <wp:effectExtent l="4445" t="4445" r="17145" b="16510"/>
                <wp:wrapNone/>
                <wp:docPr id="1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274060" cy="1141095"/>
                        </a:xfrm>
                        <a:prstGeom prst="rect">
                          <a:avLst/>
                        </a:prstGeom>
                        <a:solidFill>
                          <a:srgbClr val="FFFFFF"/>
                        </a:solidFill>
                        <a:ln w="0">
                          <a:solidFill>
                            <a:srgbClr val="FFFFFF"/>
                          </a:solidFill>
                          <a:prstDash val="solid"/>
                          <a:miter lim="0"/>
                          <a:headEnd/>
                          <a:tailEnd/>
                        </a:ln>
                      </wps:spPr>
                      <wps:txbx>
                        <w:txbxContent>
                          <w:p>
                            <w:pPr>
                              <w:rPr>
                                <w:rFonts w:ascii="宋体" w:hAnsi="宋体"/>
                                <w:sz w:val="18"/>
                                <w:szCs w:val="18"/>
                              </w:rPr>
                            </w:pPr>
                            <w:r>
                              <w:rPr>
                                <w:rFonts w:ascii="宋体" w:hAnsi="宋体" w:hint="eastAsia"/>
                                <w:sz w:val="18"/>
                                <w:szCs w:val="18"/>
                              </w:rPr>
                              <w:t>分析微观、中观、宏观三个层面的因素对大学生志愿服务行为的作用</w:t>
                            </w:r>
                          </w:p>
                          <w:p>
                            <w:pPr>
                              <w:numPr>
                                <w:ilvl w:val="0"/>
                                <w:numId w:val="9"/>
                              </w:numPr>
                              <w:rPr>
                                <w:rFonts w:ascii="宋体" w:hAnsi="宋体"/>
                                <w:sz w:val="18"/>
                                <w:szCs w:val="18"/>
                              </w:rPr>
                            </w:pPr>
                            <w:r>
                              <w:rPr>
                                <w:rFonts w:ascii="宋体" w:hAnsi="宋体" w:hint="eastAsia"/>
                                <w:sz w:val="18"/>
                                <w:szCs w:val="18"/>
                              </w:rPr>
                              <w:t>微观：个体不同方面的认知</w:t>
                            </w:r>
                          </w:p>
                          <w:p>
                            <w:pPr>
                              <w:numPr>
                                <w:ilvl w:val="0"/>
                                <w:numId w:val="9"/>
                              </w:numPr>
                              <w:rPr>
                                <w:sz w:val="18"/>
                                <w:szCs w:val="18"/>
                              </w:rPr>
                            </w:pPr>
                            <w:r>
                              <w:rPr>
                                <w:rFonts w:ascii="宋体" w:hAnsi="宋体" w:hint="eastAsia"/>
                                <w:sz w:val="18"/>
                                <w:szCs w:val="18"/>
                              </w:rPr>
                              <w:t>中观：同辈群体、家庭、学校、社区</w:t>
                            </w:r>
                          </w:p>
                          <w:p>
                            <w:pPr>
                              <w:numPr>
                                <w:ilvl w:val="0"/>
                                <w:numId w:val="9"/>
                              </w:numPr>
                              <w:rPr>
                                <w:sz w:val="18"/>
                                <w:szCs w:val="18"/>
                              </w:rPr>
                            </w:pPr>
                            <w:r>
                              <w:rPr>
                                <w:rFonts w:ascii="宋体" w:hAnsi="宋体" w:hint="eastAsia"/>
                                <w:sz w:val="18"/>
                                <w:szCs w:val="18"/>
                              </w:rPr>
                              <w:t>宏观：社会普遍认可度、国家相关政策发展</w:t>
                            </w:r>
                          </w:p>
                        </w:txbxContent>
                      </wps:txbx>
                      <wps:bodyPr upright="1"/>
                    </wps:wsp>
                  </a:graphicData>
                </a:graphic>
              </wp:anchor>
            </w:drawing>
          </mc:Choice>
          <mc:Fallback>
            <w:pict>
              <v:shape id="文本框 17" o:spid="_x0000_s1032" type="#_x0000_t202" style="width:257.8pt;height:89.85pt;margin-top:5.1pt;margin-left:78.75pt;mso-wrap-distance-bottom:0;mso-wrap-distance-left:9pt;mso-wrap-distance-right:9pt;mso-wrap-distance-top:0;position:absolute;v-text-anchor:top;z-index:251662336" fillcolor="white" stroked="t" strokecolor="white" strokeweight="0.14pt">
                <v:stroke joinstyle="miter"/>
                <v:textbox>
                  <w:txbxContent>
                    <w:p>
                      <w:pPr>
                        <w:rPr>
                          <w:rFonts w:ascii="宋体" w:hAnsi="宋体"/>
                          <w:sz w:val="18"/>
                          <w:szCs w:val="18"/>
                        </w:rPr>
                      </w:pPr>
                      <w:r>
                        <w:rPr>
                          <w:rFonts w:ascii="宋体" w:hAnsi="宋体" w:hint="eastAsia"/>
                          <w:sz w:val="18"/>
                          <w:szCs w:val="18"/>
                        </w:rPr>
                        <w:t>分析微观、中观、宏观三个层面的因素对大学生志愿服务行为的作用</w:t>
                      </w:r>
                    </w:p>
                    <w:p>
                      <w:pPr>
                        <w:numPr>
                          <w:ilvl w:val="0"/>
                          <w:numId w:val="9"/>
                        </w:numPr>
                        <w:rPr>
                          <w:rFonts w:ascii="宋体" w:hAnsi="宋体"/>
                          <w:sz w:val="18"/>
                          <w:szCs w:val="18"/>
                        </w:rPr>
                      </w:pPr>
                      <w:r>
                        <w:rPr>
                          <w:rFonts w:ascii="宋体" w:hAnsi="宋体" w:hint="eastAsia"/>
                          <w:sz w:val="18"/>
                          <w:szCs w:val="18"/>
                        </w:rPr>
                        <w:t>微观：个体不同方面的认知</w:t>
                      </w:r>
                    </w:p>
                    <w:p>
                      <w:pPr>
                        <w:numPr>
                          <w:ilvl w:val="0"/>
                          <w:numId w:val="9"/>
                        </w:numPr>
                        <w:rPr>
                          <w:sz w:val="18"/>
                          <w:szCs w:val="18"/>
                        </w:rPr>
                      </w:pPr>
                      <w:r>
                        <w:rPr>
                          <w:rFonts w:ascii="宋体" w:hAnsi="宋体" w:hint="eastAsia"/>
                          <w:sz w:val="18"/>
                          <w:szCs w:val="18"/>
                        </w:rPr>
                        <w:t>中观：同辈群体、家庭、学校、社区</w:t>
                      </w:r>
                    </w:p>
                    <w:p>
                      <w:pPr>
                        <w:numPr>
                          <w:ilvl w:val="0"/>
                          <w:numId w:val="9"/>
                        </w:numPr>
                        <w:rPr>
                          <w:sz w:val="18"/>
                          <w:szCs w:val="18"/>
                        </w:rPr>
                      </w:pPr>
                      <w:r>
                        <w:rPr>
                          <w:rFonts w:ascii="宋体" w:hAnsi="宋体" w:hint="eastAsia"/>
                          <w:sz w:val="18"/>
                          <w:szCs w:val="18"/>
                        </w:rPr>
                        <w:t>宏观：社会普遍认可度、国家相关政策发展</w:t>
                      </w:r>
                    </w:p>
                  </w:txbxContent>
                </v:textbox>
              </v:shape>
            </w:pict>
          </mc:Fallback>
        </mc:AlternateContent>
      </w: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r>
        <w:rPr>
          <w:rFonts w:asciiTheme="minorEastAsia" w:hAnsiTheme="minorEastAsia" w:cs="Times New Roman"/>
          <w:sz w:val="24"/>
          <w:szCs w:val="24"/>
        </w:rPr>
        <mc:AlternateContent>
          <mc:Choice Requires="wps">
            <w:drawing>
              <wp:anchor distT="0" distB="0" distL="114300" distR="114300" simplePos="0" relativeHeight="251665408" behindDoc="0" locked="0" layoutInCell="1" allowOverlap="1">
                <wp:simplePos x="0" y="0"/>
                <wp:positionH relativeFrom="column">
                  <wp:posOffset>1362075</wp:posOffset>
                </wp:positionH>
                <wp:positionV relativeFrom="paragraph">
                  <wp:posOffset>137160</wp:posOffset>
                </wp:positionV>
                <wp:extent cx="2607310" cy="511175"/>
                <wp:effectExtent l="4445" t="5080" r="17145" b="17145"/>
                <wp:wrapNone/>
                <wp:docPr id="1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2607310" cy="511175"/>
                        </a:xfrm>
                        <a:prstGeom prst="rect">
                          <a:avLst/>
                        </a:prstGeom>
                        <a:solidFill>
                          <a:srgbClr val="FFFFFF"/>
                        </a:solidFill>
                        <a:ln w="0">
                          <a:solidFill>
                            <a:srgbClr val="FFFFFF"/>
                          </a:solidFill>
                          <a:prstDash val="solid"/>
                          <a:miter lim="0"/>
                          <a:headEnd/>
                          <a:tailEnd/>
                        </a:ln>
                      </wps:spPr>
                      <wps:txbx>
                        <w:txbxContent>
                          <w:p>
                            <w:pPr>
                              <w:rPr>
                                <w:rFonts w:ascii="宋体" w:hAnsi="宋体"/>
                                <w:sz w:val="18"/>
                                <w:szCs w:val="18"/>
                              </w:rPr>
                            </w:pPr>
                            <w:r>
                              <w:rPr>
                                <w:rFonts w:ascii="宋体" w:hAnsi="宋体" w:hint="eastAsia"/>
                                <w:sz w:val="18"/>
                                <w:szCs w:val="18"/>
                              </w:rPr>
                              <w:t>对于大学生个体道德观和正向利他行为的培养，</w:t>
                            </w:r>
                          </w:p>
                          <w:p>
                            <w:pPr>
                              <w:rPr>
                                <w:sz w:val="18"/>
                                <w:szCs w:val="18"/>
                              </w:rPr>
                            </w:pPr>
                            <w:r>
                              <w:rPr>
                                <w:rFonts w:ascii="宋体" w:hAnsi="宋体" w:hint="eastAsia"/>
                                <w:sz w:val="18"/>
                                <w:szCs w:val="18"/>
                              </w:rPr>
                              <w:t>提出合理化的建议。</w:t>
                            </w:r>
                          </w:p>
                        </w:txbxContent>
                      </wps:txbx>
                      <wps:bodyPr upright="1"/>
                    </wps:wsp>
                  </a:graphicData>
                </a:graphic>
              </wp:anchor>
            </w:drawing>
          </mc:Choice>
          <mc:Fallback>
            <w:pict>
              <v:shape id="文本框 18" o:spid="_x0000_s1033" type="#_x0000_t202" style="width:205.3pt;height:40.25pt;margin-top:10.8pt;margin-left:107.25pt;mso-wrap-distance-bottom:0;mso-wrap-distance-left:9pt;mso-wrap-distance-right:9pt;mso-wrap-distance-top:0;position:absolute;v-text-anchor:top;z-index:251664384" fillcolor="white" stroked="t" strokecolor="white" strokeweight="0.14pt">
                <v:stroke joinstyle="miter"/>
                <v:textbox>
                  <w:txbxContent>
                    <w:p>
                      <w:pPr>
                        <w:rPr>
                          <w:rFonts w:ascii="宋体" w:hAnsi="宋体"/>
                          <w:sz w:val="18"/>
                          <w:szCs w:val="18"/>
                        </w:rPr>
                      </w:pPr>
                      <w:r>
                        <w:rPr>
                          <w:rFonts w:ascii="宋体" w:hAnsi="宋体" w:hint="eastAsia"/>
                          <w:sz w:val="18"/>
                          <w:szCs w:val="18"/>
                        </w:rPr>
                        <w:t>对于大学生个体道德观和正向利他行为的培养，</w:t>
                      </w:r>
                    </w:p>
                    <w:p>
                      <w:pPr>
                        <w:rPr>
                          <w:sz w:val="18"/>
                          <w:szCs w:val="18"/>
                        </w:rPr>
                      </w:pPr>
                      <w:r>
                        <w:rPr>
                          <w:rFonts w:ascii="宋体" w:hAnsi="宋体" w:hint="eastAsia"/>
                          <w:sz w:val="18"/>
                          <w:szCs w:val="18"/>
                        </w:rPr>
                        <w:t>提出合理化的建议。</w:t>
                      </w:r>
                    </w:p>
                  </w:txbxContent>
                </v:textbox>
              </v:shape>
            </w:pict>
          </mc:Fallback>
        </mc:AlternateContent>
      </w:r>
    </w:p>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pPr>
    </w:p>
    <w:p>
      <w:pPr>
        <w:spacing w:line="360" w:lineRule="auto"/>
        <w:jc w:val="center"/>
        <w:rPr>
          <w:rFonts w:asciiTheme="minorEastAsia" w:hAnsiTheme="minorEastAsia" w:cs="Times New Roman"/>
          <w:b/>
          <w:szCs w:val="21"/>
        </w:rPr>
      </w:pPr>
      <w:r>
        <w:rPr>
          <w:rFonts w:asciiTheme="minorEastAsia" w:hAnsiTheme="minorEastAsia" w:cs="Times New Roman" w:hint="eastAsia"/>
          <w:b/>
          <w:szCs w:val="21"/>
        </w:rPr>
        <w:t>图2-1 研究思路结构图</w:t>
      </w:r>
    </w:p>
    <w:p>
      <w:pPr>
        <w:pStyle w:val="Heading2"/>
      </w:pPr>
      <w:bookmarkStart w:id="7" w:name="_Toc70685781"/>
      <w:r>
        <w:rPr>
          <w:rFonts w:hint="eastAsia"/>
        </w:rPr>
        <w:t>研究方法</w:t>
      </w:r>
      <w:bookmarkEnd w:id="7"/>
    </w:p>
    <w:p>
      <w:pPr>
        <w:pStyle w:val="ListParagraph"/>
        <w:numPr>
          <w:ilvl w:val="0"/>
          <w:numId w:val="10"/>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问卷调查法</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（1）变量操作化与问卷设计</w:t>
      </w:r>
    </w:p>
    <w:p>
      <w:pPr>
        <w:spacing w:line="360" w:lineRule="auto"/>
        <w:ind w:firstLine="480" w:firstLineChars="200"/>
        <w:rPr>
          <w:rFonts w:ascii="宋体" w:hAnsi="宋体"/>
          <w:sz w:val="24"/>
          <w:szCs w:val="24"/>
        </w:rPr>
        <w:sectPr>
          <w:footerReference w:type="default" r:id="rId14"/>
          <w:footnotePr>
            <w:numFmt w:val="decimalEnclosedCircleChinese"/>
            <w:numRestart w:val="eachPage"/>
          </w:footnotePr>
          <w:type w:val="nextPage"/>
          <w:pgSz w:w="11906" w:h="16838"/>
          <w:pgMar w:top="1440" w:right="1800" w:bottom="1440" w:left="1800" w:header="851" w:footer="992" w:gutter="0"/>
          <w:pgNumType w:start="8"/>
          <w:cols w:num="1" w:space="425"/>
          <w:titlePg w:val="0"/>
          <w:docGrid w:type="lines" w:linePitch="312" w:charSpace="0"/>
        </w:sectPr>
      </w:pPr>
      <w:r>
        <w:rPr>
          <w:rFonts w:asciiTheme="minorEastAsia" w:hAnsiTheme="minorEastAsia" w:cs="Times New Roman" w:hint="eastAsia"/>
          <w:sz w:val="24"/>
          <w:szCs w:val="24"/>
        </w:rPr>
        <w:t>此次问卷</w:t>
      </w:r>
      <w:r>
        <w:rPr>
          <w:rFonts w:ascii="宋体" w:hAnsi="宋体" w:hint="eastAsia"/>
          <w:sz w:val="24"/>
          <w:szCs w:val="24"/>
        </w:rPr>
        <w:t>将借助已有可行的部分问卷（已有的北京志愿者协会和石牌街家庭综合服务中心的志愿者问卷以及利他人格自陈量表）来编制一份问卷。计划将问卷投放在</w:t>
      </w:r>
      <w:r>
        <w:rPr>
          <w:rFonts w:ascii="宋体" w:hAnsi="宋体" w:hint="eastAsia"/>
          <w:sz w:val="24"/>
          <w:szCs w:val="24"/>
          <w:lang w:eastAsia="zh-CN"/>
        </w:rPr>
        <w:t>S</w:t>
      </w:r>
    </w:p>
    <w:p>
      <w:pPr>
        <w:spacing w:line="360" w:lineRule="auto"/>
        <w:ind w:firstLine="480" w:firstLineChars="200"/>
        <w:rPr>
          <w:rFonts w:ascii="宋体" w:hAnsi="宋体"/>
          <w:sz w:val="24"/>
          <w:szCs w:val="24"/>
        </w:rPr>
      </w:pPr>
      <w:r>
        <w:rPr>
          <w:rFonts w:ascii="宋体" w:hAnsi="宋体" w:hint="eastAsia"/>
          <w:sz w:val="24"/>
          <w:szCs w:val="24"/>
        </w:rPr>
        <w:t>大学内，预计收集200份有效问卷，使用问卷星自制网络问卷进行数据搜集。仅仅以定性分析和观察为主要方式的社会调查方法已经不能满足人们分析解释社会现象的需要，所以问卷调查方法的出现使得以量堆积起来的数据资料更能准确描述出较为普遍的社会现象。对于大学生志愿服务行为的调查需要分析大学生的群体共性，而不仅仅是找到个案的特点，所以问卷调查法较为适用，可以帮助本文发现大多数调查对象的行为特征。调查之前，笔者将抽象的不可见因素进行概念操作化，转变为可从实际行为中观察到的行为现象或调查对象个体能够表达出来的心理感受描述。本文的变量选择与问卷设计根据下表的评估指标体系进行：</w:t>
      </w:r>
    </w:p>
    <w:p>
      <w:pPr>
        <w:spacing w:line="360" w:lineRule="auto"/>
        <w:jc w:val="center"/>
        <w:rPr>
          <w:rFonts w:ascii="黑体" w:eastAsia="黑体" w:hAnsi="黑体" w:cs="Times New Roman"/>
          <w:b/>
          <w:szCs w:val="21"/>
        </w:rPr>
      </w:pPr>
      <w:r>
        <w:rPr>
          <w:rFonts w:ascii="黑体" w:eastAsia="黑体" w:hAnsi="黑体" w:cs="Times New Roman" w:hint="eastAsia"/>
          <w:b/>
          <w:szCs w:val="21"/>
        </w:rPr>
        <w:t>表2-1 大学生志愿服务行为及影响因素综合评估指标体系</w:t>
      </w:r>
    </w:p>
    <w:tbl>
      <w:tblPr>
        <w:tblStyle w:val="TableGrid0"/>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40"/>
        <w:gridCol w:w="2841"/>
        <w:gridCol w:w="2841"/>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86"/>
        </w:trPr>
        <w:tc>
          <w:tcPr>
            <w:tcW w:w="2840" w:type="dxa"/>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一级指标</w:t>
            </w:r>
          </w:p>
        </w:tc>
        <w:tc>
          <w:tcPr>
            <w:tcW w:w="2841" w:type="dxa"/>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二级指标</w:t>
            </w:r>
          </w:p>
        </w:tc>
        <w:tc>
          <w:tcPr>
            <w:tcW w:w="2841" w:type="dxa"/>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操作化问题</w:t>
            </w:r>
          </w:p>
        </w:tc>
      </w:tr>
      <w:tr>
        <w:tblPrEx>
          <w:tblW w:w="8522" w:type="dxa"/>
          <w:tblInd w:w="0" w:type="dxa"/>
          <w:tblCellMar>
            <w:top w:w="0" w:type="dxa"/>
            <w:left w:w="108" w:type="dxa"/>
            <w:bottom w:w="0" w:type="dxa"/>
            <w:right w:w="108" w:type="dxa"/>
          </w:tblCellMar>
        </w:tblPrEx>
        <w:trPr>
          <w:trHeight w:val="692"/>
        </w:trPr>
        <w:tc>
          <w:tcPr>
            <w:tcW w:w="2840"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微观层面</w:t>
            </w:r>
          </w:p>
        </w:tc>
        <w:tc>
          <w:tcPr>
            <w:tcW w:w="2841" w:type="dxa"/>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个人基本情况</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性别</w:t>
            </w:r>
            <w:r>
              <w:rPr>
                <w:rFonts w:asciiTheme="minorEastAsia" w:hAnsiTheme="minorEastAsia" w:cs="Times New Roman" w:hint="eastAsia"/>
                <w:sz w:val="18"/>
                <w:szCs w:val="18"/>
              </w:rPr>
              <w:t>、</w:t>
            </w:r>
            <w:r>
              <w:rPr>
                <w:rFonts w:asciiTheme="minorEastAsia" w:hAnsiTheme="minorEastAsia" w:cs="Times New Roman"/>
                <w:sz w:val="18"/>
                <w:szCs w:val="18"/>
              </w:rPr>
              <w:t>年级</w:t>
            </w:r>
            <w:r>
              <w:rPr>
                <w:rFonts w:asciiTheme="minorEastAsia" w:hAnsiTheme="minorEastAsia" w:cs="Times New Roman" w:hint="eastAsia"/>
                <w:sz w:val="18"/>
                <w:szCs w:val="18"/>
              </w:rPr>
              <w:t>、</w:t>
            </w:r>
            <w:r>
              <w:rPr>
                <w:rFonts w:asciiTheme="minorEastAsia" w:hAnsiTheme="minorEastAsia" w:cs="Times New Roman"/>
                <w:sz w:val="18"/>
                <w:szCs w:val="18"/>
              </w:rPr>
              <w:t>政治面貌</w:t>
            </w:r>
            <w:r>
              <w:rPr>
                <w:rFonts w:asciiTheme="minorEastAsia" w:hAnsiTheme="minorEastAsia" w:cs="Times New Roman" w:hint="eastAsia"/>
                <w:sz w:val="18"/>
                <w:szCs w:val="18"/>
              </w:rPr>
              <w:t>、</w:t>
            </w:r>
          </w:p>
          <w:p>
            <w:pPr>
              <w:jc w:val="center"/>
              <w:rPr>
                <w:rFonts w:asciiTheme="minorEastAsia" w:hAnsiTheme="minorEastAsia" w:cs="Times New Roman"/>
                <w:sz w:val="18"/>
                <w:szCs w:val="18"/>
              </w:rPr>
            </w:pPr>
            <w:r>
              <w:rPr>
                <w:rFonts w:asciiTheme="minorEastAsia" w:hAnsiTheme="minorEastAsia" w:cs="Times New Roman"/>
                <w:sz w:val="18"/>
                <w:szCs w:val="18"/>
              </w:rPr>
              <w:t>所学专业类型</w:t>
            </w:r>
          </w:p>
        </w:tc>
      </w:tr>
      <w:tr>
        <w:tblPrEx>
          <w:tblW w:w="8522" w:type="dxa"/>
          <w:tblInd w:w="0" w:type="dxa"/>
          <w:tblCellMar>
            <w:top w:w="0" w:type="dxa"/>
            <w:left w:w="108" w:type="dxa"/>
            <w:bottom w:w="0" w:type="dxa"/>
            <w:right w:w="108" w:type="dxa"/>
          </w:tblCellMar>
        </w:tblPrEx>
        <w:trPr>
          <w:trHeight w:val="692"/>
        </w:trPr>
        <w:tc>
          <w:tcPr>
            <w:tcW w:w="2840" w:type="dxa"/>
            <w:vMerge/>
          </w:tcPr>
          <w:p>
            <w:pPr>
              <w:spacing w:line="360" w:lineRule="auto"/>
              <w:jc w:val="center"/>
              <w:rPr>
                <w:rFonts w:asciiTheme="minorEastAsia" w:hAnsiTheme="minorEastAsia" w:cs="Times New Roman"/>
                <w:sz w:val="18"/>
                <w:szCs w:val="18"/>
              </w:rPr>
            </w:pPr>
          </w:p>
        </w:tc>
        <w:tc>
          <w:tcPr>
            <w:tcW w:w="2841" w:type="dxa"/>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志愿服务行为现状</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服务的起因</w:t>
            </w:r>
            <w:r>
              <w:rPr>
                <w:rFonts w:asciiTheme="minorEastAsia" w:hAnsiTheme="minorEastAsia" w:cs="Times New Roman" w:hint="eastAsia"/>
                <w:sz w:val="18"/>
                <w:szCs w:val="18"/>
              </w:rPr>
              <w:t>、</w:t>
            </w:r>
            <w:r>
              <w:rPr>
                <w:rFonts w:asciiTheme="minorEastAsia" w:hAnsiTheme="minorEastAsia" w:cs="Times New Roman"/>
                <w:sz w:val="18"/>
                <w:szCs w:val="18"/>
              </w:rPr>
              <w:t>持续时间</w:t>
            </w:r>
            <w:r>
              <w:rPr>
                <w:rFonts w:asciiTheme="minorEastAsia" w:hAnsiTheme="minorEastAsia" w:cs="Times New Roman" w:hint="eastAsia"/>
                <w:sz w:val="18"/>
                <w:szCs w:val="18"/>
              </w:rPr>
              <w:t>、</w:t>
            </w:r>
            <w:r>
              <w:rPr>
                <w:rFonts w:asciiTheme="minorEastAsia" w:hAnsiTheme="minorEastAsia" w:cs="Times New Roman"/>
                <w:sz w:val="18"/>
                <w:szCs w:val="18"/>
              </w:rPr>
              <w:t>频率</w:t>
            </w:r>
            <w:r>
              <w:rPr>
                <w:rFonts w:asciiTheme="minorEastAsia" w:hAnsiTheme="minorEastAsia" w:cs="Times New Roman" w:hint="eastAsia"/>
                <w:sz w:val="18"/>
                <w:szCs w:val="18"/>
              </w:rPr>
              <w:t>、</w:t>
            </w:r>
          </w:p>
          <w:p>
            <w:pPr>
              <w:jc w:val="center"/>
              <w:rPr>
                <w:rFonts w:asciiTheme="minorEastAsia" w:hAnsiTheme="minorEastAsia" w:cs="Times New Roman"/>
                <w:sz w:val="18"/>
                <w:szCs w:val="18"/>
              </w:rPr>
            </w:pPr>
            <w:r>
              <w:rPr>
                <w:rFonts w:asciiTheme="minorEastAsia" w:hAnsiTheme="minorEastAsia" w:cs="Times New Roman"/>
                <w:sz w:val="18"/>
                <w:szCs w:val="18"/>
              </w:rPr>
              <w:t>类型</w:t>
            </w:r>
          </w:p>
        </w:tc>
      </w:tr>
      <w:tr>
        <w:tblPrEx>
          <w:tblW w:w="8522" w:type="dxa"/>
          <w:tblInd w:w="0" w:type="dxa"/>
          <w:tblCellMar>
            <w:top w:w="0" w:type="dxa"/>
            <w:left w:w="108" w:type="dxa"/>
            <w:bottom w:w="0" w:type="dxa"/>
            <w:right w:w="108" w:type="dxa"/>
          </w:tblCellMar>
        </w:tblPrEx>
        <w:trPr>
          <w:trHeight w:val="513"/>
        </w:trPr>
        <w:tc>
          <w:tcPr>
            <w:tcW w:w="2840" w:type="dxa"/>
            <w:vMerge/>
          </w:tcPr>
          <w:p>
            <w:pPr>
              <w:spacing w:line="360" w:lineRule="auto"/>
              <w:jc w:val="center"/>
              <w:rPr>
                <w:rFonts w:asciiTheme="minorEastAsia" w:hAnsiTheme="minorEastAsia" w:cs="Times New Roman"/>
                <w:sz w:val="18"/>
                <w:szCs w:val="18"/>
              </w:rPr>
            </w:pPr>
          </w:p>
        </w:tc>
        <w:tc>
          <w:tcPr>
            <w:tcW w:w="2841" w:type="dxa"/>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重要性认知</w:t>
            </w:r>
            <w:r>
              <w:rPr>
                <w:rFonts w:asciiTheme="minorEastAsia" w:hAnsiTheme="minorEastAsia" w:cs="Times New Roman" w:hint="eastAsia"/>
                <w:sz w:val="18"/>
                <w:szCs w:val="18"/>
              </w:rPr>
              <w:t>/关注度</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对于社会上志愿服务的关注程度</w:t>
            </w:r>
          </w:p>
        </w:tc>
      </w:tr>
      <w:tr>
        <w:tblPrEx>
          <w:tblW w:w="8522" w:type="dxa"/>
          <w:tblInd w:w="0" w:type="dxa"/>
          <w:tblCellMar>
            <w:top w:w="0" w:type="dxa"/>
            <w:left w:w="108" w:type="dxa"/>
            <w:bottom w:w="0" w:type="dxa"/>
            <w:right w:w="108" w:type="dxa"/>
          </w:tblCellMar>
        </w:tblPrEx>
        <w:trPr>
          <w:trHeight w:val="739"/>
        </w:trPr>
        <w:tc>
          <w:tcPr>
            <w:tcW w:w="2840" w:type="dxa"/>
            <w:vMerge/>
          </w:tcPr>
          <w:p>
            <w:pPr>
              <w:spacing w:line="360" w:lineRule="auto"/>
              <w:jc w:val="center"/>
              <w:rPr>
                <w:rFonts w:asciiTheme="minorEastAsia" w:hAnsiTheme="minorEastAsia" w:cs="Times New Roman"/>
                <w:sz w:val="18"/>
                <w:szCs w:val="18"/>
              </w:rPr>
            </w:pP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志愿服务的</w:t>
            </w:r>
          </w:p>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促进或阻碍因素</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吸引参加志愿服务活动的因素</w:t>
            </w:r>
          </w:p>
        </w:tc>
      </w:tr>
      <w:tr>
        <w:tblPrEx>
          <w:tblW w:w="8522" w:type="dxa"/>
          <w:tblInd w:w="0" w:type="dxa"/>
          <w:tblCellMar>
            <w:top w:w="0" w:type="dxa"/>
            <w:left w:w="108" w:type="dxa"/>
            <w:bottom w:w="0" w:type="dxa"/>
            <w:right w:w="108" w:type="dxa"/>
          </w:tblCellMar>
        </w:tblPrEx>
        <w:trPr>
          <w:trHeight w:val="368"/>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阻碍做志愿者的原因</w:t>
            </w:r>
          </w:p>
        </w:tc>
      </w:tr>
      <w:tr>
        <w:tblPrEx>
          <w:tblW w:w="8522" w:type="dxa"/>
          <w:tblInd w:w="0" w:type="dxa"/>
          <w:tblCellMar>
            <w:top w:w="0" w:type="dxa"/>
            <w:left w:w="108" w:type="dxa"/>
            <w:bottom w:w="0" w:type="dxa"/>
            <w:right w:w="108" w:type="dxa"/>
          </w:tblCellMar>
        </w:tblPrEx>
        <w:trPr>
          <w:trHeight w:val="367"/>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对志愿服务补贴的看法</w:t>
            </w:r>
          </w:p>
        </w:tc>
      </w:tr>
      <w:tr>
        <w:tblPrEx>
          <w:tblW w:w="8522" w:type="dxa"/>
          <w:tblInd w:w="0" w:type="dxa"/>
          <w:tblCellMar>
            <w:top w:w="0" w:type="dxa"/>
            <w:left w:w="108" w:type="dxa"/>
            <w:bottom w:w="0" w:type="dxa"/>
            <w:right w:w="108" w:type="dxa"/>
          </w:tblCellMar>
        </w:tblPrEx>
        <w:trPr>
          <w:trHeight w:val="586"/>
        </w:trPr>
        <w:tc>
          <w:tcPr>
            <w:tcW w:w="2840" w:type="dxa"/>
            <w:vMerge/>
          </w:tcPr>
          <w:p>
            <w:pPr>
              <w:spacing w:line="360" w:lineRule="auto"/>
              <w:jc w:val="center"/>
              <w:rPr>
                <w:rFonts w:asciiTheme="minorEastAsia" w:hAnsiTheme="minorEastAsia" w:cs="Times New Roman"/>
                <w:sz w:val="18"/>
                <w:szCs w:val="18"/>
              </w:rPr>
            </w:pPr>
          </w:p>
        </w:tc>
        <w:tc>
          <w:tcPr>
            <w:tcW w:w="2841" w:type="dxa"/>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成效认知</w:t>
            </w:r>
          </w:p>
        </w:tc>
        <w:tc>
          <w:tcPr>
            <w:tcW w:w="2841" w:type="dxa"/>
          </w:tcPr>
          <w:p>
            <w:pPr>
              <w:jc w:val="center"/>
              <w:rPr>
                <w:rFonts w:asciiTheme="minorEastAsia" w:hAnsiTheme="minorEastAsia" w:cs="Times New Roman"/>
                <w:sz w:val="18"/>
                <w:szCs w:val="18"/>
              </w:rPr>
            </w:pPr>
            <w:r>
              <w:rPr>
                <w:rFonts w:asciiTheme="minorEastAsia" w:hAnsiTheme="minorEastAsia" w:cs="Times New Roman" w:hint="eastAsia"/>
                <w:sz w:val="18"/>
                <w:szCs w:val="18"/>
              </w:rPr>
              <w:t>认为</w:t>
            </w:r>
            <w:r>
              <w:rPr>
                <w:rFonts w:asciiTheme="minorEastAsia" w:hAnsiTheme="minorEastAsia" w:cs="Times New Roman"/>
                <w:sz w:val="18"/>
                <w:szCs w:val="18"/>
              </w:rPr>
              <w:t>自己所参加的大部分志愿活动效果如何</w:t>
            </w:r>
          </w:p>
        </w:tc>
      </w:tr>
      <w:tr>
        <w:tblPrEx>
          <w:tblW w:w="8522" w:type="dxa"/>
          <w:tblInd w:w="0" w:type="dxa"/>
          <w:tblCellMar>
            <w:top w:w="0" w:type="dxa"/>
            <w:left w:w="108" w:type="dxa"/>
            <w:bottom w:w="0" w:type="dxa"/>
            <w:right w:w="108" w:type="dxa"/>
          </w:tblCellMar>
        </w:tblPrEx>
        <w:trPr>
          <w:trHeight w:val="327"/>
        </w:trPr>
        <w:tc>
          <w:tcPr>
            <w:tcW w:w="2840" w:type="dxa"/>
            <w:vMerge/>
          </w:tcPr>
          <w:p>
            <w:pPr>
              <w:spacing w:line="360" w:lineRule="auto"/>
              <w:jc w:val="center"/>
              <w:rPr>
                <w:rFonts w:asciiTheme="minorEastAsia" w:hAnsiTheme="minorEastAsia" w:cs="Times New Roman"/>
                <w:sz w:val="18"/>
                <w:szCs w:val="18"/>
              </w:rPr>
            </w:pP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心理状态</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参加活动的心理感受</w:t>
            </w:r>
          </w:p>
        </w:tc>
      </w:tr>
      <w:tr>
        <w:tblPrEx>
          <w:tblW w:w="8522" w:type="dxa"/>
          <w:tblInd w:w="0" w:type="dxa"/>
          <w:tblCellMar>
            <w:top w:w="0" w:type="dxa"/>
            <w:left w:w="108" w:type="dxa"/>
            <w:bottom w:w="0" w:type="dxa"/>
            <w:right w:w="108" w:type="dxa"/>
          </w:tblCellMar>
        </w:tblPrEx>
        <w:trPr>
          <w:trHeight w:val="326"/>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如何看待志愿服务经历对生活的影响</w:t>
            </w:r>
          </w:p>
        </w:tc>
      </w:tr>
      <w:tr>
        <w:tblPrEx>
          <w:tblW w:w="8522" w:type="dxa"/>
          <w:tblInd w:w="0" w:type="dxa"/>
          <w:tblCellMar>
            <w:top w:w="0" w:type="dxa"/>
            <w:left w:w="108" w:type="dxa"/>
            <w:bottom w:w="0" w:type="dxa"/>
            <w:right w:w="108" w:type="dxa"/>
          </w:tblCellMar>
        </w:tblPrEx>
        <w:trPr>
          <w:trHeight w:val="293"/>
        </w:trPr>
        <w:tc>
          <w:tcPr>
            <w:tcW w:w="2840"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中观层面</w:t>
            </w: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同辈群体</w:t>
            </w:r>
          </w:p>
        </w:tc>
        <w:tc>
          <w:tcPr>
            <w:tcW w:w="2841" w:type="dxa"/>
          </w:tcPr>
          <w:p>
            <w:pPr>
              <w:jc w:val="center"/>
              <w:rPr>
                <w:rFonts w:asciiTheme="minorEastAsia" w:hAnsiTheme="minorEastAsia" w:cs="Times New Roman"/>
                <w:sz w:val="18"/>
                <w:szCs w:val="18"/>
              </w:rPr>
            </w:pPr>
            <w:r>
              <w:rPr>
                <w:rFonts w:asciiTheme="minorEastAsia" w:hAnsiTheme="minorEastAsia" w:cs="Times New Roman" w:hint="eastAsia"/>
                <w:sz w:val="18"/>
                <w:szCs w:val="18"/>
              </w:rPr>
              <w:t>同学或朋友的志愿服务行为频次</w:t>
            </w:r>
          </w:p>
        </w:tc>
      </w:tr>
      <w:tr>
        <w:tblPrEx>
          <w:tblW w:w="8522" w:type="dxa"/>
          <w:tblInd w:w="0" w:type="dxa"/>
          <w:tblCellMar>
            <w:top w:w="0" w:type="dxa"/>
            <w:left w:w="108" w:type="dxa"/>
            <w:bottom w:w="0" w:type="dxa"/>
            <w:right w:w="108" w:type="dxa"/>
          </w:tblCellMar>
        </w:tblPrEx>
        <w:trPr>
          <w:trHeight w:val="292"/>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hint="eastAsia"/>
                <w:sz w:val="18"/>
                <w:szCs w:val="18"/>
              </w:rPr>
              <w:t>同学或朋友对于志愿服务的支持度/看法</w:t>
            </w:r>
          </w:p>
        </w:tc>
      </w:tr>
      <w:tr>
        <w:tblPrEx>
          <w:tblW w:w="8522" w:type="dxa"/>
          <w:tblInd w:w="0" w:type="dxa"/>
          <w:tblCellMar>
            <w:top w:w="0" w:type="dxa"/>
            <w:left w:w="108" w:type="dxa"/>
            <w:bottom w:w="0" w:type="dxa"/>
            <w:right w:w="108" w:type="dxa"/>
          </w:tblCellMar>
        </w:tblPrEx>
        <w:trPr>
          <w:trHeight w:val="293"/>
        </w:trPr>
        <w:tc>
          <w:tcPr>
            <w:tcW w:w="2840" w:type="dxa"/>
            <w:vMerge/>
          </w:tcPr>
          <w:p>
            <w:pPr>
              <w:spacing w:line="360" w:lineRule="auto"/>
              <w:jc w:val="center"/>
              <w:rPr>
                <w:rFonts w:asciiTheme="minorEastAsia" w:hAnsiTheme="minorEastAsia" w:cs="Times New Roman"/>
                <w:sz w:val="18"/>
                <w:szCs w:val="18"/>
              </w:rPr>
            </w:pP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学校影响</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校内志愿服务活动的丰富程度</w:t>
            </w:r>
          </w:p>
        </w:tc>
      </w:tr>
      <w:tr>
        <w:tblPrEx>
          <w:tblW w:w="8522" w:type="dxa"/>
          <w:tblInd w:w="0" w:type="dxa"/>
          <w:tblCellMar>
            <w:top w:w="0" w:type="dxa"/>
            <w:left w:w="108" w:type="dxa"/>
            <w:bottom w:w="0" w:type="dxa"/>
            <w:right w:w="108" w:type="dxa"/>
          </w:tblCellMar>
        </w:tblPrEx>
        <w:trPr>
          <w:trHeight w:val="292"/>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校内对于志愿服务成绩突出者的奖励设置</w:t>
            </w:r>
          </w:p>
        </w:tc>
      </w:tr>
      <w:tr>
        <w:tblPrEx>
          <w:tblW w:w="8522" w:type="dxa"/>
          <w:tblInd w:w="0" w:type="dxa"/>
          <w:tblCellMar>
            <w:top w:w="0" w:type="dxa"/>
            <w:left w:w="108" w:type="dxa"/>
            <w:bottom w:w="0" w:type="dxa"/>
            <w:right w:w="108" w:type="dxa"/>
          </w:tblCellMar>
        </w:tblPrEx>
        <w:trPr>
          <w:trHeight w:val="195"/>
        </w:trPr>
        <w:tc>
          <w:tcPr>
            <w:tcW w:w="2840" w:type="dxa"/>
            <w:vMerge/>
          </w:tcPr>
          <w:p>
            <w:pPr>
              <w:spacing w:line="360" w:lineRule="auto"/>
              <w:jc w:val="center"/>
              <w:rPr>
                <w:rFonts w:asciiTheme="minorEastAsia" w:hAnsiTheme="minorEastAsia" w:cs="Times New Roman"/>
                <w:sz w:val="18"/>
                <w:szCs w:val="18"/>
              </w:rPr>
            </w:pP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家庭影响</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居住地范围</w:t>
            </w:r>
          </w:p>
        </w:tc>
      </w:tr>
      <w:tr>
        <w:tblPrEx>
          <w:tblW w:w="8522" w:type="dxa"/>
          <w:tblInd w:w="0" w:type="dxa"/>
          <w:tblCellMar>
            <w:top w:w="0" w:type="dxa"/>
            <w:left w:w="108" w:type="dxa"/>
            <w:bottom w:w="0" w:type="dxa"/>
            <w:right w:w="108" w:type="dxa"/>
          </w:tblCellMar>
        </w:tblPrEx>
        <w:trPr>
          <w:trHeight w:val="195"/>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家庭经济情况</w:t>
            </w:r>
          </w:p>
        </w:tc>
      </w:tr>
      <w:tr>
        <w:tblPrEx>
          <w:tblW w:w="8522" w:type="dxa"/>
          <w:tblInd w:w="0" w:type="dxa"/>
          <w:tblCellMar>
            <w:top w:w="0" w:type="dxa"/>
            <w:left w:w="108" w:type="dxa"/>
            <w:bottom w:w="0" w:type="dxa"/>
            <w:right w:w="108" w:type="dxa"/>
          </w:tblCellMar>
        </w:tblPrEx>
        <w:trPr>
          <w:trHeight w:val="195"/>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家人对于志愿服务行为的支持程度</w:t>
            </w:r>
          </w:p>
        </w:tc>
      </w:tr>
      <w:tr>
        <w:tblPrEx>
          <w:tblW w:w="8522" w:type="dxa"/>
          <w:tblInd w:w="0" w:type="dxa"/>
          <w:tblCellMar>
            <w:top w:w="0" w:type="dxa"/>
            <w:left w:w="108" w:type="dxa"/>
            <w:bottom w:w="0" w:type="dxa"/>
            <w:right w:w="108" w:type="dxa"/>
          </w:tblCellMar>
        </w:tblPrEx>
        <w:trPr>
          <w:trHeight w:val="293"/>
        </w:trPr>
        <w:tc>
          <w:tcPr>
            <w:tcW w:w="2840" w:type="dxa"/>
            <w:vMerge/>
          </w:tcPr>
          <w:p>
            <w:pPr>
              <w:spacing w:line="360" w:lineRule="auto"/>
              <w:jc w:val="center"/>
              <w:rPr>
                <w:rFonts w:asciiTheme="minorEastAsia" w:hAnsiTheme="minorEastAsia" w:cs="Times New Roman"/>
                <w:sz w:val="18"/>
                <w:szCs w:val="18"/>
              </w:rPr>
            </w:pP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社区影响</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社区内的志愿服务宣传类型</w:t>
            </w:r>
          </w:p>
        </w:tc>
      </w:tr>
      <w:tr>
        <w:tblPrEx>
          <w:tblW w:w="8522" w:type="dxa"/>
          <w:tblInd w:w="0" w:type="dxa"/>
          <w:tblCellMar>
            <w:top w:w="0" w:type="dxa"/>
            <w:left w:w="108" w:type="dxa"/>
            <w:bottom w:w="0" w:type="dxa"/>
            <w:right w:w="108" w:type="dxa"/>
          </w:tblCellMar>
        </w:tblPrEx>
        <w:trPr>
          <w:trHeight w:val="292"/>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社区内是否有自发组织的志愿团队或项目</w:t>
            </w:r>
          </w:p>
        </w:tc>
      </w:tr>
      <w:tr>
        <w:tblPrEx>
          <w:tblW w:w="8522" w:type="dxa"/>
          <w:tblInd w:w="0" w:type="dxa"/>
          <w:tblCellMar>
            <w:top w:w="0" w:type="dxa"/>
            <w:left w:w="108" w:type="dxa"/>
            <w:bottom w:w="0" w:type="dxa"/>
            <w:right w:w="108" w:type="dxa"/>
          </w:tblCellMar>
        </w:tblPrEx>
        <w:trPr>
          <w:trHeight w:val="293"/>
        </w:trPr>
        <w:tc>
          <w:tcPr>
            <w:tcW w:w="2840"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宏观层面</w:t>
            </w: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社会认可度</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社会上志愿服务宣传的频次</w:t>
            </w:r>
          </w:p>
        </w:tc>
      </w:tr>
      <w:tr>
        <w:tblPrEx>
          <w:tblW w:w="8522" w:type="dxa"/>
          <w:tblInd w:w="0" w:type="dxa"/>
          <w:tblCellMar>
            <w:top w:w="0" w:type="dxa"/>
            <w:left w:w="108" w:type="dxa"/>
            <w:bottom w:w="0" w:type="dxa"/>
            <w:right w:w="108" w:type="dxa"/>
          </w:tblCellMar>
        </w:tblPrEx>
        <w:trPr>
          <w:trHeight w:val="292"/>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大多数社会成员对于志愿者的看法</w:t>
            </w:r>
          </w:p>
        </w:tc>
      </w:tr>
      <w:tr>
        <w:tblPrEx>
          <w:tblW w:w="8522" w:type="dxa"/>
          <w:tblInd w:w="0" w:type="dxa"/>
          <w:tblCellMar>
            <w:top w:w="0" w:type="dxa"/>
            <w:left w:w="108" w:type="dxa"/>
            <w:bottom w:w="0" w:type="dxa"/>
            <w:right w:w="108" w:type="dxa"/>
          </w:tblCellMar>
        </w:tblPrEx>
        <w:trPr>
          <w:trHeight w:val="195"/>
        </w:trPr>
        <w:tc>
          <w:tcPr>
            <w:tcW w:w="2840" w:type="dxa"/>
            <w:vMerge/>
          </w:tcPr>
          <w:p>
            <w:pPr>
              <w:spacing w:line="360" w:lineRule="auto"/>
              <w:jc w:val="center"/>
              <w:rPr>
                <w:rFonts w:asciiTheme="minorEastAsia" w:hAnsiTheme="minorEastAsia" w:cs="Times New Roman"/>
                <w:sz w:val="18"/>
                <w:szCs w:val="18"/>
              </w:rPr>
            </w:pPr>
          </w:p>
        </w:tc>
        <w:tc>
          <w:tcPr>
            <w:tcW w:w="2841" w:type="dxa"/>
            <w:vMerge w:val="restart"/>
          </w:tcPr>
          <w:p>
            <w:pPr>
              <w:spacing w:line="360" w:lineRule="auto"/>
              <w:jc w:val="center"/>
              <w:rPr>
                <w:rFonts w:asciiTheme="minorEastAsia" w:hAnsiTheme="minorEastAsia" w:cs="Times New Roman"/>
                <w:sz w:val="18"/>
                <w:szCs w:val="18"/>
              </w:rPr>
            </w:pPr>
            <w:r>
              <w:rPr>
                <w:rFonts w:asciiTheme="minorEastAsia" w:hAnsiTheme="minorEastAsia" w:cs="Times New Roman"/>
                <w:sz w:val="18"/>
                <w:szCs w:val="18"/>
              </w:rPr>
              <w:t>国家相关政策与发展</w:t>
            </w: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志愿服务保障体系的类型</w:t>
            </w:r>
          </w:p>
        </w:tc>
      </w:tr>
      <w:tr>
        <w:tblPrEx>
          <w:tblW w:w="8522" w:type="dxa"/>
          <w:tblInd w:w="0" w:type="dxa"/>
          <w:tblCellMar>
            <w:top w:w="0" w:type="dxa"/>
            <w:left w:w="108" w:type="dxa"/>
            <w:bottom w:w="0" w:type="dxa"/>
            <w:right w:w="108" w:type="dxa"/>
          </w:tblCellMar>
        </w:tblPrEx>
        <w:trPr>
          <w:trHeight w:val="195"/>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各机关</w:t>
            </w:r>
            <w:r>
              <w:rPr>
                <w:rFonts w:asciiTheme="minorEastAsia" w:hAnsiTheme="minorEastAsia" w:cs="Times New Roman" w:hint="eastAsia"/>
                <w:sz w:val="18"/>
                <w:szCs w:val="18"/>
              </w:rPr>
              <w:t>、</w:t>
            </w:r>
            <w:r>
              <w:rPr>
                <w:rFonts w:asciiTheme="minorEastAsia" w:hAnsiTheme="minorEastAsia" w:cs="Times New Roman"/>
                <w:sz w:val="18"/>
                <w:szCs w:val="18"/>
              </w:rPr>
              <w:t>企业</w:t>
            </w:r>
            <w:r>
              <w:rPr>
                <w:rFonts w:asciiTheme="minorEastAsia" w:hAnsiTheme="minorEastAsia" w:cs="Times New Roman" w:hint="eastAsia"/>
                <w:sz w:val="18"/>
                <w:szCs w:val="18"/>
              </w:rPr>
              <w:t>、</w:t>
            </w:r>
            <w:r>
              <w:rPr>
                <w:rFonts w:asciiTheme="minorEastAsia" w:hAnsiTheme="minorEastAsia" w:cs="Times New Roman"/>
                <w:sz w:val="18"/>
                <w:szCs w:val="18"/>
              </w:rPr>
              <w:t>学校对于志愿服务活动成绩突出者的优先招收政策</w:t>
            </w:r>
          </w:p>
        </w:tc>
      </w:tr>
      <w:tr>
        <w:tblPrEx>
          <w:tblW w:w="8522" w:type="dxa"/>
          <w:tblInd w:w="0" w:type="dxa"/>
          <w:tblCellMar>
            <w:top w:w="0" w:type="dxa"/>
            <w:left w:w="108" w:type="dxa"/>
            <w:bottom w:w="0" w:type="dxa"/>
            <w:right w:w="108" w:type="dxa"/>
          </w:tblCellMar>
        </w:tblPrEx>
        <w:trPr>
          <w:trHeight w:val="195"/>
        </w:trPr>
        <w:tc>
          <w:tcPr>
            <w:tcW w:w="2840" w:type="dxa"/>
            <w:vMerge/>
          </w:tcPr>
          <w:p>
            <w:pPr>
              <w:spacing w:line="360" w:lineRule="auto"/>
              <w:jc w:val="center"/>
              <w:rPr>
                <w:rFonts w:asciiTheme="minorEastAsia" w:hAnsiTheme="minorEastAsia" w:cs="Times New Roman"/>
                <w:sz w:val="18"/>
                <w:szCs w:val="18"/>
              </w:rPr>
            </w:pPr>
          </w:p>
        </w:tc>
        <w:tc>
          <w:tcPr>
            <w:tcW w:w="2841" w:type="dxa"/>
            <w:vMerge/>
          </w:tcPr>
          <w:p>
            <w:pPr>
              <w:spacing w:line="360" w:lineRule="auto"/>
              <w:jc w:val="center"/>
              <w:rPr>
                <w:rFonts w:asciiTheme="minorEastAsia" w:hAnsiTheme="minorEastAsia" w:cs="Times New Roman"/>
                <w:sz w:val="18"/>
                <w:szCs w:val="18"/>
              </w:rPr>
            </w:pPr>
          </w:p>
        </w:tc>
        <w:tc>
          <w:tcPr>
            <w:tcW w:w="2841" w:type="dxa"/>
          </w:tcPr>
          <w:p>
            <w:pPr>
              <w:jc w:val="center"/>
              <w:rPr>
                <w:rFonts w:asciiTheme="minorEastAsia" w:hAnsiTheme="minorEastAsia" w:cs="Times New Roman"/>
                <w:sz w:val="18"/>
                <w:szCs w:val="18"/>
              </w:rPr>
            </w:pPr>
            <w:r>
              <w:rPr>
                <w:rFonts w:asciiTheme="minorEastAsia" w:hAnsiTheme="minorEastAsia" w:cs="Times New Roman"/>
                <w:sz w:val="18"/>
                <w:szCs w:val="18"/>
              </w:rPr>
              <w:t>中国志愿服务的未来发展趋势</w:t>
            </w:r>
          </w:p>
        </w:tc>
      </w:tr>
    </w:tbl>
    <w:p>
      <w:pPr>
        <w:sectPr>
          <w:footerReference w:type="default" r:id="rId15"/>
          <w:footnotePr>
            <w:numFmt w:val="decimalEnclosedCircleChinese"/>
            <w:numRestart w:val="eachPage"/>
          </w:footnotePr>
          <w:type w:val="nextPage"/>
          <w:pgSz w:w="11906" w:h="16838"/>
          <w:pgMar w:top="1440" w:right="1800" w:bottom="1440" w:left="1800" w:header="851" w:footer="992" w:gutter="0"/>
          <w:pgNumType w:start="9"/>
          <w:cols w:num="1" w:space="425"/>
          <w:titlePg w:val="0"/>
          <w:docGrid w:type="lines" w:linePitch="312" w:charSpace="0"/>
        </w:sectPr>
      </w:pP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样本抽样</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①偶遇抽样法</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sz w:val="24"/>
          <w:szCs w:val="24"/>
        </w:rPr>
        <w:t>偶遇抽样又称为随意抽样</w:t>
      </w:r>
      <w:r>
        <w:rPr>
          <w:rFonts w:asciiTheme="minorEastAsia" w:hAnsiTheme="minorEastAsia" w:cs="Times New Roman" w:hint="eastAsia"/>
          <w:sz w:val="24"/>
          <w:szCs w:val="24"/>
        </w:rPr>
        <w:t>，</w:t>
      </w:r>
      <w:r>
        <w:rPr>
          <w:rFonts w:asciiTheme="minorEastAsia" w:hAnsiTheme="minorEastAsia" w:cs="Times New Roman"/>
          <w:sz w:val="24"/>
          <w:szCs w:val="24"/>
        </w:rPr>
        <w:t>在研究题目的引导下</w:t>
      </w:r>
      <w:r>
        <w:rPr>
          <w:rFonts w:asciiTheme="minorEastAsia" w:hAnsiTheme="minorEastAsia" w:cs="Times New Roman" w:hint="eastAsia"/>
          <w:sz w:val="24"/>
          <w:szCs w:val="24"/>
        </w:rPr>
        <w:t>，</w:t>
      </w:r>
      <w:r>
        <w:rPr>
          <w:rFonts w:asciiTheme="minorEastAsia" w:hAnsiTheme="minorEastAsia" w:cs="Times New Roman"/>
          <w:sz w:val="24"/>
          <w:szCs w:val="24"/>
        </w:rPr>
        <w:t>在一定的时间内和区域内随机挑选回答者的方法</w:t>
      </w:r>
      <w:r>
        <w:rPr>
          <w:rFonts w:asciiTheme="minorEastAsia" w:hAnsiTheme="minorEastAsia" w:cs="Times New Roman" w:hint="eastAsia"/>
          <w:sz w:val="24"/>
          <w:szCs w:val="24"/>
        </w:rPr>
        <w:t>。该方法方便数据资料的收集，但是并不能排除受调查者主观能动性大的干扰。作为在校大学生，为了数据资料收集的准确性，所以此次选择偶遇抽样的办法，在</w:t>
      </w:r>
      <w:r>
        <w:rPr>
          <w:rFonts w:asciiTheme="minorEastAsia" w:hAnsiTheme="minorEastAsia" w:cs="Times New Roman" w:hint="eastAsia"/>
          <w:sz w:val="24"/>
          <w:szCs w:val="24"/>
          <w:lang w:eastAsia="zh-CN"/>
        </w:rPr>
        <w:t>S</w:t>
      </w:r>
      <w:r>
        <w:rPr>
          <w:rFonts w:asciiTheme="minorEastAsia" w:hAnsiTheme="minorEastAsia" w:cs="Times New Roman" w:hint="eastAsia"/>
          <w:sz w:val="24"/>
          <w:szCs w:val="24"/>
        </w:rPr>
        <w:t>大学的学校区和生活区进行问卷收集。采用问卷星网络问卷，收集共计208份问卷，其中8份为无效问卷，最终有效率为96.2%。</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②滚雪球抽样法</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滚雪球抽样是指首先随机在调查范围之内，选择调查对象进行问卷调查或是访问，根据群体的同质性较高的特点，再由他们提供另外一些在研究范围内的对象，根据形成的一条或多条线索链选择此后的调查对象。此次在大学校园内结合该抽样法来收集数据是为了加快问卷回收的过程和提高问卷的质量，以免出现调查对象不符的情况。利用同班同学和室友的关系网络，扩大数据资料收集的范围，但是也存在调查对象群体同质性较高的缺点，一些数据有强烈的小团体特征。</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（3）数据处理与分析</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本次问卷中数据的分析，结合笔者已掌握的数据分析知识，借助问卷星已有的spss分析工具来进行。首先，针对个人基本情况方面的数据，列举出各项数据的频次和百分比，运用描述性统计表来展现样本的基本情况和志愿服务行为的现状（包括志愿服务行为的引发原因、持续时间、频率和类型）。其次，相关志愿服务行为的影响因素方面，运用描述性交叉表的形式呈现分析结果，以便更清楚地了解各影响因素与志愿服务行为的引发原因、持续时间、频率之间的关系。找到对于大学生志愿服务行为影响较为显著的因素，并利用其中的积极因素为促进大学生正向利他行为和正确道德观的培养找到更多对策。</w:t>
      </w:r>
    </w:p>
    <w:p>
      <w:pPr>
        <w:pStyle w:val="Heading1"/>
      </w:pPr>
      <w:bookmarkStart w:id="8" w:name="_Toc70685782"/>
      <w:r>
        <w:rPr>
          <w:rFonts w:hint="eastAsia"/>
        </w:rPr>
        <w:t>大学生志愿服务行为现状与影响因素分析</w:t>
      </w:r>
      <w:bookmarkEnd w:id="8"/>
    </w:p>
    <w:p>
      <w:pPr>
        <w:pStyle w:val="Heading2"/>
        <w:numPr>
          <w:numId w:val="6"/>
        </w:numPr>
      </w:pPr>
      <w:bookmarkStart w:id="9" w:name="_Toc70685783"/>
      <w:r>
        <w:rPr>
          <w:rFonts w:hint="eastAsia"/>
        </w:rPr>
        <w:t>样本基本情况</w:t>
      </w:r>
      <w:bookmarkEnd w:id="9"/>
    </w:p>
    <w:p>
      <w:pPr>
        <w:spacing w:line="360" w:lineRule="auto"/>
        <w:ind w:firstLine="480" w:firstLineChars="200"/>
        <w:rPr>
          <w:rFonts w:asciiTheme="minorEastAsia" w:hAnsiTheme="minorEastAsia" w:cs="Times New Roman"/>
          <w:sz w:val="24"/>
          <w:szCs w:val="24"/>
        </w:rPr>
        <w:sectPr>
          <w:footerReference w:type="default" r:id="rId16"/>
          <w:footnotePr>
            <w:numFmt w:val="decimalEnclosedCircleChinese"/>
            <w:numRestart w:val="eachPage"/>
          </w:footnotePr>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hAnsiTheme="minorEastAsia" w:cs="Times New Roman"/>
          <w:sz w:val="24"/>
          <w:szCs w:val="24"/>
        </w:rPr>
        <w:t>此次采用网络问卷调查的方法</w:t>
      </w:r>
      <w:r>
        <w:rPr>
          <w:rFonts w:asciiTheme="minorEastAsia" w:hAnsiTheme="minorEastAsia" w:cs="Times New Roman" w:hint="eastAsia"/>
          <w:sz w:val="24"/>
          <w:szCs w:val="24"/>
        </w:rPr>
        <w:t>，</w:t>
      </w:r>
      <w:r>
        <w:rPr>
          <w:rFonts w:asciiTheme="minorEastAsia" w:hAnsiTheme="minorEastAsia" w:cs="Times New Roman"/>
          <w:sz w:val="24"/>
          <w:szCs w:val="24"/>
        </w:rPr>
        <w:t>共</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计发放208份问卷，最终收回200份有效问卷。其中96份为男生填写，占比48%；104份为女生填写，占比52%。年级中研究生20人，大四学生70人，大三学生50人，大二学生38人，大一学生22人，分别占比10%、35%、25%、19%、11%。调查对象当中的政治面貌不尽相同，有47人为党员、110人为共青团员、42人为群众，有1人为民主党派，分别占比23.5%、55%、21%、0.5%。在专业分类当中，文科（64人）与工科（53人）的占比最大，分别为32%、26.5%；理科有41人，占比为20.5%；另外，医学、艺术类、体育类、农林、商科的占比都小于10%。</w:t>
      </w:r>
    </w:p>
    <w:p>
      <w:pPr>
        <w:spacing w:line="360" w:lineRule="auto"/>
        <w:jc w:val="center"/>
        <w:rPr>
          <w:rFonts w:ascii="黑体" w:eastAsia="黑体" w:hAnsi="黑体" w:cs="Times New Roman"/>
          <w:b/>
          <w:szCs w:val="21"/>
        </w:rPr>
      </w:pPr>
      <w:r>
        <w:rPr>
          <w:rFonts w:ascii="黑体" w:eastAsia="黑体" w:hAnsi="黑体" w:cs="Times New Roman" w:hint="eastAsia"/>
          <w:b/>
          <w:szCs w:val="21"/>
        </w:rPr>
        <w:t>表3-1 样本的各项基本情况</w:t>
      </w:r>
    </w:p>
    <w:tbl>
      <w:tblPr>
        <w:tblStyle w:val="TableGrid1"/>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60"/>
        <w:gridCol w:w="2260"/>
        <w:gridCol w:w="2260"/>
      </w:tblGrid>
      <w:tr>
        <w:tblPrEx>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4"/>
          <w:jc w:val="center"/>
        </w:trPr>
        <w:tc>
          <w:tcPr>
            <w:tcW w:w="226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sz w:val="18"/>
                <w:szCs w:val="18"/>
              </w:rPr>
              <w:t>个人基本信息</w:t>
            </w:r>
          </w:p>
        </w:tc>
        <w:tc>
          <w:tcPr>
            <w:tcW w:w="226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sz w:val="18"/>
                <w:szCs w:val="18"/>
              </w:rPr>
              <w:t>人数</w:t>
            </w:r>
            <w:r>
              <w:rPr>
                <w:rFonts w:ascii="宋体" w:hAnsi="宋体" w:cs="宋体" w:hint="eastAsia"/>
                <w:sz w:val="18"/>
                <w:szCs w:val="18"/>
              </w:rPr>
              <w:t>（人）</w:t>
            </w:r>
          </w:p>
        </w:tc>
        <w:tc>
          <w:tcPr>
            <w:tcW w:w="226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hint="eastAsia"/>
                <w:sz w:val="18"/>
                <w:szCs w:val="18"/>
              </w:rPr>
              <w:t>百分比（%）</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性别</w:t>
            </w:r>
          </w:p>
        </w:tc>
        <w:tc>
          <w:tcPr>
            <w:tcW w:w="2260" w:type="dxa"/>
            <w:tcBorders>
              <w:left w:val="nil"/>
              <w:bottom w:val="single" w:sz="4" w:space="0" w:color="auto"/>
              <w:right w:val="nil"/>
            </w:tcBorders>
            <w:vAlign w:val="center"/>
          </w:tcPr>
          <w:p>
            <w:pPr>
              <w:jc w:val="center"/>
              <w:rPr>
                <w:rFonts w:ascii="宋体" w:hAnsi="宋体" w:cs="宋体"/>
                <w:sz w:val="18"/>
                <w:szCs w:val="18"/>
              </w:rPr>
            </w:pPr>
          </w:p>
        </w:tc>
        <w:tc>
          <w:tcPr>
            <w:tcW w:w="2260" w:type="dxa"/>
            <w:tcBorders>
              <w:left w:val="nil"/>
              <w:bottom w:val="single" w:sz="4" w:space="0" w:color="auto"/>
              <w:right w:val="nil"/>
            </w:tcBorders>
            <w:vAlign w:val="center"/>
          </w:tcPr>
          <w:p>
            <w:pPr>
              <w:jc w:val="center"/>
              <w:rPr>
                <w:rFonts w:ascii="宋体" w:hAnsi="宋体" w:cs="宋体"/>
                <w:sz w:val="18"/>
                <w:szCs w:val="18"/>
              </w:rPr>
            </w:pP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男</w:t>
            </w:r>
          </w:p>
        </w:tc>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96</w:t>
            </w:r>
          </w:p>
        </w:tc>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48.00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女</w:t>
            </w:r>
          </w:p>
        </w:tc>
        <w:tc>
          <w:tcPr>
            <w:tcW w:w="226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104</w:t>
            </w:r>
          </w:p>
        </w:tc>
        <w:tc>
          <w:tcPr>
            <w:tcW w:w="226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52.00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年级</w:t>
            </w:r>
          </w:p>
        </w:tc>
        <w:tc>
          <w:tcPr>
            <w:tcW w:w="2260" w:type="dxa"/>
            <w:tcBorders>
              <w:left w:val="nil"/>
              <w:bottom w:val="single" w:sz="4" w:space="0" w:color="auto"/>
              <w:right w:val="nil"/>
            </w:tcBorders>
            <w:vAlign w:val="center"/>
          </w:tcPr>
          <w:p>
            <w:pPr>
              <w:jc w:val="center"/>
              <w:rPr>
                <w:rFonts w:ascii="宋体" w:hAnsi="宋体" w:cs="宋体"/>
                <w:sz w:val="18"/>
                <w:szCs w:val="18"/>
              </w:rPr>
            </w:pPr>
          </w:p>
        </w:tc>
        <w:tc>
          <w:tcPr>
            <w:tcW w:w="2260" w:type="dxa"/>
            <w:tcBorders>
              <w:left w:val="nil"/>
              <w:bottom w:val="single" w:sz="4" w:space="0" w:color="auto"/>
              <w:right w:val="nil"/>
            </w:tcBorders>
            <w:vAlign w:val="center"/>
          </w:tcPr>
          <w:p>
            <w:pPr>
              <w:jc w:val="center"/>
              <w:rPr>
                <w:rFonts w:ascii="宋体" w:hAnsi="宋体" w:cs="宋体"/>
                <w:sz w:val="18"/>
                <w:szCs w:val="18"/>
              </w:rPr>
            </w:pP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大一</w:t>
            </w:r>
          </w:p>
        </w:tc>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22</w:t>
            </w:r>
          </w:p>
        </w:tc>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大二</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38</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19.00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大三</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50</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25.00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大四</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70</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35.00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研究生阶段</w:t>
            </w:r>
          </w:p>
        </w:tc>
        <w:tc>
          <w:tcPr>
            <w:tcW w:w="226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20</w:t>
            </w:r>
          </w:p>
        </w:tc>
        <w:tc>
          <w:tcPr>
            <w:tcW w:w="226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10.00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政治面貌</w:t>
            </w:r>
          </w:p>
        </w:tc>
        <w:tc>
          <w:tcPr>
            <w:tcW w:w="2260" w:type="dxa"/>
            <w:tcBorders>
              <w:left w:val="nil"/>
              <w:bottom w:val="single" w:sz="4" w:space="0" w:color="auto"/>
              <w:right w:val="nil"/>
            </w:tcBorders>
            <w:vAlign w:val="center"/>
          </w:tcPr>
          <w:p>
            <w:pPr>
              <w:jc w:val="center"/>
              <w:rPr>
                <w:rFonts w:ascii="宋体" w:hAnsi="宋体" w:cs="宋体"/>
                <w:sz w:val="18"/>
                <w:szCs w:val="18"/>
              </w:rPr>
            </w:pPr>
          </w:p>
        </w:tc>
        <w:tc>
          <w:tcPr>
            <w:tcW w:w="2260" w:type="dxa"/>
            <w:tcBorders>
              <w:left w:val="nil"/>
              <w:bottom w:val="single" w:sz="4" w:space="0" w:color="auto"/>
              <w:right w:val="nil"/>
            </w:tcBorders>
            <w:vAlign w:val="center"/>
          </w:tcPr>
          <w:p>
            <w:pPr>
              <w:jc w:val="center"/>
              <w:rPr>
                <w:rFonts w:ascii="宋体" w:hAnsi="宋体" w:cs="宋体"/>
                <w:sz w:val="18"/>
                <w:szCs w:val="18"/>
              </w:rPr>
            </w:pP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党员</w:t>
            </w:r>
          </w:p>
        </w:tc>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47</w:t>
            </w:r>
          </w:p>
        </w:tc>
        <w:tc>
          <w:tcPr>
            <w:tcW w:w="226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23.50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共青团员</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110</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55.00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民主党派</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0.50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群众</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42</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21.00</w:t>
            </w: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专业</w:t>
            </w:r>
          </w:p>
        </w:tc>
        <w:tc>
          <w:tcPr>
            <w:tcW w:w="2260" w:type="dxa"/>
            <w:tcBorders>
              <w:left w:val="nil"/>
              <w:bottom w:val="nil"/>
              <w:right w:val="nil"/>
            </w:tcBorders>
            <w:vAlign w:val="center"/>
          </w:tcPr>
          <w:p>
            <w:pPr>
              <w:jc w:val="center"/>
              <w:rPr>
                <w:rFonts w:ascii="宋体" w:hAnsi="宋体" w:cs="宋体"/>
                <w:sz w:val="18"/>
                <w:szCs w:val="18"/>
              </w:rPr>
            </w:pPr>
          </w:p>
        </w:tc>
        <w:tc>
          <w:tcPr>
            <w:tcW w:w="2260" w:type="dxa"/>
            <w:tcBorders>
              <w:left w:val="nil"/>
              <w:bottom w:val="nil"/>
              <w:right w:val="nil"/>
            </w:tcBorders>
            <w:vAlign w:val="center"/>
          </w:tcPr>
          <w:p>
            <w:pPr>
              <w:jc w:val="center"/>
              <w:rPr>
                <w:rFonts w:ascii="宋体" w:hAnsi="宋体" w:cs="宋体"/>
                <w:sz w:val="18"/>
                <w:szCs w:val="18"/>
              </w:rPr>
            </w:pPr>
          </w:p>
        </w:tc>
      </w:tr>
      <w:tr>
        <w:tblPrEx>
          <w:tblW w:w="6780" w:type="dxa"/>
          <w:jc w:val="center"/>
          <w:tblLayout w:type="fixed"/>
          <w:tblCellMar>
            <w:top w:w="0" w:type="dxa"/>
            <w:left w:w="108" w:type="dxa"/>
            <w:bottom w:w="0" w:type="dxa"/>
            <w:right w:w="108" w:type="dxa"/>
          </w:tblCellMar>
        </w:tblPrEx>
        <w:trPr>
          <w:trHeight w:val="322"/>
          <w:jc w:val="center"/>
        </w:trPr>
        <w:tc>
          <w:tcPr>
            <w:tcW w:w="226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文科</w:t>
            </w:r>
          </w:p>
        </w:tc>
        <w:tc>
          <w:tcPr>
            <w:tcW w:w="226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64</w:t>
            </w:r>
          </w:p>
        </w:tc>
        <w:tc>
          <w:tcPr>
            <w:tcW w:w="226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32.00</w:t>
            </w:r>
          </w:p>
        </w:tc>
      </w:tr>
      <w:tr>
        <w:tblPrEx>
          <w:tblW w:w="6780" w:type="dxa"/>
          <w:jc w:val="center"/>
          <w:tblLayout w:type="fixed"/>
          <w:tblCellMar>
            <w:top w:w="0" w:type="dxa"/>
            <w:left w:w="108" w:type="dxa"/>
            <w:bottom w:w="0" w:type="dxa"/>
            <w:right w:w="108" w:type="dxa"/>
          </w:tblCellMar>
        </w:tblPrEx>
        <w:trPr>
          <w:trHeight w:val="289"/>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理科</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41</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20.50</w:t>
            </w:r>
          </w:p>
        </w:tc>
      </w:tr>
      <w:tr>
        <w:tblPrEx>
          <w:tblW w:w="6780" w:type="dxa"/>
          <w:jc w:val="center"/>
          <w:tblLayout w:type="fixed"/>
          <w:tblCellMar>
            <w:top w:w="0" w:type="dxa"/>
            <w:left w:w="108" w:type="dxa"/>
            <w:bottom w:w="0" w:type="dxa"/>
            <w:right w:w="108" w:type="dxa"/>
          </w:tblCellMar>
        </w:tblPrEx>
        <w:trPr>
          <w:trHeight w:val="289"/>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工科</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53</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26.50</w:t>
            </w:r>
          </w:p>
        </w:tc>
      </w:tr>
      <w:tr>
        <w:tblPrEx>
          <w:tblW w:w="6780" w:type="dxa"/>
          <w:jc w:val="center"/>
          <w:tblLayout w:type="fixed"/>
          <w:tblCellMar>
            <w:top w:w="0" w:type="dxa"/>
            <w:left w:w="108" w:type="dxa"/>
            <w:bottom w:w="0" w:type="dxa"/>
            <w:right w:w="108" w:type="dxa"/>
          </w:tblCellMar>
        </w:tblPrEx>
        <w:trPr>
          <w:trHeight w:val="289"/>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医学</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14</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7.00</w:t>
            </w:r>
          </w:p>
        </w:tc>
      </w:tr>
      <w:tr>
        <w:tblPrEx>
          <w:tblW w:w="6780" w:type="dxa"/>
          <w:jc w:val="center"/>
          <w:tblLayout w:type="fixed"/>
          <w:tblCellMar>
            <w:top w:w="0" w:type="dxa"/>
            <w:left w:w="108" w:type="dxa"/>
            <w:bottom w:w="0" w:type="dxa"/>
            <w:right w:w="108" w:type="dxa"/>
          </w:tblCellMar>
        </w:tblPrEx>
        <w:trPr>
          <w:trHeight w:val="289"/>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艺术类</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5.00</w:t>
            </w:r>
          </w:p>
        </w:tc>
      </w:tr>
      <w:tr>
        <w:tblPrEx>
          <w:tblW w:w="6780" w:type="dxa"/>
          <w:jc w:val="center"/>
          <w:tblLayout w:type="fixed"/>
          <w:tblCellMar>
            <w:top w:w="0" w:type="dxa"/>
            <w:left w:w="108" w:type="dxa"/>
            <w:bottom w:w="0" w:type="dxa"/>
            <w:right w:w="108" w:type="dxa"/>
          </w:tblCellMar>
        </w:tblPrEx>
        <w:trPr>
          <w:trHeight w:val="289"/>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体育类</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8</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4.00</w:t>
            </w:r>
          </w:p>
        </w:tc>
      </w:tr>
      <w:tr>
        <w:tblPrEx>
          <w:tblW w:w="6780" w:type="dxa"/>
          <w:jc w:val="center"/>
          <w:tblLayout w:type="fixed"/>
          <w:tblCellMar>
            <w:top w:w="0" w:type="dxa"/>
            <w:left w:w="108" w:type="dxa"/>
            <w:bottom w:w="0" w:type="dxa"/>
            <w:right w:w="108" w:type="dxa"/>
          </w:tblCellMar>
        </w:tblPrEx>
        <w:trPr>
          <w:trHeight w:val="289"/>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农林</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8</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4.00</w:t>
            </w:r>
          </w:p>
        </w:tc>
      </w:tr>
      <w:tr>
        <w:tblPrEx>
          <w:tblW w:w="6780" w:type="dxa"/>
          <w:jc w:val="center"/>
          <w:tblLayout w:type="fixed"/>
          <w:tblCellMar>
            <w:top w:w="0" w:type="dxa"/>
            <w:left w:w="108" w:type="dxa"/>
            <w:bottom w:w="0" w:type="dxa"/>
            <w:right w:w="108" w:type="dxa"/>
          </w:tblCellMar>
        </w:tblPrEx>
        <w:trPr>
          <w:trHeight w:val="289"/>
          <w:jc w:val="center"/>
        </w:trPr>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其他（商科）</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w:t>
            </w:r>
          </w:p>
        </w:tc>
        <w:tc>
          <w:tcPr>
            <w:tcW w:w="226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1.00</w:t>
            </w:r>
          </w:p>
        </w:tc>
      </w:tr>
      <w:tr>
        <w:tblPrEx>
          <w:tblW w:w="6780" w:type="dxa"/>
          <w:jc w:val="center"/>
          <w:tblLayout w:type="fixed"/>
          <w:tblCellMar>
            <w:top w:w="0" w:type="dxa"/>
            <w:left w:w="108" w:type="dxa"/>
            <w:bottom w:w="0" w:type="dxa"/>
            <w:right w:w="108" w:type="dxa"/>
          </w:tblCellMar>
        </w:tblPrEx>
        <w:trPr>
          <w:trHeight w:val="263"/>
          <w:jc w:val="center"/>
        </w:trPr>
        <w:tc>
          <w:tcPr>
            <w:tcW w:w="226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sz w:val="18"/>
                <w:szCs w:val="18"/>
              </w:rPr>
              <w:t>合计</w:t>
            </w:r>
          </w:p>
        </w:tc>
        <w:tc>
          <w:tcPr>
            <w:tcW w:w="226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200</w:t>
            </w:r>
          </w:p>
        </w:tc>
        <w:tc>
          <w:tcPr>
            <w:tcW w:w="226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100.00</w:t>
            </w:r>
          </w:p>
        </w:tc>
      </w:tr>
    </w:tbl>
    <w:p>
      <w:pPr>
        <w:spacing w:line="360" w:lineRule="auto"/>
        <w:rPr>
          <w:rFonts w:asciiTheme="minorEastAsia" w:hAnsiTheme="minorEastAsia" w:cs="Times New Roman"/>
          <w:sz w:val="24"/>
          <w:szCs w:val="24"/>
        </w:rPr>
      </w:pPr>
    </w:p>
    <w:p>
      <w:pPr>
        <w:spacing w:line="360" w:lineRule="auto"/>
        <w:rPr>
          <w:rFonts w:asciiTheme="minorEastAsia" w:hAnsiTheme="minorEastAsia" w:cs="Times New Roman"/>
          <w:sz w:val="24"/>
          <w:szCs w:val="24"/>
        </w:rPr>
        <w:sectPr>
          <w:footerReference w:type="default" r:id="rId17"/>
          <w:footnotePr>
            <w:numFmt w:val="decimalEnclosedCircleChinese"/>
            <w:numRestart w:val="eachPage"/>
          </w:footnotePr>
          <w:type w:val="nextPage"/>
          <w:pgSz w:w="11906" w:h="16838"/>
          <w:pgMar w:top="1440" w:right="1800" w:bottom="1440" w:left="1800" w:header="851" w:footer="992" w:gutter="0"/>
          <w:pgNumType w:start="11"/>
          <w:cols w:num="1" w:space="425"/>
          <w:titlePg w:val="0"/>
          <w:docGrid w:type="lines" w:linePitch="312" w:charSpace="0"/>
        </w:sectPr>
      </w:pPr>
    </w:p>
    <w:p>
      <w:pPr>
        <w:pStyle w:val="Heading2"/>
      </w:pPr>
      <w:bookmarkStart w:id="10" w:name="_Toc70685784"/>
      <w:r>
        <w:rPr>
          <w:rFonts w:hint="eastAsia"/>
        </w:rPr>
        <w:t>大学生志愿服务现状</w:t>
      </w:r>
      <w:bookmarkEnd w:id="10"/>
    </w:p>
    <w:p>
      <w:pPr>
        <w:pStyle w:val="ListParagraph"/>
        <w:numPr>
          <w:ilvl w:val="0"/>
          <w:numId w:val="12"/>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行为现状</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sz w:val="24"/>
          <w:szCs w:val="24"/>
        </w:rPr>
        <w:t>此次调查中</w:t>
      </w:r>
      <w:r>
        <w:rPr>
          <w:rFonts w:asciiTheme="minorEastAsia" w:hAnsiTheme="minorEastAsia" w:cs="Times New Roman" w:hint="eastAsia"/>
          <w:sz w:val="24"/>
          <w:szCs w:val="24"/>
        </w:rPr>
        <w:t>，绝大多数学生都曾担任志愿者这一角色（经常做志愿服务活动的有45人，占比22.5%；偶尔做志愿服务活动的有143人,占比71.5%；从没当过志愿者的有12人，占比6%）。调查对象中首次参加志愿服务活动的三大主要原因为①亲友、同学结伴或经介绍（38人，占比20.21%）②学校规定（76人，占比40.43%）③希望帮助他人或奉献社会（52人，占比27.66%）。</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其中大多数志愿者的志愿服务行为坚持长达半年以上（64人，占比34.04%）或三个月以上（56人，占比29.79%）；坚持一两个月的为36人，只参加过两三次活动的为32人，分别占比19.15%、17.02%。当中一半人的志愿服务频率是不定期的（98人，占比52.13%），有47人（占比25%）表示自己的志愿服务频率为每周1-2次。</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接受调查的大学生参加过的志愿服务类型主要集中在大型会展或服务活动（占比68.09%）、青少年教育与心理咨询服务（59.04%）、社会突发事件服务（包括新冠疫情下的志愿服务，占比52.66%）、环境保护与美化服务（占比60.11%）、帮助贫困阶层的服务（占比21.28%）五类志愿服务，其他类型的志愿服务占比均小于20%。</w:t>
      </w:r>
    </w:p>
    <w:p>
      <w:pPr>
        <w:spacing w:line="360" w:lineRule="auto"/>
        <w:jc w:val="center"/>
        <w:rPr>
          <w:rFonts w:ascii="黑体" w:eastAsia="黑体" w:hAnsi="黑体" w:cs="Times New Roman"/>
          <w:b/>
          <w:szCs w:val="21"/>
        </w:rPr>
      </w:pPr>
      <w:r>
        <w:rPr>
          <w:rFonts w:ascii="黑体" w:eastAsia="黑体" w:hAnsi="黑体" w:cs="Times New Roman" w:hint="eastAsia"/>
          <w:b/>
          <w:szCs w:val="21"/>
        </w:rPr>
        <w:t>表3-2 样本的志愿服务行为现状</w:t>
      </w:r>
    </w:p>
    <w:tbl>
      <w:tblPr>
        <w:tblStyle w:val="TableGrid2"/>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2200"/>
        <w:gridCol w:w="2200"/>
      </w:tblGrid>
      <w:tr>
        <w:tblPrEx>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4"/>
          <w:jc w:val="center"/>
        </w:trPr>
        <w:tc>
          <w:tcPr>
            <w:tcW w:w="220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hint="eastAsia"/>
                <w:sz w:val="18"/>
                <w:szCs w:val="18"/>
              </w:rPr>
              <w:t>项目</w:t>
            </w:r>
          </w:p>
        </w:tc>
        <w:tc>
          <w:tcPr>
            <w:tcW w:w="220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sz w:val="18"/>
                <w:szCs w:val="18"/>
              </w:rPr>
              <w:t>人数</w:t>
            </w:r>
            <w:r>
              <w:rPr>
                <w:rFonts w:ascii="宋体" w:hAnsi="宋体" w:cs="宋体" w:hint="eastAsia"/>
                <w:sz w:val="18"/>
                <w:szCs w:val="18"/>
              </w:rPr>
              <w:t>（人）</w:t>
            </w:r>
          </w:p>
        </w:tc>
        <w:tc>
          <w:tcPr>
            <w:tcW w:w="220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hint="eastAsia"/>
                <w:sz w:val="18"/>
                <w:szCs w:val="18"/>
              </w:rPr>
              <w:t>百分比（%）</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是否参做过志愿者</w:t>
            </w:r>
          </w:p>
        </w:tc>
        <w:tc>
          <w:tcPr>
            <w:tcW w:w="2200" w:type="dxa"/>
            <w:tcBorders>
              <w:left w:val="nil"/>
              <w:bottom w:val="single" w:sz="4" w:space="0" w:color="auto"/>
              <w:right w:val="nil"/>
            </w:tcBorders>
            <w:vAlign w:val="center"/>
          </w:tcPr>
          <w:p>
            <w:pPr>
              <w:jc w:val="center"/>
              <w:rPr>
                <w:rFonts w:ascii="宋体" w:hAnsi="宋体" w:cs="宋体"/>
                <w:sz w:val="18"/>
                <w:szCs w:val="18"/>
              </w:rPr>
            </w:pPr>
          </w:p>
        </w:tc>
        <w:tc>
          <w:tcPr>
            <w:tcW w:w="2200" w:type="dxa"/>
            <w:tcBorders>
              <w:left w:val="nil"/>
              <w:bottom w:val="single" w:sz="4" w:space="0" w:color="auto"/>
              <w:right w:val="nil"/>
            </w:tcBorders>
            <w:vAlign w:val="center"/>
          </w:tcPr>
          <w:p>
            <w:pPr>
              <w:jc w:val="center"/>
              <w:rPr>
                <w:rFonts w:ascii="宋体" w:hAnsi="宋体" w:cs="宋体"/>
                <w:sz w:val="18"/>
                <w:szCs w:val="18"/>
              </w:rPr>
            </w:pP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经常</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45</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22.50</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偶尔</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143</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71.50</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从没</w:t>
            </w:r>
          </w:p>
        </w:tc>
        <w:tc>
          <w:tcPr>
            <w:tcW w:w="220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12</w:t>
            </w:r>
          </w:p>
        </w:tc>
        <w:tc>
          <w:tcPr>
            <w:tcW w:w="2200" w:type="dxa"/>
            <w:tcBorders>
              <w:top w:val="nil"/>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6.00</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持续时间</w:t>
            </w:r>
          </w:p>
        </w:tc>
        <w:tc>
          <w:tcPr>
            <w:tcW w:w="2200" w:type="dxa"/>
            <w:tcBorders>
              <w:left w:val="nil"/>
              <w:bottom w:val="single" w:sz="4" w:space="0" w:color="auto"/>
              <w:right w:val="nil"/>
            </w:tcBorders>
            <w:vAlign w:val="center"/>
          </w:tcPr>
          <w:p>
            <w:pPr>
              <w:jc w:val="center"/>
              <w:rPr>
                <w:rFonts w:ascii="宋体" w:hAnsi="宋体" w:cs="宋体"/>
                <w:sz w:val="18"/>
                <w:szCs w:val="18"/>
              </w:rPr>
            </w:pPr>
          </w:p>
        </w:tc>
        <w:tc>
          <w:tcPr>
            <w:tcW w:w="2200" w:type="dxa"/>
            <w:tcBorders>
              <w:left w:val="nil"/>
              <w:bottom w:val="single" w:sz="4" w:space="0" w:color="auto"/>
              <w:right w:val="nil"/>
            </w:tcBorders>
            <w:vAlign w:val="center"/>
          </w:tcPr>
          <w:p>
            <w:pPr>
              <w:jc w:val="center"/>
              <w:rPr>
                <w:rFonts w:ascii="宋体" w:hAnsi="宋体" w:cs="宋体"/>
                <w:sz w:val="18"/>
                <w:szCs w:val="18"/>
              </w:rPr>
            </w:pP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半年以上</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64</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34.04</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三个月以上</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56</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29.79</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一两个月</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36</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19.15</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只参加了两三次活动</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32</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17.02</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频率</w:t>
            </w:r>
          </w:p>
        </w:tc>
        <w:tc>
          <w:tcPr>
            <w:tcW w:w="2200" w:type="dxa"/>
            <w:tcBorders>
              <w:left w:val="nil"/>
              <w:bottom w:val="single" w:sz="4" w:space="0" w:color="auto"/>
              <w:right w:val="nil"/>
            </w:tcBorders>
            <w:vAlign w:val="center"/>
          </w:tcPr>
          <w:p>
            <w:pPr>
              <w:jc w:val="center"/>
              <w:rPr>
                <w:rFonts w:ascii="宋体" w:hAnsi="宋体" w:cs="宋体"/>
                <w:sz w:val="18"/>
                <w:szCs w:val="18"/>
              </w:rPr>
            </w:pPr>
          </w:p>
        </w:tc>
        <w:tc>
          <w:tcPr>
            <w:tcW w:w="2200" w:type="dxa"/>
            <w:tcBorders>
              <w:left w:val="nil"/>
              <w:bottom w:val="single" w:sz="4" w:space="0" w:color="auto"/>
              <w:right w:val="nil"/>
            </w:tcBorders>
            <w:vAlign w:val="center"/>
          </w:tcPr>
          <w:p>
            <w:pPr>
              <w:jc w:val="center"/>
              <w:rPr>
                <w:rFonts w:ascii="宋体" w:hAnsi="宋体" w:cs="宋体"/>
                <w:sz w:val="18"/>
                <w:szCs w:val="18"/>
              </w:rPr>
            </w:pP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每周3次以上</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21</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11.17</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每周1-2次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47</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25.00</w:t>
            </w:r>
          </w:p>
        </w:tc>
      </w:tr>
    </w:tbl>
    <w:p>
      <w:pPr>
        <w:sectPr>
          <w:footerReference w:type="default" r:id="rId18"/>
          <w:footnotePr>
            <w:numFmt w:val="decimalEnclosedCircleChinese"/>
            <w:numRestart w:val="eachPage"/>
          </w:footnotePr>
          <w:type w:val="nextPage"/>
          <w:pgSz w:w="11906" w:h="16838"/>
          <w:pgMar w:top="1440" w:right="1800" w:bottom="1440" w:left="1800" w:header="851" w:footer="992" w:gutter="0"/>
          <w:pgNumType w:start="12"/>
          <w:cols w:num="1" w:space="425"/>
          <w:titlePg w:val="0"/>
          <w:docGrid w:type="lines" w:linePitch="312" w:charSpace="0"/>
        </w:sectPr>
      </w:pPr>
    </w:p>
    <w:tbl>
      <w:tblPr>
        <w:tblStyle w:val="TableGrid3"/>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2200"/>
        <w:gridCol w:w="2200"/>
      </w:tblGrid>
      <w:tr>
        <w:tblPrEx>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每月1-3次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22</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11.70</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不定期</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98</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52.13</w:t>
            </w:r>
          </w:p>
        </w:tc>
      </w:tr>
      <w:tr>
        <w:tblPrEx>
          <w:tblW w:w="6600" w:type="dxa"/>
          <w:jc w:val="center"/>
          <w:tblLayout w:type="fixed"/>
          <w:tblCellMar>
            <w:top w:w="0" w:type="dxa"/>
            <w:left w:w="108" w:type="dxa"/>
            <w:bottom w:w="0" w:type="dxa"/>
            <w:right w:w="108" w:type="dxa"/>
          </w:tblCellMar>
        </w:tblPrEx>
        <w:trPr>
          <w:trHeight w:val="446"/>
          <w:jc w:val="center"/>
        </w:trPr>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sz w:val="18"/>
                <w:szCs w:val="18"/>
              </w:rPr>
              <w:t>合计</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200</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100.00</w:t>
            </w:r>
          </w:p>
        </w:tc>
      </w:tr>
    </w:tbl>
    <w:p>
      <w:pPr>
        <w:spacing w:line="360" w:lineRule="auto"/>
        <w:rPr>
          <w:rFonts w:asciiTheme="minorEastAsia" w:hAnsiTheme="minorEastAsia" w:cs="Times New Roman"/>
          <w:sz w:val="24"/>
          <w:szCs w:val="24"/>
        </w:rPr>
      </w:pPr>
    </w:p>
    <w:p>
      <w:pPr>
        <w:spacing w:line="360" w:lineRule="auto"/>
        <w:jc w:val="center"/>
        <w:rPr>
          <w:rFonts w:ascii="黑体" w:eastAsia="黑体" w:hAnsi="黑体" w:cs="Times New Roman"/>
          <w:b/>
          <w:szCs w:val="21"/>
        </w:rPr>
      </w:pPr>
      <w:r>
        <w:rPr>
          <w:rFonts w:ascii="黑体" w:eastAsia="黑体" w:hAnsi="黑体" w:cs="Times New Roman" w:hint="eastAsia"/>
          <w:b/>
          <w:szCs w:val="21"/>
        </w:rPr>
        <w:t>表3-3 样本参加志愿服务的起因与类型</w:t>
      </w:r>
    </w:p>
    <w:tbl>
      <w:tblPr>
        <w:tblStyle w:val="TableGrid3"/>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2200"/>
        <w:gridCol w:w="2200"/>
      </w:tblGrid>
      <w:tr>
        <w:tblPrEx>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4"/>
          <w:jc w:val="center"/>
        </w:trPr>
        <w:tc>
          <w:tcPr>
            <w:tcW w:w="220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hint="eastAsia"/>
                <w:sz w:val="18"/>
                <w:szCs w:val="18"/>
              </w:rPr>
              <w:t>项目</w:t>
            </w:r>
          </w:p>
        </w:tc>
        <w:tc>
          <w:tcPr>
            <w:tcW w:w="220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sz w:val="18"/>
                <w:szCs w:val="18"/>
              </w:rPr>
              <w:t>人数</w:t>
            </w:r>
            <w:r>
              <w:rPr>
                <w:rFonts w:ascii="宋体" w:hAnsi="宋体" w:cs="宋体" w:hint="eastAsia"/>
                <w:sz w:val="18"/>
                <w:szCs w:val="18"/>
              </w:rPr>
              <w:t>（人）</w:t>
            </w:r>
          </w:p>
        </w:tc>
        <w:tc>
          <w:tcPr>
            <w:tcW w:w="2200" w:type="dxa"/>
            <w:tcBorders>
              <w:top w:val="single" w:sz="12" w:space="0" w:color="auto"/>
              <w:left w:val="nil"/>
              <w:bottom w:val="single" w:sz="4" w:space="0" w:color="auto"/>
              <w:right w:val="nil"/>
            </w:tcBorders>
          </w:tcPr>
          <w:p>
            <w:pPr>
              <w:spacing w:line="360" w:lineRule="auto"/>
              <w:jc w:val="center"/>
              <w:rPr>
                <w:rFonts w:ascii="宋体" w:hAnsi="宋体" w:cs="宋体"/>
                <w:sz w:val="18"/>
                <w:szCs w:val="18"/>
              </w:rPr>
            </w:pPr>
            <w:r>
              <w:rPr>
                <w:rFonts w:ascii="宋体" w:hAnsi="宋体" w:cs="宋体" w:hint="eastAsia"/>
                <w:sz w:val="18"/>
                <w:szCs w:val="18"/>
              </w:rPr>
              <w:t>百分比（%）</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起因</w:t>
            </w:r>
          </w:p>
        </w:tc>
        <w:tc>
          <w:tcPr>
            <w:tcW w:w="2200" w:type="dxa"/>
            <w:tcBorders>
              <w:left w:val="nil"/>
              <w:bottom w:val="single" w:sz="4" w:space="0" w:color="auto"/>
              <w:right w:val="nil"/>
            </w:tcBorders>
            <w:vAlign w:val="center"/>
          </w:tcPr>
          <w:p>
            <w:pPr>
              <w:jc w:val="center"/>
              <w:rPr>
                <w:rFonts w:ascii="宋体" w:hAnsi="宋体" w:cs="宋体"/>
                <w:sz w:val="18"/>
                <w:szCs w:val="18"/>
              </w:rPr>
            </w:pPr>
          </w:p>
        </w:tc>
        <w:tc>
          <w:tcPr>
            <w:tcW w:w="2200" w:type="dxa"/>
            <w:tcBorders>
              <w:left w:val="nil"/>
              <w:bottom w:val="single" w:sz="4" w:space="0" w:color="auto"/>
              <w:right w:val="nil"/>
            </w:tcBorders>
            <w:vAlign w:val="center"/>
          </w:tcPr>
          <w:p>
            <w:pPr>
              <w:jc w:val="center"/>
              <w:rPr>
                <w:rFonts w:ascii="宋体" w:hAnsi="宋体" w:cs="宋体"/>
                <w:sz w:val="18"/>
                <w:szCs w:val="18"/>
              </w:rPr>
            </w:pP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亲友、同学结伴或经介绍</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38</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20.21</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学校规定</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76</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40.43</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希望帮助他人或奉献社会</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52</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27.66</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希望认识更多人</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5.32</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为了学习某项知识或技能</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12</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6.38</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single" w:sz="4" w:space="0" w:color="auto"/>
              <w:right w:val="nil"/>
            </w:tcBorders>
            <w:vAlign w:val="center"/>
          </w:tcPr>
          <w:p>
            <w:pPr>
              <w:jc w:val="center"/>
              <w:rPr>
                <w:rFonts w:ascii="宋体" w:hAnsi="宋体" w:cs="宋体"/>
                <w:sz w:val="18"/>
                <w:szCs w:val="18"/>
              </w:rPr>
            </w:pPr>
            <w:r>
              <w:rPr>
                <w:rFonts w:ascii="宋体" w:hAnsi="宋体" w:cs="宋体" w:hint="eastAsia"/>
                <w:sz w:val="18"/>
                <w:szCs w:val="18"/>
              </w:rPr>
              <w:t>类型</w:t>
            </w:r>
          </w:p>
        </w:tc>
        <w:tc>
          <w:tcPr>
            <w:tcW w:w="2200" w:type="dxa"/>
            <w:tcBorders>
              <w:left w:val="nil"/>
              <w:bottom w:val="single" w:sz="4" w:space="0" w:color="auto"/>
              <w:right w:val="nil"/>
            </w:tcBorders>
            <w:vAlign w:val="center"/>
          </w:tcPr>
          <w:p>
            <w:pPr>
              <w:jc w:val="center"/>
              <w:rPr>
                <w:rFonts w:ascii="宋体" w:hAnsi="宋体" w:cs="宋体"/>
                <w:sz w:val="18"/>
                <w:szCs w:val="18"/>
              </w:rPr>
            </w:pPr>
          </w:p>
        </w:tc>
        <w:tc>
          <w:tcPr>
            <w:tcW w:w="2200" w:type="dxa"/>
            <w:tcBorders>
              <w:left w:val="nil"/>
              <w:bottom w:val="single" w:sz="4" w:space="0" w:color="auto"/>
              <w:right w:val="nil"/>
            </w:tcBorders>
            <w:vAlign w:val="center"/>
          </w:tcPr>
          <w:p>
            <w:pPr>
              <w:jc w:val="center"/>
              <w:rPr>
                <w:rFonts w:ascii="宋体" w:hAnsi="宋体" w:cs="宋体"/>
                <w:sz w:val="18"/>
                <w:szCs w:val="18"/>
              </w:rPr>
            </w:pP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大型会展、大型活动的服务</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128</w:t>
            </w:r>
          </w:p>
        </w:tc>
        <w:tc>
          <w:tcPr>
            <w:tcW w:w="2200" w:type="dxa"/>
            <w:tcBorders>
              <w:top w:val="single" w:sz="4" w:space="0" w:color="auto"/>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68.09</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青少年教育与心理咨询服务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111</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59.04</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社会突发事件的服务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99</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52.66</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环境保护与美化服务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113</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60.11</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帮助低收入阶层、贫困阶层的生活服务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40</w:t>
            </w:r>
          </w:p>
        </w:tc>
        <w:tc>
          <w:tcPr>
            <w:tcW w:w="2200" w:type="dxa"/>
            <w:tcBorders>
              <w:top w:val="nil"/>
              <w:left w:val="nil"/>
              <w:bottom w:val="nil"/>
              <w:right w:val="nil"/>
            </w:tcBorders>
            <w:vAlign w:val="center"/>
          </w:tcPr>
          <w:p>
            <w:pPr>
              <w:spacing w:line="360" w:lineRule="auto"/>
              <w:jc w:val="center"/>
              <w:rPr>
                <w:rFonts w:ascii="宋体" w:hAnsi="宋体" w:cs="宋体"/>
                <w:sz w:val="18"/>
                <w:szCs w:val="18"/>
              </w:rPr>
            </w:pPr>
            <w:r>
              <w:rPr>
                <w:rFonts w:ascii="宋体" w:hAnsi="宋体" w:cs="宋体" w:hint="eastAsia"/>
                <w:sz w:val="18"/>
                <w:szCs w:val="18"/>
              </w:rPr>
              <w:t>21.28</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个别群体的权益保护服务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24</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12.77</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艾滋病、吸毒等特定人员的服务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5.32</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帮助外来务工人员的服务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20</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10.64</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社会安全服务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18</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9.57</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其他（交通引导）</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1.06</w:t>
            </w:r>
          </w:p>
        </w:tc>
      </w:tr>
      <w:tr>
        <w:tblPrEx>
          <w:tblW w:w="6600" w:type="dxa"/>
          <w:jc w:val="center"/>
          <w:tblLayout w:type="fixed"/>
          <w:tblCellMar>
            <w:top w:w="0" w:type="dxa"/>
            <w:left w:w="108" w:type="dxa"/>
            <w:bottom w:w="0" w:type="dxa"/>
            <w:right w:w="108" w:type="dxa"/>
          </w:tblCellMar>
        </w:tblPrEx>
        <w:trPr>
          <w:trHeight w:val="446"/>
          <w:jc w:val="center"/>
        </w:trPr>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sz w:val="18"/>
                <w:szCs w:val="18"/>
              </w:rPr>
              <w:t>合计</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200</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100.00</w:t>
            </w:r>
          </w:p>
        </w:tc>
      </w:tr>
    </w:tbl>
    <w:p>
      <w:pPr>
        <w:spacing w:line="360" w:lineRule="auto"/>
        <w:rPr>
          <w:rFonts w:asciiTheme="minorEastAsia" w:hAnsiTheme="minorEastAsia" w:cs="Times New Roman"/>
          <w:sz w:val="24"/>
          <w:szCs w:val="24"/>
        </w:rPr>
      </w:pPr>
    </w:p>
    <w:p>
      <w:pPr>
        <w:spacing w:line="360" w:lineRule="auto"/>
        <w:ind w:firstLine="480" w:firstLineChars="200"/>
        <w:rPr>
          <w:rFonts w:asciiTheme="minorEastAsia" w:hAnsiTheme="minorEastAsia" w:cs="Times New Roman"/>
          <w:sz w:val="24"/>
          <w:szCs w:val="24"/>
        </w:rPr>
        <w:sectPr>
          <w:footerReference w:type="default" r:id="rId19"/>
          <w:footnotePr>
            <w:numFmt w:val="decimalEnclosedCircleChinese"/>
            <w:numRestart w:val="eachPage"/>
          </w:footnotePr>
          <w:type w:val="nextPage"/>
          <w:pgSz w:w="11906" w:h="16838"/>
          <w:pgMar w:top="1440" w:right="1800" w:bottom="1440" w:left="1800" w:header="851" w:footer="992" w:gutter="0"/>
          <w:pgNumType w:start="13"/>
          <w:cols w:num="1" w:space="425"/>
          <w:titlePg w:val="0"/>
          <w:docGrid w:type="lines" w:linePitch="312" w:charSpace="0"/>
        </w:sectPr>
      </w:pPr>
      <w:r>
        <w:rPr>
          <w:rFonts w:asciiTheme="minorEastAsia" w:hAnsiTheme="minorEastAsia" w:cs="Times New Roman" w:hint="eastAsia"/>
          <w:sz w:val="24"/>
          <w:szCs w:val="24"/>
        </w:rPr>
        <w:t>当代大学生的志愿服务情况良好，能够长期坚持进行不定期的志愿服务活动，参加的服务类型多为在校容易接触到的志愿服务，对于校外特殊群体或专业技术要求较强的志愿服务活动接触较少。多数人首次参加志愿服务活动的原因为亲友结伴或介绍、学校规定和献爱心。一方面可以得知，我校大学生有较强的利他倾向；另一方面，也得知我校对于利用志愿服务活动带动思政教育方面的良好落实情况。另外，大学生朋辈群体和家庭影响因素在志愿服务方面的作用是不可忽视的。</w:t>
      </w:r>
    </w:p>
    <w:p>
      <w:pPr>
        <w:pStyle w:val="ListParagraph"/>
        <w:numPr>
          <w:ilvl w:val="0"/>
          <w:numId w:val="12"/>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关注度现状</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sz w:val="24"/>
          <w:szCs w:val="24"/>
        </w:rPr>
        <w:t>在对于志愿服务的</w:t>
      </w:r>
      <w:r>
        <w:rPr>
          <w:rFonts w:asciiTheme="minorEastAsia" w:hAnsiTheme="minorEastAsia" w:cs="Times New Roman" w:hint="eastAsia"/>
          <w:sz w:val="24"/>
          <w:szCs w:val="24"/>
        </w:rPr>
        <w:t>关注度</w:t>
      </w:r>
      <w:r>
        <w:rPr>
          <w:rFonts w:asciiTheme="minorEastAsia" w:hAnsiTheme="minorEastAsia" w:cs="Times New Roman"/>
          <w:sz w:val="24"/>
          <w:szCs w:val="24"/>
        </w:rPr>
        <w:t>方面</w:t>
      </w:r>
      <w:r>
        <w:rPr>
          <w:rFonts w:asciiTheme="minorEastAsia" w:hAnsiTheme="minorEastAsia" w:cs="Times New Roman" w:hint="eastAsia"/>
          <w:sz w:val="24"/>
          <w:szCs w:val="24"/>
        </w:rPr>
        <w:t>，94人表示自己比较关注，占比50%；50人表示一般，占比26.6%；另外，表示非常关注的有26人，占比13.83%；表示不太关注有16人，占比8.51%；不关注社会上志愿服务活动的仅有2人。</w:t>
      </w:r>
    </w:p>
    <w:p>
      <w:pPr>
        <w:spacing w:line="360" w:lineRule="auto"/>
        <w:jc w:val="center"/>
        <w:rPr>
          <w:rFonts w:ascii="黑体" w:eastAsia="黑体" w:hAnsi="黑体" w:cs="Times New Roman"/>
          <w:b/>
          <w:color w:val="000000" w:themeColor="text1"/>
          <w:szCs w:val="21"/>
        </w:rPr>
      </w:pPr>
      <w:r>
        <w:rPr>
          <w:rFonts w:ascii="黑体" w:eastAsia="黑体" w:hAnsi="黑体" w:cs="Times New Roman" w:hint="eastAsia"/>
          <w:b/>
          <w:color w:val="000000" w:themeColor="text1"/>
          <w:szCs w:val="21"/>
        </w:rPr>
        <w:t>表3-4 样本对于志愿服务的关注度情况</w:t>
      </w:r>
    </w:p>
    <w:tbl>
      <w:tblPr>
        <w:tblStyle w:val="TableGrid4"/>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2200"/>
        <w:gridCol w:w="2200"/>
      </w:tblGrid>
      <w:tr>
        <w:tblPrEx>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4"/>
          <w:jc w:val="center"/>
        </w:trPr>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hint="eastAsia"/>
                <w:sz w:val="18"/>
                <w:szCs w:val="18"/>
              </w:rPr>
              <w:t>关注度</w:t>
            </w:r>
          </w:p>
        </w:tc>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sz w:val="18"/>
                <w:szCs w:val="18"/>
              </w:rPr>
              <w:t>人数</w:t>
            </w:r>
            <w:r>
              <w:rPr>
                <w:rFonts w:ascii="宋体" w:hAnsi="宋体" w:cs="宋体" w:hint="eastAsia"/>
                <w:sz w:val="18"/>
                <w:szCs w:val="18"/>
              </w:rPr>
              <w:t>（人）</w:t>
            </w:r>
          </w:p>
        </w:tc>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hint="eastAsia"/>
                <w:sz w:val="18"/>
                <w:szCs w:val="18"/>
              </w:rPr>
              <w:t>百分比（%）</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非常关注</w:t>
            </w:r>
          </w:p>
        </w:tc>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26</w:t>
            </w:r>
          </w:p>
        </w:tc>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13.83</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比较关注</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94</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50.00</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一般</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50</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26.60</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不太关注</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16</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8.51</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不关注</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1.06</w:t>
            </w:r>
          </w:p>
        </w:tc>
      </w:tr>
      <w:tr>
        <w:tblPrEx>
          <w:tblW w:w="6600" w:type="dxa"/>
          <w:jc w:val="center"/>
          <w:tblLayout w:type="fixed"/>
          <w:tblCellMar>
            <w:top w:w="0" w:type="dxa"/>
            <w:left w:w="108" w:type="dxa"/>
            <w:bottom w:w="0" w:type="dxa"/>
            <w:right w:w="108" w:type="dxa"/>
          </w:tblCellMar>
        </w:tblPrEx>
        <w:trPr>
          <w:trHeight w:val="446"/>
          <w:jc w:val="center"/>
        </w:trPr>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sz w:val="18"/>
                <w:szCs w:val="18"/>
              </w:rPr>
              <w:t>合计</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200</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100.00</w:t>
            </w:r>
          </w:p>
        </w:tc>
      </w:tr>
    </w:tbl>
    <w:p>
      <w:pPr>
        <w:spacing w:line="360" w:lineRule="auto"/>
        <w:rPr>
          <w:rFonts w:asciiTheme="minorEastAsia" w:hAnsiTheme="minorEastAsia" w:cs="Times New Roman"/>
          <w:sz w:val="24"/>
          <w:szCs w:val="24"/>
        </w:rPr>
      </w:pP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hint="eastAsia"/>
          <w:sz w:val="24"/>
          <w:szCs w:val="24"/>
        </w:rPr>
        <w:t>从以上调查结果可知，本校大学生对于志愿服务活动的关注度还是比较高的，也可以深入分析为，当代大学生对于志愿服务活动的了解意愿还是比较强的，也说明志愿服务活动在大学生的心中占据一定的重要性。</w:t>
      </w:r>
    </w:p>
    <w:p>
      <w:pPr>
        <w:pStyle w:val="Heading2"/>
      </w:pPr>
      <w:bookmarkStart w:id="11" w:name="_Toc70685785"/>
      <w:r>
        <w:rPr>
          <w:rFonts w:hint="eastAsia"/>
        </w:rPr>
        <w:t>微观层面因素分析</w:t>
      </w:r>
      <w:bookmarkEnd w:id="11"/>
    </w:p>
    <w:p>
      <w:pPr>
        <w:pStyle w:val="ListParagraph"/>
        <w:numPr>
          <w:ilvl w:val="0"/>
          <w:numId w:val="13"/>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影响志愿服务意愿的因素</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sz w:val="24"/>
          <w:szCs w:val="24"/>
        </w:rPr>
        <w:t>调查发现</w:t>
      </w:r>
      <w:r>
        <w:rPr>
          <w:rFonts w:asciiTheme="minorEastAsia" w:hAnsiTheme="minorEastAsia" w:cs="Times New Roman" w:hint="eastAsia"/>
          <w:sz w:val="24"/>
          <w:szCs w:val="24"/>
        </w:rPr>
        <w:t>，兴趣爱好（占比63.3%）、服务对象（占比65.96%）、服务时间地点（占比64.36%）、参与的志愿群体(占比49.47%)、活动奖励（占比25%）为吸引调查对象参加志愿服务活动的主要原因，这些原因与志愿者坚持志愿服务的时长呈显著的正相关，说明这些因素提升了调查对象的志愿服务意愿。另外，分析后发现阻碍因素与调查对象是否参加志愿服务行为呈显著的负相关。而阻碍志愿服务的主要原是时间地点不合适（129人，占比68.62%），志愿项目单调无聊、奖励机制不完善、服务对象不配合、所需专业能力强也会降低志愿服务意愿，任务量繁重、志愿项目信息难获取、队员难相处对于志愿服务医院的影响较弱。</w:t>
      </w:r>
    </w:p>
    <w:p>
      <w:pPr>
        <w:spacing w:line="360" w:lineRule="auto"/>
        <w:jc w:val="center"/>
        <w:rPr>
          <w:rFonts w:ascii="黑体" w:eastAsia="黑体" w:hAnsi="黑体" w:cs="Times New Roman"/>
          <w:b/>
          <w:szCs w:val="21"/>
        </w:rPr>
      </w:pPr>
      <w:r>
        <w:rPr>
          <w:rFonts w:ascii="黑体" w:eastAsia="黑体" w:hAnsi="黑体" w:cs="Times New Roman" w:hint="eastAsia"/>
          <w:b/>
          <w:szCs w:val="21"/>
        </w:rPr>
        <w:t>表3-5 大学生参与志愿服务的吸引因素</w:t>
      </w:r>
      <w:r>
        <w:rPr>
          <w:rFonts w:ascii="黑体" w:eastAsia="黑体" w:hAnsi="黑体"/>
          <w:color w:val="000000"/>
          <w:szCs w:val="21"/>
        </w:rPr>
        <w:t xml:space="preserve"> </w:t>
      </w:r>
    </w:p>
    <w:tbl>
      <w:tblPr>
        <w:tblStyle w:val="TableGrid4"/>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2200"/>
        <w:gridCol w:w="2200"/>
      </w:tblGrid>
      <w:tr>
        <w:tblPrEx>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4"/>
          <w:jc w:val="center"/>
        </w:trPr>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sz w:val="18"/>
                <w:szCs w:val="18"/>
              </w:rPr>
              <w:t>吸引因素</w:t>
            </w:r>
          </w:p>
        </w:tc>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sz w:val="18"/>
                <w:szCs w:val="18"/>
              </w:rPr>
              <w:t>人数</w:t>
            </w:r>
            <w:r>
              <w:rPr>
                <w:rFonts w:ascii="宋体" w:hAnsi="宋体" w:cs="宋体" w:hint="eastAsia"/>
                <w:sz w:val="18"/>
                <w:szCs w:val="18"/>
              </w:rPr>
              <w:t>（人）</w:t>
            </w:r>
          </w:p>
        </w:tc>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hint="eastAsia"/>
                <w:sz w:val="18"/>
                <w:szCs w:val="18"/>
              </w:rPr>
              <w:t>百分比（%）</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兴趣爱好</w:t>
            </w:r>
          </w:p>
        </w:tc>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119</w:t>
            </w:r>
          </w:p>
        </w:tc>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63.30</w:t>
            </w:r>
          </w:p>
        </w:tc>
      </w:tr>
    </w:tbl>
    <w:p>
      <w:pPr>
        <w:sectPr>
          <w:footerReference w:type="default" r:id="rId20"/>
          <w:footnotePr>
            <w:numFmt w:val="decimalEnclosedCircleChinese"/>
            <w:numRestart w:val="eachPage"/>
          </w:footnotePr>
          <w:type w:val="nextPage"/>
          <w:pgSz w:w="11906" w:h="16838"/>
          <w:pgMar w:top="1440" w:right="1800" w:bottom="1440" w:left="1800" w:header="851" w:footer="992" w:gutter="0"/>
          <w:pgNumType w:start="14"/>
          <w:cols w:num="1" w:space="425"/>
          <w:titlePg w:val="0"/>
          <w:docGrid w:type="lines" w:linePitch="312" w:charSpace="0"/>
        </w:sectPr>
      </w:pPr>
    </w:p>
    <w:tbl>
      <w:tblPr>
        <w:tblStyle w:val="TableGrid5"/>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2200"/>
        <w:gridCol w:w="2200"/>
      </w:tblGrid>
      <w:tr>
        <w:tblPrEx>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服务对象</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124</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65.96</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服务时间地点</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121</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64.36</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参与的志愿者群体</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93</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49.47</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活动奖励</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47</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25.00</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组织机构运转完善</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16</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8.51</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亲友评价</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8</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4.26</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sz w:val="18"/>
                <w:szCs w:val="18"/>
              </w:rPr>
              <w:t>其他</w:t>
            </w:r>
            <w:r>
              <w:rPr>
                <w:rFonts w:ascii="宋体" w:hAnsi="宋体" w:cs="宋体" w:hint="eastAsia"/>
                <w:sz w:val="18"/>
                <w:szCs w:val="18"/>
              </w:rPr>
              <w:t>（无）</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0.53</w:t>
            </w:r>
          </w:p>
        </w:tc>
      </w:tr>
      <w:tr>
        <w:tblPrEx>
          <w:tblW w:w="6600" w:type="dxa"/>
          <w:jc w:val="center"/>
          <w:tblLayout w:type="fixed"/>
          <w:tblCellMar>
            <w:top w:w="0" w:type="dxa"/>
            <w:left w:w="108" w:type="dxa"/>
            <w:bottom w:w="0" w:type="dxa"/>
            <w:right w:w="108" w:type="dxa"/>
          </w:tblCellMar>
        </w:tblPrEx>
        <w:trPr>
          <w:trHeight w:val="446"/>
          <w:jc w:val="center"/>
        </w:trPr>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sz w:val="18"/>
                <w:szCs w:val="18"/>
              </w:rPr>
              <w:t>合计</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200</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100.00</w:t>
            </w:r>
          </w:p>
        </w:tc>
      </w:tr>
    </w:tbl>
    <w:p>
      <w:pPr>
        <w:spacing w:line="360" w:lineRule="auto"/>
        <w:rPr>
          <w:rFonts w:asciiTheme="minorEastAsia" w:hAnsiTheme="minorEastAsia" w:cs="Times New Roman"/>
          <w:sz w:val="24"/>
          <w:szCs w:val="24"/>
        </w:rPr>
      </w:pPr>
    </w:p>
    <w:p>
      <w:pPr>
        <w:spacing w:line="360" w:lineRule="auto"/>
        <w:jc w:val="center"/>
        <w:rPr>
          <w:rFonts w:ascii="黑体" w:eastAsia="黑体" w:hAnsi="黑体" w:cs="Times New Roman"/>
          <w:b/>
          <w:szCs w:val="21"/>
        </w:rPr>
      </w:pPr>
      <w:r>
        <w:rPr>
          <w:rFonts w:ascii="黑体" w:eastAsia="黑体" w:hAnsi="黑体" w:cs="Times New Roman" w:hint="eastAsia"/>
          <w:b/>
          <w:szCs w:val="21"/>
        </w:rPr>
        <w:t>表3-6 大学生参加志愿服务的阻碍因素</w:t>
      </w:r>
    </w:p>
    <w:tbl>
      <w:tblPr>
        <w:tblStyle w:val="TableGrid5"/>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2200"/>
        <w:gridCol w:w="2200"/>
      </w:tblGrid>
      <w:tr>
        <w:tblPrEx>
          <w:tblW w:w="6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4"/>
          <w:jc w:val="center"/>
        </w:trPr>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hint="eastAsia"/>
                <w:sz w:val="18"/>
                <w:szCs w:val="18"/>
              </w:rPr>
              <w:t>阻碍</w:t>
            </w:r>
            <w:r>
              <w:rPr>
                <w:rFonts w:ascii="宋体" w:hAnsi="宋体" w:cs="宋体"/>
                <w:sz w:val="18"/>
                <w:szCs w:val="18"/>
              </w:rPr>
              <w:t>因素</w:t>
            </w:r>
          </w:p>
        </w:tc>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sz w:val="18"/>
                <w:szCs w:val="18"/>
              </w:rPr>
              <w:t>人数</w:t>
            </w:r>
            <w:r>
              <w:rPr>
                <w:rFonts w:ascii="宋体" w:hAnsi="宋体" w:cs="宋体" w:hint="eastAsia"/>
                <w:sz w:val="18"/>
                <w:szCs w:val="18"/>
              </w:rPr>
              <w:t>（人）</w:t>
            </w:r>
          </w:p>
        </w:tc>
        <w:tc>
          <w:tcPr>
            <w:tcW w:w="2200" w:type="dxa"/>
            <w:tcBorders>
              <w:top w:val="single" w:sz="12" w:space="0" w:color="auto"/>
              <w:left w:val="nil"/>
              <w:right w:val="nil"/>
            </w:tcBorders>
          </w:tcPr>
          <w:p>
            <w:pPr>
              <w:spacing w:line="360" w:lineRule="auto"/>
              <w:jc w:val="center"/>
              <w:rPr>
                <w:rFonts w:ascii="宋体" w:hAnsi="宋体" w:cs="宋体"/>
                <w:sz w:val="18"/>
                <w:szCs w:val="18"/>
              </w:rPr>
            </w:pPr>
            <w:r>
              <w:rPr>
                <w:rFonts w:ascii="宋体" w:hAnsi="宋体" w:cs="宋体" w:hint="eastAsia"/>
                <w:sz w:val="18"/>
                <w:szCs w:val="18"/>
              </w:rPr>
              <w:t>百分比（%）</w:t>
            </w:r>
          </w:p>
        </w:tc>
      </w:tr>
      <w:tr>
        <w:tblPrEx>
          <w:tblW w:w="6600" w:type="dxa"/>
          <w:jc w:val="center"/>
          <w:tblLayout w:type="fixed"/>
          <w:tblCellMar>
            <w:top w:w="0" w:type="dxa"/>
            <w:left w:w="108" w:type="dxa"/>
            <w:bottom w:w="0" w:type="dxa"/>
            <w:right w:w="108" w:type="dxa"/>
          </w:tblCellMar>
        </w:tblPrEx>
        <w:trPr>
          <w:trHeight w:val="348"/>
          <w:jc w:val="center"/>
        </w:trPr>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志愿项目无聊单调</w:t>
            </w:r>
          </w:p>
        </w:tc>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72</w:t>
            </w:r>
          </w:p>
        </w:tc>
        <w:tc>
          <w:tcPr>
            <w:tcW w:w="2200" w:type="dxa"/>
            <w:tcBorders>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38.30</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时间地点不合适</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129</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68.62</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奖励机制不完善</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68</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36.17</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服务对象不配合</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55</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29.26</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所需</w:t>
            </w:r>
            <w:r>
              <w:rPr>
                <w:rFonts w:ascii="宋体" w:hAnsi="宋体" w:cs="宋体"/>
                <w:sz w:val="18"/>
                <w:szCs w:val="18"/>
              </w:rPr>
              <w:t>专业能力过强</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37</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19.68</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任务量大，难以承受</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21</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11.17</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志愿项目信息难以获取</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19</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10.11</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队员难以相处</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9</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4.79</w:t>
            </w:r>
          </w:p>
        </w:tc>
      </w:tr>
      <w:tr>
        <w:tblPrEx>
          <w:tblW w:w="6600" w:type="dxa"/>
          <w:jc w:val="center"/>
          <w:tblLayout w:type="fixed"/>
          <w:tblCellMar>
            <w:top w:w="0" w:type="dxa"/>
            <w:left w:w="108" w:type="dxa"/>
            <w:bottom w:w="0" w:type="dxa"/>
            <w:right w:w="108" w:type="dxa"/>
          </w:tblCellMar>
        </w:tblPrEx>
        <w:trPr>
          <w:trHeight w:val="313"/>
          <w:jc w:val="center"/>
        </w:trPr>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其他（无）</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1</w:t>
            </w:r>
          </w:p>
        </w:tc>
        <w:tc>
          <w:tcPr>
            <w:tcW w:w="2200" w:type="dxa"/>
            <w:tcBorders>
              <w:top w:val="nil"/>
              <w:left w:val="nil"/>
              <w:bottom w:val="nil"/>
              <w:right w:val="nil"/>
            </w:tcBorders>
            <w:vAlign w:val="center"/>
          </w:tcPr>
          <w:p>
            <w:pPr>
              <w:jc w:val="center"/>
              <w:rPr>
                <w:rFonts w:ascii="宋体" w:hAnsi="宋体" w:cs="宋体"/>
                <w:sz w:val="18"/>
                <w:szCs w:val="18"/>
              </w:rPr>
            </w:pPr>
            <w:r>
              <w:rPr>
                <w:rFonts w:ascii="宋体" w:hAnsi="宋体" w:cs="宋体" w:hint="eastAsia"/>
                <w:sz w:val="18"/>
                <w:szCs w:val="18"/>
              </w:rPr>
              <w:t>0.53</w:t>
            </w:r>
          </w:p>
        </w:tc>
      </w:tr>
      <w:tr>
        <w:tblPrEx>
          <w:tblW w:w="6600" w:type="dxa"/>
          <w:jc w:val="center"/>
          <w:tblLayout w:type="fixed"/>
          <w:tblCellMar>
            <w:top w:w="0" w:type="dxa"/>
            <w:left w:w="108" w:type="dxa"/>
            <w:bottom w:w="0" w:type="dxa"/>
            <w:right w:w="108" w:type="dxa"/>
          </w:tblCellMar>
        </w:tblPrEx>
        <w:trPr>
          <w:trHeight w:val="446"/>
          <w:jc w:val="center"/>
        </w:trPr>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sz w:val="18"/>
                <w:szCs w:val="18"/>
              </w:rPr>
              <w:t>合计</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200</w:t>
            </w:r>
          </w:p>
        </w:tc>
        <w:tc>
          <w:tcPr>
            <w:tcW w:w="2200" w:type="dxa"/>
            <w:tcBorders>
              <w:top w:val="nil"/>
              <w:left w:val="nil"/>
              <w:bottom w:val="single" w:sz="12" w:space="0" w:color="auto"/>
              <w:right w:val="nil"/>
            </w:tcBorders>
            <w:vAlign w:val="center"/>
          </w:tcPr>
          <w:p>
            <w:pPr>
              <w:jc w:val="center"/>
              <w:rPr>
                <w:rFonts w:ascii="宋体" w:hAnsi="宋体" w:cs="宋体"/>
                <w:sz w:val="18"/>
                <w:szCs w:val="18"/>
              </w:rPr>
            </w:pPr>
            <w:r>
              <w:rPr>
                <w:rFonts w:ascii="宋体" w:hAnsi="宋体" w:cs="宋体" w:hint="eastAsia"/>
                <w:sz w:val="18"/>
                <w:szCs w:val="18"/>
              </w:rPr>
              <w:t>100.00</w:t>
            </w:r>
          </w:p>
        </w:tc>
      </w:tr>
    </w:tbl>
    <w:p>
      <w:pPr>
        <w:spacing w:line="360" w:lineRule="auto"/>
        <w:rPr>
          <w:rFonts w:asciiTheme="minorEastAsia" w:hAnsiTheme="minorEastAsia" w:cs="Times New Roman"/>
          <w:b/>
          <w:sz w:val="18"/>
          <w:szCs w:val="18"/>
        </w:rPr>
      </w:pPr>
    </w:p>
    <w:p>
      <w:pPr>
        <w:spacing w:line="360" w:lineRule="auto"/>
        <w:ind w:firstLine="480" w:firstLineChars="200"/>
        <w:rPr>
          <w:rFonts w:asciiTheme="minorEastAsia" w:hAnsiTheme="minorEastAsia" w:cs="Times New Roman"/>
          <w:color w:val="000000" w:themeColor="text1"/>
          <w:sz w:val="24"/>
          <w:szCs w:val="24"/>
        </w:rPr>
      </w:pPr>
      <w:r>
        <w:rPr>
          <w:rFonts w:asciiTheme="minorEastAsia" w:hAnsiTheme="minorEastAsia" w:cs="Times New Roman" w:hint="eastAsia"/>
          <w:sz w:val="24"/>
          <w:szCs w:val="24"/>
        </w:rPr>
        <w:t>至于志愿服务期间的补贴，一半的人（占比53.9%）认为只报销与志愿行为相关的开支即可，认为不需要任何补偿的人数和认为报销基础上有适当奖励的人数基本持平。另外，</w:t>
      </w:r>
      <w:r>
        <w:rPr>
          <w:rFonts w:asciiTheme="minorEastAsia" w:hAnsiTheme="minorEastAsia" w:cs="Times New Roman" w:hint="eastAsia"/>
          <w:color w:val="000000" w:themeColor="text1"/>
          <w:sz w:val="24"/>
          <w:szCs w:val="24"/>
        </w:rPr>
        <w:t>有22人认为志愿活动应该</w:t>
      </w:r>
      <w:r>
        <w:rPr>
          <w:rFonts w:ascii="Helvetica" w:hAnsi="Helvetica"/>
          <w:color w:val="000000" w:themeColor="text1"/>
          <w:sz w:val="24"/>
          <w:szCs w:val="24"/>
          <w:shd w:val="clear" w:color="auto" w:fill="FFFFFF"/>
        </w:rPr>
        <w:t>报销费用、有适当奖励，且在个人经济困难或支出较大时有一定的报酬</w:t>
      </w:r>
      <w:r>
        <w:rPr>
          <w:rFonts w:ascii="Helvetica" w:hAnsi="Helvetica" w:hint="eastAsia"/>
          <w:color w:val="000000" w:themeColor="text1"/>
          <w:sz w:val="24"/>
          <w:szCs w:val="24"/>
          <w:shd w:val="clear" w:color="auto" w:fill="FFFFFF"/>
        </w:rPr>
        <w:t>，有</w:t>
      </w:r>
      <w:r>
        <w:rPr>
          <w:rFonts w:asciiTheme="minorEastAsia" w:hAnsiTheme="minorEastAsia" w:hint="eastAsia"/>
          <w:color w:val="000000" w:themeColor="text1"/>
          <w:sz w:val="24"/>
          <w:szCs w:val="24"/>
          <w:shd w:val="clear" w:color="auto" w:fill="FFFFFF"/>
        </w:rPr>
        <w:t>13</w:t>
      </w:r>
      <w:r>
        <w:rPr>
          <w:rFonts w:ascii="Helvetica" w:hAnsi="Helvetica" w:hint="eastAsia"/>
          <w:color w:val="000000" w:themeColor="text1"/>
          <w:sz w:val="24"/>
          <w:szCs w:val="24"/>
          <w:shd w:val="clear" w:color="auto" w:fill="FFFFFF"/>
        </w:rPr>
        <w:t>人难以说清。所以志愿服务期间的补贴在众多影响因素当中并不是影响力最大的，更多的大学生志愿者很清楚志愿服务的概念与本质。</w:t>
      </w:r>
    </w:p>
    <w:p>
      <w:pPr>
        <w:pStyle w:val="ListParagraph"/>
        <w:numPr>
          <w:ilvl w:val="0"/>
          <w:numId w:val="13"/>
        </w:numPr>
        <w:spacing w:line="360" w:lineRule="auto"/>
        <w:ind w:firstLineChars="0"/>
        <w:rPr>
          <w:rFonts w:ascii="黑体" w:eastAsia="黑体" w:hAnsi="黑体" w:cs="Times New Roman"/>
          <w:sz w:val="24"/>
          <w:szCs w:val="24"/>
        </w:rPr>
      </w:pPr>
      <w:r>
        <w:rPr>
          <w:rFonts w:ascii="黑体" w:eastAsia="黑体" w:hAnsi="黑体" w:cs="Times New Roman" w:hint="eastAsia"/>
          <w:sz w:val="24"/>
          <w:szCs w:val="24"/>
        </w:rPr>
        <w:t>重要性认知</w:t>
      </w:r>
    </w:p>
    <w:p>
      <w:pPr>
        <w:spacing w:line="360" w:lineRule="auto"/>
        <w:ind w:firstLine="480" w:firstLineChars="200"/>
        <w:rPr>
          <w:rFonts w:asciiTheme="minorEastAsia" w:hAnsiTheme="minorEastAsia" w:cs="Times New Roman"/>
          <w:sz w:val="24"/>
          <w:szCs w:val="24"/>
        </w:rPr>
      </w:pPr>
      <w:r>
        <w:rPr>
          <w:rFonts w:asciiTheme="minorEastAsia" w:hAnsiTheme="minorEastAsia" w:cs="Times New Roman"/>
          <w:sz w:val="24"/>
          <w:szCs w:val="24"/>
        </w:rPr>
        <w:t>从以上的社会志愿服务关注度可见</w:t>
      </w:r>
      <w:r>
        <w:rPr>
          <w:rFonts w:asciiTheme="minorEastAsia" w:hAnsiTheme="minorEastAsia" w:cs="Times New Roman" w:hint="eastAsia"/>
          <w:sz w:val="24"/>
          <w:szCs w:val="24"/>
        </w:rPr>
        <w:t>，多数大学生志愿者对于志愿服务的关注度还是比较高的，对于这些活动也有着较强的了解意愿，所以多数大学生志愿者还是较为清楚志愿服务活动的重要性的。</w:t>
      </w:r>
    </w:p>
    <w:p>
      <w:pPr>
        <w:spacing w:line="360" w:lineRule="auto"/>
        <w:ind w:firstLine="480" w:firstLineChars="200"/>
        <w:rPr>
          <w:rFonts w:asciiTheme="minorEastAsia" w:hAnsiTheme="minorEastAsia" w:cs="Times New Roman"/>
          <w:color w:val="000000" w:themeColor="text1"/>
          <w:sz w:val="24"/>
          <w:szCs w:val="24"/>
        </w:rPr>
      </w:pPr>
      <w:r>
        <w:rPr>
          <w:rFonts w:asciiTheme="minorEastAsia" w:hAnsiTheme="minorEastAsia"/>
          <w:color w:val="000000" w:themeColor="text1"/>
          <w:sz w:val="24"/>
          <w:szCs w:val="24"/>
          <w:shd w:val="clear" w:color="auto" w:fill="FFFFFF"/>
        </w:rPr>
        <w:t>百分比对比差异</w:t>
      </w:r>
      <w:r>
        <w:rPr>
          <w:rFonts w:asciiTheme="minorEastAsia" w:hAnsiTheme="minorEastAsia" w:hint="eastAsia"/>
          <w:color w:val="000000" w:themeColor="text1"/>
          <w:sz w:val="24"/>
          <w:szCs w:val="24"/>
          <w:shd w:val="clear" w:color="auto" w:fill="FFFFFF"/>
        </w:rPr>
        <w:t>之后，发现</w:t>
      </w:r>
      <w:r>
        <w:rPr>
          <w:rFonts w:asciiTheme="minorEastAsia" w:hAnsiTheme="minorEastAsia"/>
          <w:color w:val="000000" w:themeColor="text1"/>
          <w:sz w:val="24"/>
          <w:szCs w:val="24"/>
          <w:shd w:val="clear" w:color="auto" w:fill="FFFFFF"/>
        </w:rPr>
        <w:t>非常关注</w:t>
      </w:r>
      <w:r>
        <w:rPr>
          <w:rFonts w:asciiTheme="minorEastAsia" w:hAnsiTheme="minorEastAsia" w:hint="eastAsia"/>
          <w:color w:val="000000" w:themeColor="text1"/>
          <w:sz w:val="24"/>
          <w:szCs w:val="24"/>
          <w:shd w:val="clear" w:color="auto" w:fill="FFFFFF"/>
        </w:rPr>
        <w:t>社会志愿服务的大学生有</w:t>
      </w:r>
      <w:r>
        <w:rPr>
          <w:rFonts w:asciiTheme="minorEastAsia" w:hAnsiTheme="minorEastAsia"/>
          <w:color w:val="000000" w:themeColor="text1"/>
          <w:sz w:val="24"/>
          <w:szCs w:val="24"/>
          <w:shd w:val="clear" w:color="auto" w:fill="FFFFFF"/>
        </w:rPr>
        <w:t>半年以上的志愿服务经历的比例为60.00%，会明显高于平均水平32.00%。</w:t>
      </w:r>
      <w:r>
        <w:rPr>
          <w:rFonts w:asciiTheme="minorEastAsia" w:hAnsiTheme="minorEastAsia" w:hint="eastAsia"/>
          <w:color w:val="000000" w:themeColor="text1"/>
          <w:sz w:val="24"/>
          <w:szCs w:val="24"/>
          <w:shd w:val="clear" w:color="auto" w:fill="FFFFFF"/>
        </w:rPr>
        <w:t>关注度</w:t>
      </w:r>
      <w:r>
        <w:rPr>
          <w:rFonts w:asciiTheme="minorEastAsia" w:hAnsiTheme="minorEastAsia" w:cs="Times New Roman"/>
          <w:color w:val="000000" w:themeColor="text1"/>
          <w:sz w:val="24"/>
          <w:szCs w:val="24"/>
        </w:rPr>
        <w:br/>
      </w:r>
      <w:r>
        <w:rPr>
          <w:rFonts w:asciiTheme="minorEastAsia" w:hAnsiTheme="minorEastAsia" w:cs="Times New Roman"/>
          <w:color w:val="000000" w:themeColor="text1"/>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https://d.book118.com/017004155040006026</w:t>
        </w:r>
      </w:hyperlink>
    </w:p>
    <w:p>
      <w:pPr>
        <w:spacing w:line="360" w:lineRule="auto"/>
        <w:ind w:firstLine="480" w:firstLineChars="200"/>
        <w:rPr>
          <w:rFonts w:asciiTheme="minorEastAsia" w:hAnsiTheme="minorEastAsia" w:cs="Times New Roman"/>
          <w:color w:val="000000" w:themeColor="text1"/>
          <w:sz w:val="24"/>
          <w:szCs w:val="24"/>
        </w:rPr>
      </w:pPr>
    </w:p>
    <w:sectPr>
      <w:footerReference w:type="default" r:id="rId22"/>
      <w:footnotePr>
        <w:numFmt w:val="decimalEnclosedCircleChinese"/>
        <w:numRestart w:val="eachPage"/>
      </w:footnotePr>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19157107"/>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75836026"/>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35</w:t>
        </w:r>
        <w:r>
          <w:rPr>
            <w:lang w:val="zh-CN"/>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4384507"/>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10274040"/>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35</w:t>
        </w:r>
        <w:r>
          <w:rPr>
            <w:lang w:val="zh-CN"/>
          </w:rP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07844244"/>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81169198"/>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35</w:t>
        </w:r>
        <w:r>
          <w:rPr>
            <w:lang w:val="zh-CN"/>
          </w:rP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57023150"/>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2232028"/>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35</w:t>
        </w:r>
        <w:r>
          <w:rPr>
            <w:lang w:val="zh-CN"/>
          </w:rP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62768916"/>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9</w:t>
        </w:r>
        <w:r>
          <w:rPr>
            <w:lang w:val="zh-CN"/>
          </w:rP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02975821"/>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35</w:t>
        </w:r>
        <w:r>
          <w:rPr>
            <w:lang w:val="zh-CN"/>
          </w:rPr>
          <w:fldChar w:fldCharType="end"/>
        </w:r>
      </w:p>
    </w:sdtContent>
  </w:sdt>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68011696"/>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1888737"/>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3419964"/>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4717741"/>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35</w:t>
        </w:r>
        <w:r>
          <w:rPr>
            <w:lang w:val="zh-CN"/>
          </w:rPr>
          <w:fldChar w:fldCharType="end"/>
        </w:r>
      </w:p>
    </w:sdtContent>
  </w:sdt>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81167410"/>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rPr>
          <w:rFonts w:asciiTheme="minorEastAsia" w:hAnsiTheme="minorEastAsia"/>
          <w:sz w:val="24"/>
          <w:szCs w:val="24"/>
        </w:rPr>
      </w:pPr>
      <w:r>
        <w:rPr>
          <w:rStyle w:val="FootnoteReference"/>
        </w:rPr>
        <w:footnoteRef/>
      </w:r>
      <w:r>
        <w:rPr>
          <w:rFonts w:asciiTheme="minorEastAsia" w:hAnsiTheme="minorEastAsia" w:hint="eastAsia"/>
          <w:sz w:val="18"/>
          <w:szCs w:val="18"/>
        </w:rPr>
        <w:t>蔡金杰. 大学生志愿服务的实践育人功能及其实现路径研究[D].河北师范大学，2020.</w:t>
      </w:r>
    </w:p>
  </w:footnote>
  <w:footnote w:id="3">
    <w:p>
      <w:pPr>
        <w:pStyle w:val="FootnoteText"/>
        <w:rPr>
          <w:sz w:val="21"/>
          <w:szCs w:val="21"/>
        </w:rPr>
      </w:pPr>
      <w:r>
        <w:rPr>
          <w:rStyle w:val="FootnoteReference"/>
          <w:sz w:val="21"/>
          <w:szCs w:val="21"/>
        </w:rPr>
        <w:footnoteRef/>
      </w:r>
      <w:r>
        <w:rPr>
          <w:rFonts w:ascii="Times New Roman" w:hAnsi="Times New Roman" w:cs="Times New Roman"/>
          <w:color w:val="000000" w:themeColor="text1"/>
        </w:rPr>
        <w:t>Tansey L. (2012) Volunteering within Higher Education—A Literature Exploration and Case Study. In: McIlrath L.， Lyons A.， Munck R. (eds) Higher Education and Civic Engagement. Palgrave Macmillan， New York. </w:t>
      </w:r>
    </w:p>
  </w:footnote>
  <w:footnote w:id="4">
    <w:p>
      <w:pPr>
        <w:rPr>
          <w:rFonts w:asciiTheme="minorEastAsia" w:hAnsiTheme="minorEastAsia"/>
          <w:sz w:val="24"/>
          <w:szCs w:val="24"/>
        </w:rPr>
      </w:pPr>
      <w:r>
        <w:rPr>
          <w:rStyle w:val="FootnoteReference"/>
        </w:rPr>
        <w:footnoteRef/>
      </w:r>
      <w:r>
        <w:rPr>
          <w:rFonts w:asciiTheme="minorEastAsia" w:hAnsiTheme="minorEastAsia" w:hint="eastAsia"/>
          <w:sz w:val="18"/>
          <w:szCs w:val="18"/>
        </w:rPr>
        <w:t>李环环，职心乐，朱红，郑迪，许军，谢娟.大学生志愿服务认知、态度与行为的分布及关联研究[J].中国现代医药杂志，2017，19(12):1-8.</w:t>
      </w:r>
    </w:p>
  </w:footnote>
  <w:footnote w:id="5">
    <w:p>
      <w:pPr>
        <w:rPr>
          <w:rFonts w:asciiTheme="minorEastAsia" w:hAnsiTheme="minorEastAsia"/>
          <w:sz w:val="24"/>
          <w:szCs w:val="24"/>
        </w:rPr>
      </w:pPr>
      <w:r>
        <w:rPr>
          <w:rStyle w:val="FootnoteReference"/>
        </w:rPr>
        <w:footnoteRef/>
      </w:r>
      <w:r>
        <w:rPr>
          <w:rFonts w:asciiTheme="minorEastAsia" w:hAnsiTheme="minorEastAsia" w:hint="eastAsia"/>
          <w:sz w:val="18"/>
          <w:szCs w:val="18"/>
        </w:rPr>
        <w:t>张冰，朱小磊.大学生持续性志愿服务行为影响因素[J].当代青年研究，2018(05):62-68+99.</w:t>
      </w:r>
    </w:p>
  </w:footnote>
  <w:footnote w:id="6">
    <w:p>
      <w:pPr>
        <w:pStyle w:val="FootnoteText"/>
      </w:pPr>
      <w:r>
        <w:rPr>
          <w:rStyle w:val="FootnoteReference"/>
          <w:sz w:val="21"/>
          <w:szCs w:val="21"/>
        </w:rPr>
        <w:footnoteRef/>
      </w:r>
      <w:r>
        <w:rPr>
          <w:rFonts w:hint="eastAsia"/>
        </w:rPr>
        <w:t>邢闯. 以志愿服务为载体的大学生人生观培育研究[D].辽宁中医药大学,2016.</w:t>
      </w:r>
    </w:p>
  </w:footnote>
  <w:footnote w:id="7">
    <w:p>
      <w:pPr>
        <w:pStyle w:val="FootnoteText"/>
      </w:pPr>
      <w:r>
        <w:rPr>
          <w:rStyle w:val="FootnoteReference"/>
          <w:sz w:val="21"/>
          <w:szCs w:val="21"/>
        </w:rPr>
        <w:footnoteRef/>
      </w:r>
      <w:r>
        <w:rPr>
          <w:rFonts w:asciiTheme="minorEastAsia" w:hAnsiTheme="minorEastAsia" w:hint="eastAsia"/>
          <w:color w:val="000000" w:themeColor="text1"/>
        </w:rPr>
        <w:t>郭延娜. 大学生志愿服务的育人功能研究[D].辽宁大学,2015.</w:t>
      </w:r>
    </w:p>
  </w:footnote>
  <w:footnote w:id="8">
    <w:p>
      <w:pPr>
        <w:pStyle w:val="FootnoteText"/>
      </w:pPr>
      <w:r>
        <w:rPr>
          <w:rStyle w:val="FootnoteReference"/>
          <w:sz w:val="21"/>
          <w:szCs w:val="21"/>
        </w:rPr>
        <w:footnoteRef/>
      </w:r>
      <w:r>
        <w:t>新华社.“奉献、友爱、互助、进步”上海二十余万名志愿者努力践行志愿服务精神[DB/OL].(2020-03-05)[2020-11-20].http：//www.xinhuanet.com/mrdx/2020-03/05/c_138845710.htm.</w:t>
      </w:r>
    </w:p>
  </w:footnote>
  <w:footnote w:id="9">
    <w:p>
      <w:pPr>
        <w:pStyle w:val="FootnoteText"/>
      </w:pPr>
      <w:r>
        <w:rPr>
          <w:rStyle w:val="FootnoteReference"/>
          <w:sz w:val="21"/>
          <w:szCs w:val="21"/>
        </w:rPr>
        <w:footnoteRef/>
      </w:r>
      <w:r>
        <w:rPr>
          <w:rFonts w:hint="eastAsia"/>
        </w:rPr>
        <w:t>朱雄,徐伟宏.大学生志愿服务的社会效应分析与组织治理[J].理论月刊,2017(07):160-163.</w:t>
      </w:r>
    </w:p>
  </w:footnote>
  <w:footnote w:id="10">
    <w:p>
      <w:pPr>
        <w:pStyle w:val="FootnoteText"/>
      </w:pPr>
      <w:r>
        <w:rPr>
          <w:rStyle w:val="FootnoteReference"/>
          <w:sz w:val="21"/>
          <w:szCs w:val="21"/>
        </w:rPr>
        <w:footnoteRef/>
      </w:r>
      <w:r>
        <w:rPr>
          <w:rFonts w:hint="eastAsia"/>
        </w:rPr>
        <w:t>陈晶环.青年志愿服务对社会管理创新的意义[J].中国青年政治学院学报,2012,31(06):132-136.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586A0F"/>
    <w:multiLevelType w:val="multilevel"/>
    <w:tmpl w:val="07586A0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7B05FDC"/>
    <w:multiLevelType w:val="multilevel"/>
    <w:tmpl w:val="17B05FD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B16408D"/>
    <w:multiLevelType w:val="multilevel"/>
    <w:tmpl w:val="1B16408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34C1E09"/>
    <w:multiLevelType w:val="multilevel"/>
    <w:tmpl w:val="334C1E09"/>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792086B"/>
    <w:multiLevelType w:val="multilevel"/>
    <w:tmpl w:val="3792086B"/>
    <w:lvl w:ilvl="0">
      <w:start w:val="1"/>
      <w:numFmt w:val="chineseCountingThousand"/>
      <w:pStyle w:val="Heading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88011A5"/>
    <w:multiLevelType w:val="multilevel"/>
    <w:tmpl w:val="488011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A477F3"/>
    <w:multiLevelType w:val="multilevel"/>
    <w:tmpl w:val="4CA477F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ECE090A"/>
    <w:multiLevelType w:val="multilevel"/>
    <w:tmpl w:val="4ECE090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EDA3D74"/>
    <w:multiLevelType w:val="multilevel"/>
    <w:tmpl w:val="4EDA3D7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2566E1B"/>
    <w:multiLevelType w:val="multilevel"/>
    <w:tmpl w:val="52566E1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54F46422"/>
    <w:multiLevelType w:val="multilevel"/>
    <w:tmpl w:val="54F4642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56472967"/>
    <w:multiLevelType w:val="multilevel"/>
    <w:tmpl w:val="5647296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9CF2B31"/>
    <w:multiLevelType w:val="multilevel"/>
    <w:tmpl w:val="59CF2B31"/>
    <w:lvl w:ilvl="0">
      <w:start w:val="1"/>
      <w:numFmt w:val="chineseCountingThousand"/>
      <w:pStyle w:val="Heading1"/>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5BCD05DE"/>
    <w:multiLevelType w:val="multilevel"/>
    <w:tmpl w:val="5BCD05D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656F23A6"/>
    <w:multiLevelType w:val="multilevel"/>
    <w:tmpl w:val="656F23A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7032500"/>
    <w:multiLevelType w:val="multilevel"/>
    <w:tmpl w:val="6703250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693F5CAA"/>
    <w:multiLevelType w:val="multilevel"/>
    <w:tmpl w:val="693F5CA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70A2362E"/>
    <w:multiLevelType w:val="multilevel"/>
    <w:tmpl w:val="70A2362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2"/>
  </w:num>
  <w:num w:numId="2">
    <w:abstractNumId w:val="4"/>
  </w:num>
  <w:num w:numId="3">
    <w:abstractNumId w:val="6"/>
  </w:num>
  <w:num w:numId="4">
    <w:abstractNumId w:val="0"/>
  </w:num>
  <w:num w:numId="5">
    <w:abstractNumId w:val="17"/>
  </w:num>
  <w:num w:numId="6">
    <w:abstractNumId w:val="4"/>
    <w:lvlOverride w:ilvl="0">
      <w:startOverride w:val="1"/>
    </w:lvlOverride>
  </w:num>
  <w:num w:numId="7">
    <w:abstractNumId w:val="3"/>
  </w:num>
  <w:num w:numId="8">
    <w:abstractNumId w:val="5"/>
  </w:num>
  <w:num w:numId="9">
    <w:abstractNumId w:val="15"/>
  </w:num>
  <w:num w:numId="10">
    <w:abstractNumId w:val="9"/>
  </w:num>
  <w:num w:numId="11">
    <w:abstractNumId w:val="4"/>
    <w:lvlOverride w:ilvl="0">
      <w:startOverride w:val="1"/>
    </w:lvlOverride>
  </w:num>
  <w:num w:numId="12">
    <w:abstractNumId w:val="10"/>
  </w:num>
  <w:num w:numId="13">
    <w:abstractNumId w:val="13"/>
  </w:num>
  <w:num w:numId="14">
    <w:abstractNumId w:val="2"/>
  </w:num>
  <w:num w:numId="15">
    <w:abstractNumId w:val="16"/>
  </w:num>
  <w:num w:numId="16">
    <w:abstractNumId w:val="4"/>
    <w:lvlOverride w:ilvl="0">
      <w:startOverride w:val="1"/>
    </w:lvlOverride>
  </w:num>
  <w:num w:numId="17">
    <w:abstractNumId w:val="7"/>
  </w:num>
  <w:num w:numId="18">
    <w:abstractNumId w:val="8"/>
  </w:num>
  <w:num w:numId="19">
    <w:abstractNumId w:val="11"/>
  </w:num>
  <w:num w:numId="20">
    <w:abstractNumId w:val="14"/>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footnotePr>
    <w:numFmt w:val="decimalEnclosedCircleChinese"/>
    <w:numRestart w:val="eachPage"/>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D36"/>
    <w:rsid w:val="00015E65"/>
    <w:rsid w:val="000174DE"/>
    <w:rsid w:val="00025380"/>
    <w:rsid w:val="000266C0"/>
    <w:rsid w:val="000345A3"/>
    <w:rsid w:val="00043CF3"/>
    <w:rsid w:val="00057DDF"/>
    <w:rsid w:val="000701A0"/>
    <w:rsid w:val="00072A39"/>
    <w:rsid w:val="00073FE7"/>
    <w:rsid w:val="00076054"/>
    <w:rsid w:val="000763A1"/>
    <w:rsid w:val="00083554"/>
    <w:rsid w:val="00096466"/>
    <w:rsid w:val="0009709F"/>
    <w:rsid w:val="000A0C95"/>
    <w:rsid w:val="000A1FDA"/>
    <w:rsid w:val="000A2F79"/>
    <w:rsid w:val="000A4232"/>
    <w:rsid w:val="000A7122"/>
    <w:rsid w:val="000B5528"/>
    <w:rsid w:val="000C2F1E"/>
    <w:rsid w:val="000C30BF"/>
    <w:rsid w:val="000E226B"/>
    <w:rsid w:val="000E400C"/>
    <w:rsid w:val="000F1154"/>
    <w:rsid w:val="000F77C3"/>
    <w:rsid w:val="0010074F"/>
    <w:rsid w:val="001014FC"/>
    <w:rsid w:val="00102BB9"/>
    <w:rsid w:val="001032A1"/>
    <w:rsid w:val="00110AB7"/>
    <w:rsid w:val="00115DA3"/>
    <w:rsid w:val="001172C6"/>
    <w:rsid w:val="00120793"/>
    <w:rsid w:val="00130682"/>
    <w:rsid w:val="00130B55"/>
    <w:rsid w:val="00183E6F"/>
    <w:rsid w:val="0019255A"/>
    <w:rsid w:val="001A766A"/>
    <w:rsid w:val="001B60CC"/>
    <w:rsid w:val="001C348B"/>
    <w:rsid w:val="001C490B"/>
    <w:rsid w:val="001E0A3B"/>
    <w:rsid w:val="001E23FE"/>
    <w:rsid w:val="001F3E81"/>
    <w:rsid w:val="0020167E"/>
    <w:rsid w:val="00234DA6"/>
    <w:rsid w:val="00235D99"/>
    <w:rsid w:val="0024212F"/>
    <w:rsid w:val="002833EE"/>
    <w:rsid w:val="0029129F"/>
    <w:rsid w:val="002A0E44"/>
    <w:rsid w:val="002B376A"/>
    <w:rsid w:val="002C47FD"/>
    <w:rsid w:val="002E4108"/>
    <w:rsid w:val="002F53A6"/>
    <w:rsid w:val="002F54F6"/>
    <w:rsid w:val="00324AD7"/>
    <w:rsid w:val="00340438"/>
    <w:rsid w:val="00347DA3"/>
    <w:rsid w:val="00351FE9"/>
    <w:rsid w:val="00371B2E"/>
    <w:rsid w:val="003728E3"/>
    <w:rsid w:val="00381848"/>
    <w:rsid w:val="00383BE0"/>
    <w:rsid w:val="00383F05"/>
    <w:rsid w:val="003907AC"/>
    <w:rsid w:val="003A2331"/>
    <w:rsid w:val="003B3C73"/>
    <w:rsid w:val="003C0F04"/>
    <w:rsid w:val="003D30DC"/>
    <w:rsid w:val="003F2C53"/>
    <w:rsid w:val="003F71DA"/>
    <w:rsid w:val="004041A0"/>
    <w:rsid w:val="00405D37"/>
    <w:rsid w:val="004241B0"/>
    <w:rsid w:val="004308C4"/>
    <w:rsid w:val="00431BCA"/>
    <w:rsid w:val="00433768"/>
    <w:rsid w:val="00442EB8"/>
    <w:rsid w:val="00463AA1"/>
    <w:rsid w:val="00480515"/>
    <w:rsid w:val="00483D27"/>
    <w:rsid w:val="00485FEA"/>
    <w:rsid w:val="00495554"/>
    <w:rsid w:val="004A7027"/>
    <w:rsid w:val="004B2C9A"/>
    <w:rsid w:val="004F1220"/>
    <w:rsid w:val="004F2B12"/>
    <w:rsid w:val="00510B8E"/>
    <w:rsid w:val="00510BBE"/>
    <w:rsid w:val="005112CE"/>
    <w:rsid w:val="00513677"/>
    <w:rsid w:val="0052559E"/>
    <w:rsid w:val="00561077"/>
    <w:rsid w:val="00563E7C"/>
    <w:rsid w:val="00576436"/>
    <w:rsid w:val="0059048E"/>
    <w:rsid w:val="00595276"/>
    <w:rsid w:val="005A404C"/>
    <w:rsid w:val="005C07FD"/>
    <w:rsid w:val="005C78A3"/>
    <w:rsid w:val="005E37F5"/>
    <w:rsid w:val="005F2911"/>
    <w:rsid w:val="005F66D6"/>
    <w:rsid w:val="005F7558"/>
    <w:rsid w:val="00622E7F"/>
    <w:rsid w:val="006317A8"/>
    <w:rsid w:val="00632723"/>
    <w:rsid w:val="00632D0D"/>
    <w:rsid w:val="00633D0B"/>
    <w:rsid w:val="006422D0"/>
    <w:rsid w:val="006475C2"/>
    <w:rsid w:val="00651A55"/>
    <w:rsid w:val="006609CC"/>
    <w:rsid w:val="00672EBB"/>
    <w:rsid w:val="006733C8"/>
    <w:rsid w:val="00681665"/>
    <w:rsid w:val="006945C8"/>
    <w:rsid w:val="006A4825"/>
    <w:rsid w:val="006B6487"/>
    <w:rsid w:val="006D31B2"/>
    <w:rsid w:val="006E263B"/>
    <w:rsid w:val="006E2C29"/>
    <w:rsid w:val="00703C7D"/>
    <w:rsid w:val="00704EF8"/>
    <w:rsid w:val="0070545A"/>
    <w:rsid w:val="00711982"/>
    <w:rsid w:val="00716A57"/>
    <w:rsid w:val="00724564"/>
    <w:rsid w:val="0073149A"/>
    <w:rsid w:val="00732700"/>
    <w:rsid w:val="0074460C"/>
    <w:rsid w:val="00747FA9"/>
    <w:rsid w:val="00750100"/>
    <w:rsid w:val="00750770"/>
    <w:rsid w:val="00751C4B"/>
    <w:rsid w:val="00774D46"/>
    <w:rsid w:val="00776FDB"/>
    <w:rsid w:val="0078047F"/>
    <w:rsid w:val="00780713"/>
    <w:rsid w:val="00783A1F"/>
    <w:rsid w:val="00794031"/>
    <w:rsid w:val="007B71E1"/>
    <w:rsid w:val="007C36DD"/>
    <w:rsid w:val="007C4CD4"/>
    <w:rsid w:val="007D724A"/>
    <w:rsid w:val="007E331F"/>
    <w:rsid w:val="007E36A4"/>
    <w:rsid w:val="007F1CB5"/>
    <w:rsid w:val="007F1F04"/>
    <w:rsid w:val="007F3075"/>
    <w:rsid w:val="007F4B08"/>
    <w:rsid w:val="00803D29"/>
    <w:rsid w:val="00842C89"/>
    <w:rsid w:val="0085082A"/>
    <w:rsid w:val="00856832"/>
    <w:rsid w:val="008570E0"/>
    <w:rsid w:val="0088236E"/>
    <w:rsid w:val="00892773"/>
    <w:rsid w:val="008946A8"/>
    <w:rsid w:val="008A750F"/>
    <w:rsid w:val="008B7081"/>
    <w:rsid w:val="008C39E1"/>
    <w:rsid w:val="008C6DF7"/>
    <w:rsid w:val="008D7490"/>
    <w:rsid w:val="008E0EB0"/>
    <w:rsid w:val="008E4268"/>
    <w:rsid w:val="008F0E6B"/>
    <w:rsid w:val="008F6451"/>
    <w:rsid w:val="00901DDF"/>
    <w:rsid w:val="00906445"/>
    <w:rsid w:val="00911E9C"/>
    <w:rsid w:val="0093078D"/>
    <w:rsid w:val="00933FD0"/>
    <w:rsid w:val="009729ED"/>
    <w:rsid w:val="00980938"/>
    <w:rsid w:val="00993024"/>
    <w:rsid w:val="00994FBE"/>
    <w:rsid w:val="009B11D7"/>
    <w:rsid w:val="009C0130"/>
    <w:rsid w:val="009C4549"/>
    <w:rsid w:val="009D0771"/>
    <w:rsid w:val="00A001C4"/>
    <w:rsid w:val="00A14127"/>
    <w:rsid w:val="00A17098"/>
    <w:rsid w:val="00A25F8D"/>
    <w:rsid w:val="00A32BBE"/>
    <w:rsid w:val="00A36528"/>
    <w:rsid w:val="00A417E6"/>
    <w:rsid w:val="00A43C02"/>
    <w:rsid w:val="00A746FB"/>
    <w:rsid w:val="00A83ECC"/>
    <w:rsid w:val="00A8653A"/>
    <w:rsid w:val="00A93E9D"/>
    <w:rsid w:val="00AA35AF"/>
    <w:rsid w:val="00AA5C40"/>
    <w:rsid w:val="00AA7C6F"/>
    <w:rsid w:val="00AB3C20"/>
    <w:rsid w:val="00AC288C"/>
    <w:rsid w:val="00AC3ECE"/>
    <w:rsid w:val="00AD7995"/>
    <w:rsid w:val="00AE182C"/>
    <w:rsid w:val="00AE5A3B"/>
    <w:rsid w:val="00B51354"/>
    <w:rsid w:val="00B53F41"/>
    <w:rsid w:val="00B642C2"/>
    <w:rsid w:val="00B72925"/>
    <w:rsid w:val="00B762DA"/>
    <w:rsid w:val="00B76B10"/>
    <w:rsid w:val="00B84576"/>
    <w:rsid w:val="00B87FFC"/>
    <w:rsid w:val="00B92923"/>
    <w:rsid w:val="00BA0D19"/>
    <w:rsid w:val="00BC42F1"/>
    <w:rsid w:val="00BD7D2B"/>
    <w:rsid w:val="00BE5548"/>
    <w:rsid w:val="00BE7865"/>
    <w:rsid w:val="00BF1325"/>
    <w:rsid w:val="00BF55E3"/>
    <w:rsid w:val="00BF7007"/>
    <w:rsid w:val="00C01698"/>
    <w:rsid w:val="00C05DD0"/>
    <w:rsid w:val="00C06316"/>
    <w:rsid w:val="00C30FD2"/>
    <w:rsid w:val="00C403C6"/>
    <w:rsid w:val="00C573A4"/>
    <w:rsid w:val="00C62CF8"/>
    <w:rsid w:val="00C63D4B"/>
    <w:rsid w:val="00C6625F"/>
    <w:rsid w:val="00CA7901"/>
    <w:rsid w:val="00CD4862"/>
    <w:rsid w:val="00CF0D70"/>
    <w:rsid w:val="00CF3ED0"/>
    <w:rsid w:val="00D309B8"/>
    <w:rsid w:val="00D4050A"/>
    <w:rsid w:val="00D448F3"/>
    <w:rsid w:val="00D45F22"/>
    <w:rsid w:val="00D47D36"/>
    <w:rsid w:val="00D52A6E"/>
    <w:rsid w:val="00D76806"/>
    <w:rsid w:val="00D910BB"/>
    <w:rsid w:val="00D92BE0"/>
    <w:rsid w:val="00DB0C75"/>
    <w:rsid w:val="00DC3C53"/>
    <w:rsid w:val="00DC545D"/>
    <w:rsid w:val="00DC56ED"/>
    <w:rsid w:val="00DC7BCB"/>
    <w:rsid w:val="00DD64A9"/>
    <w:rsid w:val="00DE3FBE"/>
    <w:rsid w:val="00DE4608"/>
    <w:rsid w:val="00DE5732"/>
    <w:rsid w:val="00DF226C"/>
    <w:rsid w:val="00DF657A"/>
    <w:rsid w:val="00E25E83"/>
    <w:rsid w:val="00E33B57"/>
    <w:rsid w:val="00E44A52"/>
    <w:rsid w:val="00E44EAC"/>
    <w:rsid w:val="00E4650E"/>
    <w:rsid w:val="00E51250"/>
    <w:rsid w:val="00E6485F"/>
    <w:rsid w:val="00E74A35"/>
    <w:rsid w:val="00E87C95"/>
    <w:rsid w:val="00E95CB6"/>
    <w:rsid w:val="00EA234A"/>
    <w:rsid w:val="00EA7201"/>
    <w:rsid w:val="00EA7487"/>
    <w:rsid w:val="00EB3D29"/>
    <w:rsid w:val="00EC3955"/>
    <w:rsid w:val="00ED1C52"/>
    <w:rsid w:val="00ED6448"/>
    <w:rsid w:val="00EE5ED0"/>
    <w:rsid w:val="00EF35AF"/>
    <w:rsid w:val="00F00FFB"/>
    <w:rsid w:val="00F01F7B"/>
    <w:rsid w:val="00F05A1A"/>
    <w:rsid w:val="00F13BBC"/>
    <w:rsid w:val="00F16DFD"/>
    <w:rsid w:val="00F24FBD"/>
    <w:rsid w:val="00F27EE2"/>
    <w:rsid w:val="00F36714"/>
    <w:rsid w:val="00F40E98"/>
    <w:rsid w:val="00F426FA"/>
    <w:rsid w:val="00F45254"/>
    <w:rsid w:val="00F54550"/>
    <w:rsid w:val="00F77A3D"/>
    <w:rsid w:val="00F80A2A"/>
    <w:rsid w:val="00F91EEF"/>
    <w:rsid w:val="00F93EE5"/>
    <w:rsid w:val="00FC14EA"/>
    <w:rsid w:val="00FC3AA8"/>
    <w:rsid w:val="00FC59B3"/>
    <w:rsid w:val="00FD0963"/>
    <w:rsid w:val="62114233"/>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lsdException w:name="annotation text"/>
    <w:lsdException w:name="header" w:qFormat="1"/>
    <w:lsdException w:name="footer" w:semiHidden="0" w:qFormat="1"/>
    <w:lsdException w:name="index heading"/>
    <w:lsdException w:name="caption" w:uiPriority="0"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qFormat="1"/>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numPr>
        <w:ilvl w:val="0"/>
        <w:numId w:val="1"/>
      </w:numPr>
      <w:spacing w:before="340" w:after="330" w:line="578" w:lineRule="auto"/>
      <w:jc w:val="left"/>
      <w:outlineLvl w:val="0"/>
    </w:pPr>
    <w:rPr>
      <w:rFonts w:eastAsia="黑体"/>
      <w:bCs/>
      <w:kern w:val="44"/>
      <w:sz w:val="32"/>
      <w:szCs w:val="44"/>
    </w:rPr>
  </w:style>
  <w:style w:type="paragraph" w:styleId="Heading2">
    <w:name w:val="heading 2"/>
    <w:basedOn w:val="Normal"/>
    <w:next w:val="Normal"/>
    <w:link w:val="2Char"/>
    <w:uiPriority w:val="9"/>
    <w:unhideWhenUsed/>
    <w:qFormat/>
    <w:pPr>
      <w:keepNext/>
      <w:keepLines/>
      <w:numPr>
        <w:ilvl w:val="0"/>
        <w:numId w:val="2"/>
      </w:numPr>
      <w:spacing w:before="260" w:after="260" w:line="416" w:lineRule="auto"/>
      <w:jc w:val="left"/>
      <w:outlineLvl w:val="1"/>
    </w:pPr>
    <w:rPr>
      <w:rFonts w:eastAsia="黑体" w:asciiTheme="majorHAnsi" w:hAnsiTheme="majorHAnsi" w:cstheme="majorBidi"/>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semiHidden/>
    <w:unhideWhenUsed/>
    <w:qFormat/>
    <w:rPr>
      <w:rFonts w:ascii="Arial" w:eastAsia="黑体" w:hAnsi="Arial" w:cs="Times New Roman"/>
      <w:sz w:val="20"/>
      <w:szCs w:val="24"/>
    </w:rPr>
  </w:style>
  <w:style w:type="paragraph" w:styleId="TOC3">
    <w:name w:val="toc 3"/>
    <w:basedOn w:val="Normal"/>
    <w:next w:val="Normal"/>
    <w:autoRedefine/>
    <w:uiPriority w:val="39"/>
    <w:unhideWhenUsed/>
    <w:qFormat/>
    <w:pPr>
      <w:widowControl/>
      <w:spacing w:after="100" w:line="276" w:lineRule="auto"/>
      <w:ind w:left="440"/>
      <w:jc w:val="left"/>
    </w:pPr>
    <w:rPr>
      <w:kern w:val="0"/>
      <w:sz w:val="22"/>
    </w:rPr>
  </w:style>
  <w:style w:type="paragraph" w:styleId="BalloonText">
    <w:name w:val="Balloon Text"/>
    <w:basedOn w:val="Normal"/>
    <w:link w:val="Char2"/>
    <w:uiPriority w:val="99"/>
    <w:semiHidden/>
    <w:unhideWhenUsed/>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spacing w:after="100" w:line="276" w:lineRule="auto"/>
      <w:jc w:val="left"/>
    </w:pPr>
    <w:rPr>
      <w:kern w:val="0"/>
      <w:sz w:val="22"/>
    </w:rPr>
  </w:style>
  <w:style w:type="paragraph" w:styleId="FootnoteText">
    <w:name w:val="footnote text"/>
    <w:basedOn w:val="Normal"/>
    <w:link w:val="Char1"/>
    <w:uiPriority w:val="99"/>
    <w:unhideWhenUsed/>
    <w:pPr>
      <w:snapToGrid w:val="0"/>
      <w:jc w:val="left"/>
    </w:pPr>
    <w:rPr>
      <w:sz w:val="18"/>
      <w:szCs w:val="18"/>
    </w:rPr>
  </w:style>
  <w:style w:type="paragraph" w:styleId="TOC2">
    <w:name w:val="toc 2"/>
    <w:basedOn w:val="Normal"/>
    <w:next w:val="Normal"/>
    <w:autoRedefine/>
    <w:uiPriority w:val="39"/>
    <w:unhideWhenUsed/>
    <w:qFormat/>
    <w:pPr>
      <w:widowControl/>
      <w:spacing w:after="100" w:line="276" w:lineRule="auto"/>
      <w:ind w:left="220"/>
      <w:jc w:val="left"/>
    </w:pPr>
    <w:rPr>
      <w:kern w:val="0"/>
      <w:sz w:val="22"/>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2Accent5">
    <w:name w:val="Medium Shading 2 Accent 5"/>
    <w:basedOn w:val="TableNormal"/>
    <w:autoRedefine/>
    <w:uiPriority w:val="64"/>
    <w:qFormat/>
    <w:rPr>
      <w:kern w:val="0"/>
      <w:sz w:val="22"/>
    </w:rPr>
    <w:tblPr>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CCE8C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9ED3A3" w:themeFill="background1" w:themeFillShade="D8"/>
      </w:tcPr>
    </w:tblStylePr>
    <w:tblStylePr w:type="band1Horz">
      <w:tblPr/>
      <w:tcPr>
        <w:shd w:val="clear" w:color="auto" w:fill="9ED3A3"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Strong">
    <w:name w:val="Strong"/>
    <w:basedOn w:val="DefaultParagraphFont"/>
    <w:autoRedefine/>
    <w:uiPriority w:val="22"/>
    <w:qFormat/>
    <w:rPr>
      <w:b/>
      <w:bCs/>
    </w:rPr>
  </w:style>
  <w:style w:type="character" w:styleId="Hyperlink">
    <w:name w:val="Hyperlink"/>
    <w:basedOn w:val="DefaultParagraphFont"/>
    <w:autoRedefine/>
    <w:uiPriority w:val="99"/>
    <w:unhideWhenUsed/>
    <w:qFormat/>
    <w:rPr>
      <w:color w:val="0000FF"/>
      <w:u w:val="single"/>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2Char">
    <w:name w:val="标题 2 Char"/>
    <w:basedOn w:val="DefaultParagraphFont"/>
    <w:link w:val="Heading2"/>
    <w:autoRedefine/>
    <w:uiPriority w:val="9"/>
    <w:rPr>
      <w:rFonts w:eastAsia="黑体" w:asciiTheme="majorHAnsi" w:hAnsiTheme="majorHAnsi" w:cstheme="majorBidi"/>
      <w:bCs/>
      <w:sz w:val="28"/>
      <w:szCs w:val="32"/>
    </w:rPr>
  </w:style>
  <w:style w:type="character" w:customStyle="1" w:styleId="Char">
    <w:name w:val="页眉 Char"/>
    <w:basedOn w:val="DefaultParagraphFont"/>
    <w:link w:val="Header"/>
    <w:autoRedefine/>
    <w:uiPriority w:val="99"/>
    <w:semiHidden/>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1Char">
    <w:name w:val="标题 1 Char"/>
    <w:basedOn w:val="DefaultParagraphFont"/>
    <w:link w:val="Heading1"/>
    <w:autoRedefine/>
    <w:uiPriority w:val="9"/>
    <w:qFormat/>
    <w:rPr>
      <w:rFonts w:eastAsia="黑体"/>
      <w:bCs/>
      <w:kern w:val="44"/>
      <w:sz w:val="32"/>
      <w:szCs w:val="44"/>
    </w:rPr>
  </w:style>
  <w:style w:type="paragraph" w:styleId="ListParagraph">
    <w:name w:val="List Paragraph"/>
    <w:basedOn w:val="Normal"/>
    <w:autoRedefine/>
    <w:uiPriority w:val="34"/>
    <w:qFormat/>
    <w:pPr>
      <w:ind w:firstLine="420" w:firstLineChars="200"/>
    </w:pPr>
  </w:style>
  <w:style w:type="character" w:customStyle="1" w:styleId="Char1">
    <w:name w:val="脚注文本 Char"/>
    <w:basedOn w:val="DefaultParagraphFont"/>
    <w:link w:val="FootnoteText"/>
    <w:uiPriority w:val="99"/>
    <w:rPr>
      <w:sz w:val="18"/>
      <w:szCs w:val="18"/>
    </w:rPr>
  </w:style>
  <w:style w:type="character" w:customStyle="1" w:styleId="Char2">
    <w:name w:val="批注框文本 Char"/>
    <w:basedOn w:val="DefaultParagraphFont"/>
    <w:link w:val="BalloonText"/>
    <w:uiPriority w:val="99"/>
    <w:semiHidden/>
    <w:rPr>
      <w:sz w:val="18"/>
      <w:szCs w:val="18"/>
    </w:rPr>
  </w:style>
  <w:style w:type="paragraph" w:customStyle="1" w:styleId="DecimalAligned">
    <w:name w:val="Decimal Aligned"/>
    <w:basedOn w:val="Normal"/>
    <w:uiPriority w:val="40"/>
    <w:qFormat/>
    <w:pPr>
      <w:widowControl/>
      <w:tabs>
        <w:tab w:val="decimal" w:pos="360"/>
      </w:tabs>
      <w:spacing w:after="200" w:line="276" w:lineRule="auto"/>
      <w:jc w:val="left"/>
    </w:pPr>
    <w:rPr>
      <w:kern w:val="0"/>
      <w:sz w:val="22"/>
    </w:rPr>
  </w:style>
  <w:style w:type="character" w:customStyle="1" w:styleId="SubtleEmphasis">
    <w:name w:val="Subtle Emphasis"/>
    <w:basedOn w:val="DefaultParagraphFont"/>
    <w:uiPriority w:val="19"/>
    <w:qFormat/>
    <w:rPr>
      <w:rFonts w:eastAsiaTheme="minorEastAsia" w:cstheme="minorBidi"/>
      <w:i/>
      <w:iCs/>
      <w:color w:val="7F7F7F" w:themeColor="text1" w:themeTint="7F"/>
      <w:szCs w:val="22"/>
      <w:lang w:eastAsia="zh-CN"/>
    </w:rPr>
  </w:style>
  <w:style w:type="table" w:customStyle="1" w:styleId="-11">
    <w:name w:val="浅色底纹 - 强调文字颜色 11"/>
    <w:basedOn w:val="TableNormal"/>
    <w:autoRedefine/>
    <w:uiPriority w:val="60"/>
    <w:qFormat/>
    <w:rPr>
      <w:color w:val="366091" w:themeColor="accent1" w:themeShade="BF"/>
      <w:kern w:val="0"/>
      <w:sz w:val="22"/>
    </w:rPr>
    <w:tblPr>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OCHeading">
    <w:name w:val="TOC Heading"/>
    <w:basedOn w:val="Heading1"/>
    <w:next w:val="Normal"/>
    <w:autoRedefine/>
    <w:uiPriority w:val="39"/>
    <w:unhideWhenUsed/>
    <w:qFormat/>
    <w:pPr>
      <w:widowControl/>
      <w:numPr>
        <w:numId w:val="0"/>
      </w:numPr>
      <w:spacing w:before="480" w:after="0" w:line="276" w:lineRule="auto"/>
      <w:outlineLvl w:val="9"/>
    </w:pPr>
    <w:rPr>
      <w:rFonts w:asciiTheme="majorHAnsi" w:eastAsiaTheme="majorEastAsia" w:hAnsiTheme="majorHAnsi" w:cstheme="majorBidi"/>
      <w:color w:val="366091" w:themeColor="accent1" w:themeShade="BF"/>
      <w:kern w:val="0"/>
      <w:sz w:val="28"/>
      <w:szCs w:val="28"/>
    </w:rPr>
  </w:style>
  <w:style w:type="table" w:customStyle="1" w:styleId="TableGrid0">
    <w:name w:val="Table Grid_0"/>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settings" Target="settings.xml" /><Relationship Id="rId20" Type="http://schemas.openxmlformats.org/officeDocument/2006/relationships/footer" Target="footer14.xml" /><Relationship Id="rId21" Type="http://schemas.openxmlformats.org/officeDocument/2006/relationships/hyperlink" Target="https://d.book118.com/017004155040006026" TargetMode="External" /><Relationship Id="rId22" Type="http://schemas.openxmlformats.org/officeDocument/2006/relationships/footer" Target="footer15.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6FAFD5-0C75-4020-BFA2-92CEBD14C947}">
  <ds:schemaRefs/>
</ds:datastoreItem>
</file>

<file path=docProps/app.xml><?xml version="1.0" encoding="utf-8"?>
<Properties xmlns="http://schemas.openxmlformats.org/officeDocument/2006/extended-properties" xmlns:vt="http://schemas.openxmlformats.org/officeDocument/2006/docPropsVTypes">
  <Template>Normal</Template>
  <TotalTime>2406</TotalTime>
  <Pages>23</Pages>
  <Words>4002</Words>
  <Characters>22818</Characters>
  <Application>Microsoft Office Word</Application>
  <DocSecurity>0</DocSecurity>
  <Lines>190</Lines>
  <Paragraphs>53</Paragraphs>
  <ScaleCrop>false</ScaleCrop>
  <Company/>
  <LinksUpToDate>false</LinksUpToDate>
  <CharactersWithSpaces>26767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ABEEL</cp:lastModifiedBy>
  <cp:revision>52</cp:revision>
  <cp:lastPrinted>2021-05-04T09:38:00Z</cp:lastPrinted>
  <dcterms:created xsi:type="dcterms:W3CDTF">2021-04-11T06:55:00Z</dcterms:created>
  <dcterms:modified xsi:type="dcterms:W3CDTF">2024-01-07T08:20:35Z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1F7496DD87064F34885C89ECD5662D75_13</vt:lpwstr>
  </property>
  <property fmtid="{D5CDD505-2E9C-101B-9397-08002B2CF9AE}" pid="3" name="KSOProductBuildVer">
    <vt:lpwstr>2052-12.1.0.16120</vt:lpwstr>
  </property>
</Properties>
</file>