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8"/>
        <w:ind w:left="0"/>
        <w:rPr>
          <w:rFonts w:ascii="Times New Roman"/>
          <w:sz w:val="17"/>
        </w:rPr>
      </w:pPr>
    </w:p>
    <w:p>
      <w:pPr>
        <w:spacing w:before="0" w:line="1150" w:lineRule="exact"/>
        <w:ind w:left="0" w:right="403" w:firstLine="0"/>
        <w:jc w:val="center"/>
        <w:rPr>
          <w:rFonts w:ascii="微软雅黑" w:eastAsia="微软雅黑" w:hint="eastAsia"/>
          <w:b/>
          <w:sz w:val="66"/>
        </w:rPr>
      </w:pPr>
      <w:r>
        <w:rPr>
          <w:rFonts w:ascii="微软雅黑" w:eastAsia="微软雅黑" w:hint="eastAsia"/>
          <w:b/>
          <w:sz w:val="66"/>
        </w:rPr>
        <w:t>诏安县秀篆镇农村饮水安全工程</w:t>
      </w:r>
    </w:p>
    <w:p>
      <w:pPr>
        <w:pStyle w:val="BodyText"/>
        <w:spacing w:before="15"/>
        <w:ind w:left="0"/>
        <w:rPr>
          <w:rFonts w:ascii="微软雅黑"/>
          <w:b/>
          <w:sz w:val="129"/>
        </w:rPr>
      </w:pPr>
    </w:p>
    <w:p>
      <w:pPr>
        <w:pStyle w:val="Title"/>
      </w:pPr>
      <w:r>
        <w:t>施工管理工作报告</w:t>
      </w:r>
    </w:p>
    <w:p>
      <w:pPr>
        <w:pStyle w:val="BodyText"/>
        <w:ind w:left="0"/>
        <w:rPr>
          <w:rFonts w:ascii="微软雅黑"/>
          <w:b/>
          <w:sz w:val="168"/>
        </w:rPr>
      </w:pPr>
    </w:p>
    <w:p>
      <w:pPr>
        <w:pStyle w:val="BodyText"/>
        <w:ind w:left="0"/>
        <w:rPr>
          <w:rFonts w:ascii="微软雅黑"/>
          <w:b/>
          <w:sz w:val="168"/>
        </w:rPr>
      </w:pPr>
    </w:p>
    <w:p>
      <w:pPr>
        <w:pStyle w:val="BodyText"/>
        <w:ind w:left="0"/>
        <w:rPr>
          <w:rFonts w:ascii="微软雅黑"/>
          <w:b/>
          <w:sz w:val="168"/>
        </w:rPr>
      </w:pPr>
    </w:p>
    <w:p>
      <w:pPr>
        <w:pStyle w:val="BodyText"/>
        <w:spacing w:before="5"/>
        <w:ind w:left="0"/>
        <w:rPr>
          <w:rFonts w:ascii="微软雅黑"/>
          <w:b/>
          <w:sz w:val="205"/>
        </w:rPr>
      </w:pPr>
    </w:p>
    <w:p>
      <w:pPr>
        <w:pStyle w:val="Heading2"/>
        <w:ind w:right="380"/>
      </w:pPr>
      <w:r>
        <w:t>龙岩华禹水利水电建筑工程有限公司</w:t>
      </w:r>
    </w:p>
    <w:p>
      <w:pPr>
        <w:spacing w:after="0"/>
        <w:sectPr>
          <w:type w:val="continuous"/>
          <w:pgSz w:w="17860" w:h="25260"/>
          <w:pgMar w:top="2420" w:right="1920" w:bottom="280" w:left="2300" w:header="708" w:footer="708"/>
          <w:cols w:space="708"/>
        </w:sectPr>
      </w:pPr>
    </w:p>
    <w:p>
      <w:pPr>
        <w:pStyle w:val="Heading2"/>
        <w:spacing w:before="116"/>
      </w:pPr>
      <w:r>
        <w:rPr>
          <w:w w:val="85"/>
        </w:rPr>
        <w:t>二○一○年一月</w:t>
      </w:r>
    </w:p>
    <w:p>
      <w:pPr>
        <w:pStyle w:val="BodyText"/>
        <w:ind w:left="0"/>
        <w:rPr>
          <w:sz w:val="60"/>
        </w:rPr>
      </w:pPr>
    </w:p>
    <w:p>
      <w:pPr>
        <w:pStyle w:val="BodyText"/>
        <w:spacing w:before="9"/>
        <w:ind w:left="0"/>
        <w:rPr>
          <w:sz w:val="83"/>
        </w:rPr>
      </w:pPr>
    </w:p>
    <w:p>
      <w:pPr>
        <w:tabs>
          <w:tab w:val="left" w:pos="2160"/>
        </w:tabs>
        <w:spacing w:before="1"/>
        <w:ind w:left="0" w:right="377" w:firstLine="0"/>
        <w:jc w:val="center"/>
        <w:rPr>
          <w:rFonts w:ascii="微软雅黑" w:eastAsia="微软雅黑" w:hint="eastAsia"/>
          <w:b/>
          <w:sz w:val="72"/>
        </w:rPr>
      </w:pPr>
      <w:r>
        <w:rPr>
          <w:rFonts w:ascii="微软雅黑" w:eastAsia="微软雅黑" w:hint="eastAsia"/>
          <w:b/>
          <w:sz w:val="72"/>
        </w:rPr>
        <w:t>目</w:t>
        <w:tab/>
        <w:t>录</w:t>
      </w:r>
    </w:p>
    <w:p>
      <w:pPr>
        <w:pStyle w:val="BodyText"/>
        <w:ind w:left="0"/>
        <w:rPr>
          <w:rFonts w:ascii="微软雅黑"/>
          <w:b/>
          <w:sz w:val="96"/>
        </w:rPr>
      </w:pPr>
    </w:p>
    <w:p>
      <w:pPr>
        <w:pStyle w:val="BodyText"/>
        <w:spacing w:before="5"/>
        <w:ind w:left="0"/>
        <w:rPr>
          <w:rFonts w:ascii="微软雅黑"/>
          <w:b/>
          <w:sz w:val="58"/>
        </w:rPr>
      </w:pPr>
    </w:p>
    <w:sdt>
      <w:sdtPr>
        <w:id w:val="7090764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718"/>
              <w:tab w:val="left" w:pos="3439"/>
              <w:tab w:val="left" w:pos="4159"/>
              <w:tab w:val="left" w:pos="4883"/>
              <w:tab w:val="right" w:leader="dot" w:pos="13081"/>
            </w:tabs>
            <w:spacing w:before="0"/>
          </w:pPr>
          <w:hyperlink w:anchor="_TOC_250006" w:history="1">
            <w:r>
              <w:t>第一章</w:t>
              <w:tab/>
              <w:t>工</w:t>
              <w:tab/>
              <w:t>程</w:t>
              <w:tab/>
              <w:t>概</w:t>
              <w:tab/>
              <w:t>况</w:t>
              <w:tab/>
              <w:t>2</w:t>
            </w:r>
          </w:hyperlink>
        </w:p>
        <w:p>
          <w:pPr>
            <w:pStyle w:val="TOC1"/>
            <w:tabs>
              <w:tab w:val="left" w:pos="2477"/>
              <w:tab w:val="right" w:leader="dot" w:pos="13081"/>
            </w:tabs>
            <w:spacing w:before="520"/>
          </w:pPr>
          <w:hyperlink w:anchor="_TOC_250005" w:history="1">
            <w:r>
              <w:t>第二章</w:t>
              <w:tab/>
              <w:t>工程招投标</w:t>
              <w:tab/>
              <w:t>3</w:t>
            </w:r>
          </w:hyperlink>
        </w:p>
        <w:p>
          <w:pPr>
            <w:pStyle w:val="TOC1"/>
            <w:tabs>
              <w:tab w:val="left" w:pos="2718"/>
              <w:tab w:val="left" w:pos="3439"/>
              <w:tab w:val="left" w:pos="4159"/>
              <w:tab w:val="left" w:pos="4883"/>
              <w:tab w:val="right" w:leader="dot" w:pos="13081"/>
            </w:tabs>
          </w:pPr>
          <w:hyperlink w:anchor="_TOC_250004" w:history="1">
            <w:r>
              <w:t>第三章</w:t>
              <w:tab/>
              <w:t>施</w:t>
              <w:tab/>
              <w:t>工</w:t>
              <w:tab/>
              <w:t>部</w:t>
              <w:tab/>
              <w:t>署</w:t>
              <w:tab/>
              <w:t>3</w:t>
            </w:r>
          </w:hyperlink>
        </w:p>
        <w:p>
          <w:pPr>
            <w:pStyle w:val="TOC1"/>
            <w:tabs>
              <w:tab w:val="left" w:pos="2718"/>
              <w:tab w:val="right" w:leader="dot" w:pos="13081"/>
            </w:tabs>
            <w:spacing w:before="520"/>
          </w:pPr>
          <w:hyperlink w:anchor="_TOC_250003" w:history="1">
            <w:r>
              <w:t>第四章</w:t>
              <w:tab/>
              <w:t>工程主要施工方法</w:t>
              <w:tab/>
              <w:t>5</w:t>
            </w:r>
          </w:hyperlink>
        </w:p>
        <w:p>
          <w:pPr>
            <w:pStyle w:val="TOC1"/>
            <w:tabs>
              <w:tab w:val="right" w:leader="dot" w:pos="13081"/>
            </w:tabs>
          </w:pPr>
          <w:r>
            <w:t>第五章</w:t>
          </w:r>
          <w:r>
            <w:rPr>
              <w:spacing w:val="-21"/>
            </w:rPr>
            <w:t xml:space="preserve"> </w:t>
          </w:r>
          <w:r>
            <w:t>工程施工质量管理及工程质量情况</w:t>
            <w:tab/>
            <w:t>20</w:t>
          </w:r>
        </w:p>
        <w:p>
          <w:pPr>
            <w:pStyle w:val="TOC1"/>
            <w:tabs>
              <w:tab w:val="left" w:pos="2960"/>
              <w:tab w:val="right" w:leader="dot" w:pos="13081"/>
            </w:tabs>
          </w:pPr>
          <w:hyperlink w:anchor="_TOC_250002" w:history="1">
            <w:r>
              <w:t>第六章</w:t>
              <w:tab/>
              <w:t>安全生产与文明施工</w:t>
              <w:tab/>
              <w:t>22</w:t>
            </w:r>
          </w:hyperlink>
        </w:p>
        <w:p>
          <w:pPr>
            <w:pStyle w:val="TOC1"/>
            <w:tabs>
              <w:tab w:val="left" w:pos="2718"/>
              <w:tab w:val="right" w:leader="dot" w:pos="13081"/>
            </w:tabs>
          </w:pPr>
          <w:hyperlink w:anchor="_TOC_250001" w:history="1">
            <w:r>
              <w:t>第七章</w:t>
              <w:tab/>
              <w:t>完成工程量及工程结算</w:t>
              <w:tab/>
              <w:t>24</w:t>
            </w:r>
          </w:hyperlink>
        </w:p>
        <w:p>
          <w:pPr>
            <w:pStyle w:val="TOC1"/>
            <w:tabs>
              <w:tab w:val="left" w:pos="2477"/>
              <w:tab w:val="right" w:leader="dot" w:pos="13081"/>
            </w:tabs>
            <w:spacing w:before="521"/>
          </w:pPr>
          <w:hyperlink w:anchor="_TOC_250000" w:history="1">
            <w:r>
              <w:t>第八章</w:t>
              <w:tab/>
              <w:t>经验与建议</w:t>
              <w:tab/>
              <w:t>25</w:t>
            </w:r>
          </w:hyperlink>
        </w:p>
      </w:sdtContent>
    </w:sdt>
    <w:p>
      <w:pPr>
        <w:spacing w:after="0"/>
        <w:sectPr>
          <w:footerReference w:type="default" r:id="rId4"/>
          <w:pgSz w:w="17860" w:h="25260"/>
          <w:pgMar w:top="1780" w:right="1920" w:bottom="2040" w:left="2300" w:header="0" w:footer="1852"/>
          <w:pgNumType w:start="2"/>
          <w:cols w:space="708"/>
        </w:sectPr>
      </w:pPr>
    </w:p>
    <w:p>
      <w:pPr>
        <w:pStyle w:val="Heading1"/>
        <w:tabs>
          <w:tab w:val="left" w:pos="2892"/>
          <w:tab w:val="left" w:pos="3882"/>
          <w:tab w:val="left" w:pos="4876"/>
          <w:tab w:val="left" w:pos="5866"/>
        </w:tabs>
        <w:spacing w:line="1124" w:lineRule="exact"/>
        <w:ind w:left="250"/>
      </w:pPr>
      <w:bookmarkStart w:id="0" w:name="_TOC_250006"/>
      <w:bookmarkEnd w:id="0"/>
      <w:r>
        <w:t>第一章</w:t>
        <w:tab/>
        <w:t>工</w:t>
        <w:tab/>
        <w:t>程</w:t>
        <w:tab/>
        <w:t>概</w:t>
        <w:tab/>
        <w:t>况</w:t>
      </w:r>
    </w:p>
    <w:p>
      <w:pPr>
        <w:pStyle w:val="BodyText"/>
        <w:spacing w:before="13"/>
        <w:ind w:left="0"/>
        <w:rPr>
          <w:rFonts w:ascii="微软雅黑"/>
          <w:b/>
          <w:sz w:val="102"/>
        </w:rPr>
      </w:pPr>
    </w:p>
    <w:p>
      <w:pPr>
        <w:pStyle w:val="BodyText"/>
        <w:ind w:left="1174"/>
      </w:pPr>
      <w:r>
        <w:t>一、 自然地理概况</w:t>
      </w:r>
    </w:p>
    <w:p>
      <w:pPr>
        <w:pStyle w:val="BodyText"/>
        <w:spacing w:before="330" w:line="388" w:lineRule="auto"/>
        <w:ind w:left="1174" w:right="332" w:firstLine="838"/>
      </w:pPr>
      <w:r>
        <w:rPr>
          <w:spacing w:val="-2"/>
        </w:rPr>
        <w:t>诏安县位于福建省最南部，是原中央苏区县，面</w:t>
      </w:r>
      <w:r>
        <w:rPr>
          <w:spacing w:val="-1"/>
        </w:rPr>
        <w:t>1291.5km</w:t>
      </w:r>
      <w:r>
        <w:rPr>
          <w:spacing w:val="-1"/>
          <w:vertAlign w:val="subscript"/>
        </w:rPr>
        <w:t>2</w:t>
      </w:r>
      <w:r>
        <w:rPr>
          <w:spacing w:val="-1"/>
          <w:vertAlign w:val="baseline"/>
        </w:rPr>
        <w:t xml:space="preserve">， </w:t>
      </w:r>
      <w:r>
        <w:rPr>
          <w:spacing w:val="-43"/>
          <w:vertAlign w:val="baseline"/>
        </w:rPr>
        <w:t xml:space="preserve">辖 </w:t>
      </w:r>
      <w:r>
        <w:rPr>
          <w:vertAlign w:val="baseline"/>
        </w:rPr>
        <w:t>9</w:t>
      </w:r>
      <w:r>
        <w:rPr>
          <w:spacing w:val="-57"/>
          <w:vertAlign w:val="baseline"/>
        </w:rPr>
        <w:t xml:space="preserve"> 镇 </w:t>
      </w:r>
      <w:r>
        <w:rPr>
          <w:vertAlign w:val="baseline"/>
        </w:rPr>
        <w:t>6</w:t>
      </w:r>
      <w:r>
        <w:rPr>
          <w:spacing w:val="-6"/>
          <w:vertAlign w:val="baseline"/>
        </w:rPr>
        <w:t xml:space="preserve"> 乡，总人口约</w:t>
      </w:r>
      <w:r>
        <w:rPr>
          <w:vertAlign w:val="baseline"/>
        </w:rPr>
        <w:t>60</w:t>
      </w:r>
      <w:r>
        <w:rPr>
          <w:spacing w:val="-10"/>
          <w:vertAlign w:val="baseline"/>
        </w:rPr>
        <w:t xml:space="preserve"> 万人。秀篆镇位于诏安县北部，北与平和县、东与官陂镇接壤、南与霞葛镇、西与广东省相临，呈南北向长条状，诏安东溪支流庵下溪由北向南贯穿秀篆镇，东溪两侧腹地较平坦，分布着较多村庄，其余山地上也零分布着村落。</w:t>
      </w:r>
    </w:p>
    <w:p>
      <w:pPr>
        <w:pStyle w:val="BodyText"/>
        <w:spacing w:line="533" w:lineRule="exact"/>
        <w:ind w:left="1174"/>
      </w:pPr>
      <w:r>
        <w:rPr>
          <w:spacing w:val="4"/>
        </w:rPr>
        <w:t>二、 水文气象</w:t>
      </w:r>
    </w:p>
    <w:p>
      <w:pPr>
        <w:pStyle w:val="BodyText"/>
        <w:spacing w:before="329" w:line="388" w:lineRule="auto"/>
        <w:ind w:left="1174" w:right="522" w:firstLine="838"/>
      </w:pPr>
      <w:r>
        <w:t>诏安县属南亚热带季风气候，日照充足、温暖，冬无严寒、</w:t>
      </w:r>
      <w:r>
        <w:rPr>
          <w:spacing w:val="6"/>
          <w:w w:val="100"/>
        </w:rPr>
        <w:t>夏无酷暑，常年无霜期</w:t>
      </w:r>
      <w:r>
        <w:rPr>
          <w:spacing w:val="-1"/>
          <w:w w:val="111"/>
        </w:rPr>
        <w:t>34</w:t>
      </w:r>
      <w:r>
        <w:rPr>
          <w:w w:val="111"/>
        </w:rPr>
        <w:t>7</w:t>
      </w:r>
      <w:r>
        <w:rPr>
          <w:spacing w:val="-107"/>
        </w:rPr>
        <w:t xml:space="preserve"> </w:t>
      </w:r>
      <w:r>
        <w:rPr>
          <w:spacing w:val="8"/>
          <w:w w:val="100"/>
        </w:rPr>
        <w:t>天大，年平均气</w:t>
      </w:r>
      <w:r>
        <w:rPr>
          <w:spacing w:val="-1"/>
          <w:w w:val="97"/>
        </w:rPr>
        <w:t>21.</w:t>
      </w:r>
      <w:r>
        <w:rPr>
          <w:spacing w:val="-3"/>
          <w:w w:val="97"/>
        </w:rPr>
        <w:t>3</w:t>
      </w:r>
      <w:r>
        <w:rPr>
          <w:spacing w:val="-3"/>
          <w:w w:val="40"/>
        </w:rPr>
        <w:t>°</w:t>
      </w:r>
      <w:r>
        <w:rPr>
          <w:w w:val="78"/>
        </w:rPr>
        <w:t>c</w:t>
      </w:r>
      <w:r>
        <w:rPr>
          <w:spacing w:val="-1"/>
          <w:w w:val="78"/>
        </w:rPr>
        <w:t>,</w:t>
      </w:r>
      <w:r>
        <w:rPr>
          <w:w w:val="100"/>
        </w:rPr>
        <w:t>秀篆镇多年平</w:t>
      </w:r>
      <w:r>
        <w:rPr>
          <w:spacing w:val="33"/>
        </w:rPr>
        <w:t xml:space="preserve">均降雨量 </w:t>
      </w:r>
      <w:r>
        <w:t>1730.1mm</w:t>
      </w:r>
      <w:r>
        <w:rPr>
          <w:spacing w:val="28"/>
        </w:rPr>
        <w:t xml:space="preserve">，蒸发量 </w:t>
      </w:r>
      <w:r>
        <w:t>1102mm.二至九月份主导风向为东</w:t>
      </w:r>
      <w:r>
        <w:rPr>
          <w:spacing w:val="-3"/>
        </w:rPr>
        <w:t xml:space="preserve">南偏东风，十至一月主导风向为西北向，频率均为 </w:t>
      </w:r>
      <w:r>
        <w:t>13％年均风速2.8m/s</w:t>
      </w:r>
      <w:r>
        <w:rPr>
          <w:spacing w:val="-3"/>
        </w:rPr>
        <w:t xml:space="preserve">，年均受台风影响 </w:t>
      </w:r>
      <w:r>
        <w:t>4.1</w:t>
      </w:r>
      <w:r>
        <w:rPr>
          <w:spacing w:val="-4"/>
        </w:rPr>
        <w:t xml:space="preserve"> 次，主要发生在七月至八月。最大</w:t>
      </w:r>
      <w:r>
        <w:rPr>
          <w:spacing w:val="-39"/>
        </w:rPr>
        <w:t xml:space="preserve">风力 </w:t>
      </w:r>
      <w:r>
        <w:t>12</w:t>
      </w:r>
      <w:r>
        <w:rPr>
          <w:spacing w:val="-27"/>
        </w:rPr>
        <w:t xml:space="preserve"> 级以上</w:t>
      </w:r>
    </w:p>
    <w:p>
      <w:pPr>
        <w:tabs>
          <w:tab w:val="left" w:pos="9736"/>
          <w:tab w:val="left" w:pos="12466"/>
        </w:tabs>
        <w:spacing w:before="0" w:line="630" w:lineRule="exact"/>
        <w:ind w:left="1595" w:right="0" w:firstLine="0"/>
        <w:jc w:val="left"/>
        <w:rPr>
          <w:sz w:val="42"/>
        </w:rPr>
      </w:pPr>
      <w:r>
        <w:rPr>
          <w:sz w:val="42"/>
        </w:rPr>
        <w:t>秀篆镇</w:t>
      </w:r>
      <w:r>
        <w:rPr>
          <w:spacing w:val="54"/>
          <w:sz w:val="42"/>
        </w:rPr>
        <w:t>辖</w:t>
      </w:r>
      <w:r>
        <w:rPr>
          <w:sz w:val="42"/>
        </w:rPr>
        <w:t>17</w:t>
      </w:r>
      <w:r>
        <w:rPr>
          <w:spacing w:val="-155"/>
          <w:sz w:val="42"/>
        </w:rPr>
        <w:t xml:space="preserve"> </w:t>
      </w:r>
      <w:r>
        <w:rPr>
          <w:sz w:val="42"/>
        </w:rPr>
        <w:t>个行政村，</w:t>
      </w:r>
      <w:r>
        <w:rPr>
          <w:spacing w:val="16"/>
          <w:sz w:val="42"/>
        </w:rPr>
        <w:t xml:space="preserve"> </w:t>
      </w:r>
      <w:r>
        <w:rPr>
          <w:rFonts w:ascii="微软雅黑" w:eastAsia="微软雅黑" w:hint="eastAsia"/>
          <w:b/>
          <w:color w:val="FF0000"/>
          <w:sz w:val="42"/>
        </w:rPr>
        <w:t>个自</w:t>
      </w:r>
      <w:r>
        <w:rPr>
          <w:sz w:val="42"/>
        </w:rPr>
        <w:t>然村</w:t>
      </w:r>
      <w:r>
        <w:rPr>
          <w:spacing w:val="-220"/>
          <w:sz w:val="42"/>
        </w:rPr>
        <w:t>，</w:t>
      </w:r>
      <w:r>
        <w:rPr>
          <w:spacing w:val="-3"/>
          <w:sz w:val="42"/>
        </w:rPr>
        <w:t>总</w:t>
      </w:r>
      <w:r>
        <w:rPr>
          <w:rFonts w:ascii="微软雅黑" w:eastAsia="微软雅黑" w:hint="eastAsia"/>
          <w:b/>
          <w:color w:val="FF0000"/>
          <w:sz w:val="42"/>
        </w:rPr>
        <w:t>人口</w:t>
        <w:tab/>
        <w:t>人</w:t>
      </w:r>
      <w:r>
        <w:rPr>
          <w:spacing w:val="-213"/>
          <w:sz w:val="42"/>
        </w:rPr>
        <w:t>，</w:t>
      </w:r>
      <w:r>
        <w:rPr>
          <w:sz w:val="42"/>
        </w:rPr>
        <w:t>农</w:t>
      </w:r>
      <w:r>
        <w:rPr>
          <w:spacing w:val="-7"/>
          <w:sz w:val="42"/>
        </w:rPr>
        <w:t>业</w:t>
      </w:r>
      <w:r>
        <w:rPr>
          <w:rFonts w:ascii="微软雅黑" w:eastAsia="微软雅黑" w:hint="eastAsia"/>
          <w:b/>
          <w:color w:val="FF0000"/>
          <w:sz w:val="42"/>
        </w:rPr>
        <w:t>人口</w:t>
        <w:tab/>
        <w:t>人</w:t>
      </w:r>
      <w:r>
        <w:rPr>
          <w:sz w:val="42"/>
        </w:rPr>
        <w:t>。</w:t>
      </w:r>
    </w:p>
    <w:p>
      <w:pPr>
        <w:spacing w:before="97"/>
        <w:ind w:left="166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sz w:val="42"/>
        </w:rPr>
        <w:t>全全镇土地总</w:t>
      </w:r>
      <w:r>
        <w:rPr>
          <w:rFonts w:ascii="微软雅黑" w:eastAsia="微软雅黑" w:hint="eastAsia"/>
          <w:b/>
          <w:color w:val="FF0000"/>
          <w:sz w:val="42"/>
        </w:rPr>
        <w:t>面积 96.4 平</w:t>
      </w:r>
      <w:r>
        <w:rPr>
          <w:sz w:val="42"/>
        </w:rPr>
        <w:t>方公里，人口密</w:t>
      </w:r>
      <w:r>
        <w:rPr>
          <w:rFonts w:ascii="微软雅黑" w:eastAsia="微软雅黑" w:hint="eastAsia"/>
          <w:b/>
          <w:color w:val="FF0000"/>
          <w:sz w:val="42"/>
        </w:rPr>
        <w:t>度 115 人／平方</w:t>
      </w:r>
      <w:r>
        <w:rPr>
          <w:sz w:val="42"/>
        </w:rPr>
        <w:t>公里。耕</w:t>
      </w:r>
      <w:r>
        <w:rPr>
          <w:rFonts w:ascii="微软雅黑" w:eastAsia="微软雅黑" w:hint="eastAsia"/>
          <w:b/>
          <w:color w:val="FF0000"/>
          <w:sz w:val="42"/>
        </w:rPr>
        <w:t>地</w:t>
      </w:r>
    </w:p>
    <w:p>
      <w:pPr>
        <w:pStyle w:val="BodyText"/>
        <w:spacing w:before="98" w:line="309" w:lineRule="auto"/>
        <w:ind w:right="442"/>
      </w:pPr>
      <w:r>
        <w:rPr>
          <w:rFonts w:ascii="微软雅黑" w:eastAsia="微软雅黑" w:hint="eastAsia"/>
          <w:b/>
          <w:color w:val="FF0000"/>
        </w:rPr>
        <w:t xml:space="preserve">1.46 </w:t>
      </w:r>
      <w:r>
        <w:t>万亩，占土地总面积</w:t>
      </w:r>
      <w:r>
        <w:rPr>
          <w:rFonts w:ascii="微软雅黑" w:eastAsia="微软雅黑" w:hint="eastAsia"/>
          <w:b/>
          <w:color w:val="FF0000"/>
        </w:rPr>
        <w:t>的 84.59</w:t>
      </w:r>
      <w:r>
        <w:t>%，主要农民收入以种植茶叶、水稻</w:t>
      </w:r>
      <w:r>
        <w:rPr>
          <w:w w:val="105"/>
        </w:rPr>
        <w:t>及养殖猪牛羊及草鱼、鲢鱼等。，政府距县城 60 多公里。</w:t>
      </w:r>
    </w:p>
    <w:p>
      <w:pPr>
        <w:pStyle w:val="BodyText"/>
        <w:spacing w:before="181" w:line="388" w:lineRule="auto"/>
        <w:ind w:right="413" w:firstLine="1007"/>
      </w:pPr>
      <w:r>
        <w:t>本乡地形为山区丘陵地，大部分行政村都有好多个自然村，各个自然村又有好几个村民小组，农村住户较为分散，县经济落后，秀篆镇的这种区域特点，决定了现状供水特点为一户或几户采用单元用手压筒井、大口井等设施供水或用塑料管直接取用山泉水及山涧水，或无设计</w:t>
      </w:r>
    </w:p>
    <w:p>
      <w:pPr>
        <w:spacing w:after="0" w:line="388" w:lineRule="auto"/>
        <w:sectPr>
          <w:footerReference w:type="default" r:id="rId5"/>
          <w:pgSz w:w="17860" w:h="25260"/>
          <w:pgMar w:top="1940" w:right="1920" w:bottom="2040" w:left="2300" w:header="0" w:footer="1852"/>
          <w:pgNumType w:start="3"/>
          <w:cols w:space="708"/>
        </w:sectPr>
      </w:pPr>
    </w:p>
    <w:p>
      <w:pPr>
        <w:pStyle w:val="BodyText"/>
        <w:spacing w:before="118" w:line="388" w:lineRule="auto"/>
        <w:ind w:right="413"/>
        <w:jc w:val="both"/>
      </w:pPr>
      <w:r>
        <w:t>直接挑饮河水、溪水，供水工程标准低，供水水质普遍存在感官、细菌总数、总大肠菌群等项目超过水利部《农村实施 &lt;生活用水卫生标准&gt; 准则》规定的指标，许多饮水工程存在问题主村有：饮水水质不达标； 水量不达标；用水方便程度不达标；水源保证率不达标。</w:t>
      </w:r>
    </w:p>
    <w:p>
      <w:pPr>
        <w:pStyle w:val="BodyText"/>
        <w:spacing w:line="471" w:lineRule="exact"/>
        <w:ind w:left="1005"/>
      </w:pPr>
      <w:r>
        <w:t>该工程供水范围涉及埔坪村、北坑村、顶安村、寨坪村四个行政村</w:t>
      </w:r>
    </w:p>
    <w:p>
      <w:pPr>
        <w:pStyle w:val="BodyText"/>
        <w:spacing w:before="398"/>
        <w:jc w:val="both"/>
      </w:pPr>
      <w:r>
        <w:rPr>
          <w:spacing w:val="-1"/>
          <w:w w:val="111"/>
        </w:rPr>
        <w:t>483</w:t>
      </w:r>
      <w:r>
        <w:rPr>
          <w:w w:val="111"/>
        </w:rPr>
        <w:t>4</w:t>
      </w:r>
      <w:r>
        <w:rPr>
          <w:spacing w:val="-50"/>
        </w:rPr>
        <w:t xml:space="preserve"> </w:t>
      </w:r>
      <w:r>
        <w:rPr>
          <w:w w:val="100"/>
        </w:rPr>
        <w:t>人，总建设规模</w:t>
      </w:r>
      <w:r>
        <w:rPr>
          <w:spacing w:val="-55"/>
        </w:rPr>
        <w:t xml:space="preserve"> </w:t>
      </w:r>
      <w:r>
        <w:rPr>
          <w:spacing w:val="-1"/>
          <w:w w:val="111"/>
        </w:rPr>
        <w:t>708</w:t>
      </w:r>
      <w:r>
        <w:rPr>
          <w:w w:val="100"/>
        </w:rPr>
        <w:t>（</w:t>
      </w:r>
      <w:r>
        <w:rPr>
          <w:spacing w:val="-1"/>
          <w:w w:val="77"/>
        </w:rPr>
        <w:t>T/t</w:t>
      </w:r>
      <w:r>
        <w:rPr>
          <w:spacing w:val="-213"/>
          <w:w w:val="100"/>
        </w:rPr>
        <w:t>）</w:t>
      </w:r>
      <w:r>
        <w:rPr>
          <w:w w:val="100"/>
        </w:rPr>
        <w:t>，工程完成总投资</w:t>
      </w:r>
      <w:r>
        <w:rPr>
          <w:spacing w:val="-55"/>
        </w:rPr>
        <w:t xml:space="preserve"> </w:t>
      </w:r>
      <w:r>
        <w:rPr>
          <w:spacing w:val="-1"/>
          <w:w w:val="111"/>
        </w:rPr>
        <w:t>10</w:t>
      </w:r>
      <w:r>
        <w:rPr>
          <w:w w:val="111"/>
        </w:rPr>
        <w:t>5</w:t>
      </w:r>
      <w:r>
        <w:rPr>
          <w:spacing w:val="-49"/>
        </w:rPr>
        <w:t xml:space="preserve"> </w:t>
      </w:r>
      <w:r>
        <w:rPr>
          <w:w w:val="100"/>
        </w:rPr>
        <w:t>万元。工程于</w:t>
      </w:r>
    </w:p>
    <w:p>
      <w:pPr>
        <w:pStyle w:val="BodyText"/>
        <w:spacing w:before="399"/>
        <w:jc w:val="both"/>
      </w:pPr>
      <w:r>
        <w:rPr>
          <w:w w:val="105"/>
        </w:rPr>
        <w:t>2011</w:t>
      </w:r>
      <w:r>
        <w:rPr>
          <w:spacing w:val="-82"/>
          <w:w w:val="105"/>
        </w:rPr>
        <w:t xml:space="preserve"> 年 </w:t>
      </w:r>
      <w:r>
        <w:rPr>
          <w:w w:val="105"/>
        </w:rPr>
        <w:t>12</w:t>
      </w:r>
      <w:r>
        <w:rPr>
          <w:spacing w:val="-82"/>
          <w:w w:val="105"/>
        </w:rPr>
        <w:t xml:space="preserve"> 月 </w:t>
      </w:r>
      <w:r>
        <w:rPr>
          <w:w w:val="105"/>
        </w:rPr>
        <w:t>28</w:t>
      </w:r>
      <w:r>
        <w:rPr>
          <w:spacing w:val="-19"/>
          <w:w w:val="105"/>
        </w:rPr>
        <w:t xml:space="preserve"> 日施工队进场 ， </w:t>
      </w:r>
      <w:r>
        <w:rPr>
          <w:w w:val="105"/>
        </w:rPr>
        <w:t>2012</w:t>
      </w:r>
      <w:r>
        <w:rPr>
          <w:spacing w:val="-84"/>
          <w:w w:val="105"/>
        </w:rPr>
        <w:t xml:space="preserve"> 年 </w:t>
      </w:r>
      <w:r>
        <w:rPr>
          <w:w w:val="105"/>
        </w:rPr>
        <w:t>3</w:t>
      </w:r>
      <w:r>
        <w:rPr>
          <w:spacing w:val="-82"/>
          <w:w w:val="105"/>
        </w:rPr>
        <w:t xml:space="preserve"> 月 </w:t>
      </w:r>
      <w:r>
        <w:rPr>
          <w:w w:val="105"/>
        </w:rPr>
        <w:t>6</w:t>
      </w:r>
      <w:r>
        <w:rPr>
          <w:spacing w:val="-18"/>
          <w:w w:val="105"/>
        </w:rPr>
        <w:t xml:space="preserve"> 日工程开工。</w:t>
      </w:r>
    </w:p>
    <w:p>
      <w:pPr>
        <w:pStyle w:val="BodyText"/>
        <w:ind w:left="0"/>
        <w:rPr>
          <w:sz w:val="56"/>
        </w:rPr>
      </w:pPr>
    </w:p>
    <w:p>
      <w:pPr>
        <w:pStyle w:val="BodyText"/>
        <w:spacing w:before="1"/>
        <w:ind w:left="0"/>
        <w:rPr>
          <w:sz w:val="41"/>
        </w:rPr>
      </w:pPr>
    </w:p>
    <w:p>
      <w:pPr>
        <w:pStyle w:val="Heading1"/>
        <w:tabs>
          <w:tab w:val="left" w:pos="3244"/>
        </w:tabs>
        <w:ind w:left="933"/>
      </w:pPr>
      <w:bookmarkStart w:id="1" w:name="_TOC_250005"/>
      <w:bookmarkEnd w:id="1"/>
      <w:r>
        <w:t>第二章</w:t>
        <w:tab/>
        <w:t>工程招投标</w:t>
      </w:r>
    </w:p>
    <w:p>
      <w:pPr>
        <w:pStyle w:val="BodyText"/>
        <w:spacing w:before="4"/>
        <w:ind w:left="0"/>
        <w:rPr>
          <w:rFonts w:ascii="微软雅黑"/>
          <w:b/>
          <w:sz w:val="99"/>
        </w:rPr>
      </w:pPr>
    </w:p>
    <w:p>
      <w:pPr>
        <w:pStyle w:val="BodyText"/>
        <w:spacing w:line="417" w:lineRule="auto"/>
        <w:ind w:right="413" w:firstLine="838"/>
        <w:jc w:val="both"/>
      </w:pPr>
      <w:r>
        <w:rPr>
          <w:spacing w:val="-2"/>
        </w:rPr>
        <w:t>根据建设单位委托发布的招标信息</w:t>
      </w:r>
      <w:r>
        <w:rPr>
          <w:w w:val="95"/>
        </w:rPr>
        <w:t>,</w:t>
      </w:r>
      <w:r>
        <w:rPr>
          <w:spacing w:val="-5"/>
        </w:rPr>
        <w:t xml:space="preserve">我们报名参加诏安县秀篆镇 </w:t>
      </w:r>
      <w:r>
        <w:t xml:space="preserve">20 </w:t>
      </w:r>
      <w:r>
        <w:rPr>
          <w:spacing w:val="-1"/>
        </w:rPr>
        <w:t>农村饮水安全工程投标，通过了施工资质预审，购买了招标文件，进行</w:t>
      </w:r>
      <w:r>
        <w:rPr>
          <w:spacing w:val="-1"/>
          <w:w w:val="105"/>
        </w:rPr>
        <w:t>了现场考察</w:t>
      </w:r>
      <w:r>
        <w:rPr>
          <w:w w:val="95"/>
        </w:rPr>
        <w:t>,</w:t>
      </w:r>
      <w:r>
        <w:rPr>
          <w:spacing w:val="-14"/>
          <w:w w:val="105"/>
        </w:rPr>
        <w:t xml:space="preserve">完成了投标书的编制工作，于 </w:t>
      </w:r>
      <w:r>
        <w:rPr>
          <w:w w:val="105"/>
        </w:rPr>
        <w:t>2011</w:t>
      </w:r>
      <w:r>
        <w:rPr>
          <w:spacing w:val="-120"/>
          <w:w w:val="105"/>
        </w:rPr>
        <w:t xml:space="preserve"> 年 </w:t>
      </w:r>
      <w:r>
        <w:rPr>
          <w:w w:val="105"/>
        </w:rPr>
        <w:t>12</w:t>
      </w:r>
      <w:r>
        <w:rPr>
          <w:spacing w:val="-120"/>
          <w:w w:val="105"/>
        </w:rPr>
        <w:t xml:space="preserve"> 月 </w:t>
      </w:r>
      <w:r>
        <w:rPr>
          <w:w w:val="105"/>
        </w:rPr>
        <w:t>5</w:t>
      </w:r>
      <w:r>
        <w:rPr>
          <w:spacing w:val="-60"/>
          <w:w w:val="105"/>
        </w:rPr>
        <w:t xml:space="preserve"> 日在</w:t>
      </w:r>
      <w:r>
        <w:rPr>
          <w:rFonts w:ascii="幼圆" w:eastAsia="幼圆" w:hint="eastAsia"/>
          <w:w w:val="105"/>
        </w:rPr>
        <w:t>雲</w:t>
      </w:r>
      <w:r>
        <w:rPr>
          <w:w w:val="105"/>
        </w:rPr>
        <w:t>霄县</w:t>
      </w:r>
      <w:r>
        <w:rPr>
          <w:spacing w:val="-1"/>
        </w:rPr>
        <w:t>行政服务中心进行了投标，经评标委员会综合评议，最终确定由我们恒</w:t>
      </w:r>
      <w:r>
        <w:rPr>
          <w:spacing w:val="-5"/>
        </w:rPr>
        <w:t>亿集团有限公司中标承建诏安县秀篆镇农村饮水安全工程，工程预算审</w:t>
      </w:r>
      <w:r>
        <w:rPr>
          <w:spacing w:val="-28"/>
          <w:w w:val="105"/>
        </w:rPr>
        <w:t xml:space="preserve">核价下浮按 </w:t>
      </w:r>
      <w:r>
        <w:rPr>
          <w:w w:val="105"/>
        </w:rPr>
        <w:t>15%</w:t>
      </w:r>
      <w:r>
        <w:rPr>
          <w:spacing w:val="-2"/>
          <w:w w:val="105"/>
        </w:rPr>
        <w:t>中标</w:t>
      </w:r>
      <w:r>
        <w:rPr>
          <w:w w:val="95"/>
        </w:rPr>
        <w:t>,</w:t>
      </w:r>
      <w:r>
        <w:rPr>
          <w:spacing w:val="-16"/>
          <w:w w:val="105"/>
        </w:rPr>
        <w:t xml:space="preserve">质量目标优良，工期 </w:t>
      </w:r>
      <w:r>
        <w:rPr>
          <w:w w:val="105"/>
        </w:rPr>
        <w:t>90</w:t>
      </w:r>
      <w:r>
        <w:rPr>
          <w:spacing w:val="-48"/>
          <w:w w:val="105"/>
        </w:rPr>
        <w:t xml:space="preserve"> 天，</w:t>
      </w:r>
      <w:r>
        <w:rPr>
          <w:spacing w:val="-4"/>
          <w:w w:val="105"/>
        </w:rPr>
        <w:t>2011</w:t>
      </w:r>
      <w:r>
        <w:rPr>
          <w:spacing w:val="-92"/>
          <w:w w:val="105"/>
        </w:rPr>
        <w:t xml:space="preserve"> 年 </w:t>
      </w:r>
      <w:r>
        <w:rPr>
          <w:w w:val="105"/>
        </w:rPr>
        <w:t>12</w:t>
      </w:r>
      <w:r>
        <w:rPr>
          <w:spacing w:val="-92"/>
          <w:w w:val="105"/>
        </w:rPr>
        <w:t xml:space="preserve"> 月 </w:t>
      </w:r>
      <w:r>
        <w:rPr>
          <w:w w:val="105"/>
        </w:rPr>
        <w:t>25</w:t>
      </w:r>
      <w:r>
        <w:rPr>
          <w:spacing w:val="-69"/>
          <w:w w:val="105"/>
        </w:rPr>
        <w:t xml:space="preserve"> 日</w:t>
      </w:r>
      <w:r>
        <w:rPr>
          <w:spacing w:val="-65"/>
          <w:w w:val="110"/>
        </w:rPr>
        <w:t>我们与建设单位签订了施工合同，</w:t>
      </w:r>
      <w:r>
        <w:rPr>
          <w:spacing w:val="-4"/>
          <w:w w:val="110"/>
        </w:rPr>
        <w:t>2012</w:t>
      </w:r>
      <w:r>
        <w:rPr>
          <w:spacing w:val="-119"/>
          <w:w w:val="110"/>
        </w:rPr>
        <w:t xml:space="preserve"> 年 </w:t>
      </w:r>
      <w:r>
        <w:rPr>
          <w:w w:val="110"/>
        </w:rPr>
        <w:t>3</w:t>
      </w:r>
      <w:r>
        <w:rPr>
          <w:spacing w:val="-117"/>
          <w:w w:val="110"/>
        </w:rPr>
        <w:t xml:space="preserve"> 月 </w:t>
      </w:r>
      <w:r>
        <w:rPr>
          <w:w w:val="110"/>
        </w:rPr>
        <w:t>6</w:t>
      </w:r>
      <w:r>
        <w:rPr>
          <w:spacing w:val="-26"/>
          <w:w w:val="110"/>
        </w:rPr>
        <w:t xml:space="preserve"> 日工程开工。</w:t>
      </w:r>
    </w:p>
    <w:p>
      <w:pPr>
        <w:pStyle w:val="BodyText"/>
        <w:spacing w:before="12"/>
        <w:ind w:left="0"/>
        <w:rPr>
          <w:sz w:val="65"/>
        </w:rPr>
      </w:pPr>
    </w:p>
    <w:p>
      <w:pPr>
        <w:pStyle w:val="Heading1"/>
        <w:tabs>
          <w:tab w:val="left" w:pos="3583"/>
          <w:tab w:val="left" w:pos="4574"/>
          <w:tab w:val="left" w:pos="5567"/>
          <w:tab w:val="left" w:pos="6557"/>
        </w:tabs>
      </w:pPr>
      <w:bookmarkStart w:id="2" w:name="_TOC_250004"/>
      <w:bookmarkEnd w:id="2"/>
      <w:r>
        <w:t>第三章</w:t>
        <w:tab/>
        <w:t>施</w:t>
        <w:tab/>
        <w:t>工</w:t>
        <w:tab/>
        <w:t>部</w:t>
        <w:tab/>
        <w:t>署</w:t>
      </w:r>
    </w:p>
    <w:p>
      <w:pPr>
        <w:spacing w:after="0"/>
        <w:sectPr>
          <w:footerReference w:type="default" r:id="rId6"/>
          <w:pgSz w:w="17860" w:h="25260"/>
          <w:pgMar w:top="1880" w:right="1920" w:bottom="2040" w:left="2300" w:header="0" w:footer="1850"/>
          <w:pgNumType w:start="4"/>
          <w:cols w:space="708"/>
        </w:sectPr>
      </w:pPr>
    </w:p>
    <w:p>
      <w:pPr>
        <w:pStyle w:val="BodyText"/>
        <w:spacing w:before="117" w:line="417" w:lineRule="auto"/>
        <w:ind w:right="417" w:firstLine="838"/>
      </w:pPr>
      <w:r>
        <w:t>根据本工程单位工程量小，且比较分散的特点，为便于管理，我们采取统一布署、综合管理的办法。</w:t>
      </w:r>
    </w:p>
    <w:p>
      <w:pPr>
        <w:pStyle w:val="BodyText"/>
        <w:spacing w:line="537" w:lineRule="exact"/>
      </w:pPr>
      <w:r>
        <w:t>一、施工组织计划</w:t>
      </w:r>
    </w:p>
    <w:p>
      <w:pPr>
        <w:pStyle w:val="BodyText"/>
        <w:spacing w:before="398" w:line="417" w:lineRule="auto"/>
        <w:ind w:right="413" w:firstLine="629"/>
        <w:jc w:val="both"/>
      </w:pPr>
      <w:r>
        <w:rPr>
          <w:spacing w:val="1"/>
        </w:rPr>
        <w:t>本工程施工总工期为</w:t>
      </w:r>
      <w:r>
        <w:t>90天，队伍组编时兼顾所分配工程之间的工期</w:t>
      </w:r>
      <w:r>
        <w:rPr>
          <w:spacing w:val="2"/>
        </w:rPr>
        <w:t>搭接的潜力，拟将本工程划分</w:t>
      </w:r>
      <w:r>
        <w:rPr>
          <w:spacing w:val="3"/>
        </w:rPr>
        <w:t>4</w:t>
      </w:r>
      <w:r>
        <w:t>个施工队，每个施工队的作业范围在考</w:t>
      </w:r>
      <w:r>
        <w:rPr>
          <w:spacing w:val="-15"/>
        </w:rPr>
        <w:t>虑乡镇自然村为单位的同时，还予考虑工程结构的特点</w:t>
      </w:r>
      <w:r>
        <w:rPr>
          <w:w w:val="95"/>
        </w:rPr>
        <w:t>,</w:t>
      </w:r>
      <w:r>
        <w:t>以保证投入机具</w:t>
      </w:r>
      <w:r>
        <w:rPr>
          <w:spacing w:val="-1"/>
        </w:rPr>
        <w:t>的通用性。在成立项目经理部的同时成立相应施工队伍。具体施工组织</w:t>
      </w:r>
      <w:r>
        <w:t>计划安排：</w:t>
      </w:r>
    </w:p>
    <w:p>
      <w:pPr>
        <w:pStyle w:val="BodyText"/>
        <w:spacing w:line="417" w:lineRule="auto"/>
        <w:ind w:right="7164"/>
      </w:pPr>
      <w:r>
        <w:rPr>
          <w:spacing w:val="-2"/>
        </w:rPr>
        <w:t xml:space="preserve">１、施工一队：负责埔坪村项目； </w:t>
      </w:r>
      <w:r>
        <w:t xml:space="preserve">２、施工二队：负北坑村项目； </w:t>
      </w:r>
      <w:r>
        <w:rPr>
          <w:spacing w:val="-2"/>
        </w:rPr>
        <w:t>３、施工三队：负责顶安村项目； ４、施工四队：负责寨坪村项目；</w:t>
      </w:r>
    </w:p>
    <w:p>
      <w:pPr>
        <w:pStyle w:val="BodyText"/>
        <w:spacing w:line="417" w:lineRule="auto"/>
        <w:ind w:right="321" w:firstLine="838"/>
      </w:pPr>
      <w:r>
        <w:rPr>
          <w:spacing w:val="-20"/>
        </w:rPr>
        <w:t xml:space="preserve">具体施工组织时，各队间实行纵向锁定工期，横向平行互助的办法， </w:t>
      </w:r>
      <w:r>
        <w:t>确保工程按期交工，及时发挥运行效益。</w:t>
      </w:r>
    </w:p>
    <w:p>
      <w:pPr>
        <w:pStyle w:val="BodyText"/>
        <w:spacing w:line="537" w:lineRule="exact"/>
      </w:pPr>
      <w:r>
        <w:t>二、施工组织机构设立</w:t>
      </w:r>
    </w:p>
    <w:p>
      <w:pPr>
        <w:pStyle w:val="BodyText"/>
        <w:spacing w:before="396" w:line="417" w:lineRule="auto"/>
        <w:ind w:right="525" w:firstLine="838"/>
      </w:pPr>
      <w:r>
        <w:rPr>
          <w:spacing w:val="-17"/>
          <w:w w:val="95"/>
        </w:rPr>
        <w:t>由于单位工程分散、交通不便等特点</w:t>
      </w:r>
      <w:r>
        <w:rPr>
          <w:w w:val="85"/>
        </w:rPr>
        <w:t>,</w:t>
      </w:r>
      <w:r>
        <w:rPr>
          <w:spacing w:val="-2"/>
          <w:w w:val="95"/>
        </w:rPr>
        <w:t xml:space="preserve">我们组建了以项目部为核心的  </w:t>
      </w:r>
      <w:r>
        <w:t>管理体系，参与工程的施工管理。</w:t>
      </w:r>
    </w:p>
    <w:p>
      <w:pPr>
        <w:pStyle w:val="BodyText"/>
        <w:spacing w:line="417" w:lineRule="auto"/>
        <w:ind w:right="392" w:firstLine="629"/>
      </w:pPr>
      <w:r>
        <w:t>1、组织领导机构的建立：建立了以项目经理牵头，其他各组联动的项目管理督查及保障机构，完成各项监督和检查工作</w:t>
      </w:r>
      <w:r>
        <w:rPr>
          <w:w w:val="85"/>
        </w:rPr>
        <w:t>;</w:t>
      </w:r>
    </w:p>
    <w:p>
      <w:pPr>
        <w:pStyle w:val="BodyText"/>
        <w:spacing w:line="417" w:lineRule="auto"/>
        <w:ind w:right="311" w:firstLine="629"/>
        <w:jc w:val="both"/>
      </w:pPr>
      <w:r>
        <w:t>2、施工管理机构的成立：由检测员、专职质检员、资料员、专职安全员、技术负责人、项目经理等组成项目经理部，建立起现场统一的组</w:t>
      </w:r>
      <w:r>
        <w:rPr>
          <w:spacing w:val="-19"/>
        </w:rPr>
        <w:t>织领导机构，配备相应操作班组，具体负责各工程的分期组织实施工作。</w:t>
      </w:r>
    </w:p>
    <w:p>
      <w:pPr>
        <w:spacing w:after="0" w:line="417" w:lineRule="auto"/>
        <w:jc w:val="both"/>
        <w:sectPr>
          <w:footerReference w:type="default" r:id="rId7"/>
          <w:pgSz w:w="17860" w:h="25260"/>
          <w:pgMar w:top="1820" w:right="1920" w:bottom="2040" w:left="2300" w:header="0" w:footer="1852"/>
          <w:pgNumType w:start="5"/>
          <w:cols w:space="708"/>
        </w:sectPr>
      </w:pPr>
    </w:p>
    <w:p>
      <w:pPr>
        <w:pStyle w:val="Heading1"/>
        <w:tabs>
          <w:tab w:val="left" w:pos="2794"/>
        </w:tabs>
        <w:spacing w:line="1124" w:lineRule="exact"/>
        <w:ind w:left="151"/>
      </w:pPr>
      <w:bookmarkStart w:id="3" w:name="_TOC_250003"/>
      <w:bookmarkEnd w:id="3"/>
      <w:r>
        <w:t>第四章</w:t>
        <w:tab/>
        <w:t>工程主要施工方法</w:t>
      </w:r>
    </w:p>
    <w:p>
      <w:pPr>
        <w:pStyle w:val="BodyText"/>
        <w:spacing w:before="16"/>
        <w:ind w:left="0"/>
        <w:rPr>
          <w:rFonts w:ascii="微软雅黑"/>
          <w:b/>
          <w:sz w:val="93"/>
        </w:rPr>
      </w:pPr>
    </w:p>
    <w:p>
      <w:pPr>
        <w:pStyle w:val="Heading3"/>
        <w:tabs>
          <w:tab w:val="left" w:pos="2056"/>
        </w:tabs>
        <w:ind w:left="976"/>
      </w:pPr>
      <w:r>
        <w:t>一、</w:t>
        <w:tab/>
        <w:t>土方开挖方法</w:t>
      </w:r>
    </w:p>
    <w:p>
      <w:pPr>
        <w:pStyle w:val="BodyText"/>
        <w:spacing w:before="379" w:line="456" w:lineRule="auto"/>
        <w:ind w:right="328" w:firstLine="899"/>
        <w:jc w:val="both"/>
      </w:pPr>
      <w:r>
        <w:t>本工程土方工程主要有取水坝、输水管道、过滤池、蓄水池基础开挖。输水管道和取水坝断面小、管线长、平台小，不能采用机械开挖， 只能用人工挖，因开挖量小开挖时只进行简单槽挖即可，人工挖至设计线后，弃土置于管线两侧，具体施工工序是放样—槽挖—修坡—修底— 测量复核—验收，开挖方法：在旱地施工，应自中心向外，分层开挖， 先深后宽，边坡处可按边坡比挖成台阶状，待挖至设计要求时再进行削</w:t>
      </w:r>
      <w:r>
        <w:rPr>
          <w:spacing w:val="-20"/>
        </w:rPr>
        <w:t xml:space="preserve">陂、弃土时，应先行规划堆土区，横断面方向做到远挖近倒，近挖远倒， </w:t>
      </w:r>
      <w:r>
        <w:t>先平后高。</w:t>
      </w:r>
    </w:p>
    <w:p>
      <w:pPr>
        <w:pStyle w:val="BodyText"/>
        <w:spacing w:line="521" w:lineRule="exact"/>
        <w:ind w:left="1066"/>
      </w:pPr>
      <w:r>
        <w:t>受地下水影响的取水坝、输水管线基础，应设排水沟，开挖多采用</w:t>
      </w:r>
    </w:p>
    <w:p>
      <w:pPr>
        <w:pStyle w:val="BodyText"/>
        <w:spacing w:before="481" w:line="456" w:lineRule="auto"/>
        <w:ind w:right="413"/>
        <w:jc w:val="both"/>
      </w:pPr>
      <w:r>
        <w:t>分层下挖法：将水沟布置在基础中部，逐层选挖水沟，再挖基础，直到挖到基础合格为止，如一次开挖成坡，将影响开挖进度。因此，一段先按设计坡度要求挖成台阶状，其高宽比按设计坡度要求开挖最后进行削坡，这样施工，削坡方量小，但施工时必须严格掌握台阶平台应水平， 高必须与平台垂直，否则会产生较大误差，增加削坡方量。</w:t>
      </w:r>
    </w:p>
    <w:p>
      <w:pPr>
        <w:pStyle w:val="BodyText"/>
        <w:spacing w:line="528" w:lineRule="exact"/>
        <w:ind w:left="1066"/>
      </w:pPr>
      <w:r>
        <w:t>土方开挖完成经公司有关人员和业主验收合格后才进行下一道工</w:t>
      </w:r>
    </w:p>
    <w:p>
      <w:pPr>
        <w:pStyle w:val="BodyText"/>
        <w:spacing w:before="480"/>
      </w:pPr>
      <w:r>
        <w:t>序的施工。</w:t>
      </w:r>
    </w:p>
    <w:p>
      <w:pPr>
        <w:pStyle w:val="Heading3"/>
        <w:spacing w:before="181"/>
        <w:ind w:left="785"/>
      </w:pPr>
      <w:r>
        <w:t>二、混凝土工程施工方法</w:t>
      </w:r>
    </w:p>
    <w:p>
      <w:pPr>
        <w:spacing w:after="0"/>
        <w:sectPr>
          <w:footerReference w:type="default" r:id="rId8"/>
          <w:pgSz w:w="17860" w:h="25260"/>
          <w:pgMar w:top="1940" w:right="1920" w:bottom="2040" w:left="2300" w:header="0" w:footer="1850"/>
          <w:pgNumType w:start="6"/>
          <w:cols w:space="708"/>
        </w:sectPr>
      </w:pPr>
    </w:p>
    <w:p>
      <w:pPr>
        <w:pStyle w:val="BodyText"/>
        <w:spacing w:before="111"/>
        <w:ind w:left="1005"/>
      </w:pPr>
      <w:r>
        <w:t>1、 砂石料系统</w:t>
      </w:r>
    </w:p>
    <w:p>
      <w:pPr>
        <w:pStyle w:val="BodyText"/>
        <w:spacing w:before="272" w:line="362" w:lineRule="auto"/>
        <w:ind w:right="512" w:firstLine="838"/>
      </w:pPr>
      <w:r>
        <w:t>本标砼和砌石工程所需砂石料全部从市场购买成品，尽量随用随</w:t>
      </w:r>
      <w:r>
        <w:rPr>
          <w:spacing w:val="-8"/>
        </w:rPr>
        <w:t xml:space="preserve">运，由 </w:t>
      </w:r>
      <w:r>
        <w:t>5t</w:t>
      </w:r>
      <w:r>
        <w:rPr>
          <w:spacing w:val="-7"/>
        </w:rPr>
        <w:t xml:space="preserve"> 自卸汽车或农用车将外购质量合格的砂石料运至工地现场， </w:t>
      </w:r>
      <w:r>
        <w:t>在路旁宽阔地点就地堆放。</w:t>
      </w:r>
    </w:p>
    <w:p>
      <w:pPr>
        <w:pStyle w:val="BodyText"/>
        <w:spacing w:line="530" w:lineRule="exact"/>
        <w:ind w:left="1005"/>
      </w:pPr>
      <w:r>
        <w:t>2、 砼系统</w:t>
      </w:r>
    </w:p>
    <w:p>
      <w:pPr>
        <w:pStyle w:val="ListParagraph"/>
        <w:numPr>
          <w:ilvl w:val="0"/>
          <w:numId w:val="16"/>
        </w:numPr>
        <w:tabs>
          <w:tab w:val="left" w:pos="1941"/>
          <w:tab w:val="left" w:pos="1942"/>
        </w:tabs>
        <w:spacing w:before="272" w:after="0" w:line="362" w:lineRule="auto"/>
        <w:ind w:left="166" w:right="537" w:firstLine="838"/>
        <w:jc w:val="left"/>
        <w:rPr>
          <w:sz w:val="42"/>
        </w:rPr>
      </w:pPr>
      <w:r>
        <w:rPr>
          <w:spacing w:val="-13"/>
          <w:sz w:val="42"/>
        </w:rPr>
        <w:t xml:space="preserve">本标工程砼根据施工进度安排和浇筑强度，为适应砼拌和强度的需要，选用一台 </w:t>
      </w:r>
      <w:r>
        <w:rPr>
          <w:sz w:val="42"/>
        </w:rPr>
        <w:t>0.35m3</w:t>
      </w:r>
      <w:r>
        <w:rPr>
          <w:spacing w:val="-19"/>
          <w:sz w:val="42"/>
        </w:rPr>
        <w:t xml:space="preserve"> 砼拌和机。</w:t>
      </w:r>
    </w:p>
    <w:p>
      <w:pPr>
        <w:pStyle w:val="ListParagraph"/>
        <w:numPr>
          <w:ilvl w:val="0"/>
          <w:numId w:val="16"/>
        </w:numPr>
        <w:tabs>
          <w:tab w:val="left" w:pos="1941"/>
          <w:tab w:val="left" w:pos="1942"/>
        </w:tabs>
        <w:spacing w:before="0" w:after="0" w:line="534" w:lineRule="exact"/>
        <w:ind w:left="1941" w:right="0" w:hanging="937"/>
        <w:jc w:val="left"/>
        <w:rPr>
          <w:sz w:val="42"/>
        </w:rPr>
      </w:pPr>
      <w:r>
        <w:rPr>
          <w:sz w:val="42"/>
        </w:rPr>
        <w:t>系统布置</w:t>
      </w:r>
    </w:p>
    <w:p>
      <w:pPr>
        <w:pStyle w:val="BodyText"/>
        <w:spacing w:before="272"/>
        <w:ind w:left="1005"/>
      </w:pPr>
      <w:r>
        <w:t>砼拌和系统包括水泥仓库、配料系统、拌和机等组成。</w:t>
      </w:r>
    </w:p>
    <w:p>
      <w:pPr>
        <w:pStyle w:val="BodyText"/>
        <w:spacing w:before="272" w:line="362" w:lineRule="auto"/>
        <w:ind w:right="413"/>
        <w:jc w:val="both"/>
      </w:pPr>
      <w:r>
        <w:t>砂石料由人工用胶轮车供给。水泥仓库布置于拌和站附近，沿水泥道路外边设置，水泥采用袋装水泥。整个砼系统布置基本做到进料方便、出料顺畅、布置紧凑。</w:t>
      </w:r>
    </w:p>
    <w:p>
      <w:pPr>
        <w:pStyle w:val="ListParagraph"/>
        <w:numPr>
          <w:ilvl w:val="0"/>
          <w:numId w:val="16"/>
        </w:numPr>
        <w:tabs>
          <w:tab w:val="left" w:pos="1941"/>
          <w:tab w:val="left" w:pos="1942"/>
        </w:tabs>
        <w:spacing w:before="0" w:after="0" w:line="530" w:lineRule="exact"/>
        <w:ind w:left="1941" w:right="0" w:hanging="937"/>
        <w:jc w:val="left"/>
        <w:rPr>
          <w:sz w:val="42"/>
        </w:rPr>
      </w:pPr>
      <w:r>
        <w:rPr>
          <w:sz w:val="42"/>
        </w:rPr>
        <w:t>砼生产工艺流程</w:t>
      </w:r>
    </w:p>
    <w:p>
      <w:pPr>
        <w:pStyle w:val="BodyText"/>
        <w:spacing w:before="272" w:line="362" w:lineRule="auto"/>
        <w:ind w:right="326" w:firstLine="838"/>
      </w:pPr>
      <w:r>
        <w:t>根据有资质单位提供的砼配合比料单，水泥和水经计量后进入料 斗，经拌和机拌和后的砼熟料，由出料口卸入铁斗车，送至各浇筑仓面</w:t>
      </w:r>
      <w:r>
        <w:rPr>
          <w:spacing w:val="-22"/>
        </w:rPr>
        <w:t>附近，人工挑运至浇筑工作仓面。砂、石子误差</w:t>
      </w:r>
      <w:r>
        <w:rPr>
          <w:spacing w:val="-23"/>
        </w:rPr>
        <w:t>&lt;3</w:t>
      </w:r>
      <w:r>
        <w:rPr>
          <w:spacing w:val="-10"/>
        </w:rPr>
        <w:t>%，水泥量误差</w:t>
      </w:r>
      <w:r>
        <w:rPr>
          <w:spacing w:val="-6"/>
        </w:rPr>
        <w:t xml:space="preserve">&lt;1%， </w:t>
      </w:r>
      <w:r>
        <w:rPr>
          <w:spacing w:val="-10"/>
          <w:w w:val="110"/>
        </w:rPr>
        <w:t xml:space="preserve">水量按自动控制，拌合时间不得少于 </w:t>
      </w:r>
      <w:r>
        <w:rPr>
          <w:w w:val="110"/>
        </w:rPr>
        <w:t>2</w:t>
      </w:r>
      <w:r>
        <w:rPr>
          <w:spacing w:val="-36"/>
          <w:w w:val="110"/>
        </w:rPr>
        <w:t xml:space="preserve"> 分钟。</w:t>
      </w:r>
    </w:p>
    <w:p>
      <w:pPr>
        <w:pStyle w:val="BodyText"/>
        <w:spacing w:line="528" w:lineRule="exact"/>
        <w:ind w:left="1005"/>
      </w:pPr>
      <w:r>
        <w:t>3、 模板工程</w:t>
      </w:r>
    </w:p>
    <w:p>
      <w:pPr>
        <w:pStyle w:val="ListParagraph"/>
        <w:numPr>
          <w:ilvl w:val="0"/>
          <w:numId w:val="15"/>
        </w:numPr>
        <w:tabs>
          <w:tab w:val="left" w:pos="1733"/>
        </w:tabs>
        <w:spacing w:before="272" w:after="0" w:line="240" w:lineRule="auto"/>
        <w:ind w:left="1732" w:right="0" w:hanging="933"/>
        <w:jc w:val="both"/>
        <w:rPr>
          <w:sz w:val="42"/>
        </w:rPr>
      </w:pPr>
      <w:r>
        <w:rPr>
          <w:sz w:val="42"/>
        </w:rPr>
        <w:t>模板材料选择</w:t>
      </w:r>
    </w:p>
    <w:p>
      <w:pPr>
        <w:pStyle w:val="BodyText"/>
        <w:spacing w:before="271" w:line="362" w:lineRule="auto"/>
        <w:ind w:right="413" w:firstLine="838"/>
        <w:jc w:val="both"/>
      </w:pPr>
      <w:r>
        <w:rPr>
          <w:spacing w:val="-1"/>
        </w:rPr>
        <w:t>模板材料根据标准、规范的规定选用，腐蚀、脆性的木材决不使用到工程上</w:t>
      </w:r>
      <w:r>
        <w:rPr>
          <w:w w:val="85"/>
        </w:rPr>
        <w:t>,</w:t>
      </w:r>
      <w:r>
        <w:rPr>
          <w:spacing w:val="-15"/>
        </w:rPr>
        <w:t>且模板及支撑应有足够的强度，刚度和稳定性，并不致发生不</w:t>
      </w:r>
      <w:r>
        <w:rPr>
          <w:spacing w:val="-16"/>
        </w:rPr>
        <w:t>允许的沉陷及变形，模板的内侧面必须平整，接缝紧密，不得漏浆，根</w:t>
      </w:r>
      <w:r>
        <w:t>据本工程特点采用建筑模板拼装。</w:t>
      </w:r>
    </w:p>
    <w:p>
      <w:pPr>
        <w:pStyle w:val="ListParagraph"/>
        <w:numPr>
          <w:ilvl w:val="0"/>
          <w:numId w:val="15"/>
        </w:numPr>
        <w:tabs>
          <w:tab w:val="left" w:pos="1524"/>
        </w:tabs>
        <w:spacing w:before="0" w:after="0" w:line="529" w:lineRule="exact"/>
        <w:ind w:left="1523" w:right="0" w:hanging="936"/>
        <w:jc w:val="both"/>
        <w:rPr>
          <w:sz w:val="42"/>
        </w:rPr>
      </w:pPr>
      <w:r>
        <w:rPr>
          <w:sz w:val="42"/>
        </w:rPr>
        <w:t>模板结构和支撑设计</w:t>
      </w:r>
    </w:p>
    <w:p>
      <w:pPr>
        <w:pStyle w:val="BodyText"/>
        <w:spacing w:before="258"/>
        <w:ind w:left="1005"/>
      </w:pPr>
      <w:r>
        <w:rPr>
          <w:spacing w:val="-7"/>
        </w:rPr>
        <w:t>本工程砼模板主要采用建筑模板拼装，以提高墙体整体性和外观平</w:t>
      </w:r>
    </w:p>
    <w:p>
      <w:pPr>
        <w:pStyle w:val="BodyText"/>
        <w:spacing w:before="398"/>
        <w:jc w:val="both"/>
      </w:pPr>
      <w:r>
        <w:rPr>
          <w:spacing w:val="3"/>
          <w:w w:val="95"/>
        </w:rPr>
        <w:t xml:space="preserve">整度。模板外侧设置直支撑，直支撑采用 </w:t>
      </w:r>
      <w:r>
        <w:rPr>
          <w:w w:val="95"/>
        </w:rPr>
        <w:t>l00×l00</w:t>
      </w:r>
      <w:r>
        <w:rPr>
          <w:spacing w:val="8"/>
          <w:w w:val="95"/>
        </w:rPr>
        <w:t xml:space="preserve"> 的方木，直支撑采用</w:t>
      </w:r>
    </w:p>
    <w:p>
      <w:pPr>
        <w:spacing w:after="0"/>
        <w:jc w:val="both"/>
        <w:sectPr>
          <w:footerReference w:type="default" r:id="rId9"/>
          <w:pgSz w:w="17860" w:h="25260"/>
          <w:pgMar w:top="1840" w:right="1920" w:bottom="2040" w:left="2300" w:header="0" w:footer="1850"/>
          <w:pgNumType w:start="7"/>
          <w:cols w:space="708"/>
        </w:sectPr>
      </w:pPr>
    </w:p>
    <w:p>
      <w:pPr>
        <w:pStyle w:val="BodyText"/>
        <w:spacing w:before="117"/>
      </w:pPr>
      <w:r>
        <w:t>平撑及斜撑于插入土中的垫板、木楔上或岩石上。</w:t>
      </w:r>
    </w:p>
    <w:p>
      <w:pPr>
        <w:pStyle w:val="ListParagraph"/>
        <w:numPr>
          <w:ilvl w:val="0"/>
          <w:numId w:val="17"/>
        </w:numPr>
        <w:tabs>
          <w:tab w:val="left" w:pos="1524"/>
        </w:tabs>
        <w:spacing w:before="412" w:after="0" w:line="240" w:lineRule="auto"/>
        <w:ind w:left="1523" w:right="0" w:hanging="936"/>
        <w:jc w:val="both"/>
        <w:rPr>
          <w:sz w:val="42"/>
        </w:rPr>
      </w:pPr>
      <w:r>
        <w:rPr>
          <w:sz w:val="42"/>
        </w:rPr>
        <w:t>模板制作及安装</w:t>
      </w:r>
    </w:p>
    <w:p>
      <w:pPr>
        <w:pStyle w:val="BodyText"/>
        <w:spacing w:before="272" w:line="362" w:lineRule="auto"/>
        <w:ind w:right="413" w:firstLine="629"/>
        <w:jc w:val="both"/>
      </w:pPr>
      <w:r>
        <w:t>模板的制作及安装由专业技术工完成，遵照规范《SDJ-82》的模板规定执行，其偏差不得超过规定的数值，制作时拟在模板车间加工，加工时严格按照施工图要求下料，确保模板加工达到精度要求，支撑方木等加工也在模板车间内进行。上述加工好的模板应分类堆放，并予以标识。</w:t>
      </w:r>
    </w:p>
    <w:p>
      <w:pPr>
        <w:pStyle w:val="BodyText"/>
        <w:spacing w:line="526" w:lineRule="exact"/>
        <w:ind w:left="796"/>
      </w:pPr>
      <w:r>
        <w:t>模板安装应遵循自下而上的安装方法，并视各种构造的不同设计各</w:t>
      </w:r>
    </w:p>
    <w:p>
      <w:pPr>
        <w:pStyle w:val="BodyText"/>
        <w:spacing w:before="272" w:line="362" w:lineRule="auto"/>
        <w:ind w:right="321"/>
        <w:jc w:val="both"/>
      </w:pPr>
      <w:r>
        <w:rPr>
          <w:spacing w:val="-19"/>
        </w:rPr>
        <w:t xml:space="preserve">种不同的支撑方法和加固措施。本工程模板量不大，主要采用人工安装， </w:t>
      </w:r>
      <w:r>
        <w:t>安装时，先测量放出边线，并用墨线等弹出，再把模板对准边线按设计坡度立起，校正调整无误后，用斜撑和平撑钉牢，必要时每隔一定距离在板顶钉上搭头木，防止模板变形，浇筑过程中应有模板工在场，维护模板，发现问题及时调整，防止暴模、涨模、漏浆等。</w:t>
      </w:r>
    </w:p>
    <w:p>
      <w:pPr>
        <w:pStyle w:val="ListParagraph"/>
        <w:numPr>
          <w:ilvl w:val="0"/>
          <w:numId w:val="17"/>
        </w:numPr>
        <w:tabs>
          <w:tab w:val="left" w:pos="1333"/>
        </w:tabs>
        <w:spacing w:before="0" w:after="0" w:line="501" w:lineRule="exact"/>
        <w:ind w:left="1333" w:right="0" w:hanging="695"/>
        <w:jc w:val="both"/>
        <w:rPr>
          <w:sz w:val="31"/>
        </w:rPr>
      </w:pPr>
      <w:r>
        <w:rPr>
          <w:sz w:val="42"/>
          <w:vertAlign w:val="baseline"/>
        </w:rPr>
        <w:t>模板拆除</w:t>
      </w:r>
    </w:p>
    <w:p>
      <w:pPr>
        <w:pStyle w:val="BodyText"/>
        <w:spacing w:before="221" w:line="333" w:lineRule="auto"/>
        <w:ind w:right="413" w:firstLine="968"/>
      </w:pPr>
      <w:r>
        <w:t>所有使用的模板均涂刷脱模剂，以利拆模，拆除模板的时间一般应遵循强度控制的规定，拆模要使用专门工具，按各模板结构支撑所确定的程序小心仔细地进行，避免对模板及砼面的损伤，保证砼表面完整美观，不承重的侧面模板，可在砼强度保证其表面及棱角不因拆模而受损坏，方可拆除。砼强度达到规定的标准后，应尽早拆模，拆除后的模板分类堆放，予以标识，并加以维护保养，以备再用。</w:t>
      </w:r>
    </w:p>
    <w:p>
      <w:pPr>
        <w:pStyle w:val="BodyText"/>
        <w:spacing w:before="12"/>
        <w:ind w:left="1217"/>
      </w:pPr>
      <w:r>
        <w:t>4、 砼浇筑</w:t>
      </w:r>
    </w:p>
    <w:p>
      <w:pPr>
        <w:pStyle w:val="ListParagraph"/>
        <w:numPr>
          <w:ilvl w:val="1"/>
          <w:numId w:val="17"/>
        </w:numPr>
        <w:tabs>
          <w:tab w:val="left" w:pos="2070"/>
          <w:tab w:val="left" w:pos="2071"/>
        </w:tabs>
        <w:spacing w:before="212" w:after="0" w:line="240" w:lineRule="auto"/>
        <w:ind w:left="2071" w:right="0" w:hanging="936"/>
        <w:jc w:val="left"/>
        <w:rPr>
          <w:sz w:val="42"/>
        </w:rPr>
      </w:pPr>
      <w:r>
        <w:rPr>
          <w:sz w:val="42"/>
        </w:rPr>
        <w:t>砼原材料的要求</w:t>
      </w:r>
    </w:p>
    <w:p>
      <w:pPr>
        <w:pStyle w:val="BodyText"/>
        <w:tabs>
          <w:tab w:val="left" w:pos="1977"/>
        </w:tabs>
        <w:spacing w:before="211" w:line="336" w:lineRule="auto"/>
        <w:ind w:right="531" w:firstLine="968"/>
      </w:pPr>
      <w:r>
        <w:t>①</w:t>
        <w:tab/>
      </w:r>
      <w:r>
        <w:rPr>
          <w:spacing w:val="-2"/>
        </w:rPr>
        <w:t xml:space="preserve">水泥：拟采用袋装水泥，其标号为 </w:t>
      </w:r>
      <w:r>
        <w:t>425#</w:t>
      </w:r>
      <w:r>
        <w:rPr>
          <w:spacing w:val="-2"/>
        </w:rPr>
        <w:t>普通硅酸盐水泥。水</w:t>
      </w:r>
      <w:r>
        <w:t>泥应有出厂厂品质检验报告单，水泥进场后按规范要求取样复检。</w:t>
      </w:r>
    </w:p>
    <w:p>
      <w:pPr>
        <w:pStyle w:val="BodyText"/>
        <w:tabs>
          <w:tab w:val="left" w:pos="1998"/>
        </w:tabs>
        <w:spacing w:line="333" w:lineRule="auto"/>
        <w:ind w:right="316" w:firstLine="968"/>
      </w:pPr>
      <w:r>
        <w:t>②</w:t>
        <w:tab/>
        <w:t>骨料：砂、石料拟从市场购买经检验合格的成品料。骨料必</w:t>
      </w:r>
      <w:r>
        <w:rPr>
          <w:spacing w:val="-20"/>
        </w:rPr>
        <w:t xml:space="preserve">须坚硬、致密、耐久、无裂隙，其级配、细度模数及力学性能符合要求， </w:t>
      </w:r>
      <w:r>
        <w:t>并经检验合格。</w:t>
      </w:r>
    </w:p>
    <w:p>
      <w:pPr>
        <w:spacing w:after="0" w:line="333" w:lineRule="auto"/>
        <w:sectPr>
          <w:footerReference w:type="default" r:id="rId10"/>
          <w:pgSz w:w="17860" w:h="25260"/>
          <w:pgMar w:top="1820" w:right="1920" w:bottom="2040" w:left="2300" w:header="0" w:footer="1852"/>
          <w:pgNumType w:start="8"/>
          <w:cols w:space="708"/>
        </w:sectPr>
      </w:pPr>
    </w:p>
    <w:p>
      <w:pPr>
        <w:pStyle w:val="BodyText"/>
        <w:spacing w:before="104" w:line="333" w:lineRule="auto"/>
        <w:ind w:right="531" w:firstLine="968"/>
      </w:pPr>
      <w:r>
        <w:t>沙料仓计划布置在各工作面附近，容量以满足各工作面二天施工</w:t>
      </w:r>
      <w:r>
        <w:rPr>
          <w:spacing w:val="-8"/>
        </w:rPr>
        <w:t xml:space="preserve">强度要求，随用随调。砂子的细度模数应在 </w:t>
      </w:r>
      <w:r>
        <w:t>2.4-2.8</w:t>
      </w:r>
      <w:r>
        <w:rPr>
          <w:spacing w:val="-19"/>
        </w:rPr>
        <w:t xml:space="preserve"> 范围内，砂料应质</w:t>
      </w:r>
      <w:r>
        <w:rPr>
          <w:spacing w:val="4"/>
        </w:rPr>
        <w:t xml:space="preserve">地坚硬、清洁、级配良好，砂的质量技术其他要求应符合 </w:t>
      </w:r>
      <w:r>
        <w:t xml:space="preserve">SDJ207-82 </w:t>
      </w:r>
      <w:r>
        <w:rPr>
          <w:spacing w:val="-54"/>
        </w:rPr>
        <w:t xml:space="preserve">表 </w:t>
      </w:r>
      <w:r>
        <w:t>4.1.13</w:t>
      </w:r>
      <w:r>
        <w:rPr>
          <w:spacing w:val="-19"/>
        </w:rPr>
        <w:t xml:space="preserve"> 中的规定。</w:t>
      </w:r>
    </w:p>
    <w:p>
      <w:pPr>
        <w:pStyle w:val="BodyText"/>
        <w:spacing w:before="11"/>
        <w:ind w:left="1135"/>
      </w:pPr>
      <w:r>
        <w:rPr>
          <w:w w:val="110"/>
        </w:rPr>
        <w:t>卵石采用二级配，最大粒径为 40mm，质量要求应符合 SDJ207</w:t>
      </w:r>
    </w:p>
    <w:p>
      <w:pPr>
        <w:pStyle w:val="BodyText"/>
        <w:spacing w:before="211"/>
      </w:pPr>
      <w:r>
        <w:t>—82</w:t>
      </w:r>
      <w:r>
        <w:rPr>
          <w:spacing w:val="-72"/>
        </w:rPr>
        <w:t xml:space="preserve"> 表 </w:t>
      </w:r>
      <w:r>
        <w:t>4.1.13</w:t>
      </w:r>
      <w:r>
        <w:rPr>
          <w:spacing w:val="-19"/>
        </w:rPr>
        <w:t xml:space="preserve"> 中的规定。</w:t>
      </w:r>
    </w:p>
    <w:p>
      <w:pPr>
        <w:pStyle w:val="BodyText"/>
        <w:tabs>
          <w:tab w:val="left" w:pos="1847"/>
        </w:tabs>
        <w:spacing w:before="257"/>
        <w:ind w:left="1005"/>
      </w:pPr>
      <w:r>
        <w:t>③</w:t>
        <w:tab/>
        <w:t>水：拟就地山涧或小溪取水，其水质可满足要求。</w:t>
      </w:r>
    </w:p>
    <w:p>
      <w:pPr>
        <w:pStyle w:val="BodyText"/>
        <w:spacing w:before="273" w:line="362" w:lineRule="auto"/>
        <w:ind w:right="413" w:firstLine="842"/>
        <w:jc w:val="both"/>
      </w:pPr>
      <w:r>
        <w:t>④ 砼配合比：在选定本工程用砂、骨料定点供应料场后，及时将砂、骨料原料送有资质单位进行砼配合比试验，并将砼配合比试验报告单报送监理工程师批准，由现场质检工程师签证实施。</w:t>
      </w:r>
    </w:p>
    <w:p>
      <w:pPr>
        <w:pStyle w:val="ListParagraph"/>
        <w:numPr>
          <w:ilvl w:val="1"/>
          <w:numId w:val="15"/>
        </w:numPr>
        <w:tabs>
          <w:tab w:val="left" w:pos="1733"/>
        </w:tabs>
        <w:spacing w:before="0" w:after="0" w:line="530" w:lineRule="exact"/>
        <w:ind w:left="1732" w:right="0" w:hanging="933"/>
        <w:jc w:val="both"/>
        <w:rPr>
          <w:sz w:val="42"/>
        </w:rPr>
      </w:pPr>
      <w:r>
        <w:rPr>
          <w:sz w:val="42"/>
        </w:rPr>
        <w:t>砼运输入仓</w:t>
      </w:r>
    </w:p>
    <w:p>
      <w:pPr>
        <w:pStyle w:val="BodyText"/>
        <w:spacing w:before="272" w:line="362" w:lineRule="auto"/>
        <w:ind w:right="413" w:firstLine="629"/>
      </w:pPr>
      <w:r>
        <w:t>根据不同部位、不同高程，采取不同的运输方法，运输的时间不能过长，不能产生分离现象，否则必须二次拌合，在初凝时间之内必须完成浇筑，水平采用斗车运输或人工。</w:t>
      </w:r>
    </w:p>
    <w:p>
      <w:pPr>
        <w:pStyle w:val="ListParagraph"/>
        <w:numPr>
          <w:ilvl w:val="1"/>
          <w:numId w:val="15"/>
        </w:numPr>
        <w:tabs>
          <w:tab w:val="left" w:pos="1671"/>
          <w:tab w:val="left" w:pos="1672"/>
        </w:tabs>
        <w:spacing w:before="0" w:after="0" w:line="531" w:lineRule="exact"/>
        <w:ind w:left="1671" w:right="0" w:hanging="934"/>
        <w:jc w:val="left"/>
        <w:rPr>
          <w:sz w:val="42"/>
        </w:rPr>
      </w:pPr>
      <w:r>
        <w:rPr>
          <w:sz w:val="42"/>
        </w:rPr>
        <w:t>铺料方法</w:t>
      </w:r>
    </w:p>
    <w:p>
      <w:pPr>
        <w:pStyle w:val="BodyText"/>
        <w:spacing w:before="271" w:line="362" w:lineRule="auto"/>
        <w:ind w:right="1256" w:firstLine="842"/>
      </w:pPr>
      <w:r>
        <w:t>根据砼施工规范要求，采用阶梯式铺料方式，由一端往另一端推进。</w:t>
      </w:r>
    </w:p>
    <w:p>
      <w:pPr>
        <w:pStyle w:val="ListParagraph"/>
        <w:numPr>
          <w:ilvl w:val="1"/>
          <w:numId w:val="15"/>
        </w:numPr>
        <w:tabs>
          <w:tab w:val="left" w:pos="1523"/>
          <w:tab w:val="left" w:pos="1524"/>
        </w:tabs>
        <w:spacing w:before="0" w:after="0" w:line="533" w:lineRule="exact"/>
        <w:ind w:left="1523" w:right="0" w:hanging="933"/>
        <w:jc w:val="left"/>
        <w:rPr>
          <w:sz w:val="42"/>
        </w:rPr>
      </w:pPr>
      <w:r>
        <w:rPr>
          <w:sz w:val="42"/>
        </w:rPr>
        <w:t>平仓、振捣</w:t>
      </w:r>
    </w:p>
    <w:p>
      <w:pPr>
        <w:pStyle w:val="BodyText"/>
        <w:spacing w:before="272" w:line="362" w:lineRule="auto"/>
        <w:ind w:right="413" w:firstLine="842"/>
        <w:jc w:val="both"/>
      </w:pPr>
      <w:r>
        <w:rPr>
          <w:spacing w:val="-1"/>
        </w:rPr>
        <w:t>本工程砼为渠道边墙和底板，其厚度小，平仓人员在仓外平仓，每</w:t>
      </w:r>
      <w:r>
        <w:rPr>
          <w:spacing w:val="-10"/>
        </w:rPr>
        <w:t xml:space="preserve">次平仓厚度不宜太大，控制在 </w:t>
      </w:r>
      <w:r>
        <w:t>0.5</w:t>
      </w:r>
      <w:r>
        <w:rPr>
          <w:spacing w:val="-12"/>
        </w:rPr>
        <w:t xml:space="preserve"> 米左右，平料应分布均匀，避免骨料集中。</w:t>
      </w:r>
    </w:p>
    <w:p>
      <w:pPr>
        <w:pStyle w:val="BodyText"/>
        <w:spacing w:line="362" w:lineRule="auto"/>
        <w:ind w:right="386" w:firstLine="633"/>
        <w:jc w:val="both"/>
      </w:pPr>
      <w:r>
        <w:rPr>
          <w:spacing w:val="-4"/>
        </w:rPr>
        <w:t xml:space="preserve">砼内部振动用插入式振动器，内部振捣采用 </w:t>
      </w:r>
      <w:r>
        <w:t>2.2kw</w:t>
      </w:r>
      <w:r>
        <w:rPr>
          <w:spacing w:val="-7"/>
        </w:rPr>
        <w:t xml:space="preserve"> 插入式振捣器振捣。振捣时间以砼不再显著下沉，不出现气泡，开始泛浆时为准。振捣</w:t>
      </w:r>
      <w:r>
        <w:rPr>
          <w:spacing w:val="-11"/>
        </w:rPr>
        <w:t xml:space="preserve">器移动距离以应不超过其有效半径的 </w:t>
      </w:r>
      <w:r>
        <w:t>1.5</w:t>
      </w:r>
      <w:r>
        <w:rPr>
          <w:spacing w:val="-11"/>
        </w:rPr>
        <w:t xml:space="preserve"> 倍，并插入下层砼 </w:t>
      </w:r>
      <w:r>
        <w:rPr>
          <w:spacing w:val="-4"/>
        </w:rPr>
        <w:t xml:space="preserve">5—10cm， </w:t>
      </w:r>
      <w:r>
        <w:t>顺序依次，方向一致，以保证上下层砼结合，避免漏振。</w:t>
      </w:r>
    </w:p>
    <w:p>
      <w:pPr>
        <w:pStyle w:val="BodyText"/>
        <w:spacing w:line="528" w:lineRule="exact"/>
        <w:ind w:left="1005"/>
      </w:pPr>
      <w:r>
        <w:t>如果砼一次不能浇筑完成，必须设置施工缝，其缝成斜面，在下一</w:t>
      </w:r>
    </w:p>
    <w:p>
      <w:pPr>
        <w:spacing w:after="0" w:line="528" w:lineRule="exact"/>
        <w:sectPr>
          <w:footerReference w:type="default" r:id="rId11"/>
          <w:pgSz w:w="17860" w:h="25260"/>
          <w:pgMar w:top="1800" w:right="1920" w:bottom="2040" w:left="2300" w:header="0" w:footer="1850"/>
          <w:pgNumType w:start="9"/>
          <w:cols w:space="708"/>
        </w:sectPr>
      </w:pPr>
    </w:p>
    <w:p>
      <w:pPr>
        <w:pStyle w:val="BodyText"/>
        <w:spacing w:before="111" w:line="362" w:lineRule="auto"/>
        <w:ind w:right="417"/>
        <w:jc w:val="both"/>
      </w:pPr>
      <w:r>
        <w:t>次施工时用人工冲毛，去除乳皮，并在上层砼浇筑时上一层2—3cm</w:t>
      </w:r>
      <w:r>
        <w:rPr>
          <w:spacing w:val="-8"/>
        </w:rPr>
        <w:t xml:space="preserve"> 厚</w:t>
      </w:r>
      <w:r>
        <w:rPr>
          <w:spacing w:val="-13"/>
        </w:rPr>
        <w:t xml:space="preserve">的同标号砂浆以利新老砼结合良好，而伸缩缝则用 </w:t>
      </w:r>
      <w:r>
        <w:t>2</w:t>
      </w:r>
      <w:r>
        <w:rPr>
          <w:spacing w:val="-12"/>
        </w:rPr>
        <w:t xml:space="preserve"> 厘米松木板隔开， </w:t>
      </w:r>
      <w:r>
        <w:t>其缝必须为透缝，在堤身砌筑之前，采用沥青灌缝。</w:t>
      </w:r>
    </w:p>
    <w:p>
      <w:pPr>
        <w:pStyle w:val="ListParagraph"/>
        <w:numPr>
          <w:ilvl w:val="1"/>
          <w:numId w:val="18"/>
        </w:numPr>
        <w:tabs>
          <w:tab w:val="left" w:pos="1942"/>
        </w:tabs>
        <w:spacing w:before="0" w:after="0" w:line="530" w:lineRule="exact"/>
        <w:ind w:left="1941" w:right="0" w:hanging="934"/>
        <w:jc w:val="both"/>
        <w:rPr>
          <w:sz w:val="42"/>
        </w:rPr>
      </w:pPr>
      <w:r>
        <w:rPr>
          <w:sz w:val="42"/>
        </w:rPr>
        <w:t>砼养护与保护</w:t>
      </w:r>
    </w:p>
    <w:p>
      <w:pPr>
        <w:pStyle w:val="BodyText"/>
        <w:spacing w:before="272" w:line="362" w:lineRule="auto"/>
        <w:ind w:right="413" w:firstLine="838"/>
        <w:jc w:val="both"/>
      </w:pPr>
      <w:r>
        <w:rPr>
          <w:spacing w:val="-10"/>
        </w:rPr>
        <w:t xml:space="preserve">一般在砼浇筑完成 </w:t>
      </w:r>
      <w:r>
        <w:t>12</w:t>
      </w:r>
      <w:r>
        <w:rPr>
          <w:spacing w:val="-52"/>
        </w:rPr>
        <w:t xml:space="preserve"> 一 </w:t>
      </w:r>
      <w:r>
        <w:t>18h</w:t>
      </w:r>
      <w:r>
        <w:rPr>
          <w:spacing w:val="-9"/>
        </w:rPr>
        <w:t xml:space="preserve"> 后开始人工洒水养护，洒水时先洒侧</w:t>
      </w:r>
      <w:r>
        <w:rPr>
          <w:spacing w:val="-10"/>
        </w:rPr>
        <w:t>面，顶面在冲毛后洒水。因浇筑期主要处于秋冬季节，养护时间控制不</w:t>
      </w:r>
      <w:r>
        <w:rPr>
          <w:spacing w:val="-16"/>
        </w:rPr>
        <w:t xml:space="preserve">少于 </w:t>
      </w:r>
      <w:r>
        <w:t>l4d。施工期间，应注意对已浇筑、养护期、验收前砼的保护，防止对砼及其表面的破坏或损伤。</w:t>
      </w:r>
    </w:p>
    <w:p>
      <w:pPr>
        <w:pStyle w:val="ListParagraph"/>
        <w:numPr>
          <w:ilvl w:val="1"/>
          <w:numId w:val="18"/>
        </w:numPr>
        <w:tabs>
          <w:tab w:val="left" w:pos="1942"/>
        </w:tabs>
        <w:spacing w:before="0" w:after="0" w:line="529" w:lineRule="exact"/>
        <w:ind w:left="1941" w:right="0" w:hanging="937"/>
        <w:jc w:val="both"/>
        <w:rPr>
          <w:sz w:val="42"/>
        </w:rPr>
      </w:pPr>
      <w:r>
        <w:rPr>
          <w:sz w:val="42"/>
        </w:rPr>
        <w:t>砼的质量检查</w:t>
      </w:r>
    </w:p>
    <w:p>
      <w:pPr>
        <w:pStyle w:val="BodyText"/>
        <w:spacing w:before="272" w:line="362" w:lineRule="auto"/>
        <w:ind w:right="413" w:firstLine="1259"/>
        <w:jc w:val="both"/>
      </w:pPr>
      <w:r>
        <w:t>水泥、沙、石、水等每天必须进行质量检查，砼的坍落度每班至少检查二次，每一班工作中如砼的配合比有变化应及时调整；按监理工程师要求，做好砼的立方体试块的取样、制作及养护的管理工作，分类编号，及时送有资质试验单位试压。</w:t>
      </w:r>
    </w:p>
    <w:p>
      <w:pPr>
        <w:pStyle w:val="BodyText"/>
        <w:ind w:left="0"/>
        <w:rPr>
          <w:sz w:val="50"/>
        </w:rPr>
      </w:pPr>
    </w:p>
    <w:p>
      <w:pPr>
        <w:pStyle w:val="Heading3"/>
        <w:ind w:left="991"/>
      </w:pPr>
      <w:r>
        <w:t>三、浆砌体工程施工方法</w:t>
      </w:r>
    </w:p>
    <w:p>
      <w:pPr>
        <w:pStyle w:val="BodyText"/>
        <w:spacing w:before="142"/>
        <w:ind w:left="1005"/>
      </w:pPr>
      <w:r>
        <w:t>1、 材料选用</w:t>
      </w:r>
    </w:p>
    <w:p>
      <w:pPr>
        <w:pStyle w:val="BodyText"/>
        <w:spacing w:before="243" w:line="348" w:lineRule="auto"/>
        <w:ind w:right="250" w:firstLine="838"/>
      </w:pPr>
      <w:r>
        <w:t>本标段工程所需石料均从市场购买成品，挑选质地坚硬、无风化剥落裂纹的新鲜石料。砌体质量的好坏跟石块的大小有关，砌体中的空隙</w:t>
      </w:r>
      <w:r>
        <w:rPr>
          <w:spacing w:val="-22"/>
        </w:rPr>
        <w:t>率大小，主要取决于砌体中石料的规格、尺寸及施工工艺、砂浆密实度。</w:t>
      </w:r>
      <w:r>
        <w:rPr>
          <w:spacing w:val="-22"/>
          <w:w w:val="100"/>
        </w:rPr>
        <w:t>因此块石要求层间接触面积不大于</w:t>
      </w:r>
      <w:r>
        <w:rPr>
          <w:spacing w:val="-22"/>
        </w:rPr>
        <w:t xml:space="preserve"> </w:t>
      </w:r>
      <w:r>
        <w:rPr>
          <w:spacing w:val="-1"/>
          <w:w w:val="111"/>
        </w:rPr>
        <w:t>5</w:t>
      </w:r>
      <w:r>
        <w:rPr>
          <w:spacing w:val="-4"/>
          <w:w w:val="111"/>
        </w:rPr>
        <w:t>0</w:t>
      </w:r>
      <w:r>
        <w:rPr>
          <w:spacing w:val="2"/>
          <w:w w:val="58"/>
        </w:rPr>
        <w:t>×</w:t>
      </w:r>
      <w:r>
        <w:rPr>
          <w:spacing w:val="-1"/>
          <w:w w:val="122"/>
        </w:rPr>
        <w:t>60c</w:t>
      </w:r>
      <w:r>
        <w:rPr>
          <w:w w:val="122"/>
        </w:rPr>
        <w:t>m</w:t>
      </w:r>
      <w:r>
        <w:rPr>
          <w:w w:val="100"/>
        </w:rPr>
        <w:t>，上下两面基本平行且大</w:t>
      </w:r>
      <w:r>
        <w:t xml:space="preserve">致平整、无尖角、薄边。不得使用有尖角或薄边的石料砌筑，石料最小边尺寸不宜小于 </w:t>
      </w:r>
      <w:r>
        <w:rPr>
          <w:spacing w:val="-3"/>
        </w:rPr>
        <w:t>20cm</w:t>
      </w:r>
      <w:r>
        <w:t>。条块石在砌筑前应冲洗干净，严禁不干净块石砌</w:t>
      </w:r>
      <w:r>
        <w:rPr>
          <w:spacing w:val="8"/>
        </w:rPr>
        <w:t>筑。水泥标号为</w:t>
      </w:r>
      <w:r>
        <w:t>425</w:t>
      </w:r>
      <w:r>
        <w:rPr>
          <w:spacing w:val="-1"/>
        </w:rPr>
        <w:t xml:space="preserve">#，采用普通硅酸盐水泥，砂采用当地天然河砂， </w:t>
      </w:r>
      <w:r>
        <w:rPr>
          <w:spacing w:val="-3"/>
        </w:rPr>
        <w:t xml:space="preserve">质量为清洁、级配良好，含泥量不大于 </w:t>
      </w:r>
      <w:r>
        <w:rPr>
          <w:w w:val="115"/>
        </w:rPr>
        <w:t>5%</w:t>
      </w:r>
      <w:r>
        <w:t>。拌和用水，拟大河取水， 其水质可满足要求。</w:t>
      </w:r>
    </w:p>
    <w:p>
      <w:pPr>
        <w:pStyle w:val="BodyText"/>
        <w:spacing w:line="536" w:lineRule="exact"/>
        <w:ind w:left="886"/>
      </w:pPr>
      <w:r>
        <w:t>本工程所使用的胶结材料为砂浆，其配合比由有资质单位提供，经</w:t>
      </w:r>
    </w:p>
    <w:p>
      <w:pPr>
        <w:spacing w:after="0" w:line="536" w:lineRule="exact"/>
        <w:sectPr>
          <w:footerReference w:type="default" r:id="rId12"/>
          <w:pgSz w:w="17860" w:h="25260"/>
          <w:pgMar w:top="1840" w:right="1920" w:bottom="2040" w:left="2300" w:header="0" w:footer="1848"/>
          <w:pgNumType w:start="10"/>
          <w:cols w:space="708"/>
        </w:sectPr>
      </w:pPr>
    </w:p>
    <w:p>
      <w:pPr>
        <w:pStyle w:val="BodyText"/>
        <w:spacing w:before="106" w:line="348" w:lineRule="auto"/>
        <w:ind w:right="413"/>
      </w:pPr>
      <w:r>
        <w:rPr>
          <w:spacing w:val="-1"/>
        </w:rPr>
        <w:t>监理工程师审批后使用，砂浆配料采用电子自动配料系统完成，确保材料用量准确性。砂浆拌和过程中应保持粗细骨料含水率的稳定性，根据骨料含水量的变化情况，随时调整用水量，以保证水灰比的准确性；砂</w:t>
      </w:r>
      <w:r>
        <w:rPr>
          <w:spacing w:val="4"/>
        </w:rPr>
        <w:t xml:space="preserve">浆的拌和时间机械拌和不少于 </w:t>
      </w:r>
      <w:r>
        <w:t>2-3min，一般不应采用人工拌和，局部</w:t>
      </w:r>
      <w:r>
        <w:rPr>
          <w:spacing w:val="-1"/>
        </w:rPr>
        <w:t>少量的人工拌和料至少拌三遍，再湿拌至色泽均匀，方可使用，砂浆应随拌随用，允许间歇时间应通过试验确定，或参照下表。在运输或贮存</w:t>
      </w:r>
      <w:r>
        <w:t>中发生离析、析水的砂浆，砌筑前应重新拌和，已初凝的不得使用。  2、石料运输及场地布置</w:t>
      </w:r>
    </w:p>
    <w:p>
      <w:pPr>
        <w:pStyle w:val="BodyText"/>
        <w:spacing w:before="1" w:line="348" w:lineRule="auto"/>
        <w:ind w:right="317" w:firstLine="719"/>
        <w:jc w:val="both"/>
      </w:pPr>
      <w:r>
        <w:t>根据施工道路及砌筑强度要求，块石运输拟采用农用车或方向盘拖拉机运输，尽量随用随运，直接供应工作面砌筑。由于当地石料丰富， 运输方便，但工地面广，工地不设大的石料堆放场，避免二次转运，仅</w:t>
      </w:r>
      <w:r>
        <w:rPr>
          <w:spacing w:val="-21"/>
        </w:rPr>
        <w:t xml:space="preserve">根据工程实际，在各施工点选择较宽阔处，间隔一定距离设置小堆放场， </w:t>
      </w:r>
      <w:r>
        <w:t>集中供料，人工抬运至工作面砌筑。</w:t>
      </w:r>
    </w:p>
    <w:p>
      <w:pPr>
        <w:pStyle w:val="BodyText"/>
        <w:spacing w:before="23"/>
      </w:pPr>
      <w:r>
        <w:t>3、浆砌块石砌筑程序和方法</w:t>
      </w:r>
    </w:p>
    <w:p>
      <w:pPr>
        <w:pStyle w:val="ListParagraph"/>
        <w:numPr>
          <w:ilvl w:val="2"/>
          <w:numId w:val="19"/>
        </w:numPr>
        <w:tabs>
          <w:tab w:val="left" w:pos="2031"/>
          <w:tab w:val="left" w:pos="2032"/>
        </w:tabs>
        <w:spacing w:before="272" w:after="0" w:line="240" w:lineRule="auto"/>
        <w:ind w:left="2031" w:right="0" w:hanging="934"/>
        <w:jc w:val="left"/>
        <w:rPr>
          <w:sz w:val="42"/>
        </w:rPr>
      </w:pPr>
      <w:r>
        <w:rPr>
          <w:sz w:val="42"/>
        </w:rPr>
        <w:t>施工程序</w:t>
      </w:r>
    </w:p>
    <w:p>
      <w:pPr>
        <w:pStyle w:val="BodyText"/>
        <w:spacing w:before="272" w:line="362" w:lineRule="auto"/>
        <w:ind w:right="417" w:firstLine="838"/>
      </w:pPr>
      <w:r>
        <w:t>浆砌块石施工严格按有关规范及设计要求执行，采用铺浆法施工。施工程序如图：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7"/>
        </w:rPr>
      </w:pPr>
      <w:r>
        <w:pict>
          <v:group id="_x0000_s1025" style="width:623pt;height:118.45pt;margin-top:13.12pt;margin-left:123pt;mso-position-horizontal-relative:page;mso-wrap-distance-left:0;mso-wrap-distance-right:0;position:absolute;z-index:-251658240" coordorigin="2460,262" coordsize="12460,23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460;height:2360;left:2460;position:absolute;top:270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565;left:2466;position:absolute;top:26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砂浆拌制</w:t>
                    </w:r>
                  </w:p>
                </w:txbxContent>
              </v:textbox>
            </v:shape>
            <v:shape id="_x0000_s1028" type="#_x0000_t202" style="width:1705;height:565;left:5407;position:absolute;top:26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斗车运输</w:t>
                    </w:r>
                  </w:p>
                </w:txbxContent>
              </v:textbox>
            </v:shape>
            <v:shape id="_x0000_s1029" type="#_x0000_t202" style="width:1705;height:565;left:8889;position:absolute;top:26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人工上料</w:t>
                    </w:r>
                  </w:p>
                </w:txbxContent>
              </v:textbox>
            </v:shape>
            <v:shape id="_x0000_s1030" type="#_x0000_t202" style="width:1284;height:565;left:11831;position:absolute;top:26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铺底浆</w:t>
                    </w:r>
                  </w:p>
                </w:txbxContent>
              </v:textbox>
            </v:shape>
            <v:shape id="_x0000_s1031" type="#_x0000_t202" style="width:1705;height:565;left:3305;position:absolute;top:188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选修石料</w:t>
                    </w:r>
                  </w:p>
                </w:txbxContent>
              </v:textbox>
            </v:shape>
            <v:shape id="_x0000_s1032" type="#_x0000_t202" style="width:1705;height:565;left:7089;position:absolute;top:188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人工上料</w:t>
                    </w:r>
                  </w:p>
                </w:txbxContent>
              </v:textbox>
            </v:shape>
            <v:shape id="_x0000_s1033" type="#_x0000_t202" style="width:1705;height:565;left:10031;position:absolute;top:188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块石安砌</w:t>
                    </w:r>
                  </w:p>
                </w:txbxContent>
              </v:textbox>
            </v:shape>
            <v:shape id="_x0000_s1034" type="#_x0000_t202" style="width:1705;height:565;left:12973;position:absolute;top:188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石面清扫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4"/>
        <w:ind w:left="1005"/>
      </w:pPr>
      <w:r>
        <w:t>（2）施工工艺</w:t>
      </w:r>
    </w:p>
    <w:p>
      <w:pPr>
        <w:pStyle w:val="BodyText"/>
        <w:spacing w:before="271" w:line="362" w:lineRule="auto"/>
        <w:ind w:right="413" w:firstLine="838"/>
        <w:jc w:val="both"/>
      </w:pPr>
      <w:r>
        <w:t>在铺砌之前，石料应洒水湿润，使其表面充分吸收，但不得残留积水，砌筑时保持砌石表面湿润。砌石采用铺浆法砌筑，水泥砂浆的沉入度宜为 4—6cm，并注意振捣密实。</w:t>
      </w:r>
    </w:p>
    <w:p>
      <w:pPr>
        <w:pStyle w:val="BodyText"/>
        <w:spacing w:line="530" w:lineRule="exact"/>
        <w:ind w:left="886"/>
      </w:pPr>
      <w:r>
        <w:t>浆砌块石砌筑，应先铺砂浆后砌筑，要求平整、稳定、密实、错缝。</w:t>
      </w:r>
    </w:p>
    <w:p>
      <w:pPr>
        <w:spacing w:after="0" w:line="530" w:lineRule="exact"/>
        <w:sectPr>
          <w:footerReference w:type="default" r:id="rId14"/>
          <w:pgSz w:w="17860" w:h="25260"/>
          <w:pgMar w:top="1820" w:right="1920" w:bottom="2040" w:left="2300" w:header="0" w:footer="1850"/>
          <w:pgNumType w:start="11"/>
          <w:cols w:space="708"/>
        </w:sectPr>
      </w:pPr>
    </w:p>
    <w:p>
      <w:pPr>
        <w:pStyle w:val="BodyText"/>
        <w:spacing w:before="111" w:line="362" w:lineRule="auto"/>
        <w:ind w:right="321"/>
      </w:pPr>
      <w:r>
        <w:t>分层坐浆砌筑，铺浆厚宜 3—5cm，随铺浆随砌石，砌缝需用砂浆填充饱满，不得无浆直接贴靠，砌缝内砂浆采用扁铁插捣密实；严格禁止先</w:t>
      </w:r>
      <w:r>
        <w:rPr>
          <w:spacing w:val="-21"/>
        </w:rPr>
        <w:t xml:space="preserve">堆砌石块后用砂浆灌缝。上下层砌石错缝砌筑，砌体外露面应平整美观， </w:t>
      </w:r>
      <w:r>
        <w:rPr>
          <w:spacing w:val="2"/>
        </w:rPr>
        <w:t xml:space="preserve">外露面上的砌缝预留 </w:t>
      </w:r>
      <w:r>
        <w:t>4cm 深的空隙，以备勾缝处理；水平缝宽不大于</w:t>
      </w:r>
      <w:r>
        <w:rPr>
          <w:w w:val="105"/>
        </w:rPr>
        <w:t>2.5cm</w:t>
      </w:r>
      <w:r>
        <w:rPr>
          <w:spacing w:val="-16"/>
          <w:w w:val="105"/>
        </w:rPr>
        <w:t xml:space="preserve">，竖缝宽不大于 </w:t>
      </w:r>
      <w:r>
        <w:rPr>
          <w:w w:val="105"/>
        </w:rPr>
        <w:t>4cm。</w:t>
      </w:r>
    </w:p>
    <w:p>
      <w:pPr>
        <w:pStyle w:val="BodyText"/>
        <w:spacing w:line="525" w:lineRule="exact"/>
        <w:ind w:left="886"/>
      </w:pPr>
      <w:r>
        <w:t>砌筑因故停顿，砂浆已超过初凝时间，应待砂浆强度达到 2.5Mpa</w:t>
      </w:r>
    </w:p>
    <w:p>
      <w:pPr>
        <w:pStyle w:val="BodyText"/>
        <w:spacing w:before="272" w:line="362" w:lineRule="auto"/>
        <w:ind w:right="413"/>
      </w:pPr>
      <w:r>
        <w:t>后才可继续施工；在继续砌筑前，将原砌体表面的浮碴清除。砌筑时避免振动下层砌体。</w:t>
      </w:r>
    </w:p>
    <w:p>
      <w:pPr>
        <w:pStyle w:val="BodyText"/>
        <w:spacing w:line="362" w:lineRule="auto"/>
        <w:ind w:right="413" w:firstLine="719"/>
        <w:jc w:val="both"/>
      </w:pPr>
      <w:r>
        <w:t>表面勾缝：勾缝砂浆应采用细砂、较小的水灰比和高标号水泥。清</w:t>
      </w:r>
      <w:r>
        <w:rPr>
          <w:spacing w:val="-10"/>
        </w:rPr>
        <w:t xml:space="preserve">缝宜在料石砌筑 </w:t>
      </w:r>
      <w:r>
        <w:t>24h</w:t>
      </w:r>
      <w:r>
        <w:rPr>
          <w:spacing w:val="-17"/>
        </w:rPr>
        <w:t xml:space="preserve"> 以后进行，缝宽不小于砌缝宽度，缝深不小于缝宽的两倍。勾缝前将槽缝冲洗干净，不得残留灰碴和积水，并保持缝面湿</w:t>
      </w:r>
      <w:r>
        <w:rPr>
          <w:spacing w:val="-1"/>
        </w:rPr>
        <w:t>润。勾缝砂浆单独拌制，拌制好的砂浆向缝内分几次填充并用力压实、</w:t>
      </w:r>
      <w:r>
        <w:rPr>
          <w:spacing w:val="-13"/>
        </w:rPr>
        <w:t xml:space="preserve">抹光，勾缝表面应保持 </w:t>
      </w:r>
      <w:r>
        <w:t>2ld</w:t>
      </w:r>
      <w:r>
        <w:rPr>
          <w:spacing w:val="-12"/>
        </w:rPr>
        <w:t xml:space="preserve"> 湿润。勾缝速度要快，砂浆初凝后砌体不得</w:t>
      </w:r>
      <w:r>
        <w:rPr>
          <w:spacing w:val="-13"/>
        </w:rPr>
        <w:t>扰动。勾缝表面应保持块石的自然接缝，力求美观、形态突出，表面平</w:t>
      </w:r>
      <w:r>
        <w:t>整，严禁勾假缝、凸缝。砌体表面溅染的砂浆应清除干净。</w:t>
      </w:r>
    </w:p>
    <w:p>
      <w:pPr>
        <w:pStyle w:val="BodyText"/>
        <w:spacing w:line="521" w:lineRule="exact"/>
        <w:ind w:left="1005"/>
      </w:pPr>
      <w:r>
        <w:rPr>
          <w:spacing w:val="-19"/>
        </w:rPr>
        <w:t xml:space="preserve">养护：砌体外露面在砌筑 </w:t>
      </w:r>
      <w:r>
        <w:t>12</w:t>
      </w:r>
      <w:r>
        <w:rPr>
          <w:spacing w:val="-63"/>
        </w:rPr>
        <w:t xml:space="preserve"> 一 </w:t>
      </w:r>
      <w:r>
        <w:t>18</w:t>
      </w:r>
      <w:r>
        <w:rPr>
          <w:spacing w:val="-17"/>
        </w:rPr>
        <w:t xml:space="preserve"> 小时之内及时养护：经常保持外</w:t>
      </w:r>
    </w:p>
    <w:p>
      <w:pPr>
        <w:pStyle w:val="BodyText"/>
        <w:spacing w:before="268"/>
      </w:pPr>
      <w:r>
        <w:t>露面的湿润，养护时间应保持在 2ld 以上。</w:t>
      </w:r>
    </w:p>
    <w:p>
      <w:pPr>
        <w:pStyle w:val="BodyText"/>
        <w:spacing w:before="272"/>
      </w:pPr>
      <w:r>
        <w:t>4、伸缩缝和排水管</w:t>
      </w:r>
    </w:p>
    <w:p>
      <w:pPr>
        <w:pStyle w:val="BodyText"/>
        <w:spacing w:before="271" w:line="362" w:lineRule="auto"/>
        <w:ind w:right="527" w:firstLine="719"/>
        <w:jc w:val="both"/>
      </w:pPr>
      <w:r>
        <w:t>浆砌体设置伸缩缝，按设计要求设置，各缝要求在同铅垂面上，采</w:t>
      </w:r>
      <w:r>
        <w:rPr>
          <w:spacing w:val="-24"/>
        </w:rPr>
        <w:t xml:space="preserve">用 </w:t>
      </w:r>
      <w:r>
        <w:t>2</w:t>
      </w:r>
      <w:r>
        <w:rPr>
          <w:spacing w:val="-11"/>
        </w:rPr>
        <w:t xml:space="preserve"> 厘米松板隔开，而排水管采用毛竹管或 </w:t>
      </w:r>
      <w:r>
        <w:rPr>
          <w:w w:val="120"/>
        </w:rPr>
        <w:t>PVC</w:t>
      </w:r>
      <w:r>
        <w:rPr>
          <w:spacing w:val="-90"/>
          <w:w w:val="120"/>
        </w:rPr>
        <w:t xml:space="preserve"> </w:t>
      </w:r>
      <w:r>
        <w:rPr>
          <w:spacing w:val="-2"/>
        </w:rPr>
        <w:t>管，按设计高程和倾</w:t>
      </w:r>
      <w:r>
        <w:t>斜坡度布设，管子进口采用水工滤布包住，以免堵塞管口。</w:t>
      </w:r>
    </w:p>
    <w:p>
      <w:pPr>
        <w:pStyle w:val="BodyText"/>
        <w:spacing w:line="531" w:lineRule="exact"/>
        <w:jc w:val="both"/>
      </w:pPr>
      <w:r>
        <w:t>5、 浆砌石质量检查</w:t>
      </w:r>
    </w:p>
    <w:p>
      <w:pPr>
        <w:pStyle w:val="ListParagraph"/>
        <w:numPr>
          <w:ilvl w:val="0"/>
          <w:numId w:val="20"/>
        </w:numPr>
        <w:tabs>
          <w:tab w:val="left" w:pos="1942"/>
        </w:tabs>
        <w:spacing w:before="272" w:after="0" w:line="362" w:lineRule="auto"/>
        <w:ind w:left="166" w:right="413" w:firstLine="838"/>
        <w:jc w:val="both"/>
        <w:rPr>
          <w:sz w:val="42"/>
        </w:rPr>
      </w:pPr>
      <w:r>
        <w:rPr>
          <w:spacing w:val="-15"/>
          <w:sz w:val="42"/>
        </w:rPr>
        <w:t>制定详细的操作细则，对施工管理人员及技普工进行工程施工</w:t>
      </w:r>
      <w:r>
        <w:rPr>
          <w:spacing w:val="-16"/>
          <w:sz w:val="42"/>
        </w:rPr>
        <w:t>的技术交底，培训熟练技工人员；人员相对稳定；健全生产责任制使专</w:t>
      </w:r>
    </w:p>
    <w:p>
      <w:pPr>
        <w:pStyle w:val="BodyText"/>
        <w:spacing w:line="534" w:lineRule="exact"/>
      </w:pPr>
      <w:r>
        <w:rPr>
          <w:w w:val="97"/>
        </w:rPr>
        <w:t>业技术人员掌握砌筑的施工要点“平、稳、满、</w:t>
      </w:r>
      <w:r>
        <w:rPr>
          <w:spacing w:val="-212"/>
          <w:w w:val="100"/>
        </w:rPr>
        <w:t>错，</w:t>
      </w:r>
      <w:r>
        <w:rPr>
          <w:w w:val="33"/>
        </w:rPr>
        <w:t>”</w:t>
      </w:r>
      <w:r>
        <w:rPr>
          <w:spacing w:val="40"/>
        </w:rPr>
        <w:t xml:space="preserve"> </w:t>
      </w:r>
      <w:r>
        <w:rPr>
          <w:w w:val="100"/>
        </w:rPr>
        <w:t>确保砌筑质量。</w:t>
      </w:r>
    </w:p>
    <w:p>
      <w:pPr>
        <w:pStyle w:val="BodyText"/>
        <w:ind w:left="0"/>
        <w:rPr>
          <w:sz w:val="11"/>
        </w:rPr>
      </w:pPr>
    </w:p>
    <w:p>
      <w:pPr>
        <w:pStyle w:val="ListParagraph"/>
        <w:numPr>
          <w:ilvl w:val="0"/>
          <w:numId w:val="20"/>
        </w:numPr>
        <w:tabs>
          <w:tab w:val="left" w:pos="1822"/>
          <w:tab w:val="left" w:pos="1823"/>
        </w:tabs>
        <w:spacing w:before="130" w:after="0" w:line="240" w:lineRule="auto"/>
        <w:ind w:left="1822" w:right="0" w:hanging="937"/>
        <w:jc w:val="left"/>
        <w:rPr>
          <w:sz w:val="42"/>
        </w:rPr>
      </w:pPr>
      <w:r>
        <w:rPr>
          <w:sz w:val="42"/>
        </w:rPr>
        <w:t>中间产品检查，定期定量对砂、水泥进行抽样检查，严格按实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https://d.book118.com/017023056141006024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footerReference w:type="default" r:id="rId16"/>
      <w:pgSz w:w="17860" w:h="25260"/>
      <w:pgMar w:top="1840" w:right="1920" w:bottom="2040" w:left="2300" w:header="0" w:footer="1852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.25pt;height:15.7pt;margin-top:1159.29pt;margin-left:421.8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1217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.25pt;height:15.7pt;margin-top:1159.29pt;margin-left:421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2227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.25pt;height:15.7pt;margin-top:1159.38pt;margin-left:421.8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3237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.25pt;height:15.7pt;margin-top:1159.29pt;margin-left:421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8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4247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.25pt;height:15.7pt;margin-top:1159.38pt;margin-left:421.8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5257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.25pt;height:15.7pt;margin-top:1159.38pt;margin-left:421.8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6267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.25pt;height:15.7pt;margin-top:1159.29pt;margin-left:421.8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8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7277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.25pt;height:15.7pt;margin-top:1159.38pt;margin-left:421.8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8287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.25pt;height:15.7pt;margin-top:1159.5pt;margin-left:421.8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spacing w:val="-34"/>
                    <w:w w:val="90"/>
                    <w:sz w:val="27"/>
                  </w:rPr>
                  <w:t>9297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9pt;height:15.7pt;margin-top:1159.38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10</w:t>
                </w:r>
                <w:r>
                  <w:rPr>
                    <w:rFonts w:ascii="Arial"/>
                    <w:spacing w:val="-117"/>
                    <w:w w:val="89"/>
                    <w:sz w:val="27"/>
                  </w:rPr>
                  <w:t>2</w:t>
                </w:r>
                <w:r>
                  <w:rPr>
                    <w:rFonts w:ascii="Arial"/>
                    <w:spacing w:val="-18"/>
                    <w:w w:val="89"/>
                    <w:sz w:val="27"/>
                  </w:rPr>
                  <w:t>1</w:t>
                </w:r>
                <w:r>
                  <w:rPr>
                    <w:rFonts w:ascii="Arial"/>
                    <w:spacing w:val="-117"/>
                    <w:w w:val="89"/>
                    <w:sz w:val="27"/>
                  </w:rPr>
                  <w:t>7</w:t>
                </w:r>
                <w:r>
                  <w:rPr>
                    <w:rFonts w:ascii="Arial"/>
                    <w:w w:val="89"/>
                    <w:sz w:val="27"/>
                  </w:rPr>
                  <w:t>0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55pt;height:15.7pt;margin-top:1159.29pt;margin-left:418.8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8" w:line="276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11</w:t>
                </w:r>
                <w:r>
                  <w:rPr>
                    <w:rFonts w:ascii="Arial"/>
                    <w:spacing w:val="-124"/>
                    <w:w w:val="89"/>
                    <w:sz w:val="27"/>
                  </w:rPr>
                  <w:t>2</w:t>
                </w:r>
                <w:r>
                  <w:rPr>
                    <w:rFonts w:ascii="Arial"/>
                    <w:spacing w:val="-11"/>
                    <w:w w:val="89"/>
                    <w:sz w:val="27"/>
                  </w:rPr>
                  <w:t>1</w:t>
                </w:r>
                <w:r>
                  <w:rPr>
                    <w:rFonts w:ascii="Arial"/>
                    <w:spacing w:val="-124"/>
                    <w:w w:val="89"/>
                    <w:sz w:val="27"/>
                  </w:rPr>
                  <w:t>7</w:t>
                </w:r>
                <w:r>
                  <w:rPr>
                    <w:rFonts w:ascii="Arial"/>
                    <w:w w:val="89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93E80"/>
    <w:multiLevelType w:val="hybridMultilevel"/>
    <w:tmpl w:val="00000000"/>
    <w:lvl w:ilvl="0">
      <w:start w:val="1"/>
      <w:numFmt w:val="decimal"/>
      <w:lvlText w:val="(%1)"/>
      <w:lvlJc w:val="left"/>
      <w:pPr>
        <w:ind w:left="166" w:hanging="936"/>
        <w:jc w:val="left"/>
      </w:pPr>
      <w:rPr>
        <w:rFonts w:ascii="宋体" w:eastAsia="宋体" w:hAnsi="宋体" w:cs="宋体" w:hint="default"/>
        <w:w w:val="81"/>
        <w:sz w:val="42"/>
        <w:szCs w:val="42"/>
      </w:rPr>
    </w:lvl>
    <w:lvl w:ilvl="1">
      <w:start w:val="0"/>
      <w:numFmt w:val="bullet"/>
      <w:lvlText w:val="•"/>
      <w:lvlJc w:val="left"/>
      <w:pPr>
        <w:ind w:left="1507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936"/>
      </w:pPr>
      <w:rPr>
        <w:rFonts w:hint="default"/>
      </w:rPr>
    </w:lvl>
  </w:abstractNum>
  <w:abstractNum w:abstractNumId="1">
    <w:nsid w:val="037BE139"/>
    <w:multiLevelType w:val="hybridMultilevel"/>
    <w:tmpl w:val="00000000"/>
    <w:lvl w:ilvl="0">
      <w:start w:val="1"/>
      <w:numFmt w:val="decimal"/>
      <w:lvlText w:val="(%1)"/>
      <w:lvlJc w:val="left"/>
      <w:pPr>
        <w:ind w:left="1732" w:hanging="933"/>
        <w:jc w:val="right"/>
      </w:pPr>
      <w:rPr>
        <w:rFonts w:hint="default"/>
        <w:w w:val="81"/>
      </w:rPr>
    </w:lvl>
    <w:lvl w:ilvl="1">
      <w:start w:val="1"/>
      <w:numFmt w:val="decimal"/>
      <w:lvlText w:val="(%2)"/>
      <w:lvlJc w:val="left"/>
      <w:pPr>
        <w:ind w:left="2071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2">
      <w:start w:val="1"/>
      <w:numFmt w:val="decimal"/>
      <w:lvlText w:val="(%3)"/>
      <w:lvlJc w:val="left"/>
      <w:pPr>
        <w:ind w:left="2031" w:hanging="933"/>
        <w:jc w:val="left"/>
      </w:pPr>
      <w:rPr>
        <w:rFonts w:ascii="宋体" w:eastAsia="宋体" w:hAnsi="宋体" w:cs="宋体" w:hint="default"/>
        <w:w w:val="81"/>
        <w:sz w:val="42"/>
        <w:szCs w:val="42"/>
      </w:rPr>
    </w:lvl>
    <w:lvl w:ilvl="3">
      <w:start w:val="0"/>
      <w:numFmt w:val="bullet"/>
      <w:lvlText w:val="•"/>
      <w:lvlJc w:val="left"/>
      <w:pPr>
        <w:ind w:left="3524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9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4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4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9" w:hanging="933"/>
      </w:pPr>
      <w:rPr>
        <w:rFonts w:hint="default"/>
      </w:rPr>
    </w:lvl>
  </w:abstractNum>
  <w:abstractNum w:abstractNumId="2">
    <w:nsid w:val="03EEC17B"/>
    <w:multiLevelType w:val="hybridMultilevel"/>
    <w:tmpl w:val="00000000"/>
    <w:lvl w:ilvl="0">
      <w:start w:val="1"/>
      <w:numFmt w:val="decimal"/>
      <w:lvlText w:val="（%1）"/>
      <w:lvlJc w:val="left"/>
      <w:pPr>
        <w:ind w:left="1244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1078"/>
      </w:pPr>
      <w:rPr>
        <w:rFonts w:hint="default"/>
      </w:rPr>
    </w:lvl>
  </w:abstractNum>
  <w:abstractNum w:abstractNumId="3">
    <w:nsid w:val="09A311B2"/>
    <w:multiLevelType w:val="hybridMultilevel"/>
    <w:tmpl w:val="00000000"/>
    <w:lvl w:ilvl="0">
      <w:start w:val="1"/>
      <w:numFmt w:val="decimal"/>
      <w:lvlText w:val="%1"/>
      <w:lvlJc w:val="left"/>
      <w:pPr>
        <w:ind w:left="857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7" w:hanging="691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3415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5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691"/>
      </w:pPr>
      <w:rPr>
        <w:rFonts w:hint="default"/>
      </w:rPr>
    </w:lvl>
  </w:abstractNum>
  <w:abstractNum w:abstractNumId="4">
    <w:nsid w:val="0A50A5FC"/>
    <w:multiLevelType w:val="hybridMultilevel"/>
    <w:tmpl w:val="00000000"/>
    <w:lvl w:ilvl="0">
      <w:start w:val="1"/>
      <w:numFmt w:val="decimal"/>
      <w:lvlText w:val="（%1）"/>
      <w:lvlJc w:val="left"/>
      <w:pPr>
        <w:ind w:left="1244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1078"/>
      </w:pPr>
      <w:rPr>
        <w:rFonts w:hint="default"/>
      </w:rPr>
    </w:lvl>
  </w:abstractNum>
  <w:abstractNum w:abstractNumId="5">
    <w:nsid w:val="11541916"/>
    <w:multiLevelType w:val="hybridMultilevel"/>
    <w:tmpl w:val="00000000"/>
    <w:lvl w:ilvl="0">
      <w:start w:val="5"/>
      <w:numFmt w:val="decimal"/>
      <w:lvlText w:val="%1"/>
      <w:lvlJc w:val="left"/>
      <w:pPr>
        <w:ind w:left="976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810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3511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7" w:hanging="810"/>
      </w:pPr>
      <w:rPr>
        <w:rFonts w:hint="default"/>
      </w:rPr>
    </w:lvl>
  </w:abstractNum>
  <w:abstractNum w:abstractNumId="6">
    <w:nsid w:val="118F6737"/>
    <w:multiLevelType w:val="hybridMultilevel"/>
    <w:tmpl w:val="00000000"/>
    <w:lvl w:ilvl="0">
      <w:start w:val="1"/>
      <w:numFmt w:val="decimal"/>
      <w:lvlText w:val="（%1）"/>
      <w:lvlJc w:val="left"/>
      <w:pPr>
        <w:ind w:left="166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07" w:hanging="10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10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10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10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10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10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10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1085"/>
      </w:pPr>
      <w:rPr>
        <w:rFonts w:hint="default"/>
      </w:rPr>
    </w:lvl>
  </w:abstractNum>
  <w:abstractNum w:abstractNumId="7">
    <w:nsid w:val="1A0512CC"/>
    <w:multiLevelType w:val="hybridMultilevel"/>
    <w:tmpl w:val="00000000"/>
    <w:lvl w:ilvl="0">
      <w:start w:val="1"/>
      <w:numFmt w:val="decimal"/>
      <w:lvlText w:val="(%1)"/>
      <w:lvlJc w:val="left"/>
      <w:pPr>
        <w:ind w:left="1732" w:hanging="933"/>
        <w:jc w:val="right"/>
      </w:pPr>
      <w:rPr>
        <w:rFonts w:hint="default"/>
        <w:w w:val="81"/>
      </w:rPr>
    </w:lvl>
    <w:lvl w:ilvl="1">
      <w:start w:val="1"/>
      <w:numFmt w:val="decimal"/>
      <w:lvlText w:val="(%2)"/>
      <w:lvlJc w:val="left"/>
      <w:pPr>
        <w:ind w:left="2071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2">
      <w:start w:val="1"/>
      <w:numFmt w:val="decimal"/>
      <w:lvlText w:val="(%3)"/>
      <w:lvlJc w:val="left"/>
      <w:pPr>
        <w:ind w:left="2031" w:hanging="933"/>
        <w:jc w:val="left"/>
      </w:pPr>
      <w:rPr>
        <w:rFonts w:ascii="宋体" w:eastAsia="宋体" w:hAnsi="宋体" w:cs="宋体" w:hint="default"/>
        <w:w w:val="81"/>
        <w:sz w:val="42"/>
        <w:szCs w:val="42"/>
      </w:rPr>
    </w:lvl>
    <w:lvl w:ilvl="3">
      <w:start w:val="0"/>
      <w:numFmt w:val="bullet"/>
      <w:lvlText w:val="•"/>
      <w:lvlJc w:val="left"/>
      <w:pPr>
        <w:ind w:left="3524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9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4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4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9" w:hanging="933"/>
      </w:pPr>
      <w:rPr>
        <w:rFonts w:hint="default"/>
      </w:rPr>
    </w:lvl>
  </w:abstractNum>
  <w:abstractNum w:abstractNumId="8">
    <w:nsid w:val="1D44232C"/>
    <w:multiLevelType w:val="hybridMultilevel"/>
    <w:tmpl w:val="00000000"/>
    <w:lvl w:ilvl="0">
      <w:start w:val="1"/>
      <w:numFmt w:val="decimal"/>
      <w:lvlText w:val="（%1）"/>
      <w:lvlJc w:val="left"/>
      <w:pPr>
        <w:ind w:left="166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07" w:hanging="10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10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10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10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10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10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10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1085"/>
      </w:pPr>
      <w:rPr>
        <w:rFonts w:hint="default"/>
      </w:rPr>
    </w:lvl>
  </w:abstractNum>
  <w:abstractNum w:abstractNumId="9">
    <w:nsid w:val="23EF70AA"/>
    <w:multiLevelType w:val="hybridMultilevel"/>
    <w:tmpl w:val="00000000"/>
    <w:lvl w:ilvl="0">
      <w:start w:val="1"/>
      <w:numFmt w:val="decimal"/>
      <w:lvlText w:val="（%1）"/>
      <w:lvlJc w:val="left"/>
      <w:pPr>
        <w:ind w:left="1244" w:hanging="1078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79" w:hanging="10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10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9" w:hanging="10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10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10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9" w:hanging="10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10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1078"/>
      </w:pPr>
      <w:rPr>
        <w:rFonts w:hint="default"/>
      </w:rPr>
    </w:lvl>
  </w:abstractNum>
  <w:abstractNum w:abstractNumId="10">
    <w:nsid w:val="2745AB99"/>
    <w:multiLevelType w:val="hybridMultilevel"/>
    <w:tmpl w:val="00000000"/>
    <w:lvl w:ilvl="0">
      <w:start w:val="8"/>
      <w:numFmt w:val="decimal"/>
      <w:lvlText w:val="%1"/>
      <w:lvlJc w:val="left"/>
      <w:pPr>
        <w:ind w:left="166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" w:hanging="749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2855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749"/>
      </w:pPr>
      <w:rPr>
        <w:rFonts w:hint="default"/>
      </w:rPr>
    </w:lvl>
  </w:abstractNum>
  <w:abstractNum w:abstractNumId="11">
    <w:nsid w:val="2CB50DE1"/>
    <w:multiLevelType w:val="hybridMultilevel"/>
    <w:tmpl w:val="00000000"/>
    <w:lvl w:ilvl="0">
      <w:start w:val="1"/>
      <w:numFmt w:val="decimal"/>
      <w:lvlText w:val="(%1)"/>
      <w:lvlJc w:val="left"/>
      <w:pPr>
        <w:ind w:left="166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1">
      <w:start w:val="0"/>
      <w:numFmt w:val="bullet"/>
      <w:lvlText w:val="•"/>
      <w:lvlJc w:val="left"/>
      <w:pPr>
        <w:ind w:left="1507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936"/>
      </w:pPr>
      <w:rPr>
        <w:rFonts w:hint="default"/>
      </w:rPr>
    </w:lvl>
  </w:abstractNum>
  <w:abstractNum w:abstractNumId="12">
    <w:nsid w:val="2E029E79"/>
    <w:multiLevelType w:val="hybridMultilevel"/>
    <w:tmpl w:val="00000000"/>
    <w:lvl w:ilvl="0">
      <w:start w:val="3"/>
      <w:numFmt w:val="decimal"/>
      <w:lvlText w:val="%1"/>
      <w:lvlJc w:val="left"/>
      <w:pPr>
        <w:ind w:left="166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" w:hanging="749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2855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749"/>
      </w:pPr>
      <w:rPr>
        <w:rFonts w:hint="default"/>
      </w:rPr>
    </w:lvl>
  </w:abstractNum>
  <w:abstractNum w:abstractNumId="13">
    <w:nsid w:val="3EA571AE"/>
    <w:multiLevelType w:val="hybridMultilevel"/>
    <w:tmpl w:val="00000000"/>
    <w:lvl w:ilvl="0">
      <w:start w:val="1"/>
      <w:numFmt w:val="decimal"/>
      <w:lvlText w:val="(%1)"/>
      <w:lvlJc w:val="left"/>
      <w:pPr>
        <w:ind w:left="166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1">
      <w:start w:val="0"/>
      <w:numFmt w:val="bullet"/>
      <w:lvlText w:val="•"/>
      <w:lvlJc w:val="left"/>
      <w:pPr>
        <w:ind w:left="1507" w:hanging="9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9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9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9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9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9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9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936"/>
      </w:pPr>
      <w:rPr>
        <w:rFonts w:hint="default"/>
      </w:rPr>
    </w:lvl>
  </w:abstractNum>
  <w:abstractNum w:abstractNumId="14">
    <w:nsid w:val="475BCD2F"/>
    <w:multiLevelType w:val="hybridMultilevel"/>
    <w:tmpl w:val="00000000"/>
    <w:lvl w:ilvl="0">
      <w:start w:val="1"/>
      <w:numFmt w:val="decimal"/>
      <w:lvlText w:val="（%1）"/>
      <w:lvlJc w:val="left"/>
      <w:pPr>
        <w:ind w:left="166" w:hanging="108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07" w:hanging="10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5" w:hanging="10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10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10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10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10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10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1085"/>
      </w:pPr>
      <w:rPr>
        <w:rFonts w:hint="default"/>
      </w:rPr>
    </w:lvl>
  </w:abstractNum>
  <w:abstractNum w:abstractNumId="15">
    <w:nsid w:val="4FF045E6"/>
    <w:multiLevelType w:val="hybridMultilevel"/>
    <w:tmpl w:val="00000000"/>
    <w:lvl w:ilvl="0">
      <w:start w:val="1"/>
      <w:numFmt w:val="decimal"/>
      <w:lvlText w:val="(%1)"/>
      <w:lvlJc w:val="left"/>
      <w:pPr>
        <w:ind w:left="1732" w:hanging="933"/>
        <w:jc w:val="right"/>
      </w:pPr>
      <w:rPr>
        <w:rFonts w:hint="default"/>
        <w:w w:val="81"/>
      </w:rPr>
    </w:lvl>
    <w:lvl w:ilvl="1">
      <w:start w:val="1"/>
      <w:numFmt w:val="decimal"/>
      <w:lvlText w:val="(%2)"/>
      <w:lvlJc w:val="left"/>
      <w:pPr>
        <w:ind w:left="2071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2">
      <w:start w:val="1"/>
      <w:numFmt w:val="decimal"/>
      <w:lvlText w:val="(%3)"/>
      <w:lvlJc w:val="left"/>
      <w:pPr>
        <w:ind w:left="2031" w:hanging="933"/>
        <w:jc w:val="left"/>
      </w:pPr>
      <w:rPr>
        <w:rFonts w:ascii="宋体" w:eastAsia="宋体" w:hAnsi="宋体" w:cs="宋体" w:hint="default"/>
        <w:w w:val="81"/>
        <w:sz w:val="42"/>
        <w:szCs w:val="42"/>
      </w:rPr>
    </w:lvl>
    <w:lvl w:ilvl="3">
      <w:start w:val="0"/>
      <w:numFmt w:val="bullet"/>
      <w:lvlText w:val="•"/>
      <w:lvlJc w:val="left"/>
      <w:pPr>
        <w:ind w:left="3524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9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4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4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9" w:hanging="933"/>
      </w:pPr>
      <w:rPr>
        <w:rFonts w:hint="default"/>
      </w:rPr>
    </w:lvl>
  </w:abstractNum>
  <w:abstractNum w:abstractNumId="16">
    <w:nsid w:val="63FC530E"/>
    <w:multiLevelType w:val="hybridMultilevel"/>
    <w:tmpl w:val="00000000"/>
    <w:lvl w:ilvl="0">
      <w:start w:val="6"/>
      <w:numFmt w:val="decimal"/>
      <w:lvlText w:val="%1"/>
      <w:lvlJc w:val="left"/>
      <w:pPr>
        <w:ind w:left="857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7" w:hanging="691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3415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3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1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5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3" w:hanging="691"/>
      </w:pPr>
      <w:rPr>
        <w:rFonts w:hint="default"/>
      </w:rPr>
    </w:lvl>
  </w:abstractNum>
  <w:abstractNum w:abstractNumId="17">
    <w:nsid w:val="6CF05067"/>
    <w:multiLevelType w:val="hybridMultilevel"/>
    <w:tmpl w:val="00000000"/>
    <w:lvl w:ilvl="0">
      <w:start w:val="1"/>
      <w:numFmt w:val="decimal"/>
      <w:lvlText w:val="(%1)"/>
      <w:lvlJc w:val="left"/>
      <w:pPr>
        <w:ind w:left="1732" w:hanging="933"/>
        <w:jc w:val="right"/>
      </w:pPr>
      <w:rPr>
        <w:rFonts w:hint="default"/>
        <w:w w:val="81"/>
      </w:rPr>
    </w:lvl>
    <w:lvl w:ilvl="1">
      <w:start w:val="1"/>
      <w:numFmt w:val="decimal"/>
      <w:lvlText w:val="(%2)"/>
      <w:lvlJc w:val="left"/>
      <w:pPr>
        <w:ind w:left="2071" w:hanging="936"/>
        <w:jc w:val="right"/>
      </w:pPr>
      <w:rPr>
        <w:rFonts w:ascii="宋体" w:eastAsia="宋体" w:hAnsi="宋体" w:cs="宋体" w:hint="default"/>
        <w:w w:val="81"/>
        <w:sz w:val="42"/>
        <w:szCs w:val="42"/>
      </w:rPr>
    </w:lvl>
    <w:lvl w:ilvl="2">
      <w:start w:val="1"/>
      <w:numFmt w:val="decimal"/>
      <w:lvlText w:val="(%3)"/>
      <w:lvlJc w:val="left"/>
      <w:pPr>
        <w:ind w:left="2031" w:hanging="933"/>
        <w:jc w:val="left"/>
      </w:pPr>
      <w:rPr>
        <w:rFonts w:ascii="宋体" w:eastAsia="宋体" w:hAnsi="宋体" w:cs="宋体" w:hint="default"/>
        <w:w w:val="81"/>
        <w:sz w:val="42"/>
        <w:szCs w:val="42"/>
      </w:rPr>
    </w:lvl>
    <w:lvl w:ilvl="3">
      <w:start w:val="0"/>
      <w:numFmt w:val="bullet"/>
      <w:lvlText w:val="•"/>
      <w:lvlJc w:val="left"/>
      <w:pPr>
        <w:ind w:left="3524" w:hanging="9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9" w:hanging="9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4" w:hanging="9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9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4" w:hanging="9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9" w:hanging="933"/>
      </w:pPr>
      <w:rPr>
        <w:rFonts w:hint="default"/>
      </w:rPr>
    </w:lvl>
  </w:abstractNum>
  <w:abstractNum w:abstractNumId="18">
    <w:nsid w:val="7BFA02F6"/>
    <w:multiLevelType w:val="hybridMultilevel"/>
    <w:tmpl w:val="00000000"/>
    <w:lvl w:ilvl="0">
      <w:start w:val="4"/>
      <w:numFmt w:val="decimal"/>
      <w:lvlText w:val="%1"/>
      <w:lvlJc w:val="left"/>
      <w:pPr>
        <w:ind w:left="166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" w:hanging="691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2855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691"/>
      </w:pPr>
      <w:rPr>
        <w:rFonts w:hint="default"/>
      </w:rPr>
    </w:lvl>
  </w:abstractNum>
  <w:abstractNum w:abstractNumId="19">
    <w:nsid w:val="7EB7FE24"/>
    <w:multiLevelType w:val="hybridMultilevel"/>
    <w:tmpl w:val="00000000"/>
    <w:lvl w:ilvl="0">
      <w:start w:val="2"/>
      <w:numFmt w:val="decimal"/>
      <w:lvlText w:val="%1"/>
      <w:lvlJc w:val="left"/>
      <w:pPr>
        <w:ind w:left="166" w:hanging="74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" w:hanging="749"/>
        <w:jc w:val="left"/>
      </w:pPr>
      <w:rPr>
        <w:rFonts w:ascii="宋体" w:eastAsia="宋体" w:hAnsi="宋体" w:cs="宋体" w:hint="default"/>
        <w:spacing w:val="-1"/>
        <w:w w:val="92"/>
        <w:sz w:val="42"/>
        <w:szCs w:val="42"/>
      </w:rPr>
    </w:lvl>
    <w:lvl w:ilvl="2">
      <w:start w:val="0"/>
      <w:numFmt w:val="bullet"/>
      <w:lvlText w:val="•"/>
      <w:lvlJc w:val="left"/>
      <w:pPr>
        <w:ind w:left="2855" w:hanging="7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3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7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5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749"/>
      </w:pPr>
      <w:rPr>
        <w:rFonts w:hint="default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6"/>
  </w:num>
  <w:num w:numId="5">
    <w:abstractNumId w:val="16"/>
  </w:num>
  <w:num w:numId="6">
    <w:abstractNumId w:val="5"/>
  </w:num>
  <w:num w:numId="7">
    <w:abstractNumId w:val="8"/>
  </w:num>
  <w:num w:numId="8">
    <w:abstractNumId w:val="18"/>
  </w:num>
  <w:num w:numId="9">
    <w:abstractNumId w:val="12"/>
  </w:num>
  <w:num w:numId="10">
    <w:abstractNumId w:val="2"/>
  </w:num>
  <w:num w:numId="11">
    <w:abstractNumId w:val="19"/>
  </w:num>
  <w:num w:numId="12">
    <w:abstractNumId w:val="9"/>
  </w:num>
  <w:num w:numId="13">
    <w:abstractNumId w:val="3"/>
  </w:num>
  <w:num w:numId="14">
    <w:abstractNumId w:val="13"/>
  </w:num>
  <w:num w:numId="15">
    <w:abstractNumId w:val="15"/>
  </w:num>
  <w:num w:numId="16">
    <w:abstractNumId w:val="0"/>
  </w:num>
  <w:num w:numId="17">
    <w:abstractNumId w:val="17"/>
  </w:num>
  <w:num w:numId="18">
    <w:abstractNumId w:val="1"/>
  </w:num>
  <w:num w:numId="19">
    <w:abstractNumId w:val="7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941"/>
      <w:jc w:val="center"/>
      <w:outlineLvl w:val="0"/>
    </w:pPr>
    <w:rPr>
      <w:rFonts w:ascii="微软雅黑" w:eastAsia="微软雅黑" w:hAnsi="微软雅黑" w:cs="微软雅黑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right="375"/>
      <w:jc w:val="center"/>
      <w:outlineLvl w:val="1"/>
    </w:pPr>
    <w:rPr>
      <w:rFonts w:ascii="宋体" w:eastAsia="宋体" w:hAnsi="宋体" w:cs="宋体"/>
      <w:sz w:val="45"/>
      <w:szCs w:val="45"/>
    </w:rPr>
  </w:style>
  <w:style w:type="paragraph" w:styleId="Heading3">
    <w:name w:val="heading 3"/>
    <w:basedOn w:val="Normal"/>
    <w:uiPriority w:val="1"/>
    <w:qFormat/>
    <w:pPr>
      <w:ind w:left="166"/>
      <w:outlineLvl w:val="2"/>
    </w:pPr>
    <w:rPr>
      <w:rFonts w:ascii="微软雅黑" w:eastAsia="微软雅黑" w:hAnsi="微软雅黑" w:cs="微软雅黑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19"/>
      <w:ind w:left="796"/>
    </w:pPr>
    <w:rPr>
      <w:rFonts w:ascii="微软雅黑" w:eastAsia="微软雅黑" w:hAnsi="微软雅黑" w:cs="微软雅黑"/>
      <w:b/>
      <w:bCs/>
      <w:sz w:val="48"/>
      <w:szCs w:val="48"/>
    </w:rPr>
  </w:style>
  <w:style w:type="paragraph" w:styleId="BodyText">
    <w:name w:val="Body Text"/>
    <w:basedOn w:val="Normal"/>
    <w:uiPriority w:val="1"/>
    <w:qFormat/>
    <w:pPr>
      <w:ind w:left="166"/>
    </w:pPr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380"/>
      <w:jc w:val="center"/>
    </w:pPr>
    <w:rPr>
      <w:rFonts w:ascii="微软雅黑" w:eastAsia="微软雅黑" w:hAnsi="微软雅黑" w:cs="微软雅黑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6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image" Target="media/image1.png" /><Relationship Id="rId14" Type="http://schemas.openxmlformats.org/officeDocument/2006/relationships/footer" Target="footer10.xml" /><Relationship Id="rId15" Type="http://schemas.openxmlformats.org/officeDocument/2006/relationships/hyperlink" Target="https://d.book118.com/01702305614100602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2023-12-08T01:59:43Z</dcterms:created>
  <dcterms:modified xsi:type="dcterms:W3CDTF">2023-12-08T01:59:43Z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2023-12-08T00:00:00Z</vt:filetime>
  </property>
</Properties>
</file>