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2024年功能箱包行业分析报告及未来五到十年行业发展趋势报告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672" w:history="1">
        <w:r>
          <w:rPr>
            <w:rFonts w:eastAsia="微软雅黑" w:hint="eastAsia"/>
            <w:snapToGrid/>
            <w:lang w:val="en-US" w:eastAsia="en-US"/>
          </w:rPr>
          <w:t>一、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行业政策环境</w:t>
        </w:r>
        <w:r>
          <w:tab/>
        </w:r>
        <w:r>
          <w:fldChar w:fldCharType="begin"/>
        </w:r>
        <w:r>
          <w:instrText xml:space="preserve"> PAGEREF _Toc17672 \h </w:instrText>
        </w:r>
        <w:r>
          <w:fldChar w:fldCharType="separate"/>
        </w:r>
        <w:r>
          <w:t>4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16851" w:history="1">
        <w:r>
          <w:rPr>
            <w:rFonts w:eastAsia="微软雅黑" w:hint="eastAsia"/>
            <w:snapToGrid/>
            <w:lang w:val="en-US" w:eastAsia="en-US"/>
          </w:rPr>
          <w:t>(一)、政策持续利好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行业发展</w:t>
        </w:r>
        <w:r>
          <w:tab/>
        </w:r>
        <w:r>
          <w:fldChar w:fldCharType="begin"/>
        </w:r>
        <w:r>
          <w:instrText xml:space="preserve"> PAGEREF _Toc16851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047" w:history="1">
        <w:r>
          <w:rPr>
            <w:rFonts w:eastAsia="微软雅黑" w:hint="eastAsia"/>
            <w:snapToGrid/>
            <w:lang w:val="en-US" w:eastAsia="zh-CN"/>
          </w:rPr>
          <w:t>(二)、行业政策体系日趋完善</w:t>
        </w:r>
        <w:r>
          <w:tab/>
        </w:r>
        <w:r>
          <w:fldChar w:fldCharType="begin"/>
        </w:r>
        <w:r>
          <w:instrText xml:space="preserve"> PAGEREF _Toc6047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307" w:history="1">
        <w:r>
          <w:rPr>
            <w:rFonts w:eastAsia="微软雅黑" w:hint="eastAsia"/>
            <w:snapToGrid/>
            <w:lang w:val="en-US" w:eastAsia="zh-CN"/>
          </w:rPr>
          <w:t>(三)、一级市场火热,国内专利不断攀升</w:t>
        </w:r>
        <w:r>
          <w:tab/>
        </w:r>
        <w:r>
          <w:fldChar w:fldCharType="begin"/>
        </w:r>
        <w:r>
          <w:instrText xml:space="preserve"> PAGEREF _Toc6307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541" w:history="1">
        <w:r>
          <w:rPr>
            <w:rFonts w:eastAsia="微软雅黑" w:hint="eastAsia"/>
            <w:snapToGrid/>
            <w:lang w:val="en-US" w:eastAsia="zh-CN"/>
          </w:rPr>
          <w:t>(四)、宏观环境下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行业定位</w:t>
        </w:r>
        <w:r>
          <w:tab/>
        </w:r>
        <w:r>
          <w:fldChar w:fldCharType="begin"/>
        </w:r>
        <w:r>
          <w:instrText xml:space="preserve"> PAGEREF _Toc6541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591" w:history="1">
        <w:r>
          <w:rPr>
            <w:rFonts w:eastAsia="微软雅黑" w:hint="eastAsia"/>
            <w:snapToGrid/>
            <w:lang w:val="en-US" w:eastAsia="zh-CN"/>
          </w:rPr>
          <w:t>(五)、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行业绩显著</w:t>
        </w:r>
        <w:r>
          <w:tab/>
        </w:r>
        <w:r>
          <w:fldChar w:fldCharType="begin"/>
        </w:r>
        <w:r>
          <w:instrText xml:space="preserve"> PAGEREF _Toc10591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9959" w:history="1">
        <w:r>
          <w:rPr>
            <w:rFonts w:eastAsia="微软雅黑" w:hint="eastAsia"/>
            <w:snapToGrid/>
            <w:lang w:val="en-US" w:eastAsia="en-US"/>
          </w:rPr>
          <w:t>二、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行业(2024-2029)发展趋势预测</w:t>
        </w:r>
        <w:r>
          <w:tab/>
        </w:r>
        <w:r>
          <w:fldChar w:fldCharType="begin"/>
        </w:r>
        <w:r>
          <w:instrText xml:space="preserve"> PAGEREF _Toc9959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667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行业当下面临的机会和挑战</w:t>
        </w:r>
        <w:r>
          <w:tab/>
        </w:r>
        <w:r>
          <w:fldChar w:fldCharType="begin"/>
        </w:r>
        <w:r>
          <w:instrText xml:space="preserve"> PAGEREF _Toc14667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480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行业经营理念快速转变的意义</w:t>
        </w:r>
        <w:r>
          <w:tab/>
        </w:r>
        <w:r>
          <w:fldChar w:fldCharType="begin"/>
        </w:r>
        <w:r>
          <w:instrText xml:space="preserve"> PAGEREF _Toc27480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094" w:history="1">
        <w:r>
          <w:rPr>
            <w:rFonts w:eastAsia="微软雅黑" w:hint="eastAsia"/>
            <w:snapToGrid/>
            <w:lang w:val="en-US" w:eastAsia="zh-CN"/>
          </w:rPr>
          <w:t>(三)、整合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行业的技术服务</w:t>
        </w:r>
        <w:r>
          <w:tab/>
        </w:r>
        <w:r>
          <w:fldChar w:fldCharType="begin"/>
        </w:r>
        <w:r>
          <w:instrText xml:space="preserve"> PAGEREF _Toc15094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338" w:history="1">
        <w:r>
          <w:rPr>
            <w:rFonts w:eastAsia="微软雅黑" w:hint="eastAsia"/>
            <w:snapToGrid/>
            <w:lang w:val="en-US" w:eastAsia="zh-CN"/>
          </w:rPr>
          <w:t>(四)、迅速转变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行业企业的增长动力</w:t>
        </w:r>
        <w:r>
          <w:tab/>
        </w:r>
        <w:r>
          <w:fldChar w:fldCharType="begin"/>
        </w:r>
        <w:r>
          <w:instrText xml:space="preserve"> PAGEREF _Toc30338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9082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行业企业差异化突破战略</w:t>
        </w:r>
        <w:r>
          <w:tab/>
        </w:r>
        <w:r>
          <w:fldChar w:fldCharType="begin"/>
        </w:r>
        <w:r>
          <w:instrText xml:space="preserve"> PAGEREF _Toc29082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365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行业产品差异化获取“商机”</w:t>
        </w:r>
        <w:r>
          <w:tab/>
        </w:r>
        <w:r>
          <w:fldChar w:fldCharType="begin"/>
        </w:r>
        <w:r>
          <w:instrText xml:space="preserve"> PAGEREF _Toc12365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900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行业市场分化赢得“商机”</w:t>
        </w:r>
        <w:r>
          <w:tab/>
        </w:r>
        <w:r>
          <w:fldChar w:fldCharType="begin"/>
        </w:r>
        <w:r>
          <w:instrText xml:space="preserve"> PAGEREF _Toc30900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293" w:history="1">
        <w:r>
          <w:rPr>
            <w:rFonts w:eastAsia="微软雅黑" w:hint="eastAsia"/>
            <w:snapToGrid/>
            <w:lang w:val="en-US" w:eastAsia="zh-CN"/>
          </w:rPr>
          <w:t>(三)、以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行业服务差异化“抓住”商机</w:t>
        </w:r>
        <w:r>
          <w:tab/>
        </w:r>
        <w:r>
          <w:fldChar w:fldCharType="begin"/>
        </w:r>
        <w:r>
          <w:instrText xml:space="preserve"> PAGEREF _Toc5293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441" w:history="1">
        <w:r>
          <w:rPr>
            <w:rFonts w:eastAsia="微软雅黑" w:hint="eastAsia"/>
            <w:snapToGrid/>
            <w:lang w:val="en-US" w:eastAsia="zh-CN"/>
          </w:rPr>
          <w:t>(四)、用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行业客户差异化“抓住”商机</w:t>
        </w:r>
        <w:r>
          <w:tab/>
        </w:r>
        <w:r>
          <w:fldChar w:fldCharType="begin"/>
        </w:r>
        <w:r>
          <w:instrText xml:space="preserve"> PAGEREF _Toc6441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829" w:history="1">
        <w:r>
          <w:rPr>
            <w:rFonts w:eastAsia="微软雅黑" w:hint="eastAsia"/>
            <w:snapToGrid/>
            <w:lang w:val="en-US" w:eastAsia="zh-CN"/>
          </w:rPr>
          <w:t>(五)、以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行业渠道差异化“争取”商机</w:t>
        </w:r>
        <w:r>
          <w:tab/>
        </w:r>
        <w:r>
          <w:fldChar w:fldCharType="begin"/>
        </w:r>
        <w:r>
          <w:instrText xml:space="preserve"> PAGEREF _Toc6829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4748" w:history="1">
        <w:r>
          <w:rPr>
            <w:rFonts w:eastAsia="微软雅黑" w:hint="eastAsia"/>
            <w:snapToGrid/>
            <w:lang w:val="en-US" w:eastAsia="en-US"/>
          </w:rPr>
          <w:t>四、2024-2029年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_Toc24748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39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_Toc2239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829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_Toc21829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594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_Toc18594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820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_Toc11820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028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_Toc8028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04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_Toc1104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4632" w:history="1">
        <w:r>
          <w:rPr>
            <w:rFonts w:eastAsia="微软雅黑" w:hint="eastAsia"/>
            <w:snapToGrid/>
            <w:lang w:val="en-US" w:eastAsia="en-US"/>
          </w:rPr>
          <w:t>五、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行业财务状况分析</w:t>
        </w:r>
        <w:r>
          <w:tab/>
        </w:r>
        <w:r>
          <w:fldChar w:fldCharType="begin"/>
        </w:r>
        <w:r>
          <w:instrText xml:space="preserve"> PAGEREF _Toc4632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451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行业近三年财务数据及指标分析</w:t>
        </w:r>
        <w:r>
          <w:tab/>
        </w:r>
        <w:r>
          <w:fldChar w:fldCharType="begin"/>
        </w:r>
        <w:r>
          <w:instrText xml:space="preserve"> PAGEREF _Toc16451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156" w:history="1">
        <w:r>
          <w:rPr>
            <w:rFonts w:eastAsia="微软雅黑" w:hint="eastAsia"/>
            <w:snapToGrid/>
            <w:lang w:val="en-US" w:eastAsia="zh-CN"/>
          </w:rPr>
          <w:t>(二)、现金流对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_Toc18156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0821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行业风险控制解析</w:t>
        </w:r>
        <w:r>
          <w:tab/>
        </w:r>
        <w:r>
          <w:fldChar w:fldCharType="begin"/>
        </w:r>
        <w:r>
          <w:instrText xml:space="preserve"> PAGEREF _Toc30821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831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行业系统风险分析</w:t>
        </w:r>
        <w:r>
          <w:tab/>
        </w:r>
        <w:r>
          <w:fldChar w:fldCharType="begin"/>
        </w:r>
        <w:r>
          <w:instrText xml:space="preserve"> PAGEREF _Toc26831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817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行业第二产业的经营风险</w:t>
        </w:r>
        <w:r>
          <w:tab/>
        </w:r>
        <w:r>
          <w:fldChar w:fldCharType="begin"/>
        </w:r>
        <w:r>
          <w:instrText xml:space="preserve"> PAGEREF _Toc18817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4171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行业发展状况及市场分析</w:t>
        </w:r>
        <w:r>
          <w:tab/>
        </w:r>
        <w:r>
          <w:fldChar w:fldCharType="begin"/>
        </w:r>
        <w:r>
          <w:instrText xml:space="preserve"> PAGEREF _Toc4171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723" w:history="1">
        <w:r>
          <w:rPr>
            <w:rFonts w:eastAsia="微软雅黑" w:hint="eastAsia"/>
            <w:snapToGrid/>
            <w:lang w:val="en-US" w:eastAsia="en-US"/>
          </w:rPr>
          <w:t>(一)、中国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行业市场行业驱动因素分析</w:t>
        </w:r>
        <w:r>
          <w:tab/>
        </w:r>
        <w:r>
          <w:fldChar w:fldCharType="begin"/>
        </w:r>
        <w:r>
          <w:instrText xml:space="preserve"> PAGEREF _Toc17723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430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行业结构分析</w:t>
        </w:r>
        <w:r>
          <w:tab/>
        </w:r>
        <w:r>
          <w:fldChar w:fldCharType="begin"/>
        </w:r>
        <w:r>
          <w:instrText xml:space="preserve"> PAGEREF _Toc32430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518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行业各因素(PEST)分析</w:t>
        </w:r>
        <w:r>
          <w:tab/>
        </w:r>
        <w:r>
          <w:fldChar w:fldCharType="begin"/>
        </w:r>
        <w:r>
          <w:instrText xml:space="preserve"> PAGEREF _Toc11518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10178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_Toc10178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9548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_Toc9548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9819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_Toc9819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1421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_Toc11421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095" w:history="1">
        <w:r>
          <w:rPr>
            <w:rFonts w:eastAsia="微软雅黑" w:hint="eastAsia"/>
            <w:snapToGrid/>
            <w:lang w:val="en-US" w:eastAsia="zh-CN"/>
          </w:rPr>
          <w:t>(四)、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行业市场规模分析</w:t>
        </w:r>
        <w:r>
          <w:tab/>
        </w:r>
        <w:r>
          <w:fldChar w:fldCharType="begin"/>
        </w:r>
        <w:r>
          <w:instrText xml:space="preserve"> PAGEREF _Toc23095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902" w:history="1">
        <w:r>
          <w:rPr>
            <w:rFonts w:eastAsia="微软雅黑" w:hint="eastAsia"/>
            <w:snapToGrid/>
            <w:lang w:val="en-US" w:eastAsia="zh-CN"/>
          </w:rPr>
          <w:t>(五)、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行业特征分析</w:t>
        </w:r>
        <w:r>
          <w:tab/>
        </w:r>
        <w:r>
          <w:fldChar w:fldCharType="begin"/>
        </w:r>
        <w:r>
          <w:instrText xml:space="preserve"> PAGEREF _Toc14902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712" w:history="1">
        <w:r>
          <w:rPr>
            <w:rFonts w:eastAsia="微软雅黑" w:hint="eastAsia"/>
            <w:snapToGrid/>
            <w:lang w:val="en-US" w:eastAsia="zh-CN"/>
          </w:rPr>
          <w:t>(六)、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行业相关政策体系不健全</w:t>
        </w:r>
        <w:r>
          <w:tab/>
        </w:r>
        <w:r>
          <w:fldChar w:fldCharType="begin"/>
        </w:r>
        <w:r>
          <w:instrText xml:space="preserve"> PAGEREF _Toc8712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9602" w:history="1">
        <w:r>
          <w:rPr>
            <w:rFonts w:eastAsia="微软雅黑" w:hint="eastAsia"/>
            <w:snapToGrid/>
            <w:lang w:val="en-US" w:eastAsia="en-US"/>
          </w:rPr>
          <w:t>八、2024-2029年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_Toc19602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392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_Toc31392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361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_Toc11361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648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_Toc21648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130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_Toc4130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5294" w:history="1">
        <w:r>
          <w:rPr>
            <w:rFonts w:eastAsia="微软雅黑" w:hint="eastAsia"/>
            <w:snapToGrid/>
            <w:lang w:val="en-US" w:eastAsia="en-US"/>
          </w:rPr>
          <w:t>九、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行业存在的问题分析</w:t>
        </w:r>
        <w:r>
          <w:tab/>
        </w:r>
        <w:r>
          <w:fldChar w:fldCharType="begin"/>
        </w:r>
        <w:r>
          <w:instrText xml:space="preserve"> PAGEREF _Toc15294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130" w:history="1">
        <w:r>
          <w:rPr>
            <w:rFonts w:eastAsia="微软雅黑" w:hint="eastAsia"/>
            <w:snapToGrid/>
            <w:lang w:val="en-US" w:eastAsia="en-US"/>
          </w:rPr>
          <w:t>(一)、基础工作薄弱</w:t>
        </w:r>
        <w:r>
          <w:tab/>
        </w:r>
        <w:r>
          <w:fldChar w:fldCharType="begin"/>
        </w:r>
        <w:r>
          <w:instrText xml:space="preserve"> PAGEREF _Toc28130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42" w:history="1">
        <w:r>
          <w:rPr>
            <w:rFonts w:eastAsia="微软雅黑" w:hint="eastAsia"/>
            <w:snapToGrid/>
            <w:lang w:val="en-US" w:eastAsia="zh-CN"/>
          </w:rPr>
          <w:t>(二)、地方认识不足,激励作用有限</w:t>
        </w:r>
        <w:r>
          <w:tab/>
        </w:r>
        <w:r>
          <w:fldChar w:fldCharType="begin"/>
        </w:r>
        <w:r>
          <w:instrText xml:space="preserve"> PAGEREF _Toc2242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610" w:history="1">
        <w:r>
          <w:rPr>
            <w:rFonts w:eastAsia="微软雅黑" w:hint="eastAsia"/>
            <w:snapToGrid/>
            <w:lang w:val="en-US" w:eastAsia="zh-CN"/>
          </w:rPr>
          <w:t>(三)、产业结构调整进展缓慢</w:t>
        </w:r>
        <w:r>
          <w:tab/>
        </w:r>
        <w:r>
          <w:fldChar w:fldCharType="begin"/>
        </w:r>
        <w:r>
          <w:instrText xml:space="preserve"> PAGEREF _Toc29610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999" w:history="1">
        <w:r>
          <w:rPr>
            <w:rFonts w:eastAsia="微软雅黑" w:hint="eastAsia"/>
            <w:snapToGrid/>
            <w:lang w:val="en-US" w:eastAsia="zh-CN"/>
          </w:rPr>
          <w:t>(四)、技术相对落后</w:t>
        </w:r>
        <w:r>
          <w:tab/>
        </w:r>
        <w:r>
          <w:fldChar w:fldCharType="begin"/>
        </w:r>
        <w:r>
          <w:instrText xml:space="preserve"> PAGEREF _Toc20999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375" w:history="1">
        <w:r>
          <w:rPr>
            <w:rFonts w:eastAsia="微软雅黑" w:hint="eastAsia"/>
            <w:snapToGrid/>
            <w:lang w:val="en-US" w:eastAsia="zh-CN"/>
          </w:rPr>
          <w:t>(五)、隐私安全问题</w:t>
        </w:r>
        <w:r>
          <w:tab/>
        </w:r>
        <w:r>
          <w:fldChar w:fldCharType="begin"/>
        </w:r>
        <w:r>
          <w:instrText xml:space="preserve"> PAGEREF _Toc9375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148" w:history="1">
        <w:r>
          <w:rPr>
            <w:rFonts w:eastAsia="微软雅黑" w:hint="eastAsia"/>
            <w:snapToGrid/>
            <w:lang w:val="en-US" w:eastAsia="zh-CN"/>
          </w:rPr>
          <w:t>(六)、与用户的互动需不断增强</w:t>
        </w:r>
        <w:r>
          <w:tab/>
        </w:r>
        <w:r>
          <w:fldChar w:fldCharType="begin"/>
        </w:r>
        <w:r>
          <w:instrText xml:space="preserve"> PAGEREF _Toc17148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403" w:history="1">
        <w:r>
          <w:rPr>
            <w:rFonts w:eastAsia="微软雅黑" w:hint="eastAsia"/>
            <w:snapToGrid/>
            <w:lang w:val="en-US" w:eastAsia="zh-CN"/>
          </w:rPr>
          <w:t>(七)、管理效率低</w:t>
        </w:r>
        <w:r>
          <w:tab/>
        </w:r>
        <w:r>
          <w:fldChar w:fldCharType="begin"/>
        </w:r>
        <w:r>
          <w:instrText xml:space="preserve"> PAGEREF _Toc18403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156" w:history="1">
        <w:r>
          <w:rPr>
            <w:rFonts w:eastAsia="微软雅黑" w:hint="eastAsia"/>
            <w:snapToGrid/>
            <w:lang w:val="en-US" w:eastAsia="zh-CN"/>
          </w:rPr>
          <w:t>(八)、盈利点单一</w:t>
        </w:r>
        <w:r>
          <w:tab/>
        </w:r>
        <w:r>
          <w:fldChar w:fldCharType="begin"/>
        </w:r>
        <w:r>
          <w:instrText xml:space="preserve"> PAGEREF _Toc29156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692" w:history="1">
        <w:r>
          <w:rPr>
            <w:rFonts w:eastAsia="微软雅黑" w:hint="eastAsia"/>
            <w:snapToGrid/>
            <w:lang w:val="en-US" w:eastAsia="zh-CN"/>
          </w:rPr>
          <w:t>(九)、过于依赖政府,缺乏主观能动性</w:t>
        </w:r>
        <w:r>
          <w:tab/>
        </w:r>
        <w:r>
          <w:fldChar w:fldCharType="begin"/>
        </w:r>
        <w:r>
          <w:instrText xml:space="preserve"> PAGEREF _Toc32692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733" w:history="1">
        <w:r>
          <w:rPr>
            <w:rFonts w:eastAsia="微软雅黑" w:hint="eastAsia"/>
            <w:snapToGrid/>
            <w:lang w:val="en-US" w:eastAsia="zh-CN"/>
          </w:rPr>
          <w:t>(十)、法律风险</w:t>
        </w:r>
        <w:r>
          <w:tab/>
        </w:r>
        <w:r>
          <w:fldChar w:fldCharType="begin"/>
        </w:r>
        <w:r>
          <w:instrText xml:space="preserve"> PAGEREF _Toc20733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092" w:history="1">
        <w:r>
          <w:rPr>
            <w:rFonts w:eastAsia="微软雅黑" w:hint="eastAsia"/>
            <w:snapToGrid/>
            <w:lang w:val="en-US" w:eastAsia="zh-CN"/>
          </w:rPr>
          <w:t>(十一)、供给不足,产业化程度较低</w:t>
        </w:r>
        <w:r>
          <w:tab/>
        </w:r>
        <w:r>
          <w:fldChar w:fldCharType="begin"/>
        </w:r>
        <w:r>
          <w:instrText xml:space="preserve"> PAGEREF _Toc21092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284" w:history="1">
        <w:r>
          <w:rPr>
            <w:rFonts w:eastAsia="微软雅黑" w:hint="eastAsia"/>
            <w:snapToGrid/>
            <w:lang w:val="en-US" w:eastAsia="zh-CN"/>
          </w:rPr>
          <w:t>(十二)、人才问题</w:t>
        </w:r>
        <w:r>
          <w:tab/>
        </w:r>
        <w:r>
          <w:fldChar w:fldCharType="begin"/>
        </w:r>
        <w:r>
          <w:instrText xml:space="preserve"> PAGEREF _Toc32284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766" w:history="1">
        <w:r>
          <w:rPr>
            <w:rFonts w:eastAsia="微软雅黑" w:hint="eastAsia"/>
            <w:snapToGrid/>
            <w:lang w:val="en-US" w:eastAsia="zh-CN"/>
          </w:rPr>
          <w:t>(十三)、产品质量问题</w:t>
        </w:r>
        <w:r>
          <w:tab/>
        </w:r>
        <w:r>
          <w:fldChar w:fldCharType="begin"/>
        </w:r>
        <w:r>
          <w:instrText xml:space="preserve"> PAGEREF _Toc31766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060" w:history="1">
        <w:r>
          <w:rPr>
            <w:rFonts w:eastAsia="微软雅黑" w:hint="eastAsia"/>
            <w:snapToGrid/>
            <w:lang w:val="en-US" w:eastAsia="en-US"/>
          </w:rPr>
          <w:t>十、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产业投资分析</w:t>
        </w:r>
        <w:r>
          <w:tab/>
        </w:r>
        <w:r>
          <w:fldChar w:fldCharType="begin"/>
        </w:r>
        <w:r>
          <w:instrText xml:space="preserve"> PAGEREF _Toc3060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377" w:history="1">
        <w:r>
          <w:rPr>
            <w:rFonts w:eastAsia="微软雅黑" w:hint="eastAsia"/>
            <w:snapToGrid/>
            <w:lang w:val="en-US" w:eastAsia="en-US"/>
          </w:rPr>
          <w:t>(一)、中国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行业技术投资趋势分析</w:t>
        </w:r>
        <w:r>
          <w:tab/>
        </w:r>
        <w:r>
          <w:fldChar w:fldCharType="begin"/>
        </w:r>
        <w:r>
          <w:instrText xml:space="preserve"> PAGEREF </w:instrText>
        </w:r>
        <w:r>
          <w:instrText xml:space="preserve">_Toc22377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376" w:history="1">
        <w:r>
          <w:rPr>
            <w:rFonts w:eastAsia="微软雅黑" w:hint="eastAsia"/>
            <w:snapToGrid/>
            <w:lang w:val="en-US" w:eastAsia="zh-CN"/>
          </w:rPr>
          <w:t>(二)、大项目招商时代已过,精准招商愈发时兴</w:t>
        </w:r>
        <w:r>
          <w:tab/>
        </w:r>
        <w:r>
          <w:fldChar w:fldCharType="begin"/>
        </w:r>
        <w:r>
          <w:instrText xml:space="preserve"> PAGEREF _Toc31376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670" w:history="1">
        <w:r>
          <w:rPr>
            <w:rFonts w:eastAsia="微软雅黑" w:hint="eastAsia"/>
            <w:snapToGrid/>
            <w:lang w:val="en-US" w:eastAsia="zh-CN"/>
          </w:rPr>
          <w:t>(三)、中国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行业投资风险</w:t>
        </w:r>
        <w:r>
          <w:tab/>
        </w:r>
        <w:r>
          <w:fldChar w:fldCharType="begin"/>
        </w:r>
        <w:r>
          <w:instrText xml:space="preserve"> PAGEREF _Toc23670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0" w:history="1">
        <w:r>
          <w:rPr>
            <w:rFonts w:eastAsia="微软雅黑" w:hint="eastAsia"/>
            <w:snapToGrid/>
            <w:lang w:val="en-US" w:eastAsia="zh-CN"/>
          </w:rPr>
          <w:t>(四)、中国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行业投资收益</w:t>
        </w:r>
        <w:r>
          <w:tab/>
        </w:r>
        <w:r>
          <w:fldChar w:fldCharType="begin"/>
        </w:r>
        <w:r>
          <w:instrText xml:space="preserve"> PAGEREF _Toc220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882" w:history="1">
        <w:r>
          <w:rPr>
            <w:rFonts w:eastAsia="微软雅黑" w:hint="eastAsia"/>
            <w:snapToGrid/>
            <w:lang w:val="en-US" w:eastAsia="en-US"/>
          </w:rPr>
          <w:t>十一、“疫情”对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行业可持续发展目标的影响及对策</w:t>
        </w:r>
        <w:r>
          <w:tab/>
        </w:r>
        <w:r>
          <w:fldChar w:fldCharType="begin"/>
        </w:r>
        <w:r>
          <w:instrText xml:space="preserve"> PAGEREF _Toc28882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930" w:history="1">
        <w:r>
          <w:rPr>
            <w:rFonts w:eastAsia="微软雅黑" w:hint="eastAsia"/>
            <w:snapToGrid/>
            <w:lang w:val="en-US" w:eastAsia="zh-CN"/>
          </w:rPr>
          <w:t>(一)、国内有关政府机构对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行业的建议</w:t>
        </w:r>
        <w:r>
          <w:tab/>
        </w:r>
        <w:r>
          <w:fldChar w:fldCharType="begin"/>
        </w:r>
        <w:r>
          <w:instrText xml:space="preserve"> PAGEREF _Toc5930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633" w:history="1">
        <w:r>
          <w:rPr>
            <w:rFonts w:eastAsia="微软雅黑" w:hint="eastAsia"/>
            <w:snapToGrid/>
            <w:lang w:val="en-US" w:eastAsia="zh-CN"/>
          </w:rPr>
          <w:t>(二)、关于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产业上下游产业合作的建议</w:t>
        </w:r>
        <w:r>
          <w:tab/>
        </w:r>
        <w:r>
          <w:fldChar w:fldCharType="begin"/>
        </w:r>
        <w:r>
          <w:instrText xml:space="preserve"> PAGEREF _Toc22633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452" w:history="1">
        <w:r>
          <w:rPr>
            <w:rFonts w:eastAsia="微软雅黑" w:hint="eastAsia"/>
            <w:snapToGrid/>
            <w:lang w:val="en-US" w:eastAsia="zh-CN"/>
          </w:rPr>
          <w:t>(三)、突破</w:t>
        </w:r>
        <w:r>
          <w:rPr>
            <w:rFonts w:eastAsia="微软雅黑" w:hint="eastAsia"/>
            <w:snapToGrid/>
            <w:lang w:val="en-US" w:eastAsia="zh-CN"/>
          </w:rPr>
          <w:t>功能箱包</w:t>
        </w:r>
        <w:r>
          <w:rPr>
            <w:rFonts w:eastAsia="微软雅黑" w:hint="eastAsia"/>
            <w:snapToGrid/>
            <w:lang w:val="en-US" w:eastAsia="zh-CN"/>
          </w:rPr>
          <w:t>行业企业疫情的策略</w:t>
        </w:r>
        <w:r>
          <w:tab/>
        </w:r>
        <w:r>
          <w:fldChar w:fldCharType="begin"/>
        </w:r>
        <w:r>
          <w:instrText xml:space="preserve"> PAGEREF _Toc29452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127" w:history="1">
        <w:r>
          <w:rPr>
            <w:rFonts w:eastAsia="微软雅黑" w:hint="eastAsia"/>
            <w:snapToGrid/>
            <w:lang w:val="en-US" w:eastAsia="en-US"/>
          </w:rPr>
          <w:t>十二、</w:t>
        </w:r>
        <w:r>
          <w:rPr>
            <w:rFonts w:eastAsia="微软雅黑" w:hint="eastAsia"/>
            <w:snapToGrid/>
            <w:lang w:val="en-US" w:eastAsia="en-US"/>
          </w:rPr>
          <w:t>功能箱包</w:t>
        </w:r>
        <w:r>
          <w:rPr>
            <w:rFonts w:eastAsia="微软雅黑" w:hint="eastAsia"/>
            <w:snapToGrid/>
            <w:lang w:val="en-US" w:eastAsia="en-US"/>
          </w:rPr>
          <w:t>行业多元化趋势</w:t>
        </w:r>
        <w:r>
          <w:tab/>
        </w:r>
        <w:r>
          <w:fldChar w:fldCharType="begin"/>
        </w:r>
        <w:r>
          <w:instrText xml:space="preserve"> PAGEREF _Toc22127 \h </w:instrText>
        </w:r>
        <w:r>
          <w:fldChar w:fldCharType="separate"/>
        </w:r>
        <w:r>
          <w:t>34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https://d.book118.com/017040020104006025</w:t>
        </w:r>
      </w:hyperlink>
    </w:p>
    <w:p>
      <w:pPr>
        <w:pStyle w:val="TOC1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1704002010400602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