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pStyle w:val="PlainText"/>
        <w:spacing w:line="460" w:lineRule="auto"/>
        <w:jc w:val="center"/>
        <w:rPr>
          <w:b/>
          <w:sz w:val="32"/>
          <w:szCs w:val="32"/>
        </w:rPr>
      </w:pPr>
      <w:r>
        <w:rPr>
          <w:rFonts w:hint="eastAsia"/>
          <w:b/>
          <w:sz w:val="32"/>
          <w:szCs w:val="32"/>
        </w:rPr>
        <w:t>公司战略与风险</w:t>
      </w:r>
    </w:p>
    <w:p>
      <w:pPr>
        <w:spacing w:line="460" w:lineRule="auto"/>
        <w:jc w:val="center"/>
        <w:rPr>
          <w:b/>
          <w:sz w:val="32"/>
          <w:szCs w:val="32"/>
        </w:rPr>
      </w:pPr>
      <w:r>
        <w:rPr>
          <w:rFonts w:hint="eastAsia"/>
          <w:b/>
          <w:sz w:val="32"/>
          <w:szCs w:val="32"/>
        </w:rPr>
        <w:t>——</w:t>
      </w:r>
      <w:r>
        <w:rPr>
          <w:rFonts w:hint="eastAsia"/>
          <w:b/>
          <w:sz w:val="32"/>
          <w:szCs w:val="32"/>
        </w:rPr>
        <w:t>以零售业巨头</w:t>
      </w:r>
      <w:r>
        <w:rPr>
          <w:rFonts w:hint="eastAsia"/>
          <w:b/>
          <w:sz w:val="32"/>
          <w:szCs w:val="32"/>
        </w:rPr>
        <w:t>“</w:t>
      </w:r>
      <w:r>
        <w:rPr>
          <w:rFonts w:hint="eastAsia"/>
          <w:b/>
          <w:sz w:val="32"/>
          <w:szCs w:val="32"/>
        </w:rPr>
        <w:t>沃尔玛公司</w:t>
      </w:r>
      <w:r>
        <w:rPr>
          <w:rFonts w:hint="eastAsia"/>
          <w:b/>
          <w:sz w:val="32"/>
          <w:szCs w:val="32"/>
        </w:rPr>
        <w:t>”</w:t>
      </w:r>
      <w:r>
        <w:rPr>
          <w:rFonts w:hint="eastAsia"/>
          <w:b/>
          <w:sz w:val="32"/>
          <w:szCs w:val="32"/>
        </w:rPr>
        <w:t>为例</w:t>
      </w:r>
    </w:p>
    <w:p>
      <w:pPr>
        <w:spacing w:line="480" w:lineRule="exact"/>
        <w:jc w:val="center"/>
        <w:rPr>
          <w:rFonts w:ascii="Times New Roman" w:hAnsi="Times New Roman"/>
          <w:b/>
          <w:sz w:val="36"/>
          <w:szCs w:val="36"/>
        </w:rPr>
      </w:pPr>
    </w:p>
    <w:p>
      <w:pPr>
        <w:spacing w:line="460" w:lineRule="auto"/>
        <w:jc w:val="center"/>
        <w:rPr>
          <w:rFonts w:ascii="Times New Roman" w:hAnsi="Times New Roman"/>
          <w:b/>
          <w:sz w:val="36"/>
          <w:szCs w:val="36"/>
        </w:rPr>
      </w:pPr>
      <w:r>
        <w:rPr>
          <w:rFonts w:ascii="Times New Roman" w:hAnsi="Times New Roman"/>
          <w:b/>
          <w:sz w:val="36"/>
          <w:szCs w:val="36"/>
        </w:rPr>
        <w:t>摘 要</w:t>
      </w:r>
    </w:p>
    <w:p>
      <w:pPr>
        <w:spacing w:line="480" w:lineRule="exact"/>
        <w:jc w:val="center"/>
        <w:rPr>
          <w:rFonts w:ascii="Times New Roman" w:hAnsi="Times New Roman"/>
          <w:b/>
          <w:sz w:val="36"/>
          <w:szCs w:val="36"/>
        </w:rPr>
      </w:pPr>
    </w:p>
    <w:p>
      <w:pPr>
        <w:spacing w:line="460" w:lineRule="auto"/>
        <w:ind w:firstLine="560" w:firstLineChars="200"/>
        <w:rPr>
          <w:rFonts w:ascii="Times New Roman" w:hAnsi="Times New Roman"/>
          <w:sz w:val="28"/>
          <w:szCs w:val="28"/>
        </w:rPr>
      </w:pPr>
      <w:r>
        <w:rPr>
          <w:rFonts w:ascii="Times New Roman" w:hAnsi="Times New Roman" w:hint="eastAsia"/>
          <w:sz w:val="28"/>
          <w:szCs w:val="28"/>
        </w:rPr>
        <w:t>众所周知，沃尔玛（Walmart）常年雄踞世界五百强公司之首，是零售业公司的典范，为世界经济之发展和繁荣做出了巨大的奉献。而沃尔玛公司有今日之地位和实力并非一蹴而就的，其通过了数十年的经营过程。在此过程中，沃尔玛公司采用了独特的发展战略，使用了具有竞争优势的公司竞争手段，形成了公司自己的核心竞争力（Core-competitiveness）。随着互联网在当今社会的逐渐渗透，沃尔玛越来越注重迎合时代潮流，积极接受大数据和</w:t>
      </w:r>
      <w:r>
        <w:rPr>
          <w:rFonts w:ascii="Times New Roman" w:hAnsi="Times New Roman" w:hint="eastAsia"/>
          <w:sz w:val="28"/>
          <w:szCs w:val="28"/>
        </w:rPr>
        <w:t>“</w:t>
      </w:r>
      <w:r>
        <w:rPr>
          <w:rFonts w:ascii="Times New Roman" w:hAnsi="Times New Roman" w:hint="eastAsia"/>
          <w:sz w:val="28"/>
          <w:szCs w:val="28"/>
        </w:rPr>
        <w:t>互联网+</w:t>
      </w:r>
      <w:r>
        <w:rPr>
          <w:rFonts w:ascii="Times New Roman" w:hAnsi="Times New Roman" w:hint="eastAsia"/>
          <w:sz w:val="28"/>
          <w:szCs w:val="28"/>
        </w:rPr>
        <w:t>”</w:t>
      </w:r>
      <w:r>
        <w:rPr>
          <w:rFonts w:ascii="Times New Roman" w:hAnsi="Times New Roman" w:hint="eastAsia"/>
          <w:sz w:val="28"/>
          <w:szCs w:val="28"/>
        </w:rPr>
        <w:t>的思想，不断地提出新的竞争方式、管理模式来面对不可避免的风险，并形成了一种独具特色的公司文化（Business culture）。</w:t>
      </w:r>
      <w:r>
        <w:rPr>
          <w:rFonts w:ascii="Times New Roman" w:hAnsi="Times New Roman"/>
          <w:sz w:val="28"/>
          <w:szCs w:val="28"/>
        </w:rPr>
        <w:t>本文以</w:t>
      </w:r>
      <w:r>
        <w:rPr>
          <w:rFonts w:ascii="Times New Roman" w:hAnsi="Times New Roman" w:hint="eastAsia"/>
          <w:sz w:val="28"/>
          <w:szCs w:val="28"/>
        </w:rPr>
        <w:t>“</w:t>
      </w:r>
      <w:r>
        <w:rPr>
          <w:rFonts w:ascii="Times New Roman" w:hAnsi="Times New Roman" w:hint="eastAsia"/>
          <w:sz w:val="28"/>
          <w:szCs w:val="28"/>
        </w:rPr>
        <w:t>零售业巨头</w:t>
      </w:r>
      <w:r>
        <w:rPr>
          <w:rFonts w:ascii="Times New Roman" w:hAnsi="Times New Roman" w:hint="eastAsia"/>
          <w:sz w:val="28"/>
          <w:szCs w:val="28"/>
        </w:rPr>
        <w:t>——</w:t>
      </w:r>
      <w:r>
        <w:rPr>
          <w:rFonts w:ascii="Times New Roman" w:hAnsi="Times New Roman" w:hint="eastAsia"/>
          <w:sz w:val="28"/>
          <w:szCs w:val="28"/>
        </w:rPr>
        <w:t>沃尔玛公司</w:t>
      </w:r>
      <w:r>
        <w:rPr>
          <w:rFonts w:ascii="Times New Roman" w:hAnsi="Times New Roman" w:hint="eastAsia"/>
          <w:sz w:val="28"/>
          <w:szCs w:val="28"/>
        </w:rPr>
        <w:t>”</w:t>
      </w:r>
      <w:r>
        <w:rPr>
          <w:rFonts w:ascii="Times New Roman" w:hAnsi="Times New Roman"/>
          <w:sz w:val="28"/>
          <w:szCs w:val="28"/>
        </w:rPr>
        <w:t>作为分析对象，围绕</w:t>
      </w:r>
      <w:r>
        <w:rPr>
          <w:rFonts w:ascii="Times New Roman" w:hAnsi="Times New Roman" w:hint="eastAsia"/>
          <w:sz w:val="28"/>
          <w:szCs w:val="28"/>
        </w:rPr>
        <w:t>“</w:t>
      </w:r>
      <w:r>
        <w:rPr>
          <w:rFonts w:ascii="Times New Roman" w:hAnsi="Times New Roman" w:hint="eastAsia"/>
          <w:sz w:val="28"/>
          <w:szCs w:val="28"/>
        </w:rPr>
        <w:t>沃尔玛公司战略目的、竞争战略及其优势、公司核心竞争力和公司风险</w:t>
      </w:r>
      <w:r>
        <w:rPr>
          <w:rFonts w:ascii="Times New Roman" w:hAnsi="Times New Roman" w:hint="eastAsia"/>
          <w:sz w:val="28"/>
          <w:szCs w:val="28"/>
        </w:rPr>
        <w:t>”</w:t>
      </w:r>
      <w:r>
        <w:rPr>
          <w:rFonts w:ascii="Times New Roman" w:hAnsi="Times New Roman"/>
          <w:sz w:val="28"/>
          <w:szCs w:val="28"/>
        </w:rPr>
        <w:t>这一问题，结合定性分析与定量分析，遵循</w:t>
      </w:r>
      <w:r>
        <w:rPr>
          <w:rFonts w:ascii="Times New Roman" w:hAnsi="Times New Roman" w:hint="eastAsia"/>
          <w:sz w:val="28"/>
          <w:szCs w:val="28"/>
        </w:rPr>
        <w:t>“</w:t>
      </w:r>
      <w:r>
        <w:rPr>
          <w:rFonts w:ascii="Times New Roman" w:hAnsi="Times New Roman" w:hint="eastAsia"/>
          <w:sz w:val="28"/>
          <w:szCs w:val="28"/>
        </w:rPr>
        <w:t>理论--实际</w:t>
      </w:r>
      <w:r>
        <w:rPr>
          <w:rFonts w:ascii="Times New Roman" w:hAnsi="Times New Roman"/>
          <w:sz w:val="28"/>
          <w:szCs w:val="28"/>
        </w:rPr>
        <w:t>--总结</w:t>
      </w:r>
      <w:r>
        <w:rPr>
          <w:rFonts w:ascii="Times New Roman" w:hAnsi="Times New Roman" w:hint="eastAsia"/>
          <w:sz w:val="28"/>
          <w:szCs w:val="28"/>
        </w:rPr>
        <w:t>”</w:t>
      </w:r>
      <w:r>
        <w:rPr>
          <w:rFonts w:ascii="Times New Roman" w:hAnsi="Times New Roman"/>
          <w:sz w:val="28"/>
          <w:szCs w:val="28"/>
        </w:rPr>
        <w:t>这一基本研究流程，查阅相关资料，整理相关数据，梳理</w:t>
      </w:r>
      <w:r>
        <w:rPr>
          <w:rFonts w:ascii="Times New Roman" w:hAnsi="Times New Roman" w:hint="eastAsia"/>
          <w:sz w:val="28"/>
          <w:szCs w:val="28"/>
        </w:rPr>
        <w:t>沃尔玛在新时代下的种种战略目的和财务管理目的，</w:t>
      </w:r>
      <w:r>
        <w:rPr>
          <w:rFonts w:ascii="Times New Roman" w:hAnsi="Times New Roman"/>
          <w:sz w:val="28"/>
          <w:szCs w:val="28"/>
        </w:rPr>
        <w:t>探讨</w:t>
      </w:r>
      <w:r>
        <w:rPr>
          <w:rFonts w:ascii="Times New Roman" w:hAnsi="Times New Roman" w:hint="eastAsia"/>
          <w:sz w:val="28"/>
          <w:szCs w:val="28"/>
        </w:rPr>
        <w:t>沃尔玛的竞争战略并用SWOT分析其内外部势态</w:t>
      </w:r>
      <w:r>
        <w:rPr>
          <w:rFonts w:ascii="Times New Roman" w:hAnsi="Times New Roman"/>
          <w:sz w:val="28"/>
          <w:szCs w:val="28"/>
        </w:rPr>
        <w:t>，归纳</w:t>
      </w:r>
      <w:r>
        <w:rPr>
          <w:rFonts w:ascii="Times New Roman" w:hAnsi="Times New Roman" w:hint="eastAsia"/>
          <w:sz w:val="28"/>
          <w:szCs w:val="28"/>
        </w:rPr>
        <w:t>沃尔玛公司取得如此大成功的因素及核心竞争力</w:t>
      </w:r>
      <w:r>
        <w:rPr>
          <w:rFonts w:ascii="Times New Roman" w:hAnsi="Times New Roman"/>
          <w:sz w:val="28"/>
          <w:szCs w:val="28"/>
        </w:rPr>
        <w:t>，</w:t>
      </w:r>
      <w:r>
        <w:rPr>
          <w:rFonts w:ascii="Times New Roman" w:hAnsi="Times New Roman" w:hint="eastAsia"/>
          <w:sz w:val="28"/>
          <w:szCs w:val="28"/>
        </w:rPr>
        <w:t>分析沃尔玛所面临的风险和独特的公司文化，并提出对中国零售公司的几点启示</w:t>
      </w:r>
      <w:r>
        <w:rPr>
          <w:rFonts w:ascii="Times New Roman" w:hAnsi="Times New Roman"/>
          <w:sz w:val="28"/>
          <w:szCs w:val="28"/>
        </w:rPr>
        <w:t>。</w:t>
      </w:r>
    </w:p>
    <w:p>
      <w:pPr>
        <w:spacing w:line="480" w:lineRule="exact"/>
        <w:ind w:firstLine="560" w:firstLineChars="200"/>
        <w:rPr>
          <w:rFonts w:ascii="Times New Roman" w:hAnsi="Times New Roman"/>
          <w:sz w:val="28"/>
          <w:szCs w:val="28"/>
        </w:rPr>
        <w:sectPr>
          <w:pgSz w:w="11906" w:h="16838"/>
          <w:pgMar w:top="1440" w:right="1800" w:bottom="1440" w:left="1800" w:header="851" w:footer="992" w:gutter="0"/>
          <w:cols w:space="708"/>
          <w:docGrid w:type="lines" w:linePitch="312"/>
        </w:sectPr>
      </w:pPr>
    </w:p>
    <w:p>
      <w:pPr>
        <w:spacing w:line="460" w:lineRule="auto"/>
        <w:rPr>
          <w:rFonts w:ascii="Times New Roman" w:hAnsi="Times New Roman" w:hint="eastAsia"/>
          <w:sz w:val="28"/>
          <w:szCs w:val="28"/>
        </w:rPr>
        <w:sectPr>
          <w:type w:val="nextPage"/>
          <w:pgSz w:w="11906" w:h="16838"/>
          <w:pgMar w:top="1440" w:right="1800" w:bottom="1440" w:left="1800" w:header="851" w:footer="992" w:gutter="0"/>
          <w:pgNumType w:start="2"/>
          <w:cols w:space="708"/>
          <w:titlePg w:val="0"/>
          <w:docGrid w:type="lines" w:linePitch="312"/>
        </w:sectPr>
      </w:pPr>
      <w:r>
        <w:rPr>
          <w:rFonts w:ascii="Times New Roman" w:hAnsi="Times New Roman"/>
          <w:b/>
          <w:sz w:val="28"/>
          <w:szCs w:val="28"/>
        </w:rPr>
        <w:t>关键词：</w:t>
      </w:r>
      <w:r>
        <w:rPr>
          <w:rFonts w:ascii="Times New Roman" w:hAnsi="Times New Roman" w:hint="eastAsia"/>
          <w:b/>
          <w:sz w:val="28"/>
          <w:szCs w:val="28"/>
        </w:rPr>
        <w:t xml:space="preserve">  </w:t>
      </w:r>
      <w:r>
        <w:rPr>
          <w:rFonts w:ascii="Times New Roman" w:hAnsi="Times New Roman" w:hint="eastAsia"/>
          <w:sz w:val="28"/>
          <w:szCs w:val="28"/>
        </w:rPr>
        <w:t>公司竞争战略  核心竞争力  公司风险</w:t>
      </w:r>
      <w:r>
        <w:rPr>
          <w:rFonts w:ascii="Times New Roman" w:hAnsi="Times New Roman"/>
          <w:sz w:val="28"/>
          <w:szCs w:val="28"/>
        </w:rPr>
        <w:t xml:space="preserve">  </w:t>
      </w:r>
      <w:r>
        <w:rPr>
          <w:rFonts w:ascii="Times New Roman" w:hAnsi="Times New Roman" w:hint="eastAsia"/>
          <w:sz w:val="28"/>
          <w:szCs w:val="28"/>
        </w:rPr>
        <w:t>公司文化</w:t>
      </w:r>
    </w:p>
    <w:p>
      <w:pPr>
        <w:pStyle w:val="TOC1"/>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sz w:val="28"/>
          <w:szCs w:val="28"/>
          <w:shd w:val="clear" w:color="auto" w:fill="FFFFFF"/>
        </w:rPr>
        <w:fldChar w:fldCharType="begin"/>
      </w:r>
      <w:r>
        <w:rPr>
          <w:rFonts w:ascii="宋体" w:hAnsi="宋体" w:cs="宋体" w:hint="eastAsia"/>
          <w:color w:val="000000"/>
          <w:sz w:val="28"/>
          <w:szCs w:val="28"/>
          <w:shd w:val="clear" w:color="auto" w:fill="FFFFFF"/>
        </w:rPr>
        <w:instrText xml:space="preserve">TOC \o "1-2" \u </w:instrText>
      </w:r>
      <w:r>
        <w:rPr>
          <w:rFonts w:ascii="宋体" w:hAnsi="宋体" w:cs="宋体" w:hint="eastAsia"/>
          <w:color w:val="000000"/>
          <w:sz w:val="28"/>
          <w:szCs w:val="28"/>
          <w:shd w:val="clear" w:color="auto" w:fill="FFFFFF"/>
        </w:rPr>
        <w:fldChar w:fldCharType="separate"/>
      </w:r>
      <w:r>
        <w:rPr>
          <w:rFonts w:ascii="黑体" w:eastAsia="黑体" w:hAnsi="黑体" w:cs="黑体" w:hint="eastAsia"/>
          <w:color w:val="000000"/>
          <w:kern w:val="0"/>
          <w:sz w:val="28"/>
          <w:szCs w:val="28"/>
          <w:shd w:val="clear" w:color="auto" w:fill="FFFFFF"/>
          <w:lang w:bidi="ar"/>
        </w:rPr>
        <w:t>一、案例回顾</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_Toc12023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shd w:val="clear" w:color="auto" w:fill="FFFFFF"/>
          <w:lang w:bidi="ar"/>
        </w:rPr>
        <w:t>二、决定公司竞争优势的公司资源判断标准分析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_Toc2703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（一）资源的稀缺性</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_Toc29795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（二）资源的不可模仿性</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_Toc16386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（三）资源的持久性</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_Toc707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（四）资源的不可替代性</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_Toc18135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3</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shd w:val="clear" w:color="auto" w:fill="FFFFFF"/>
          <w:lang w:bidi="ar"/>
        </w:rPr>
        <w:t>三、沃尔玛在大数据和</w:t>
      </w:r>
      <w:r>
        <w:rPr>
          <w:rFonts w:ascii="黑体" w:eastAsia="黑体" w:hAnsi="黑体" w:cs="黑体" w:hint="eastAsia"/>
          <w:color w:val="000000"/>
          <w:kern w:val="0"/>
          <w:sz w:val="28"/>
          <w:szCs w:val="28"/>
          <w:shd w:val="clear" w:color="auto" w:fill="FFFFFF"/>
          <w:lang w:bidi="ar"/>
        </w:rPr>
        <w:t>“</w:t>
      </w:r>
      <w:r>
        <w:rPr>
          <w:rFonts w:ascii="黑体" w:eastAsia="黑体" w:hAnsi="黑体" w:cs="黑体" w:hint="eastAsia"/>
          <w:color w:val="000000"/>
          <w:kern w:val="0"/>
          <w:sz w:val="28"/>
          <w:szCs w:val="28"/>
          <w:shd w:val="clear" w:color="auto" w:fill="FFFFFF"/>
          <w:lang w:bidi="ar"/>
        </w:rPr>
        <w:t>互联网+</w:t>
      </w:r>
      <w:r>
        <w:rPr>
          <w:rFonts w:ascii="黑体" w:eastAsia="黑体" w:hAnsi="黑体" w:cs="黑体" w:hint="eastAsia"/>
          <w:color w:val="000000"/>
          <w:kern w:val="0"/>
          <w:sz w:val="28"/>
          <w:szCs w:val="28"/>
          <w:shd w:val="clear" w:color="auto" w:fill="FFFFFF"/>
          <w:lang w:bidi="ar"/>
        </w:rPr>
        <w:t>”</w:t>
      </w:r>
      <w:r>
        <w:rPr>
          <w:rFonts w:ascii="黑体" w:eastAsia="黑体" w:hAnsi="黑体" w:cs="黑体" w:hint="eastAsia"/>
          <w:color w:val="000000"/>
          <w:kern w:val="0"/>
          <w:sz w:val="28"/>
          <w:szCs w:val="28"/>
          <w:shd w:val="clear" w:color="auto" w:fill="FFFFFF"/>
          <w:lang w:bidi="ar"/>
        </w:rPr>
        <w:t>背景下的战略目的分析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_Toc7685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4</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（一）线上目的</w:t>
      </w:r>
      <w:r>
        <w:rPr>
          <w:rFonts w:ascii="宋体" w:hAnsi="宋体" w:cs="宋体" w:hint="eastAsia"/>
          <w:color w:val="000000"/>
          <w:kern w:val="0"/>
          <w:sz w:val="28"/>
          <w:szCs w:val="28"/>
          <w:shd w:val="clear" w:color="auto" w:fill="FFFFFF"/>
          <w:lang w:bidi="ar"/>
        </w:rPr>
        <w:t>——</w:t>
      </w:r>
      <w:r>
        <w:rPr>
          <w:rFonts w:ascii="宋体" w:hAnsi="宋体" w:cs="宋体" w:hint="eastAsia"/>
          <w:color w:val="000000"/>
          <w:kern w:val="0"/>
          <w:sz w:val="28"/>
          <w:szCs w:val="28"/>
          <w:shd w:val="clear" w:color="auto" w:fill="FFFFFF"/>
          <w:lang w:bidi="ar"/>
        </w:rPr>
        <w:t>加速推动智能化购物</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_Toc5358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4</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（二）线下目的</w:t>
      </w:r>
      <w:r>
        <w:rPr>
          <w:rFonts w:ascii="宋体" w:hAnsi="宋体" w:cs="宋体" w:hint="eastAsia"/>
          <w:color w:val="000000"/>
          <w:kern w:val="0"/>
          <w:sz w:val="28"/>
          <w:szCs w:val="28"/>
          <w:shd w:val="clear" w:color="auto" w:fill="FFFFFF"/>
          <w:lang w:bidi="ar"/>
        </w:rPr>
        <w:t>——</w:t>
      </w:r>
      <w:r>
        <w:rPr>
          <w:rFonts w:ascii="宋体" w:hAnsi="宋体" w:cs="宋体" w:hint="eastAsia"/>
          <w:color w:val="000000"/>
          <w:kern w:val="0"/>
          <w:sz w:val="28"/>
          <w:szCs w:val="28"/>
          <w:shd w:val="clear" w:color="auto" w:fill="FFFFFF"/>
          <w:lang w:bidi="ar"/>
        </w:rPr>
        <w:t>完善自建物流网络</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_Toc18123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5</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shd w:val="clear" w:color="auto" w:fill="FFFFFF"/>
          <w:lang w:bidi="ar"/>
        </w:rPr>
        <w:t>四、沃尔玛的公司财务管理目的分析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_Toc2456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6</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（一）沃尔玛的财务管理目的分析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_Toc9078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6</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shd w:val="clear" w:color="auto" w:fill="FFFFFF"/>
          <w:lang w:bidi="ar"/>
        </w:rPr>
        <w:t>（二）沃尔玛公司财务目的的实现</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_Toc11456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6</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lang w:bidi="ar"/>
        </w:rPr>
        <w:t>五、沃尔玛公司的竞争战略及SWOT分析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_Toc21281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8</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（一）沃尔玛公司的竞争战略</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_Toc1131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8</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（二）沃尔玛公司的SWOT分析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_Toc440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11</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lang w:bidi="ar"/>
        </w:rPr>
        <w:t>六、沃尔玛核心竞争能力分析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_Toc6917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14</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（一）先进的供应链</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_Toc3443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14</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sz w:val="28"/>
          <w:szCs w:val="28"/>
        </w:rPr>
        <w:t>（二）高效的物流配送</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_Toc25948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16</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（三）良好的公司文化</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_Toc20860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17</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color w:val="000000"/>
          <w:kern w:val="0"/>
          <w:sz w:val="28"/>
          <w:szCs w:val="28"/>
          <w:lang w:bidi="ar"/>
        </w:rPr>
        <w:t>七、沃尔玛的营销风险及风险管理措施分析</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_Toc27962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18</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（一）沃尔玛面临的风险</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_Toc1684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18</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sectPr>
          <w:pgSz w:w="11906" w:h="16838"/>
          <w:pgMar w:top="1701" w:right="1417" w:bottom="1417" w:left="1701" w:header="851" w:footer="992" w:gutter="0"/>
          <w:pgBorders>
            <w:top w:val="none" w:sz="0" w:space="1" w:color="auto"/>
            <w:left w:val="none" w:sz="0" w:space="4" w:color="auto"/>
            <w:bottom w:val="none" w:sz="0" w:space="1" w:color="auto"/>
            <w:right w:val="none" w:sz="0" w:space="4" w:color="auto"/>
          </w:pgBorders>
          <w:pgNumType w:start="3"/>
          <w:cols w:space="708"/>
          <w:docGrid w:type="lines" w:linePitch="312"/>
        </w:sectPr>
      </w:pPr>
      <w:r>
        <w:rPr>
          <w:rFonts w:ascii="宋体" w:hAnsi="宋体" w:cs="宋体" w:hint="eastAsia"/>
          <w:color w:val="000000"/>
          <w:kern w:val="0"/>
          <w:sz w:val="28"/>
          <w:szCs w:val="28"/>
          <w:lang w:bidi="ar"/>
        </w:rPr>
        <w:t>（二）风险管理措施</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_Toc3576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20</w:t>
      </w:r>
      <w:r>
        <w:rPr>
          <w:rFonts w:ascii="宋体" w:hAnsi="宋体" w:cs="宋体" w:hint="eastAsia"/>
          <w:kern w:val="0"/>
          <w:sz w:val="28"/>
          <w:szCs w:val="28"/>
          <w:lang w:bidi="ar"/>
        </w:rPr>
        <w:fldChar w:fldCharType="end"/>
      </w:r>
    </w:p>
    <w:p>
      <w:pPr>
        <w:pStyle w:val="TOC1"/>
        <w:tabs>
          <w:tab w:val="right" w:leader="dot" w:pos="8788"/>
        </w:tabs>
        <w:spacing w:line="460" w:lineRule="auto"/>
        <w:rPr>
          <w:rFonts w:ascii="宋体" w:hAnsi="宋体" w:cs="宋体" w:hint="eastAsia"/>
          <w:kern w:val="0"/>
          <w:sz w:val="28"/>
          <w:szCs w:val="28"/>
          <w:lang w:bidi="ar"/>
        </w:rPr>
      </w:pPr>
      <w:r>
        <w:rPr>
          <w:rFonts w:ascii="黑体" w:eastAsia="黑体" w:hAnsi="黑体" w:cs="黑体" w:hint="eastAsia"/>
          <w:bCs/>
          <w:color w:val="000000"/>
          <w:kern w:val="0"/>
          <w:sz w:val="28"/>
          <w:szCs w:val="28"/>
          <w:lang w:bidi="ar"/>
        </w:rPr>
        <w:t>八、案例启示</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_Toc29157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（一）汲取公司的战略成功之道</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_Toc14979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（二）坚持</w:t>
      </w:r>
      <w:r>
        <w:rPr>
          <w:rFonts w:ascii="宋体" w:hAnsi="宋体" w:cs="宋体" w:hint="eastAsia"/>
          <w:color w:val="000000"/>
          <w:kern w:val="0"/>
          <w:sz w:val="28"/>
          <w:szCs w:val="28"/>
          <w:lang w:bidi="ar"/>
        </w:rPr>
        <w:t>“</w:t>
      </w:r>
      <w:r>
        <w:rPr>
          <w:rFonts w:ascii="宋体" w:hAnsi="宋体" w:cs="宋体" w:hint="eastAsia"/>
          <w:color w:val="000000"/>
          <w:kern w:val="0"/>
          <w:sz w:val="28"/>
          <w:szCs w:val="28"/>
          <w:lang w:bidi="ar"/>
        </w:rPr>
        <w:t>以顾客为导向</w:t>
      </w:r>
      <w:r>
        <w:rPr>
          <w:rFonts w:ascii="宋体" w:hAnsi="宋体" w:cs="宋体" w:hint="eastAsia"/>
          <w:color w:val="000000"/>
          <w:kern w:val="0"/>
          <w:sz w:val="28"/>
          <w:szCs w:val="28"/>
          <w:lang w:bidi="ar"/>
        </w:rPr>
        <w:t>”</w:t>
      </w:r>
      <w:r>
        <w:rPr>
          <w:rFonts w:ascii="宋体" w:hAnsi="宋体" w:cs="宋体" w:hint="eastAsia"/>
          <w:color w:val="000000"/>
          <w:kern w:val="0"/>
          <w:sz w:val="28"/>
          <w:szCs w:val="28"/>
          <w:lang w:bidi="ar"/>
        </w:rPr>
        <w:t>的经营理念</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_Toc7017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23</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（三）坚持</w:t>
      </w:r>
      <w:r>
        <w:rPr>
          <w:rFonts w:ascii="宋体" w:hAnsi="宋体" w:cs="宋体" w:hint="eastAsia"/>
          <w:color w:val="000000"/>
          <w:kern w:val="0"/>
          <w:sz w:val="28"/>
          <w:szCs w:val="28"/>
          <w:lang w:bidi="ar"/>
        </w:rPr>
        <w:t>“</w:t>
      </w:r>
      <w:r>
        <w:rPr>
          <w:rFonts w:ascii="宋体" w:hAnsi="宋体" w:cs="宋体" w:hint="eastAsia"/>
          <w:color w:val="000000"/>
          <w:kern w:val="0"/>
          <w:sz w:val="28"/>
          <w:szCs w:val="28"/>
          <w:lang w:bidi="ar"/>
        </w:rPr>
        <w:t>天天低价</w:t>
      </w:r>
      <w:r>
        <w:rPr>
          <w:rFonts w:ascii="宋体" w:hAnsi="宋体" w:cs="宋体" w:hint="eastAsia"/>
          <w:color w:val="000000"/>
          <w:kern w:val="0"/>
          <w:sz w:val="28"/>
          <w:szCs w:val="28"/>
          <w:lang w:bidi="ar"/>
        </w:rPr>
        <w:t>”</w:t>
      </w:r>
      <w:r>
        <w:rPr>
          <w:rFonts w:ascii="宋体" w:hAnsi="宋体" w:cs="宋体" w:hint="eastAsia"/>
          <w:color w:val="000000"/>
          <w:kern w:val="0"/>
          <w:sz w:val="28"/>
          <w:szCs w:val="28"/>
          <w:lang w:bidi="ar"/>
        </w:rPr>
        <w:t>的经营策略</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_Toc16551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24</w:t>
      </w:r>
      <w:r>
        <w:rPr>
          <w:rFonts w:ascii="宋体" w:hAnsi="宋体" w:cs="宋体" w:hint="eastAsia"/>
          <w:kern w:val="0"/>
          <w:sz w:val="28"/>
          <w:szCs w:val="28"/>
          <w:lang w:bidi="ar"/>
        </w:rPr>
        <w:fldChar w:fldCharType="end"/>
      </w:r>
    </w:p>
    <w:p>
      <w:pPr>
        <w:pStyle w:val="TOC2"/>
        <w:tabs>
          <w:tab w:val="right" w:leader="dot" w:pos="8788"/>
        </w:tabs>
        <w:spacing w:line="460" w:lineRule="auto"/>
        <w:rPr>
          <w:rFonts w:ascii="宋体" w:hAnsi="宋体" w:cs="宋体" w:hint="eastAsia"/>
          <w:kern w:val="0"/>
          <w:sz w:val="28"/>
          <w:szCs w:val="28"/>
          <w:lang w:bidi="ar"/>
        </w:rPr>
      </w:pPr>
      <w:r>
        <w:rPr>
          <w:rFonts w:ascii="宋体" w:hAnsi="宋体" w:cs="宋体" w:hint="eastAsia"/>
          <w:color w:val="000000"/>
          <w:kern w:val="0"/>
          <w:sz w:val="28"/>
          <w:szCs w:val="28"/>
          <w:lang w:bidi="ar"/>
        </w:rPr>
        <w:t>（四）形成激励员工的公司文化</w:t>
      </w:r>
      <w:r>
        <w:rPr>
          <w:rFonts w:ascii="宋体" w:hAnsi="宋体" w:cs="宋体" w:hint="eastAsia"/>
          <w:kern w:val="0"/>
          <w:sz w:val="28"/>
          <w:szCs w:val="28"/>
          <w:lang w:bidi="ar"/>
        </w:rPr>
        <w:tab/>
      </w:r>
      <w:r>
        <w:rPr>
          <w:rFonts w:ascii="宋体" w:hAnsi="宋体" w:cs="宋体" w:hint="eastAsia"/>
          <w:kern w:val="0"/>
          <w:sz w:val="28"/>
          <w:szCs w:val="28"/>
          <w:lang w:bidi="ar"/>
        </w:rPr>
        <w:fldChar w:fldCharType="begin" w:dirty="1"/>
      </w:r>
      <w:r>
        <w:rPr>
          <w:rFonts w:ascii="宋体" w:hAnsi="宋体" w:cs="宋体" w:hint="eastAsia"/>
          <w:kern w:val="0"/>
          <w:sz w:val="28"/>
          <w:szCs w:val="28"/>
          <w:lang w:bidi="ar"/>
        </w:rPr>
        <w:instrText xml:space="preserve"> PAGEREF _Toc20623 </w:instrText>
      </w:r>
      <w:r>
        <w:rPr>
          <w:rFonts w:ascii="宋体" w:hAnsi="宋体" w:cs="宋体" w:hint="eastAsia"/>
          <w:kern w:val="0"/>
          <w:sz w:val="28"/>
          <w:szCs w:val="28"/>
          <w:lang w:bidi="ar"/>
        </w:rPr>
        <w:fldChar w:fldCharType="separate"/>
      </w:r>
      <w:r>
        <w:rPr>
          <w:rFonts w:ascii="宋体" w:hAnsi="宋体" w:cs="宋体" w:hint="eastAsia"/>
          <w:kern w:val="0"/>
          <w:sz w:val="28"/>
          <w:szCs w:val="28"/>
          <w:lang w:bidi="ar"/>
        </w:rPr>
        <w:t>24</w:t>
      </w:r>
      <w:r>
        <w:rPr>
          <w:rFonts w:ascii="宋体" w:hAnsi="宋体" w:cs="宋体" w:hint="eastAsia"/>
          <w:kern w:val="0"/>
          <w:sz w:val="28"/>
          <w:szCs w:val="28"/>
          <w:lang w:bidi="ar"/>
        </w:rPr>
        <w:fldChar w:fldCharType="end"/>
      </w:r>
    </w:p>
    <w:p>
      <w:pPr>
        <w:pStyle w:val="NormalWeb"/>
        <w:widowControl/>
        <w:shd w:val="clear" w:color="auto" w:fill="FFFFFF"/>
        <w:spacing w:before="0" w:beforeAutospacing="0" w:after="0" w:afterAutospacing="0" w:line="480" w:lineRule="exact"/>
        <w:outlineLvl w:val="0"/>
        <w:rPr>
          <w:rFonts w:ascii="黑体" w:eastAsia="黑体" w:hAnsi="黑体" w:cs="黑体" w:hint="eastAsia"/>
          <w:color w:val="000000"/>
          <w:sz w:val="28"/>
          <w:szCs w:val="28"/>
          <w:shd w:val="clear" w:color="auto" w:fill="FFFFFF"/>
        </w:rPr>
      </w:pPr>
      <w:r>
        <w:rPr>
          <w:rFonts w:ascii="宋体" w:hAnsi="宋体" w:cs="宋体" w:hint="eastAsia"/>
          <w:color w:val="000000"/>
          <w:sz w:val="28"/>
          <w:szCs w:val="28"/>
          <w:shd w:val="clear" w:color="auto" w:fill="FFFFFF"/>
          <w:lang w:bidi="ar"/>
        </w:rPr>
        <w:fldChar w:fldCharType="end"/>
      </w:r>
    </w:p>
    <w:p>
      <w:pPr>
        <w:pStyle w:val="NormalWeb"/>
        <w:widowControl/>
        <w:shd w:val="clear" w:color="auto" w:fill="FFFFFF"/>
        <w:spacing w:before="0" w:beforeAutospacing="0" w:after="0" w:afterAutospacing="0" w:line="480" w:lineRule="exact"/>
        <w:outlineLvl w:val="0"/>
        <w:rPr>
          <w:rFonts w:ascii="黑体" w:eastAsia="黑体" w:hAnsi="黑体" w:cs="黑体" w:hint="eastAsia"/>
          <w:color w:val="000000"/>
          <w:sz w:val="28"/>
          <w:szCs w:val="28"/>
          <w:shd w:val="clear" w:color="auto" w:fill="FFFFFF"/>
        </w:rPr>
        <w:sectPr>
          <w:type w:val="nextPage"/>
          <w:pgSz w:w="11906" w:h="16838"/>
          <w:pgMar w:top="1701" w:right="1417" w:bottom="1417" w:left="1701" w:header="851" w:footer="992" w:gutter="0"/>
          <w:pgBorders>
            <w:top w:val="none" w:sz="0" w:space="1" w:color="auto"/>
            <w:left w:val="none" w:sz="0" w:space="4" w:color="auto"/>
            <w:bottom w:val="none" w:sz="0" w:space="1" w:color="auto"/>
            <w:right w:val="none" w:sz="0" w:space="4" w:color="auto"/>
          </w:pgBorders>
          <w:pgNumType w:start="4"/>
          <w:cols w:space="708"/>
          <w:titlePg w:val="0"/>
          <w:docGrid w:type="lines" w:linePitch="312"/>
        </w:sectPr>
      </w:pPr>
    </w:p>
    <w:p>
      <w:pPr>
        <w:pStyle w:val="NormalWeb"/>
        <w:widowControl/>
        <w:shd w:val="clear" w:color="auto" w:fill="FFFFFF"/>
        <w:spacing w:before="0" w:beforeAutospacing="0" w:after="0" w:afterAutospacing="0" w:line="460" w:lineRule="auto"/>
        <w:ind w:firstLine="560" w:firstLineChars="200"/>
        <w:outlineLvl w:val="0"/>
        <w:rPr>
          <w:rFonts w:ascii="黑体" w:eastAsia="黑体" w:hAnsi="黑体" w:cs="黑体" w:hint="eastAsia"/>
          <w:color w:val="000000"/>
          <w:sz w:val="28"/>
          <w:szCs w:val="28"/>
          <w:shd w:val="clear" w:color="auto" w:fill="FFFFFF"/>
        </w:rPr>
      </w:pPr>
      <w:bookmarkStart w:id="0" w:name="_Toc12001"/>
      <w:r>
        <w:rPr>
          <w:rFonts w:ascii="黑体" w:eastAsia="黑体" w:hAnsi="黑体" w:cs="黑体" w:hint="eastAsia"/>
          <w:color w:val="000000"/>
          <w:sz w:val="28"/>
          <w:szCs w:val="28"/>
          <w:shd w:val="clear" w:color="auto" w:fill="FFFFFF"/>
        </w:rPr>
        <w:t>一、案例回顾</w:t>
      </w:r>
      <w:bookmarkEnd w:id="0"/>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沃尔玛公司由美国零售业的传奇人物山姆</w:t>
      </w:r>
      <w:r>
        <w:rPr>
          <w:rFonts w:ascii="黑体" w:eastAsia="黑体" w:hAnsi="黑体" w:cs="黑体" w:hint="eastAsia"/>
          <w:color w:val="000000"/>
          <w:sz w:val="28"/>
          <w:szCs w:val="28"/>
          <w:shd w:val="clear" w:color="auto" w:fill="FFFFFF"/>
        </w:rPr>
        <w:t>·</w:t>
      </w:r>
      <w:r>
        <w:rPr>
          <w:rFonts w:ascii="宋体" w:hAnsi="宋体" w:cs="宋体" w:hint="eastAsia"/>
          <w:color w:val="000000"/>
          <w:sz w:val="28"/>
          <w:szCs w:val="28"/>
          <w:shd w:val="clear" w:color="auto" w:fill="FFFFFF"/>
        </w:rPr>
        <w:t>沃尔顿先生于1962年在阿肯色州成立。通过五十数年的发展，沃尔玛公司已经成为美国最大的私人雇主和世界上最大的连锁零售商。目前，沃尔玛在全球15个国家开设了超过8000家商场，下设53个品牌，员工总数210多万人，每周光顾沃尔玛的顾客2亿人次。沃尔玛1996年进入中国，在深圳开设了第一家沃尔玛购物广场和山姆会员商店。沃尔玛全球采购中心总部于2023年在深圳设立。通过近二十年的发展，目前沃尔玛已经在中国经营多种业态，涉及购物广场、山姆会员商店、社区店,已经在全国20多个省的90多个城市开设了超过180家商场。沃尔玛至今在华发明了超过50,000个就业机会。作为一个杰出的公司公民，沃尔玛自进入中国就积极开展社区服务和慈善公益活动，累计向各种慈善公益事业捐献了近8,000万元的物品和资金，员工累积投入约18万个工时。沃尔玛十分重视环境保护和可连续发展，并把环保360的理念融入到沃尔玛平常工作的每一个环节，同时沃尔玛也鼓励合作伙伴成为沃尔玛环保360计划的一部分，共同致力于中国的环境保护和可连续发展。 　　</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sectPr>
          <w:pgSz w:w="11906" w:h="16838"/>
          <w:pgMar w:top="1701" w:right="1417" w:bottom="1417" w:left="1701" w:header="851" w:footer="992" w:gutter="0"/>
          <w:pgNumType w:start="0"/>
          <w:cols w:space="708"/>
          <w:docGrid w:type="lines" w:linePitch="312"/>
        </w:sectPr>
      </w:pP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与在世界其它地方同样，沃尔玛在中国始终坚持公司的优良传统，即专注于开好每一家店，服务好每一位顾客，始终为顾客提供优质便宜、品种齐全的商品和友善的服务。沃尔玛在中国每开设一家商场，均会为本地引入先进的零售技术及创新的零售观念，帮助提高本地零售业的经营水平和服务质量，从而促进本地经济的共同繁荣。沃尔玛在中国的经营始终坚持本地采购，提供更多的就业机会，支持本地制造业，促进本地经济的发展。目前，沃尔玛中国销售的产品中本地产品达成95%以上，与近2万家供应商建立了合作关系，沃尔玛一贯视供应商为合作伙伴，与供应商共同发展。在2023年的</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财富排行榜</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 xml:space="preserve">中，沃尔玛继续蝉联第一位，这已经是沃尔玛连续数年获此殊荣。 </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bookmarkStart w:id="1" w:name="_Toc31139"/>
      <w:bookmarkStart w:id="2" w:name="_Toc5058"/>
      <w:bookmarkStart w:id="3" w:name="_Toc2703"/>
      <w:bookmarkStart w:id="4" w:name="_Toc23023"/>
      <w:r>
        <w:rPr>
          <w:rFonts w:ascii="宋体" w:hAnsi="宋体" w:cs="宋体" w:hint="eastAsia"/>
          <w:color w:val="000000"/>
          <w:sz w:val="28"/>
          <w:szCs w:val="28"/>
          <w:shd w:val="clear" w:color="auto" w:fill="FFFFFF"/>
        </w:rPr>
        <w:t>二、决定公司竞争优势的公司资源判断标准分析</w:t>
      </w:r>
      <w:bookmarkEnd w:id="1"/>
      <w:bookmarkEnd w:id="2"/>
      <w:bookmarkEnd w:id="3"/>
      <w:bookmarkEnd w:id="4"/>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bookmarkStart w:id="5" w:name="_Toc4654"/>
      <w:r>
        <w:rPr>
          <w:rFonts w:ascii="宋体" w:hAnsi="宋体" w:cs="宋体" w:hint="eastAsia"/>
          <w:color w:val="000000"/>
          <w:sz w:val="28"/>
          <w:szCs w:val="28"/>
          <w:shd w:val="clear" w:color="auto" w:fill="FFFFFF"/>
        </w:rPr>
        <w:t>公司资源分析的目的在于辨认公司的资源状况、公司资源方面所表现出来的优势和劣势以及对未来战略目的制定和实行的影响如何。以下笔者将就决定公司竞争优势的公司资源判断标准进行分析。</w:t>
      </w:r>
      <w:bookmarkEnd w:id="5"/>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在分析一个公司拥有的资源时，必须知道哪些资源是有价值的，可以使公司获得竞争优势。其重要的判断标准如下：</w:t>
      </w:r>
    </w:p>
    <w:p>
      <w:pPr>
        <w:pStyle w:val="NormalWeb"/>
        <w:widowControl/>
        <w:shd w:val="clear" w:color="auto" w:fill="FFFFFF"/>
        <w:spacing w:before="0" w:beforeAutospacing="0" w:after="0" w:afterAutospacing="0" w:line="460" w:lineRule="auto"/>
        <w:ind w:firstLine="560" w:firstLineChars="200"/>
        <w:outlineLvl w:val="1"/>
        <w:rPr>
          <w:rFonts w:ascii="宋体" w:hAnsi="宋体" w:cs="宋体" w:hint="eastAsia"/>
          <w:color w:val="000000"/>
          <w:sz w:val="28"/>
          <w:szCs w:val="28"/>
          <w:shd w:val="clear" w:color="auto" w:fill="FFFFFF"/>
        </w:rPr>
      </w:pPr>
      <w:bookmarkStart w:id="6" w:name="_Toc11195"/>
      <w:bookmarkStart w:id="7" w:name="_Toc12685"/>
      <w:bookmarkStart w:id="8" w:name="_Toc2992"/>
      <w:bookmarkStart w:id="9" w:name="_Toc29795"/>
      <w:r>
        <w:rPr>
          <w:rFonts w:ascii="宋体" w:hAnsi="宋体" w:cs="宋体" w:hint="eastAsia"/>
          <w:color w:val="000000"/>
          <w:sz w:val="28"/>
          <w:szCs w:val="28"/>
          <w:shd w:val="clear" w:color="auto" w:fill="FFFFFF"/>
        </w:rPr>
        <w:t>（一）资源的稀缺性</w:t>
      </w:r>
      <w:bookmarkEnd w:id="6"/>
      <w:bookmarkEnd w:id="7"/>
      <w:bookmarkEnd w:id="8"/>
      <w:bookmarkEnd w:id="9"/>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假如一种资源是所有竞争者都能容易取得的，那么，这种资源便不能成为公司竞争优势的来源。假如公司掌握了取得处在短缺供应状态的资源，而其他的竞争对手又不能获取这种资源，那么，拥有这种稀缺性资源的公司便能获得竞争优势。</w:t>
      </w:r>
    </w:p>
    <w:p>
      <w:pPr>
        <w:pStyle w:val="NormalWeb"/>
        <w:widowControl/>
        <w:shd w:val="clear" w:color="auto" w:fill="FFFFFF"/>
        <w:spacing w:before="0" w:beforeAutospacing="0" w:after="0" w:afterAutospacing="0" w:line="460" w:lineRule="auto"/>
        <w:ind w:firstLine="560" w:firstLineChars="200"/>
        <w:outlineLvl w:val="1"/>
        <w:rPr>
          <w:rFonts w:ascii="宋体" w:hAnsi="宋体" w:cs="宋体" w:hint="eastAsia"/>
          <w:color w:val="000000"/>
          <w:sz w:val="28"/>
          <w:szCs w:val="28"/>
          <w:shd w:val="clear" w:color="auto" w:fill="FFFFFF"/>
        </w:rPr>
      </w:pPr>
      <w:bookmarkStart w:id="10" w:name="_Toc12183"/>
      <w:bookmarkStart w:id="11" w:name="_Toc16716"/>
      <w:bookmarkStart w:id="12" w:name="_Toc21788"/>
      <w:bookmarkStart w:id="13" w:name="_Toc16386"/>
      <w:r>
        <w:rPr>
          <w:rFonts w:ascii="宋体" w:hAnsi="宋体" w:cs="宋体" w:hint="eastAsia"/>
          <w:color w:val="000000"/>
          <w:sz w:val="28"/>
          <w:szCs w:val="28"/>
          <w:shd w:val="clear" w:color="auto" w:fill="FFFFFF"/>
        </w:rPr>
        <w:t>（二）资源的不可模仿性</w:t>
      </w:r>
      <w:bookmarkEnd w:id="10"/>
      <w:bookmarkEnd w:id="11"/>
      <w:bookmarkEnd w:id="12"/>
      <w:bookmarkEnd w:id="13"/>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资源的不可模仿性是竞争优势的来源，也是价值发明的核心。资源的不可模仿性重要有以下四种形式：</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1</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物理上独特的资源</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有些资源是物质自身的特性所决定的。</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2</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具有途径依赖性的资源</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sectPr>
          <w:type w:val="nextPage"/>
          <w:pgSz w:w="11906" w:h="16838"/>
          <w:pgMar w:top="1701" w:right="1417" w:bottom="1417" w:left="1701" w:header="851" w:footer="992" w:gutter="0"/>
          <w:pgNumType w:start="1"/>
          <w:cols w:space="708"/>
          <w:titlePg w:val="0"/>
          <w:docGrid w:type="lines" w:linePitch="312"/>
        </w:sectPr>
      </w:pPr>
      <w:r>
        <w:rPr>
          <w:rFonts w:ascii="宋体" w:hAnsi="宋体" w:cs="宋体" w:hint="eastAsia"/>
          <w:color w:val="000000"/>
          <w:sz w:val="28"/>
          <w:szCs w:val="28"/>
          <w:shd w:val="clear" w:color="auto" w:fill="FFFFFF"/>
        </w:rPr>
        <w:t>这是指那些必须通过长期的积累才干获得的资源。</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3</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具有因果模糊性的资源</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有些资源的潜在的复制者不能清楚其价值究竟在何处，或不能找出准确的复制方法。</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4</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具有经济制约性的资源</w:t>
      </w:r>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这是指产业市场领导者的竞争对手已经拥有复制其资源的能力，但由于市场空间有限只好作罢。</w:t>
      </w:r>
      <w:bookmarkStart w:id="14" w:name="_Toc2011"/>
      <w:bookmarkStart w:id="15" w:name="_Toc6283"/>
      <w:bookmarkStart w:id="16" w:name="_Toc13801"/>
    </w:p>
    <w:p>
      <w:pPr>
        <w:pStyle w:val="NormalWeb"/>
        <w:widowControl/>
        <w:shd w:val="clear" w:color="auto" w:fill="FFFFFF"/>
        <w:spacing w:before="0" w:beforeAutospacing="0" w:after="0" w:afterAutospacing="0" w:line="460" w:lineRule="auto"/>
        <w:ind w:firstLine="560" w:firstLineChars="200"/>
        <w:outlineLvl w:val="1"/>
        <w:rPr>
          <w:rFonts w:ascii="宋体" w:hAnsi="宋体" w:cs="宋体" w:hint="eastAsia"/>
          <w:color w:val="000000"/>
          <w:sz w:val="28"/>
          <w:szCs w:val="28"/>
          <w:shd w:val="clear" w:color="auto" w:fill="FFFFFF"/>
        </w:rPr>
      </w:pPr>
      <w:bookmarkStart w:id="17" w:name="_Toc707"/>
      <w:r>
        <w:rPr>
          <w:rFonts w:ascii="宋体" w:hAnsi="宋体" w:cs="宋体" w:hint="eastAsia"/>
          <w:color w:val="000000"/>
          <w:sz w:val="28"/>
          <w:szCs w:val="28"/>
          <w:shd w:val="clear" w:color="auto" w:fill="FFFFFF"/>
        </w:rPr>
        <w:t>（三）资源的持久性</w:t>
      </w:r>
      <w:bookmarkEnd w:id="14"/>
      <w:bookmarkEnd w:id="15"/>
      <w:bookmarkEnd w:id="16"/>
      <w:bookmarkEnd w:id="17"/>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资源的贬值速度越慢，就越有助于形成核心竞争力。一般来说，有形资源往往都有自己的损耗周期，而无形资源和组织资源则很难拟定其贬值速度。</w:t>
      </w:r>
    </w:p>
    <w:p>
      <w:pPr>
        <w:pStyle w:val="NormalWeb"/>
        <w:widowControl/>
        <w:shd w:val="clear" w:color="auto" w:fill="FFFFFF"/>
        <w:spacing w:before="0" w:beforeAutospacing="0" w:after="0" w:afterAutospacing="0" w:line="460" w:lineRule="auto"/>
        <w:ind w:firstLine="560" w:firstLineChars="200"/>
        <w:outlineLvl w:val="1"/>
        <w:rPr>
          <w:rFonts w:ascii="宋体" w:hAnsi="宋体" w:cs="宋体" w:hint="eastAsia"/>
          <w:color w:val="000000"/>
          <w:sz w:val="28"/>
          <w:szCs w:val="28"/>
          <w:shd w:val="clear" w:color="auto" w:fill="FFFFFF"/>
        </w:rPr>
      </w:pPr>
      <w:bookmarkStart w:id="18" w:name="_Toc15864"/>
      <w:bookmarkStart w:id="19" w:name="_Toc25651"/>
      <w:bookmarkStart w:id="20" w:name="_Toc18135"/>
      <w:bookmarkStart w:id="21" w:name="_Toc21466"/>
      <w:r>
        <w:rPr>
          <w:rFonts w:ascii="宋体" w:hAnsi="宋体" w:cs="宋体" w:hint="eastAsia"/>
          <w:color w:val="000000"/>
          <w:sz w:val="28"/>
          <w:szCs w:val="28"/>
          <w:shd w:val="clear" w:color="auto" w:fill="FFFFFF"/>
        </w:rPr>
        <w:t>（四）资源的不可替代性</w:t>
      </w:r>
      <w:bookmarkEnd w:id="18"/>
      <w:bookmarkEnd w:id="19"/>
      <w:bookmarkEnd w:id="20"/>
      <w:bookmarkEnd w:id="21"/>
    </w:p>
    <w:p>
      <w:pPr>
        <w:pStyle w:val="NormalWeb"/>
        <w:widowControl/>
        <w:shd w:val="clear" w:color="auto" w:fill="FFFFFF"/>
        <w:spacing w:before="0" w:beforeAutospacing="0" w:after="0" w:afterAutospacing="0"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shd w:val="clear" w:color="auto" w:fill="FFFFFF"/>
        </w:rPr>
        <w:t>不可替代的资源是指不具有战略对等性的资源。所谓战略对等性的资源是指假如当两种资源可以分别用于实行同一种战略的话，那么这两种资源就被视为具有战略对等性的资源。通常来说，一项资源越是来源于知识与技能的结合，就越难找到战略对等性的资源。</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综上所述，公司资源是公司所拥有或控制的有效因素的总和，涉及资产、生产或其它作业程序、技能和知识等。</w:t>
      </w:r>
    </w:p>
    <w:p>
      <w:pPr>
        <w:spacing w:line="460" w:lineRule="auto"/>
        <w:ind w:firstLine="560" w:firstLineChars="200"/>
        <w:outlineLvl w:val="0"/>
        <w:rPr>
          <w:rFonts w:ascii="黑体" w:eastAsia="黑体" w:hAnsi="黑体" w:cs="黑体" w:hint="eastAsia"/>
          <w:color w:val="000000"/>
          <w:sz w:val="28"/>
          <w:szCs w:val="28"/>
          <w:shd w:val="clear" w:color="auto" w:fill="FFFFFF"/>
        </w:rPr>
      </w:pPr>
      <w:bookmarkStart w:id="22" w:name="_Toc3553"/>
      <w:bookmarkStart w:id="23" w:name="_Toc7685"/>
      <w:r>
        <w:rPr>
          <w:rFonts w:ascii="黑体" w:eastAsia="黑体" w:hAnsi="黑体" w:cs="黑体" w:hint="eastAsia"/>
          <w:color w:val="000000"/>
          <w:sz w:val="28"/>
          <w:szCs w:val="28"/>
          <w:shd w:val="clear" w:color="auto" w:fill="FFFFFF"/>
        </w:rPr>
        <w:t>三、沃尔玛在大数据和</w:t>
      </w:r>
      <w:r>
        <w:rPr>
          <w:rFonts w:ascii="黑体" w:eastAsia="黑体" w:hAnsi="黑体" w:cs="黑体" w:hint="eastAsia"/>
          <w:color w:val="000000"/>
          <w:sz w:val="28"/>
          <w:szCs w:val="28"/>
          <w:shd w:val="clear" w:color="auto" w:fill="FFFFFF"/>
        </w:rPr>
        <w:t>“</w:t>
      </w:r>
      <w:r>
        <w:rPr>
          <w:rFonts w:ascii="黑体" w:eastAsia="黑体" w:hAnsi="黑体" w:cs="黑体" w:hint="eastAsia"/>
          <w:color w:val="000000"/>
          <w:sz w:val="28"/>
          <w:szCs w:val="28"/>
          <w:shd w:val="clear" w:color="auto" w:fill="FFFFFF"/>
        </w:rPr>
        <w:t>互联网+</w:t>
      </w:r>
      <w:r>
        <w:rPr>
          <w:rFonts w:ascii="黑体" w:eastAsia="黑体" w:hAnsi="黑体" w:cs="黑体" w:hint="eastAsia"/>
          <w:color w:val="000000"/>
          <w:sz w:val="28"/>
          <w:szCs w:val="28"/>
          <w:shd w:val="clear" w:color="auto" w:fill="FFFFFF"/>
        </w:rPr>
        <w:t>”</w:t>
      </w:r>
      <w:r>
        <w:rPr>
          <w:rFonts w:ascii="黑体" w:eastAsia="黑体" w:hAnsi="黑体" w:cs="黑体" w:hint="eastAsia"/>
          <w:color w:val="000000"/>
          <w:sz w:val="28"/>
          <w:szCs w:val="28"/>
          <w:shd w:val="clear" w:color="auto" w:fill="FFFFFF"/>
        </w:rPr>
        <w:t>背景下的战略目的分析</w:t>
      </w:r>
      <w:bookmarkEnd w:id="22"/>
      <w:bookmarkEnd w:id="23"/>
    </w:p>
    <w:p>
      <w:pPr>
        <w:spacing w:line="460" w:lineRule="auto"/>
        <w:ind w:firstLine="560" w:firstLineChars="200"/>
        <w:rPr>
          <w:rFonts w:ascii="宋体" w:hAnsi="宋体" w:cs="宋体" w:hint="eastAsia"/>
          <w:color w:val="000000"/>
          <w:sz w:val="28"/>
          <w:szCs w:val="28"/>
          <w:shd w:val="clear" w:color="auto" w:fill="FFFFFF"/>
        </w:rPr>
        <w:sectPr>
          <w:type w:val="nextPage"/>
          <w:pgSz w:w="11906" w:h="16838"/>
          <w:pgMar w:top="1701" w:right="1417" w:bottom="1417" w:left="1701" w:header="851" w:footer="992" w:gutter="0"/>
          <w:pgNumType w:start="2"/>
          <w:cols w:space="708"/>
          <w:titlePg w:val="0"/>
          <w:docGrid w:type="lines" w:linePitch="312"/>
        </w:sectPr>
      </w:pPr>
      <w:r>
        <w:rPr>
          <w:rFonts w:ascii="宋体" w:hAnsi="宋体" w:cs="宋体" w:hint="eastAsia"/>
          <w:color w:val="000000"/>
          <w:sz w:val="28"/>
          <w:szCs w:val="28"/>
          <w:shd w:val="clear" w:color="auto" w:fill="FFFFFF"/>
        </w:rPr>
        <w:t>近年来，随着信息经济发展，大数据已经成为零售业发展重要手段，逐渐成为了时代浪潮。同时，在</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互联网+</w:t>
      </w:r>
      <w:r>
        <w:rPr>
          <w:rFonts w:ascii="宋体" w:hAnsi="宋体" w:cs="宋体" w:hint="eastAsia"/>
          <w:color w:val="000000"/>
          <w:sz w:val="28"/>
          <w:szCs w:val="28"/>
          <w:shd w:val="clear" w:color="auto" w:fill="FFFFFF"/>
        </w:rPr>
        <w:t>”</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背景下，掌握大量的客户信息并有效开发运用，是智慧商业的核心所在，应用新技术、发展新模式、哺育新业态、拓展新领域成为零售业转型创新的重要途径。沃尔玛在面对信息化社会来临和电子商务席卷全球的情况下，做出了如下两个方面的公司战略目的。</w:t>
      </w:r>
    </w:p>
    <w:p>
      <w:pPr>
        <w:spacing w:line="460" w:lineRule="auto"/>
        <w:ind w:firstLine="560" w:firstLineChars="200"/>
        <w:outlineLvl w:val="1"/>
        <w:rPr>
          <w:rFonts w:ascii="宋体" w:hAnsi="宋体" w:cs="宋体" w:hint="eastAsia"/>
          <w:color w:val="000000"/>
          <w:sz w:val="28"/>
          <w:szCs w:val="28"/>
          <w:shd w:val="clear" w:color="auto" w:fill="FFFFFF"/>
        </w:rPr>
      </w:pPr>
      <w:bookmarkStart w:id="24" w:name="_Toc10340"/>
      <w:bookmarkStart w:id="25" w:name="_Toc5358"/>
      <w:r>
        <w:rPr>
          <w:rFonts w:ascii="宋体" w:hAnsi="宋体" w:cs="宋体" w:hint="eastAsia"/>
          <w:color w:val="000000"/>
          <w:sz w:val="28"/>
          <w:szCs w:val="28"/>
          <w:shd w:val="clear" w:color="auto" w:fill="FFFFFF"/>
        </w:rPr>
        <w:t>（一）线上目的</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加速推动智能化购物</w:t>
      </w:r>
      <w:bookmarkEnd w:id="24"/>
      <w:bookmarkEnd w:id="25"/>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早在1996年，沃尔玛即开通了自己的电商平台Walmart.com，但直到2023年才有配送到店服务</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顾客可以网上下单，到邻近的店取货。2023年，沃尔玛将全球电子商务提高到战略高度，成立全球电子商务总部。2023年沃尔玛董事会科技与电子商务委员会成立。沃尔玛在线的销售额从2023年的16亿美元上升至2023年的40亿美元。据最新财报，2023年沃尔玛全球电子商务销售额约为120亿美元，相对于2023年翻了3倍。尽管升幅显著，但沃尔玛电商一年收入还局限性亚马逊的半个季度收入。电商出现，不只改变了零售市场格局，更改变了普通人的消费习惯。沃尔玛基于此背景下大力发展电子商务，调整全球投资战略去适应这一变化。</w:t>
      </w:r>
    </w:p>
    <w:p>
      <w:pPr>
        <w:spacing w:line="460" w:lineRule="auto"/>
        <w:ind w:firstLine="560" w:firstLineChars="200"/>
        <w:rPr>
          <w:rFonts w:ascii="宋体" w:hAnsi="宋体" w:cs="宋体" w:hint="eastAsia"/>
          <w:color w:val="000000"/>
          <w:sz w:val="28"/>
          <w:szCs w:val="28"/>
          <w:shd w:val="clear" w:color="auto" w:fill="FFFFFF"/>
        </w:rPr>
        <w:sectPr>
          <w:type w:val="nextPage"/>
          <w:pgSz w:w="11906" w:h="16838"/>
          <w:pgMar w:top="1701" w:right="1417" w:bottom="1417" w:left="1701" w:header="851" w:footer="992" w:gutter="0"/>
          <w:pgNumType w:start="3"/>
          <w:cols w:space="708"/>
          <w:titlePg w:val="0"/>
          <w:docGrid w:type="lines" w:linePitch="312"/>
        </w:sectPr>
      </w:pPr>
      <w:r>
        <w:rPr>
          <w:rFonts w:ascii="宋体" w:hAnsi="宋体" w:cs="宋体" w:hint="eastAsia"/>
          <w:color w:val="000000"/>
          <w:sz w:val="28"/>
          <w:szCs w:val="28"/>
          <w:shd w:val="clear" w:color="auto" w:fill="FFFFFF"/>
        </w:rPr>
        <w:t>沃尔玛计划进一步优化移动端app，方便</w:t>
      </w:r>
      <w:hyperlink w:history="1">
        <w:r>
          <w:rPr>
            <w:rFonts w:ascii="宋体" w:hAnsi="宋体" w:cs="宋体" w:hint="eastAsia"/>
            <w:color w:val="000000"/>
            <w:sz w:val="28"/>
            <w:szCs w:val="28"/>
            <w:shd w:val="clear" w:color="auto" w:fill="FFFFFF"/>
          </w:rPr>
          <w:t>顾客</w:t>
        </w:r>
      </w:hyperlink>
      <w:r>
        <w:rPr>
          <w:rFonts w:ascii="宋体" w:hAnsi="宋体" w:cs="宋体" w:hint="eastAsia"/>
          <w:color w:val="000000"/>
          <w:sz w:val="28"/>
          <w:szCs w:val="28"/>
          <w:shd w:val="clear" w:color="auto" w:fill="FFFFFF"/>
        </w:rPr>
        <w:t>随时随地下单，除了送货到家，顾客可以选择到店提货，门店也将逐步开设专门收银台接受不同的电子支付方式。沃尔玛大卖场app上的网购商品将涵盖时令生鲜、干货食品、个人护理、家居清洁等多个品类，为了保证食物的新鲜，对于有储存温度规定的鲜食，沃尔玛配送团队将使用专门的冷藏保鲜袋，以保证商品到达消费者手里时就像与其在门店直接选购时同样新鲜高品质。沃尔玛强调，</w:t>
      </w:r>
      <w:hyperlink w:history="1">
        <w:r>
          <w:rPr>
            <w:rFonts w:ascii="宋体" w:hAnsi="宋体" w:cs="宋体" w:hint="eastAsia"/>
            <w:color w:val="000000"/>
            <w:sz w:val="28"/>
            <w:szCs w:val="28"/>
            <w:shd w:val="clear" w:color="auto" w:fill="FFFFFF"/>
          </w:rPr>
          <w:t>网购服务</w:t>
        </w:r>
      </w:hyperlink>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是实体店服务的有益补充和延伸，沃尔玛将致力于打造最值得顾客信赖的一站式购买、一批次送达的网购服务。沃尔玛正在不断的在扩大投资，招募行业精英，今年沃尔玛电子商务业绩增长超过了30%，预期将继续快速增长。</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沃尔玛认为，电子商务业务和实体店是很好的互补，顾客有时候在线上购物,有时候在实体店购物。沃尔玛力争在门店销售商品，同时也在线上销售商品，互为补充。在像美国这样电子商务更发达的市场，沃尔玛线上业务walmart.com 和沃尔玛商场彼此支持。顾客用手机购物、比价，会发现沃尔玛商场商品价格最实惠。</w:t>
      </w:r>
      <w:bookmarkStart w:id="26" w:name="_Toc12965"/>
    </w:p>
    <w:p>
      <w:pPr>
        <w:spacing w:line="460" w:lineRule="auto"/>
        <w:ind w:firstLine="560" w:firstLineChars="200"/>
        <w:outlineLvl w:val="1"/>
        <w:rPr>
          <w:rFonts w:ascii="宋体" w:hAnsi="宋体" w:cs="宋体" w:hint="eastAsia"/>
          <w:color w:val="000000"/>
          <w:sz w:val="28"/>
          <w:szCs w:val="28"/>
          <w:shd w:val="clear" w:color="auto" w:fill="FFFFFF"/>
        </w:rPr>
      </w:pPr>
      <w:bookmarkStart w:id="27" w:name="_Toc18123"/>
      <w:r>
        <w:rPr>
          <w:rFonts w:ascii="宋体" w:hAnsi="宋体" w:cs="宋体" w:hint="eastAsia"/>
          <w:color w:val="000000"/>
          <w:sz w:val="28"/>
          <w:szCs w:val="28"/>
          <w:shd w:val="clear" w:color="auto" w:fill="FFFFFF"/>
        </w:rPr>
        <w:t>（二）线下目的</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完善自建物流网络</w:t>
      </w:r>
      <w:bookmarkEnd w:id="26"/>
      <w:bookmarkEnd w:id="27"/>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现代零售管理理论认为，门店布局少、物流成本高等因素，成为传统零售业推行电子商务的重要制约因素。随着物流配送中心系统完毕架构性布局，将为沃尔玛中国线上业务发展提供关键支撑。此外，因第三方物流发展时间较短，所以还没有被大范围的推广和使用。目前第三方物流公司在一些服务方面还比较落后，无法满足电子商务需求，比如公司提供的二次包装、配送流程、配送时间、优先配送、服务态度、送货速度等服务。为了达成更高的销售额，减少成本，沃尔玛不惜一切代价开始建立自建物流系统来取代第三方物流。</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一般来说，自建物流系统有如下四点优势：配送效率高、配送时间可控、服务态度可控、返还款及时。总之，电商物流解决方案中可看出自建物流的优势。沃尔玛通过数年的经验看出在未来物流发展市场上，自建物流发展空间会越来越大，被广泛推广和使用。</w:t>
      </w:r>
    </w:p>
    <w:p>
      <w:pPr>
        <w:spacing w:line="460" w:lineRule="auto"/>
        <w:ind w:firstLine="560" w:firstLineChars="200"/>
        <w:rPr>
          <w:rFonts w:ascii="宋体" w:hAnsi="宋体" w:cs="宋体" w:hint="eastAsia"/>
          <w:color w:val="000000"/>
          <w:sz w:val="28"/>
          <w:szCs w:val="28"/>
          <w:shd w:val="clear" w:color="auto" w:fill="FFFFFF"/>
        </w:rPr>
        <w:sectPr>
          <w:type w:val="nextPage"/>
          <w:pgSz w:w="11906" w:h="16838"/>
          <w:pgMar w:top="1701" w:right="1417" w:bottom="1417" w:left="1701" w:header="851" w:footer="992" w:gutter="0"/>
          <w:pgNumType w:start="4"/>
          <w:cols w:space="708"/>
          <w:titlePg w:val="0"/>
          <w:docGrid w:type="lines" w:linePitch="312"/>
        </w:sectPr>
      </w:pP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拿中国来说，为更好推动沃尔玛在中国市场的竞争，过去3年来，沃尔玛总部逐步加大了在中国市场的基础设施投资建设，除食品安全、合规领域外，还重点投资建设了深圳、广州、上海、杭州等11个生鲜配送中心，覆盖中国所有门店。另有9个干货配送中心。截至目前，沃尔玛中国410家门店超过80%的干货和超过50%的生鲜食品是通过物流配送中心配送的。</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过去几年来，沃尔玛一直在美国及其他国际市场进行电商业务的基础设施建设投资。这其中涉及在美国的宾西法尼亚、得克萨斯等地建立4个大型专用电子商务物流配送中心，一个配送中心建筑面积约为1.2万平方英尺，20个足球场那么大。配送能力5倍于传统配送中心。每个物流中心配有沃尔玛专用运送车队。这些电子商务物流中心将以高度自动化和新仓库流程，实现资产的优化配置，为公司带来每年10%的成本节约。</w:t>
      </w:r>
    </w:p>
    <w:p>
      <w:pPr>
        <w:spacing w:line="460" w:lineRule="auto"/>
        <w:ind w:firstLine="560" w:firstLineChars="200"/>
        <w:outlineLvl w:val="0"/>
        <w:rPr>
          <w:rFonts w:ascii="黑体" w:eastAsia="黑体" w:hAnsi="黑体" w:cs="黑体" w:hint="eastAsia"/>
          <w:color w:val="000000"/>
          <w:sz w:val="28"/>
          <w:szCs w:val="28"/>
          <w:shd w:val="clear" w:color="auto" w:fill="FFFFFF"/>
        </w:rPr>
      </w:pPr>
      <w:bookmarkStart w:id="28" w:name="_Toc24945"/>
      <w:bookmarkStart w:id="29" w:name="_Toc25913"/>
      <w:bookmarkStart w:id="30" w:name="_Toc2456"/>
      <w:r>
        <w:rPr>
          <w:rFonts w:ascii="黑体" w:eastAsia="黑体" w:hAnsi="黑体" w:cs="黑体" w:hint="eastAsia"/>
          <w:color w:val="000000"/>
          <w:sz w:val="28"/>
          <w:szCs w:val="28"/>
          <w:shd w:val="clear" w:color="auto" w:fill="FFFFFF"/>
        </w:rPr>
        <w:t>四、沃尔玛的公司财务</w:t>
      </w:r>
      <w:bookmarkEnd w:id="28"/>
      <w:r>
        <w:rPr>
          <w:rFonts w:ascii="黑体" w:eastAsia="黑体" w:hAnsi="黑体" w:cs="黑体" w:hint="eastAsia"/>
          <w:color w:val="000000"/>
          <w:sz w:val="28"/>
          <w:szCs w:val="28"/>
          <w:shd w:val="clear" w:color="auto" w:fill="FFFFFF"/>
        </w:rPr>
        <w:t>管理目的分析</w:t>
      </w:r>
      <w:bookmarkEnd w:id="29"/>
      <w:bookmarkEnd w:id="30"/>
    </w:p>
    <w:p>
      <w:pPr>
        <w:spacing w:line="460" w:lineRule="auto"/>
        <w:ind w:firstLine="560" w:firstLineChars="200"/>
        <w:rPr>
          <w:rFonts w:ascii="宋体" w:hAnsi="宋体" w:cs="宋体" w:hint="eastAsia"/>
          <w:color w:val="000000"/>
          <w:sz w:val="28"/>
          <w:szCs w:val="28"/>
          <w:shd w:val="clear" w:color="auto" w:fill="FFFFFF"/>
        </w:rPr>
      </w:pPr>
      <w:bookmarkStart w:id="31" w:name="_Toc32102"/>
      <w:r>
        <w:rPr>
          <w:rFonts w:ascii="宋体" w:hAnsi="宋体" w:cs="宋体" w:hint="eastAsia"/>
          <w:color w:val="000000"/>
          <w:sz w:val="28"/>
          <w:szCs w:val="28"/>
          <w:shd w:val="clear" w:color="auto" w:fill="FFFFFF"/>
        </w:rPr>
        <w:t>所谓公司财务目的，是指</w:t>
      </w:r>
      <w:hyperlink w:history="1">
        <w:r>
          <w:rPr>
            <w:rFonts w:ascii="宋体" w:hAnsi="宋体" w:cs="宋体" w:hint="eastAsia"/>
            <w:color w:val="000000"/>
            <w:sz w:val="28"/>
            <w:szCs w:val="28"/>
            <w:shd w:val="clear" w:color="auto" w:fill="FFFFFF"/>
          </w:rPr>
          <w:t>公司财务活动</w:t>
        </w:r>
      </w:hyperlink>
      <w:r>
        <w:rPr>
          <w:rFonts w:ascii="宋体" w:hAnsi="宋体" w:cs="宋体" w:hint="eastAsia"/>
          <w:color w:val="000000"/>
          <w:sz w:val="28"/>
          <w:szCs w:val="28"/>
          <w:shd w:val="clear" w:color="auto" w:fill="FFFFFF"/>
        </w:rPr>
        <w:t>在一定环境和条件下应达成的主线目的，是评价公司财务活动是否合理的标准，它决定财务管理的基本方向。下面笔者将从两个方面来分析沃尔玛的财务目的。</w:t>
      </w:r>
      <w:bookmarkStart w:id="32" w:name="_Toc31064"/>
      <w:bookmarkEnd w:id="31"/>
    </w:p>
    <w:p>
      <w:pPr>
        <w:spacing w:line="460" w:lineRule="auto"/>
        <w:ind w:firstLine="560" w:firstLineChars="200"/>
        <w:outlineLvl w:val="1"/>
        <w:rPr>
          <w:rFonts w:ascii="黑体" w:eastAsia="黑体" w:hAnsi="黑体" w:cs="黑体" w:hint="eastAsia"/>
          <w:color w:val="000000"/>
          <w:sz w:val="28"/>
          <w:szCs w:val="28"/>
          <w:shd w:val="clear" w:color="auto" w:fill="FFFFFF"/>
        </w:rPr>
      </w:pPr>
      <w:bookmarkStart w:id="33" w:name="_Toc9078"/>
      <w:r>
        <w:rPr>
          <w:rFonts w:ascii="宋体" w:hAnsi="宋体" w:cs="宋体" w:hint="eastAsia"/>
          <w:color w:val="000000"/>
          <w:sz w:val="28"/>
          <w:szCs w:val="28"/>
          <w:shd w:val="clear" w:color="auto" w:fill="FFFFFF"/>
        </w:rPr>
        <w:t>（一）沃尔玛的财务管理目的</w:t>
      </w:r>
      <w:bookmarkEnd w:id="32"/>
      <w:bookmarkEnd w:id="33"/>
      <w:r>
        <w:rPr>
          <w:rFonts w:ascii="宋体" w:hAnsi="宋体" w:cs="宋体" w:hint="eastAsia"/>
          <w:color w:val="000000"/>
          <w:sz w:val="28"/>
          <w:szCs w:val="28"/>
          <w:shd w:val="clear" w:color="auto" w:fill="FFFFFF"/>
        </w:rPr>
        <w:t>分析</w:t>
      </w:r>
    </w:p>
    <w:p>
      <w:pPr>
        <w:spacing w:line="460" w:lineRule="auto"/>
        <w:ind w:firstLine="560" w:firstLineChars="200"/>
        <w:rPr>
          <w:rFonts w:ascii="宋体" w:hAnsi="宋体" w:cs="宋体" w:hint="eastAsia"/>
          <w:color w:val="000000"/>
          <w:sz w:val="28"/>
          <w:szCs w:val="28"/>
          <w:shd w:val="clear" w:color="auto" w:fill="FFFFFF"/>
        </w:rPr>
      </w:pPr>
      <w:bookmarkStart w:id="34" w:name="_Toc31619"/>
      <w:r>
        <w:rPr>
          <w:rFonts w:ascii="宋体" w:hAnsi="宋体" w:cs="宋体" w:hint="eastAsia"/>
          <w:color w:val="000000"/>
          <w:sz w:val="28"/>
          <w:szCs w:val="28"/>
          <w:shd w:val="clear" w:color="auto" w:fill="FFFFFF"/>
        </w:rPr>
        <w:t>一般来说，财务管理的目的有以下五种模式。利润最大化、每股收益最大化、股东权益最大化、股东财富最大化和公司价值最大化。</w:t>
      </w:r>
      <w:bookmarkEnd w:id="34"/>
    </w:p>
    <w:p>
      <w:pPr>
        <w:spacing w:line="460" w:lineRule="auto"/>
        <w:ind w:firstLine="560" w:firstLineChars="200"/>
        <w:rPr>
          <w:rFonts w:ascii="宋体" w:hAnsi="宋体" w:cs="宋体" w:hint="eastAsia"/>
          <w:color w:val="000000"/>
          <w:sz w:val="28"/>
          <w:szCs w:val="28"/>
          <w:shd w:val="clear" w:color="auto" w:fill="FFFFFF"/>
        </w:rPr>
        <w:sectPr>
          <w:type w:val="nextPage"/>
          <w:pgSz w:w="11906" w:h="16838"/>
          <w:pgMar w:top="1701" w:right="1417" w:bottom="1417" w:left="1701" w:header="851" w:footer="992" w:gutter="0"/>
          <w:pgNumType w:start="5"/>
          <w:cols w:space="708"/>
          <w:titlePg w:val="0"/>
          <w:docGrid w:type="lines" w:linePitch="312"/>
        </w:sectPr>
      </w:pPr>
      <w:r>
        <w:rPr>
          <w:rFonts w:ascii="宋体" w:hAnsi="宋体" w:cs="宋体" w:hint="eastAsia"/>
          <w:color w:val="000000"/>
          <w:sz w:val="28"/>
          <w:szCs w:val="28"/>
          <w:shd w:val="clear" w:color="auto" w:fill="FFFFFF"/>
        </w:rPr>
        <w:t>现代公司是多边契约关系的总和：股东、债权人、职工、政府等，是市场合约的一个联结点。因此，公司目的应充足考虑到契约各方的利益，应是所有参与集团共同作用和妥协的结果。公司的目的就是各类参与者互相作用下的权衡。再者，沃尔玛具有比如</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顾客就是上帝</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的经营理念，并将之扩散到员工、债权人、本地政府、股东、社会公众、供应商，形成了一套完整的经营理念体系。</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从以上分析可以看出，沃尔玛在经营理念上是出于实现公司价值最大化的财务管理目的而制定的，符合公司价值最大化的公司财务管理目的的内涵。权衡与保证了多方利益，为公司的可连续发展奠定了</w:t>
      </w:r>
      <w:bookmarkStart w:id="35" w:name="_Toc23761"/>
      <w:bookmarkStart w:id="36" w:name="_Toc2222"/>
      <w:r>
        <w:rPr>
          <w:rFonts w:ascii="宋体" w:hAnsi="宋体" w:cs="宋体" w:hint="eastAsia"/>
          <w:color w:val="000000"/>
          <w:sz w:val="28"/>
          <w:szCs w:val="28"/>
          <w:shd w:val="clear" w:color="auto" w:fill="FFFFFF"/>
        </w:rPr>
        <w:t>基础。</w:t>
      </w:r>
    </w:p>
    <w:p>
      <w:pPr>
        <w:spacing w:line="460" w:lineRule="auto"/>
        <w:ind w:firstLine="560" w:firstLineChars="200"/>
        <w:outlineLvl w:val="1"/>
        <w:rPr>
          <w:rFonts w:ascii="宋体" w:hAnsi="宋体" w:cs="宋体" w:hint="eastAsia"/>
          <w:color w:val="000000"/>
          <w:sz w:val="28"/>
          <w:szCs w:val="28"/>
          <w:shd w:val="clear" w:color="auto" w:fill="FFFFFF"/>
        </w:rPr>
      </w:pPr>
      <w:bookmarkStart w:id="37" w:name="_Toc11456"/>
      <w:r>
        <w:rPr>
          <w:rFonts w:ascii="宋体" w:hAnsi="宋体" w:cs="宋体" w:hint="eastAsia"/>
          <w:color w:val="000000"/>
          <w:sz w:val="28"/>
          <w:szCs w:val="28"/>
          <w:shd w:val="clear" w:color="auto" w:fill="FFFFFF"/>
        </w:rPr>
        <w:t>（二）沃尔玛公司财务目的的实现</w:t>
      </w:r>
      <w:bookmarkEnd w:id="35"/>
      <w:bookmarkEnd w:id="36"/>
      <w:bookmarkEnd w:id="37"/>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从零售公司的赚钱模式和沃尔玛的经营战略来看，财务没那么复杂，财务管理目的其实相称简朴，就是赚取资金差价。赚取资金差价就等于在为股东发明财富。假如能多、快、好、省地赚取资金差价，就是在为股东多快好省地发明财富，公司价值最大化的财务管理目的就得到了实现。问题是如何又多又快地赚取资金差价呢？沃尔玛的公司财务目的的实现历程或许可以给予比较好的诠释。</w:t>
      </w:r>
    </w:p>
    <w:p>
      <w:pPr>
        <w:spacing w:line="460" w:lineRule="auto"/>
        <w:ind w:firstLine="560" w:firstLineChars="200"/>
        <w:rPr>
          <w:rFonts w:ascii="宋体" w:hAnsi="宋体" w:cs="宋体" w:hint="eastAsia"/>
          <w:color w:val="000000"/>
          <w:sz w:val="28"/>
          <w:szCs w:val="28"/>
          <w:shd w:val="clear" w:color="auto" w:fill="FFFFFF"/>
        </w:rPr>
      </w:pPr>
      <w:bookmarkStart w:id="38" w:name="_Toc14008"/>
      <w:r>
        <w:rPr>
          <w:rFonts w:ascii="宋体" w:hAnsi="宋体" w:cs="宋体" w:hint="eastAsia"/>
          <w:color w:val="000000"/>
          <w:sz w:val="28"/>
          <w:szCs w:val="28"/>
          <w:shd w:val="clear" w:color="auto" w:fill="FFFFFF"/>
        </w:rPr>
        <w:t>1</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减少成本</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沃尔玛的经营战略是</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天天平价，始终如一</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从开业到现在，永远将信守这个不变的承诺。所谓天天平价是指比竞争对手的售价要低，并不是低于经营成本的亏损销售。在运销成本方面，竞争对手一般为销售额的5%，沃尔玛为1.5%；在商品损耗方面，竞争对手的商品损耗率为2%，沃尔玛为1.1%；在人工成本方面，沃尔玛1.8万平方米营业面积可经营约2.5万种商品，营业员人数只有300人，而同样经营规模的我国商业公司一般需2023人左右；在经营成本方面，沃尔玛经营成本占销售额的15.8%，而绝大多数零售公司的经营成本都在40%左右。沃尔玛的低价格是成本节约和规模效益的自然结果</w:t>
      </w:r>
      <w:bookmarkEnd w:id="38"/>
      <w:r>
        <w:rPr>
          <w:rFonts w:ascii="宋体" w:hAnsi="宋体" w:cs="宋体" w:hint="eastAsia"/>
          <w:color w:val="000000"/>
          <w:sz w:val="28"/>
          <w:szCs w:val="28"/>
          <w:shd w:val="clear" w:color="auto" w:fill="FFFFFF"/>
        </w:rPr>
        <w:t>。</w:t>
      </w:r>
    </w:p>
    <w:p>
      <w:pPr>
        <w:spacing w:line="460" w:lineRule="auto"/>
        <w:ind w:firstLine="560" w:firstLineChars="200"/>
        <w:rPr>
          <w:rFonts w:ascii="宋体" w:hAnsi="宋体" w:cs="宋体" w:hint="eastAsia"/>
          <w:color w:val="000000"/>
          <w:sz w:val="28"/>
          <w:szCs w:val="28"/>
          <w:shd w:val="clear" w:color="auto" w:fill="FFFFFF"/>
        </w:rPr>
      </w:pPr>
      <w:bookmarkStart w:id="39" w:name="_Toc10459"/>
      <w:r>
        <w:rPr>
          <w:rFonts w:ascii="宋体" w:hAnsi="宋体" w:cs="宋体" w:hint="eastAsia"/>
          <w:color w:val="000000"/>
          <w:sz w:val="28"/>
          <w:szCs w:val="28"/>
          <w:shd w:val="clear" w:color="auto" w:fill="FFFFFF"/>
        </w:rPr>
        <w:t>2</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钞票周转模式的运用</w:t>
      </w:r>
    </w:p>
    <w:p>
      <w:pPr>
        <w:spacing w:line="460" w:lineRule="auto"/>
        <w:ind w:firstLine="560" w:firstLineChars="200"/>
        <w:rPr>
          <w:rFonts w:ascii="宋体" w:hAnsi="宋体" w:cs="宋体" w:hint="eastAsia"/>
          <w:color w:val="000000"/>
          <w:sz w:val="28"/>
          <w:szCs w:val="28"/>
          <w:shd w:val="clear" w:color="auto" w:fill="FFFFFF"/>
        </w:rPr>
        <w:sectPr>
          <w:type w:val="nextPage"/>
          <w:pgSz w:w="11906" w:h="16838"/>
          <w:pgMar w:top="1701" w:right="1417" w:bottom="1417" w:left="1701" w:header="851" w:footer="992" w:gutter="0"/>
          <w:pgNumType w:start="6"/>
          <w:cols w:space="708"/>
          <w:titlePg w:val="0"/>
          <w:docGrid w:type="lines" w:linePitch="312"/>
        </w:sectPr>
      </w:pP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从形式来看，钞票周转模式是用于拟定公司平常最佳钞票持有量的方式之一。钞票周转期=存货周转期+应收账款周转期-应付账款周转期。用公司经营的财务数据，并假定公司经营和财务状况可以连续下去，预测公司的钞票周转期，再根据公司年钞票需要量预测值，拟定公司的钞票最佳持有量。钞票周转模式为公司提供了战略性的分析线索。</w:t>
      </w:r>
      <w:bookmarkEnd w:id="39"/>
    </w:p>
    <w:p>
      <w:pPr>
        <w:spacing w:line="460" w:lineRule="auto"/>
        <w:ind w:firstLine="560" w:firstLineChars="200"/>
        <w:rPr>
          <w:rFonts w:ascii="宋体" w:hAnsi="宋体" w:cs="宋体" w:hint="eastAsia"/>
          <w:color w:val="000000"/>
          <w:sz w:val="28"/>
          <w:szCs w:val="28"/>
          <w:shd w:val="clear" w:color="auto" w:fill="FFFFFF"/>
        </w:rPr>
      </w:pPr>
      <w:bookmarkStart w:id="40" w:name="_Toc26395"/>
      <w:r>
        <w:rPr>
          <w:rFonts w:ascii="宋体" w:hAnsi="宋体" w:cs="宋体" w:hint="eastAsia"/>
          <w:color w:val="000000"/>
          <w:sz w:val="28"/>
          <w:szCs w:val="28"/>
          <w:shd w:val="clear" w:color="auto" w:fill="FFFFFF"/>
        </w:rPr>
        <w:t>3</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 xml:space="preserve">长期资产的使用效率 </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尽管沃尔玛在信息技术方面投资巨大，拥有自己的卫星定位系统，但沃尔玛还是尽力将这些资产的应用发挥到极致。为了提高这些资产的运用效率，沃尔玛采用EDI与供应商连接，建立自动订货系统。物流环节的规模经济与灵活高效的配送系统共同作用减少了沃尔玛的物流成本。沃尔玛的配送成本不到销售额的3%，而竞争对手则达成4.5%-5%。</w:t>
      </w:r>
      <w:bookmarkEnd w:id="40"/>
    </w:p>
    <w:p>
      <w:pPr>
        <w:spacing w:line="460" w:lineRule="auto"/>
        <w:ind w:firstLine="560" w:firstLineChars="200"/>
        <w:rPr>
          <w:rFonts w:ascii="宋体" w:hAnsi="宋体" w:cs="宋体" w:hint="eastAsia"/>
          <w:color w:val="000000"/>
          <w:sz w:val="28"/>
          <w:szCs w:val="28"/>
          <w:shd w:val="clear" w:color="auto" w:fill="FFFFFF"/>
        </w:rPr>
      </w:pPr>
      <w:bookmarkStart w:id="41" w:name="_Toc29134"/>
      <w:r>
        <w:rPr>
          <w:rFonts w:ascii="宋体" w:hAnsi="宋体" w:cs="宋体" w:hint="eastAsia"/>
          <w:color w:val="000000"/>
          <w:sz w:val="28"/>
          <w:szCs w:val="28"/>
          <w:shd w:val="clear" w:color="auto" w:fill="FFFFFF"/>
        </w:rPr>
        <w:t>4</w:t>
      </w:r>
      <w:r>
        <w:rPr>
          <w:rFonts w:ascii="微软雅黑 Light" w:eastAsia="微软雅黑 Light" w:hAnsi="微软雅黑 Light" w:cs="微软雅黑 Light" w:hint="eastAsia"/>
          <w:color w:val="000000"/>
          <w:sz w:val="28"/>
          <w:szCs w:val="28"/>
          <w:shd w:val="clear" w:color="auto" w:fill="FFFFFF"/>
        </w:rPr>
        <w:t>.</w:t>
      </w:r>
      <w:r>
        <w:rPr>
          <w:rFonts w:ascii="宋体" w:hAnsi="宋体" w:cs="宋体" w:hint="eastAsia"/>
          <w:color w:val="000000"/>
          <w:sz w:val="28"/>
          <w:szCs w:val="28"/>
          <w:shd w:val="clear" w:color="auto" w:fill="FFFFFF"/>
        </w:rPr>
        <w:t>品牌资产的潜力</w:t>
      </w:r>
    </w:p>
    <w:p>
      <w:pPr>
        <w:spacing w:line="460" w:lineRule="auto"/>
        <w:ind w:firstLine="560" w:firstLineChars="200"/>
        <w:rPr>
          <w:rFonts w:ascii="宋体" w:hAnsi="宋体" w:cs="宋体" w:hint="eastAsia"/>
          <w:color w:val="000000"/>
          <w:sz w:val="28"/>
          <w:szCs w:val="28"/>
          <w:shd w:val="clear" w:color="auto" w:fill="FFFFFF"/>
        </w:rPr>
      </w:pPr>
      <w:r>
        <w:rPr>
          <w:rFonts w:ascii="宋体" w:hAnsi="宋体" w:cs="宋体" w:hint="eastAsia"/>
          <w:color w:val="000000"/>
          <w:sz w:val="28"/>
          <w:szCs w:val="28"/>
          <w:shd w:val="clear" w:color="auto" w:fill="FFFFFF"/>
        </w:rPr>
        <w:t>在以知识经济和信息化为特性的社会里，品牌经营已成为公司不能忽视的竞争力量。一旦公司产品和服务有了知名品牌，往往意味着更容易</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骗人</w:t>
      </w:r>
      <w:r>
        <w:rPr>
          <w:rFonts w:ascii="宋体" w:hAnsi="宋体" w:cs="宋体" w:hint="eastAsia"/>
          <w:color w:val="000000"/>
          <w:sz w:val="28"/>
          <w:szCs w:val="28"/>
          <w:shd w:val="clear" w:color="auto" w:fill="FFFFFF"/>
        </w:rPr>
        <w:t>”</w:t>
      </w:r>
      <w:r>
        <w:rPr>
          <w:rFonts w:ascii="宋体" w:hAnsi="宋体" w:cs="宋体" w:hint="eastAsia"/>
          <w:color w:val="000000"/>
          <w:sz w:val="28"/>
          <w:szCs w:val="28"/>
          <w:shd w:val="clear" w:color="auto" w:fill="FFFFFF"/>
        </w:rPr>
        <w:t>，更容易进入市场，更多地选择经营战略，获取市场份额和品牌溢价。</w:t>
      </w:r>
      <w:bookmarkEnd w:id="41"/>
    </w:p>
    <w:p>
      <w:pPr>
        <w:spacing w:line="460" w:lineRule="auto"/>
        <w:ind w:firstLine="560" w:firstLineChars="200"/>
        <w:outlineLvl w:val="0"/>
        <w:rPr>
          <w:rFonts w:ascii="黑体" w:eastAsia="黑体" w:hAnsi="黑体" w:cs="黑体" w:hint="eastAsia"/>
          <w:color w:val="000000"/>
          <w:sz w:val="28"/>
          <w:szCs w:val="28"/>
        </w:rPr>
      </w:pPr>
      <w:bookmarkStart w:id="42" w:name="_Toc3935"/>
      <w:bookmarkStart w:id="43" w:name="_Toc14095"/>
      <w:bookmarkStart w:id="44" w:name="_Toc1307"/>
      <w:bookmarkStart w:id="45" w:name="_Toc21281"/>
      <w:r>
        <w:rPr>
          <w:rFonts w:ascii="黑体" w:eastAsia="黑体" w:hAnsi="黑体" w:cs="黑体" w:hint="eastAsia"/>
          <w:color w:val="000000"/>
          <w:sz w:val="28"/>
          <w:szCs w:val="28"/>
        </w:rPr>
        <w:t>五、沃尔玛公司的竞争战略及其SWOT分析</w:t>
      </w:r>
      <w:bookmarkEnd w:id="42"/>
      <w:bookmarkEnd w:id="43"/>
      <w:bookmarkEnd w:id="44"/>
      <w:bookmarkEnd w:id="45"/>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众所周知，沃尔玛公司自1962年在美国阿肯色州成立以来，通过四十数年的发展，已经成为了美国最大的私人雇主和世界上最大的连锁零售商。目前，沃尔玛公司在全球开设了超过7800家商场，员工总数200多万人，分布在全球16个国家。我们来看一张图表。</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0"/>
        <w:gridCol w:w="1420"/>
        <w:gridCol w:w="1420"/>
        <w:gridCol w:w="1420"/>
        <w:gridCol w:w="1421"/>
        <w:gridCol w:w="142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年份</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1960</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1970</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1980</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1990</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1998</w:t>
            </w:r>
          </w:p>
        </w:tc>
      </w:tr>
      <w:tr>
        <w:tblPrEx>
          <w:tblLayout w:type="fixed"/>
          <w:tblCellMar>
            <w:top w:w="0" w:type="dxa"/>
            <w:left w:w="108" w:type="dxa"/>
            <w:bottom w:w="0" w:type="dxa"/>
            <w:right w:w="108" w:type="dxa"/>
          </w:tblCellMar>
          <w:tblLook w:val="0000"/>
        </w:tblPrEx>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销售额</w:t>
            </w:r>
          </w:p>
        </w:tc>
        <w:tc>
          <w:tcPr>
            <w:tcW w:w="1420" w:type="dxa"/>
          </w:tcPr>
          <w:p>
            <w:pPr>
              <w:spacing w:after="0" w:line="480" w:lineRule="exact"/>
              <w:jc w:val="center"/>
              <w:rPr>
                <w:rFonts w:ascii="宋体" w:hAnsi="宋体" w:cs="宋体" w:hint="eastAsia"/>
                <w:color w:val="000000"/>
                <w:sz w:val="28"/>
                <w:szCs w:val="28"/>
              </w:rPr>
            </w:pPr>
          </w:p>
        </w:tc>
        <w:tc>
          <w:tcPr>
            <w:tcW w:w="1420" w:type="dxa"/>
          </w:tcPr>
          <w:p>
            <w:pPr>
              <w:spacing w:after="0" w:line="480" w:lineRule="exact"/>
              <w:jc w:val="center"/>
              <w:rPr>
                <w:rFonts w:ascii="宋体" w:hAnsi="宋体" w:cs="宋体" w:hint="eastAsia"/>
                <w:color w:val="000000"/>
                <w:sz w:val="28"/>
                <w:szCs w:val="28"/>
              </w:rPr>
            </w:pP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12亿美元</w:t>
            </w:r>
          </w:p>
        </w:tc>
        <w:tc>
          <w:tcPr>
            <w:tcW w:w="1421" w:type="dxa"/>
          </w:tcPr>
          <w:p>
            <w:pPr>
              <w:spacing w:after="0" w:line="480" w:lineRule="exact"/>
              <w:jc w:val="center"/>
              <w:rPr>
                <w:rFonts w:ascii="宋体" w:hAnsi="宋体" w:cs="宋体" w:hint="eastAsia"/>
                <w:color w:val="000000"/>
                <w:sz w:val="28"/>
                <w:szCs w:val="28"/>
              </w:rPr>
            </w:pPr>
          </w:p>
        </w:tc>
        <w:tc>
          <w:tcPr>
            <w:tcW w:w="1421" w:type="dxa"/>
          </w:tcPr>
          <w:p>
            <w:pPr>
              <w:spacing w:after="0" w:line="480" w:lineRule="exact"/>
              <w:jc w:val="center"/>
              <w:rPr>
                <w:rFonts w:ascii="宋体" w:hAnsi="宋体" w:cs="宋体" w:hint="eastAsia"/>
                <w:color w:val="000000"/>
                <w:sz w:val="28"/>
                <w:szCs w:val="28"/>
              </w:rPr>
            </w:pPr>
          </w:p>
        </w:tc>
      </w:tr>
    </w:tbl>
    <w:p>
      <w:pPr>
        <w:sectPr>
          <w:type w:val="nextPage"/>
          <w:pgSz w:w="11906" w:h="16838"/>
          <w:pgMar w:top="1701" w:right="1417" w:bottom="1417" w:left="1701" w:header="851" w:footer="992" w:gutter="0"/>
          <w:pgNumType w:start="7"/>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0"/>
        <w:gridCol w:w="1420"/>
        <w:gridCol w:w="1420"/>
        <w:gridCol w:w="1420"/>
        <w:gridCol w:w="1421"/>
        <w:gridCol w:w="142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20" w:type="dxa"/>
          </w:tcPr>
          <w:p/>
        </w:tc>
        <w:tc>
          <w:tcPr>
            <w:tcW w:w="1420" w:type="dxa"/>
          </w:tcPr>
          <w:p>
            <w:pPr>
              <w:spacing w:before="0" w:line="480" w:lineRule="exact"/>
              <w:jc w:val="center"/>
              <w:rPr>
                <w:rFonts w:ascii="宋体" w:hAnsi="宋体" w:cs="宋体" w:hint="eastAsia"/>
                <w:color w:val="000000"/>
                <w:sz w:val="28"/>
                <w:szCs w:val="28"/>
              </w:rPr>
            </w:pPr>
            <w:r>
              <w:rPr>
                <w:rFonts w:ascii="宋体" w:hAnsi="宋体" w:cs="宋体" w:hint="eastAsia"/>
                <w:color w:val="000000"/>
                <w:sz w:val="28"/>
                <w:szCs w:val="28"/>
              </w:rPr>
              <w:t>140万美元</w:t>
            </w:r>
          </w:p>
        </w:tc>
        <w:tc>
          <w:tcPr>
            <w:tcW w:w="1420" w:type="dxa"/>
          </w:tcPr>
          <w:p>
            <w:pPr>
              <w:spacing w:before="0" w:line="480" w:lineRule="exact"/>
              <w:jc w:val="center"/>
              <w:rPr>
                <w:rFonts w:ascii="宋体" w:hAnsi="宋体" w:cs="宋体" w:hint="eastAsia"/>
                <w:color w:val="000000"/>
                <w:sz w:val="28"/>
                <w:szCs w:val="28"/>
              </w:rPr>
            </w:pPr>
            <w:r>
              <w:rPr>
                <w:rFonts w:ascii="宋体" w:hAnsi="宋体" w:cs="宋体" w:hint="eastAsia"/>
                <w:color w:val="000000"/>
                <w:sz w:val="28"/>
                <w:szCs w:val="28"/>
              </w:rPr>
              <w:t>310万美元</w:t>
            </w:r>
          </w:p>
        </w:tc>
        <w:tc>
          <w:tcPr>
            <w:tcW w:w="1420" w:type="dxa"/>
          </w:tcPr>
          <w:p/>
        </w:tc>
        <w:tc>
          <w:tcPr>
            <w:tcW w:w="1421" w:type="dxa"/>
          </w:tcPr>
          <w:p>
            <w:pPr>
              <w:spacing w:before="0" w:line="480" w:lineRule="exact"/>
              <w:jc w:val="center"/>
              <w:rPr>
                <w:rFonts w:ascii="宋体" w:hAnsi="宋体" w:cs="宋体" w:hint="eastAsia"/>
                <w:color w:val="000000"/>
                <w:sz w:val="28"/>
                <w:szCs w:val="28"/>
              </w:rPr>
            </w:pPr>
            <w:r>
              <w:rPr>
                <w:rFonts w:ascii="宋体" w:hAnsi="宋体" w:cs="宋体" w:hint="eastAsia"/>
                <w:color w:val="000000"/>
                <w:sz w:val="28"/>
                <w:szCs w:val="28"/>
              </w:rPr>
              <w:t>260亿美元</w:t>
            </w:r>
          </w:p>
        </w:tc>
        <w:tc>
          <w:tcPr>
            <w:tcW w:w="1421" w:type="dxa"/>
          </w:tcPr>
          <w:p>
            <w:pPr>
              <w:spacing w:before="0" w:line="480" w:lineRule="exact"/>
              <w:jc w:val="center"/>
              <w:rPr>
                <w:rFonts w:ascii="宋体" w:hAnsi="宋体" w:cs="宋体" w:hint="eastAsia"/>
                <w:color w:val="000000"/>
                <w:sz w:val="28"/>
                <w:szCs w:val="28"/>
              </w:rPr>
            </w:pPr>
            <w:r>
              <w:rPr>
                <w:rFonts w:ascii="宋体" w:hAnsi="宋体" w:cs="宋体" w:hint="eastAsia"/>
                <w:color w:val="000000"/>
                <w:sz w:val="28"/>
                <w:szCs w:val="28"/>
              </w:rPr>
              <w:t>1332亿美元</w:t>
            </w:r>
          </w:p>
        </w:tc>
      </w:tr>
      <w:tr>
        <w:tblPrEx>
          <w:tblLayout w:type="fixed"/>
          <w:tblCellMar>
            <w:top w:w="0" w:type="dxa"/>
            <w:left w:w="108" w:type="dxa"/>
            <w:bottom w:w="0" w:type="dxa"/>
            <w:right w:w="108" w:type="dxa"/>
          </w:tblCellMar>
          <w:tblLook w:val="0000"/>
        </w:tblPrEx>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利润</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11.2万美元</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120万美元</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4100万美元</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10亿美元</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41亿美元</w:t>
            </w:r>
          </w:p>
        </w:tc>
      </w:tr>
      <w:tr>
        <w:tblPrEx>
          <w:tblLayout w:type="fixed"/>
          <w:tblCellMar>
            <w:top w:w="0" w:type="dxa"/>
            <w:left w:w="108" w:type="dxa"/>
            <w:bottom w:w="0" w:type="dxa"/>
            <w:right w:w="108" w:type="dxa"/>
          </w:tblCellMar>
          <w:tblLook w:val="0000"/>
        </w:tblPrEx>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商店数</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9</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32</w:t>
            </w:r>
          </w:p>
        </w:tc>
        <w:tc>
          <w:tcPr>
            <w:tcW w:w="1420"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276</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1528</w:t>
            </w:r>
          </w:p>
        </w:tc>
        <w:tc>
          <w:tcPr>
            <w:tcW w:w="1421" w:type="dxa"/>
          </w:tcPr>
          <w:p>
            <w:pPr>
              <w:spacing w:line="480" w:lineRule="exact"/>
              <w:jc w:val="center"/>
              <w:rPr>
                <w:rFonts w:ascii="宋体" w:hAnsi="宋体" w:cs="宋体" w:hint="eastAsia"/>
                <w:color w:val="000000"/>
                <w:sz w:val="28"/>
                <w:szCs w:val="28"/>
              </w:rPr>
            </w:pPr>
            <w:r>
              <w:rPr>
                <w:rFonts w:ascii="宋体" w:hAnsi="宋体" w:cs="宋体" w:hint="eastAsia"/>
                <w:color w:val="000000"/>
                <w:sz w:val="28"/>
                <w:szCs w:val="28"/>
              </w:rPr>
              <w:t>&gt;3000</w:t>
            </w:r>
          </w:p>
        </w:tc>
      </w:tr>
    </w:tbl>
    <w:p>
      <w:pPr>
        <w:spacing w:line="460" w:lineRule="auto"/>
        <w:jc w:val="center"/>
        <w:rPr>
          <w:rFonts w:ascii="黑体" w:eastAsia="黑体" w:hAnsi="黑体" w:cs="黑体" w:hint="eastAsia"/>
          <w:color w:val="000000"/>
          <w:sz w:val="28"/>
          <w:szCs w:val="28"/>
        </w:rPr>
      </w:pPr>
      <w:r>
        <w:rPr>
          <w:rFonts w:ascii="黑体" w:eastAsia="黑体" w:hAnsi="黑体" w:cs="黑体" w:hint="eastAsia"/>
          <w:color w:val="000000"/>
          <w:sz w:val="28"/>
          <w:szCs w:val="28"/>
        </w:rPr>
        <w:t>图1 沃尔玛的发展历程</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从图一可以看出，沃尔玛连续50年的高速扩张，每隔十年就上一个台阶，直至今日仍未停止，那么是什么使得沃尔玛公司具有如此强大的竞争力和扩张能力呢？笔者下面将对沃尔玛公司的竞争战略方面运用SWOT分析法等理论科学工具进行分析。</w:t>
      </w:r>
      <w:bookmarkStart w:id="46" w:name="_Toc22059"/>
      <w:bookmarkStart w:id="47" w:name="_Toc1858"/>
      <w:bookmarkStart w:id="48" w:name="_Toc18230"/>
    </w:p>
    <w:p>
      <w:pPr>
        <w:spacing w:line="460" w:lineRule="auto"/>
        <w:ind w:firstLine="560" w:firstLineChars="200"/>
        <w:outlineLvl w:val="1"/>
        <w:rPr>
          <w:rFonts w:ascii="宋体" w:hAnsi="宋体" w:cs="宋体" w:hint="eastAsia"/>
          <w:color w:val="000000"/>
          <w:sz w:val="28"/>
          <w:szCs w:val="28"/>
        </w:rPr>
      </w:pPr>
      <w:bookmarkStart w:id="49" w:name="_Toc1131"/>
      <w:r>
        <w:rPr>
          <w:rFonts w:ascii="宋体" w:hAnsi="宋体" w:cs="宋体" w:hint="eastAsia"/>
          <w:color w:val="000000"/>
          <w:sz w:val="28"/>
          <w:szCs w:val="28"/>
        </w:rPr>
        <w:t>（一）沃尔玛公司的竞争战略</w:t>
      </w:r>
      <w:bookmarkEnd w:id="46"/>
      <w:bookmarkEnd w:id="47"/>
      <w:bookmarkEnd w:id="48"/>
      <w:bookmarkEnd w:id="49"/>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1</w:t>
      </w:r>
      <w:r>
        <w:rPr>
          <w:rFonts w:ascii="微软雅黑 Light" w:eastAsia="微软雅黑 Light" w:hAnsi="微软雅黑 Light" w:cs="微软雅黑 Light" w:hint="eastAsia"/>
          <w:color w:val="000000"/>
          <w:sz w:val="28"/>
          <w:szCs w:val="28"/>
        </w:rPr>
        <w:t>.</w:t>
      </w:r>
      <w:r>
        <w:rPr>
          <w:rFonts w:ascii="宋体" w:hAnsi="宋体" w:cs="宋体" w:hint="eastAsia"/>
          <w:color w:val="000000"/>
          <w:sz w:val="28"/>
          <w:szCs w:val="28"/>
        </w:rPr>
        <w:t>以农村包围城市</w:t>
      </w:r>
    </w:p>
    <w:p>
      <w:pPr>
        <w:spacing w:line="460" w:lineRule="auto"/>
        <w:ind w:firstLine="560" w:firstLineChars="200"/>
        <w:rPr>
          <w:rFonts w:ascii="宋体" w:hAnsi="宋体" w:cs="宋体" w:hint="eastAsia"/>
          <w:color w:val="000000"/>
          <w:sz w:val="28"/>
          <w:szCs w:val="28"/>
        </w:rPr>
        <w:sectPr>
          <w:type w:val="nextPage"/>
          <w:pgSz w:w="11906" w:h="16838"/>
          <w:pgMar w:top="1701" w:right="1417" w:bottom="1417" w:left="1701" w:header="851" w:footer="992" w:gutter="0"/>
          <w:pgNumType w:start="8"/>
          <w:cols w:space="708"/>
          <w:titlePg w:val="0"/>
          <w:docGrid w:type="lines" w:linePitch="312"/>
        </w:sectPr>
      </w:pP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在最初的开店策略上，沃尔玛重要针对其竞争对手。分析了竞争对手的实力，商圈的情况，店铺的选址等等。在通过了一系列的分析和调查后，发现小城乡是零售业发展的空白。选择农村是最佳的竞争之路。那里的土地、建筑成本、租金和其他营运费用较低，加之这种缺少竞争的环境对沃尔玛这样一个新建的、既无足够财力又无广泛的供应商关系的独立公司的成长来说，是一个极佳的环境。事实上，正是小镇对零售业的强烈需求为沃尔玛奠定了创建与发展的基础。同时，竞争对手对该市场的忽视以进一步加速了沃尔玛的繁荣。沃尔玛的小镇策略是它一方面占领小城乡市场，再逐渐向全国推动，以成星火燎原之势。沃尔玛虽然扩展迅速但并不莽撞，相反很注意稳扎打，充足运用已有优势，绝不贪大求快。如许多大公司虽销售额节节上升，利润却节节下滑。沃尔玛始终保持了销售额和利润同步上升，在最初2023，甚至利润比销售额上升还快的记录。</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2</w:t>
      </w:r>
      <w:r>
        <w:rPr>
          <w:rFonts w:ascii="微软雅黑 Light" w:eastAsia="微软雅黑 Light" w:hAnsi="微软雅黑 Light" w:cs="微软雅黑 Light" w:hint="eastAsia"/>
          <w:color w:val="000000"/>
          <w:sz w:val="28"/>
          <w:szCs w:val="28"/>
        </w:rPr>
        <w:t>.</w:t>
      </w:r>
      <w:r>
        <w:rPr>
          <w:rFonts w:ascii="宋体" w:hAnsi="宋体" w:cs="宋体" w:hint="eastAsia"/>
          <w:color w:val="000000"/>
          <w:sz w:val="28"/>
          <w:szCs w:val="28"/>
        </w:rPr>
        <w:t>以顾客为中心赢得顾客忠诚</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大量的数据表白，进入20世纪90年代以后，市场份额与利润的相关度已大大减少，顾客忠诚度则成为公司高利润密切相关的因素。在市场营销著述中有许多关于顾客忠诚的定义都反映了市场营销界对顾客忠诚的结识与理解，例如tucker和 Lawrence认为顾客忠诚与否与反复购买的次数密切相关，即顾客忠诚度越高的公司的利润也相对较高。为了提高顾客忠诚度，满足顾客规定，沃尔玛公司推出了一系列如下的特殊服务：</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（1）沃尔玛公司一直致力于</w:t>
      </w:r>
      <w:r>
        <w:rPr>
          <w:rFonts w:ascii="宋体" w:hAnsi="宋体" w:cs="宋体" w:hint="eastAsia"/>
          <w:color w:val="000000"/>
          <w:sz w:val="28"/>
          <w:szCs w:val="28"/>
        </w:rPr>
        <w:t>“</w:t>
      </w:r>
      <w:r>
        <w:rPr>
          <w:rFonts w:ascii="宋体" w:hAnsi="宋体" w:cs="宋体" w:hint="eastAsia"/>
          <w:color w:val="000000"/>
          <w:sz w:val="28"/>
          <w:szCs w:val="28"/>
        </w:rPr>
        <w:t>以顾客为中心</w:t>
      </w:r>
      <w:r>
        <w:rPr>
          <w:rFonts w:ascii="宋体" w:hAnsi="宋体" w:cs="宋体" w:hint="eastAsia"/>
          <w:color w:val="000000"/>
          <w:sz w:val="28"/>
          <w:szCs w:val="28"/>
        </w:rPr>
        <w:t>”</w:t>
      </w:r>
      <w:r>
        <w:rPr>
          <w:rFonts w:ascii="宋体" w:hAnsi="宋体" w:cs="宋体" w:hint="eastAsia"/>
          <w:color w:val="000000"/>
          <w:sz w:val="28"/>
          <w:szCs w:val="28"/>
        </w:rPr>
        <w:t>的经营理念上，提出</w:t>
      </w:r>
      <w:r>
        <w:rPr>
          <w:rFonts w:ascii="宋体" w:hAnsi="宋体" w:cs="宋体" w:hint="eastAsia"/>
          <w:color w:val="000000"/>
          <w:sz w:val="28"/>
          <w:szCs w:val="28"/>
        </w:rPr>
        <w:t>“</w:t>
      </w:r>
      <w:r>
        <w:rPr>
          <w:rFonts w:ascii="宋体" w:hAnsi="宋体" w:cs="宋体" w:hint="eastAsia"/>
          <w:color w:val="000000"/>
          <w:sz w:val="28"/>
          <w:szCs w:val="28"/>
        </w:rPr>
        <w:t>帮顾客节省每一分钱</w:t>
      </w:r>
      <w:r>
        <w:rPr>
          <w:rFonts w:ascii="宋体" w:hAnsi="宋体" w:cs="宋体" w:hint="eastAsia"/>
          <w:color w:val="000000"/>
          <w:sz w:val="28"/>
          <w:szCs w:val="28"/>
        </w:rPr>
        <w:t>”</w:t>
      </w:r>
      <w:r>
        <w:rPr>
          <w:rFonts w:ascii="宋体" w:hAnsi="宋体" w:cs="宋体" w:hint="eastAsia"/>
          <w:color w:val="000000"/>
          <w:sz w:val="28"/>
          <w:szCs w:val="28"/>
        </w:rPr>
        <w:t>的宗旨，实现了价格最便宜的承诺。</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（2）沃尔玛还向顾客提供超一流服务的新享受。公司一贯坚持</w:t>
      </w:r>
      <w:r>
        <w:rPr>
          <w:rFonts w:ascii="宋体" w:hAnsi="宋体" w:cs="宋体" w:hint="eastAsia"/>
          <w:color w:val="000000"/>
          <w:sz w:val="28"/>
          <w:szCs w:val="28"/>
        </w:rPr>
        <w:t>“</w:t>
      </w:r>
      <w:r>
        <w:rPr>
          <w:rFonts w:ascii="宋体" w:hAnsi="宋体" w:cs="宋体" w:hint="eastAsia"/>
          <w:color w:val="000000"/>
          <w:sz w:val="28"/>
          <w:szCs w:val="28"/>
        </w:rPr>
        <w:t>服务胜人一筹、员工与众不同</w:t>
      </w:r>
      <w:r>
        <w:rPr>
          <w:rFonts w:ascii="宋体" w:hAnsi="宋体" w:cs="宋体" w:hint="eastAsia"/>
          <w:color w:val="000000"/>
          <w:sz w:val="28"/>
          <w:szCs w:val="28"/>
        </w:rPr>
        <w:t>”</w:t>
      </w:r>
      <w:r>
        <w:rPr>
          <w:rFonts w:ascii="宋体" w:hAnsi="宋体" w:cs="宋体" w:hint="eastAsia"/>
          <w:color w:val="000000"/>
          <w:sz w:val="28"/>
          <w:szCs w:val="28"/>
        </w:rPr>
        <w:t>的原则。走进沃尔玛，顾客便可以亲身感受到宾至如归的周到服务。</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（3）沃尔玛推行</w:t>
      </w:r>
      <w:r>
        <w:rPr>
          <w:rFonts w:ascii="宋体" w:hAnsi="宋体" w:cs="宋体" w:hint="eastAsia"/>
          <w:color w:val="000000"/>
          <w:sz w:val="28"/>
          <w:szCs w:val="28"/>
        </w:rPr>
        <w:t>“</w:t>
      </w:r>
      <w:r>
        <w:rPr>
          <w:rFonts w:ascii="宋体" w:hAnsi="宋体" w:cs="宋体" w:hint="eastAsia"/>
          <w:color w:val="000000"/>
          <w:sz w:val="28"/>
          <w:szCs w:val="28"/>
        </w:rPr>
        <w:t>一站式</w:t>
      </w:r>
      <w:r>
        <w:rPr>
          <w:rFonts w:ascii="宋体" w:hAnsi="宋体" w:cs="宋体" w:hint="eastAsia"/>
          <w:color w:val="000000"/>
          <w:sz w:val="28"/>
          <w:szCs w:val="28"/>
        </w:rPr>
        <w:t>”</w:t>
      </w:r>
      <w:r>
        <w:rPr>
          <w:rFonts w:ascii="宋体" w:hAnsi="宋体" w:cs="宋体" w:hint="eastAsia"/>
          <w:color w:val="000000"/>
          <w:sz w:val="28"/>
          <w:szCs w:val="28"/>
        </w:rPr>
        <w:t>购物新概念。顾客可以在最短的时间内以最快的速度购齐所有需要的商品，正是这种快捷便利的购物方式吸引了现代消费者。从而提高了沃尔玛公司的顾客忠诚度，为其发展铺平了道路。</w:t>
      </w:r>
      <w:r>
        <w:rPr>
          <w:rFonts w:ascii="宋体" w:hAnsi="宋体" w:cs="宋体" w:hint="eastAsia"/>
          <w:color w:val="000000"/>
          <w:sz w:val="28"/>
          <w:szCs w:val="28"/>
        </w:rPr>
        <w:t> </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（4）免费停车，例如深圳的山姆店营业面积12023多平方米，有近400个免费停车位，而另一家营业面积达17800多平方米的沃尔玛购物广场也设有约150个停车位。</w:t>
      </w:r>
    </w:p>
    <w:p>
      <w:pPr>
        <w:spacing w:line="460" w:lineRule="auto"/>
        <w:ind w:firstLine="560" w:firstLineChars="200"/>
        <w:rPr>
          <w:rFonts w:ascii="宋体" w:hAnsi="宋体" w:cs="宋体" w:hint="eastAsia"/>
          <w:color w:val="000000"/>
          <w:sz w:val="28"/>
          <w:szCs w:val="28"/>
        </w:rPr>
      </w:pPr>
      <w:r>
        <w:rPr>
          <w:rFonts w:ascii="宋体" w:hAnsi="宋体" w:cs="宋体" w:hint="eastAsia"/>
          <w:color w:val="000000"/>
          <w:sz w:val="28"/>
          <w:szCs w:val="28"/>
        </w:rPr>
        <w:t>（5）沃尔玛将糕点房搬进了商场，并设有</w:t>
      </w:r>
      <w:r>
        <w:rPr>
          <w:rFonts w:ascii="宋体" w:hAnsi="宋体" w:cs="宋体" w:hint="eastAsia"/>
          <w:color w:val="000000"/>
          <w:sz w:val="28"/>
          <w:szCs w:val="28"/>
        </w:rPr>
        <w:t>“</w:t>
      </w:r>
      <w:r>
        <w:rPr>
          <w:rFonts w:ascii="宋体" w:hAnsi="宋体" w:cs="宋体" w:hint="eastAsia"/>
          <w:color w:val="000000"/>
          <w:sz w:val="28"/>
          <w:szCs w:val="28"/>
        </w:rPr>
        <w:t>山姆休闲廊</w:t>
      </w:r>
      <w:r>
        <w:rPr>
          <w:rFonts w:ascii="宋体" w:hAnsi="宋体" w:cs="宋体" w:hint="eastAsia"/>
          <w:color w:val="000000"/>
          <w:sz w:val="28"/>
          <w:szCs w:val="28"/>
        </w:rPr>
        <w:t>”</w:t>
      </w:r>
      <w:r>
        <w:rPr>
          <w:rFonts w:ascii="宋体" w:hAnsi="宋体" w:cs="宋体" w:hint="eastAsia"/>
          <w:color w:val="000000"/>
          <w:sz w:val="28"/>
          <w:szCs w:val="28"/>
        </w:rPr>
        <w:br/>
      </w:r>
      <w:r>
        <w:rPr>
          <w:rFonts w:ascii="宋体" w:hAnsi="宋体" w:cs="宋体" w:hint="eastAsi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https://d.book118.com/017130031061006033</w:t>
        </w:r>
      </w:hyperlink>
    </w:p>
    <w:p>
      <w:pPr>
        <w:spacing w:line="460" w:lineRule="auto"/>
        <w:ind w:firstLine="560" w:firstLineChars="200"/>
        <w:rPr>
          <w:rFonts w:ascii="宋体" w:hAnsi="宋体" w:cs="宋体" w:hint="eastAsia"/>
          <w:color w:val="000000"/>
          <w:sz w:val="28"/>
          <w:szCs w:val="28"/>
        </w:rPr>
      </w:pPr>
    </w:p>
    <w:sectPr>
      <w:type w:val="nextPage"/>
      <w:pgSz w:w="11906" w:h="16838"/>
      <w:pgMar w:top="1701" w:right="1417" w:bottom="1417" w:left="1701"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微软雅黑 Light">
    <w:altName w:val="黑体"/>
    <w:panose1 w:val="020B0502040204020203"/>
    <w:charset w:val="86"/>
    <w:family w:val="swiss"/>
    <w:pitch w:val="default"/>
    <w:sig w:usb0="A00002BF" w:usb1="28CF0010" w:usb2="00000016" w:usb3="00000000" w:csb0="0004000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79EBC"/>
    <w:multiLevelType w:val="singleLevel"/>
    <w:tmpl w:val="56279EBC"/>
    <w:lvl w:ilvl="0">
      <w:start w:val="1"/>
      <w:numFmt w:val="decimal"/>
      <w:suff w:val="nothing"/>
      <w:lvlText w:val="%1."/>
      <w:lvlJc w:val="left"/>
    </w:lvl>
  </w:abstractNum>
  <w:abstractNum w:abstractNumId="1">
    <w:nsid w:val="5627A20D"/>
    <w:multiLevelType w:val="singleLevel"/>
    <w:tmpl w:val="5627A20D"/>
    <w:lvl w:ilvl="0">
      <w:start w:val="1"/>
      <w:numFmt w:val="decimal"/>
      <w:suff w:val="nothing"/>
      <w:lvlText w:val="%1."/>
      <w:lvlJc w:val="left"/>
    </w:lvl>
  </w:abstractNum>
  <w:abstractNum w:abstractNumId="2">
    <w:nsid w:val="5627A51B"/>
    <w:multiLevelType w:val="singleLevel"/>
    <w:tmpl w:val="5627A51B"/>
    <w:lvl w:ilvl="0">
      <w:start w:val="1"/>
      <w:numFmt w:val="decimal"/>
      <w:suff w:val="nothing"/>
      <w:lvlText w:val="%1."/>
      <w:lvlJc w:val="left"/>
    </w:lvl>
  </w:abstractNum>
  <w:abstractNum w:abstractNumId="3">
    <w:nsid w:val="5627A629"/>
    <w:multiLevelType w:val="singleLevel"/>
    <w:tmpl w:val="5627A629"/>
    <w:lvl w:ilvl="0">
      <w:start w:val="1"/>
      <w:numFmt w:val="decimal"/>
      <w:suff w:val="nothing"/>
      <w:lvlText w:val="%1."/>
      <w:lvlJc w:val="left"/>
    </w:lvl>
  </w:abstractNum>
  <w:abstractNum w:abstractNumId="4">
    <w:nsid w:val="5627AA15"/>
    <w:multiLevelType w:val="singleLevel"/>
    <w:tmpl w:val="5627AA15"/>
    <w:lvl w:ilvl="0">
      <w:start w:val="1"/>
      <w:numFmt w:val="decimal"/>
      <w:suff w:val="nothing"/>
      <w:lvlText w:val="%1."/>
      <w:lvlJc w:val="left"/>
    </w:lvl>
  </w:abstractNum>
  <w:abstractNum w:abstractNumId="5">
    <w:nsid w:val="5627AB88"/>
    <w:multiLevelType w:val="singleLevel"/>
    <w:tmpl w:val="5627AB88"/>
    <w:lvl w:ilvl="0">
      <w:start w:val="1"/>
      <w:numFmt w:val="decimal"/>
      <w:suff w:val="nothing"/>
      <w:lvlText w:val="%1."/>
      <w:lvlJc w:val="left"/>
    </w:lvl>
  </w:abstractNum>
  <w:abstractNum w:abstractNumId="6">
    <w:nsid w:val="5627ACFD"/>
    <w:multiLevelType w:val="singleLevel"/>
    <w:tmpl w:val="5627ACFD"/>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5F5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character" w:styleId="Hyperlink">
    <w:name w:val="Hyperlink"/>
    <w:rPr>
      <w:color w:val="0000FF"/>
      <w:u w:val="single"/>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2">
    <w:name w:val="toc 2"/>
    <w:basedOn w:val="Normal"/>
    <w:next w:val="Normal"/>
    <w:pPr>
      <w:ind w:left="420" w:leftChars="200"/>
    </w:p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paragraph" w:styleId="Footer">
    <w:name w:val="footer"/>
    <w:basedOn w:val="Normal"/>
    <w:pPr>
      <w:tabs>
        <w:tab w:val="center" w:pos="4153"/>
        <w:tab w:val="right" w:pos="8306"/>
      </w:tabs>
      <w:snapToGrid w:val="0"/>
      <w:jc w:val="left"/>
    </w:pPr>
    <w:rPr>
      <w:sz w:val="18"/>
    </w:rPr>
  </w:style>
  <w:style w:type="paragraph" w:styleId="TOC1">
    <w:name w:val="toc 1"/>
    <w:basedOn w:val="Normal"/>
    <w:next w:val="Normal"/>
  </w:style>
  <w:style w:type="paragraph" w:styleId="PlainText">
    <w:name w:val="Plain Text"/>
    <w:basedOn w:val="Normal"/>
    <w:rPr>
      <w:rFonts w:ascii="宋体" w:hAnsi="Courier New" w:cs="Courier New"/>
      <w:szCs w:val="21"/>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7130031061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18</Pages>
  <Words>2899</Words>
  <Characters>16525</Characters>
  <Application>Microsoft Office Word</Application>
  <DocSecurity>0</DocSecurity>
  <Lines>137</Lines>
  <Paragraphs>38</Paragraphs>
  <ScaleCrop>false</ScaleCrop>
  <Manager>金武攸</Manager>
  <Company/>
  <LinksUpToDate>false</LinksUpToDate>
  <CharactersWithSpaces>19386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2023战略管理案例研究</dc:title>
  <dc:subject>2023战略管理案例研究</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