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ind w:firstLine="1800" w:firstLineChars="600"/>
        <w:rPr>
          <w:rFonts w:ascii="宋体" w:hAnsi="宋体"/>
          <w:b/>
          <w:sz w:val="30"/>
          <w:szCs w:val="30"/>
          <w:u w:val="single"/>
        </w:rPr>
      </w:pPr>
    </w:p>
    <w:p>
      <w:pPr>
        <w:ind w:firstLine="1800" w:firstLineChars="600"/>
        <w:rPr>
          <w:rFonts w:ascii="宋体" w:hAnsi="宋体"/>
          <w:b/>
          <w:sz w:val="30"/>
          <w:szCs w:val="30"/>
          <w:u w:val="single"/>
        </w:rPr>
      </w:pPr>
    </w:p>
    <w:p>
      <w:pPr>
        <w:ind w:firstLine="1800" w:firstLineChars="600"/>
        <w:rPr>
          <w:rFonts w:ascii="宋体" w:hAnsi="宋体"/>
          <w:b/>
          <w:sz w:val="30"/>
          <w:szCs w:val="30"/>
          <w:u w:val="single"/>
        </w:rPr>
      </w:pPr>
    </w:p>
    <w:p>
      <w:pPr>
        <w:ind w:firstLine="1800" w:firstLineChars="600"/>
        <w:rPr>
          <w:rFonts w:ascii="宋体" w:hAnsi="宋体"/>
          <w:b/>
          <w:sz w:val="30"/>
          <w:szCs w:val="30"/>
          <w:u w:val="single"/>
        </w:rPr>
      </w:pPr>
    </w:p>
    <w:p>
      <w:pPr>
        <w:ind w:firstLine="1800" w:firstLineChars="600"/>
        <w:rPr>
          <w:rFonts w:ascii="宋体" w:hAnsi="宋体"/>
          <w:b/>
          <w:sz w:val="30"/>
          <w:szCs w:val="30"/>
          <w:u w:val="single"/>
        </w:rPr>
      </w:pPr>
    </w:p>
    <w:p>
      <w:pPr>
        <w:jc w:val="center"/>
        <w:rPr>
          <w:rFonts w:ascii="黑体" w:eastAsia="黑体" w:hAnsi="黑体" w:cs="黑体"/>
          <w:sz w:val="32"/>
          <w:szCs w:val="32"/>
        </w:rPr>
      </w:pPr>
    </w:p>
    <w:p>
      <w:pPr>
        <w:jc w:val="center"/>
        <w:rPr>
          <w:rFonts w:ascii="黑体" w:eastAsia="黑体" w:hAnsi="黑体" w:cs="黑体"/>
          <w:sz w:val="32"/>
          <w:szCs w:val="32"/>
        </w:rPr>
      </w:pPr>
      <w:bookmarkStart w:id="0" w:name="_GoBack"/>
      <w:r>
        <w:rPr>
          <w:rFonts w:ascii="黑体" w:eastAsia="黑体" w:hAnsi="黑体" w:cs="黑体" w:hint="eastAsia"/>
          <w:sz w:val="32"/>
          <w:szCs w:val="32"/>
        </w:rPr>
        <w:t>RFID-ETC闸机系统设计</w:t>
      </w:r>
    </w:p>
    <w:bookmarkEnd w:id="0"/>
    <w:p>
      <w:pPr>
        <w:jc w:val="center"/>
        <w:rPr>
          <w:rFonts w:ascii="黑体" w:eastAsia="黑体" w:hAnsi="黑体" w:cs="黑体"/>
          <w:sz w:val="32"/>
          <w:szCs w:val="32"/>
        </w:rPr>
      </w:pPr>
    </w:p>
    <w:p>
      <w:pPr>
        <w:ind w:firstLine="1800" w:firstLineChars="600"/>
        <w:rPr>
          <w:rFonts w:ascii="宋体" w:hAnsi="宋体"/>
          <w:b/>
          <w:sz w:val="30"/>
          <w:szCs w:val="30"/>
          <w:u w:val="single"/>
        </w:rPr>
      </w:pPr>
    </w:p>
    <w:p>
      <w:pPr>
        <w:jc w:val="center"/>
        <w:rPr>
          <w:rFonts w:ascii="黑体" w:eastAsia="黑体" w:hAnsi="黑体" w:cs="黑体"/>
          <w:b/>
          <w:bCs/>
          <w:sz w:val="36"/>
          <w:szCs w:val="36"/>
        </w:rPr>
      </w:pPr>
    </w:p>
    <w:p>
      <w:pPr>
        <w:spacing w:after="100"/>
      </w:pPr>
      <w:bookmarkStart w:id="1" w:name="_Toc24553"/>
      <w:r>
        <w:rPr>
          <w:rStyle w:val="1Char"/>
          <w:rFonts w:hint="eastAsia"/>
          <w:b w:val="0"/>
          <w:bCs/>
        </w:rPr>
        <w:t>内容提要</w:t>
      </w:r>
      <w:bookmarkEnd w:id="1"/>
      <w:r>
        <w:rPr>
          <w:rFonts w:ascii="黑体" w:eastAsia="黑体" w:hAnsi="黑体" w:cs="黑体" w:hint="eastAsia"/>
          <w:sz w:val="28"/>
          <w:szCs w:val="28"/>
        </w:rPr>
        <w:t>：</w:t>
      </w:r>
    </w:p>
    <w:p>
      <w:pPr>
        <w:spacing w:after="100"/>
        <w:ind w:firstLine="480" w:firstLineChars="200"/>
        <w:rPr>
          <w:rFonts w:ascii="宋体" w:hAnsi="宋体" w:cs="宋体"/>
          <w:sz w:val="24"/>
        </w:rPr>
      </w:pPr>
      <w:r>
        <w:rPr>
          <w:rFonts w:ascii="宋体" w:hAnsi="宋体" w:cs="宋体" w:hint="eastAsia"/>
          <w:sz w:val="24"/>
        </w:rPr>
        <w:t>ETC闸机系统即不停车收费系统（Electronic Toll Collection,ETC）是智能交通系统中的一个重要领域和应用环节，也被称为自动道路缴费系统，是一种专门用于高速或桥梁收费道路的道路收费方式，通常见于高速公路、施行收费政策的桥梁或隧道以及市中心部分路段，该收费方式用以缓解城市交通的拥堵状况。通过安装在车辆挡风玻璃上的车载电子标签与收费站ETC车道上的微波天线之间的微波专用短程通信，利用计算机联网技术与银行系统进行后台结算处理，从而实现车辆通过路桥收费站不需要停车便能完成缴纳费用的目的。通过这种不停车收费的技术手段，可以大大提高公路的通行能力、车辆运行的效率，同时还能降低汽车油耗和对车辆的损耗、减少汽车的尾气排放，从而起到节约能源和保护环境的作用。</w:t>
      </w:r>
    </w:p>
    <w:p>
      <w:pPr>
        <w:spacing w:after="100"/>
        <w:ind w:firstLine="480" w:firstLineChars="200"/>
        <w:rPr>
          <w:rFonts w:ascii="宋体" w:hAnsi="宋体" w:cs="宋体"/>
          <w:sz w:val="24"/>
        </w:rPr>
      </w:pPr>
      <w:r>
        <w:rPr>
          <w:rFonts w:ascii="宋体" w:hAnsi="宋体" w:cs="宋体" w:hint="eastAsia"/>
          <w:sz w:val="24"/>
        </w:rPr>
        <w:t>目前，我国90%以上的高速公路的收费方式还是采用人工收费或办自动收费方式。如今，它们已经成为我国道路发展的主要瓶颈，承载着以下4个方面的弊端：</w:t>
      </w:r>
    </w:p>
    <w:p>
      <w:pPr>
        <w:numPr>
          <w:ilvl w:val="0"/>
          <w:numId w:val="1"/>
        </w:numPr>
        <w:spacing w:after="100"/>
        <w:ind w:firstLine="480" w:firstLineChars="200"/>
        <w:rPr>
          <w:rFonts w:ascii="宋体" w:hAnsi="宋体" w:cs="宋体"/>
          <w:sz w:val="24"/>
        </w:rPr>
      </w:pPr>
      <w:r>
        <w:rPr>
          <w:rFonts w:ascii="宋体" w:hAnsi="宋体" w:cs="宋体" w:hint="eastAsia"/>
          <w:sz w:val="24"/>
        </w:rPr>
        <w:t>收费设施及技术落后，收费站出入口容易形成交通拥挤；</w:t>
      </w:r>
    </w:p>
    <w:p>
      <w:pPr>
        <w:numPr>
          <w:ilvl w:val="0"/>
          <w:numId w:val="1"/>
        </w:numPr>
        <w:spacing w:after="100"/>
        <w:ind w:firstLine="480" w:firstLineChars="200"/>
        <w:rPr>
          <w:rFonts w:ascii="宋体" w:hAnsi="宋体" w:cs="宋体"/>
          <w:sz w:val="24"/>
        </w:rPr>
      </w:pPr>
      <w:r>
        <w:rPr>
          <w:rFonts w:ascii="宋体" w:hAnsi="宋体" w:cs="宋体" w:hint="eastAsia"/>
          <w:sz w:val="24"/>
        </w:rPr>
        <w:t>各路段收费方式、标准的不统一，给车主缴费造成混乱；</w:t>
      </w:r>
    </w:p>
    <w:p>
      <w:pPr>
        <w:numPr>
          <w:ilvl w:val="0"/>
          <w:numId w:val="1"/>
        </w:numPr>
        <w:spacing w:after="100"/>
        <w:ind w:firstLine="480" w:firstLineChars="200"/>
        <w:rPr>
          <w:rFonts w:ascii="宋体" w:hAnsi="宋体" w:cs="宋体"/>
          <w:sz w:val="24"/>
        </w:rPr>
      </w:pPr>
      <w:r>
        <w:rPr>
          <w:rFonts w:ascii="宋体" w:hAnsi="宋体" w:cs="宋体" w:hint="eastAsia"/>
          <w:sz w:val="24"/>
        </w:rPr>
        <w:t>财务管理混乱，票务流失严重；</w:t>
      </w:r>
    </w:p>
    <w:p>
      <w:pPr>
        <w:numPr>
          <w:ilvl w:val="0"/>
          <w:numId w:val="1"/>
        </w:numPr>
        <w:spacing w:after="100"/>
        <w:ind w:firstLine="480" w:firstLineChars="200"/>
        <w:rPr>
          <w:rFonts w:ascii="宋体" w:hAnsi="宋体" w:cs="宋体"/>
          <w:sz w:val="24"/>
        </w:rPr>
      </w:pPr>
      <w:r>
        <w:rPr>
          <w:rFonts w:ascii="宋体" w:hAnsi="宋体" w:cs="宋体" w:hint="eastAsia"/>
          <w:sz w:val="24"/>
        </w:rPr>
        <w:t>收费停车，停车排队浪费时间和燃料，汽车排出的尾气对环境造成污染。</w:t>
      </w:r>
    </w:p>
    <w:p>
      <w:pPr>
        <w:spacing w:after="100"/>
        <w:ind w:firstLine="480" w:firstLineChars="200"/>
        <w:rPr>
          <w:rFonts w:ascii="宋体" w:hAnsi="宋体" w:cs="宋体"/>
          <w:sz w:val="24"/>
        </w:rPr>
      </w:pPr>
      <w:r>
        <w:rPr>
          <w:rFonts w:ascii="宋体" w:hAnsi="宋体" w:cs="宋体" w:hint="eastAsia"/>
          <w:sz w:val="24"/>
        </w:rPr>
        <w:t>因此，采用更加先进的收费系统才能更好的解决当前收费系统的诸多问题。</w:t>
      </w:r>
    </w:p>
    <w:p>
      <w:pPr>
        <w:spacing w:after="100"/>
        <w:rPr>
          <w:rFonts w:ascii="黑体" w:eastAsia="黑体" w:hAnsi="黑体" w:cs="黑体"/>
          <w:sz w:val="24"/>
        </w:rPr>
        <w:sectPr>
          <w:pgSz w:w="11906" w:h="16838"/>
          <w:pgMar w:top="1440" w:right="1800" w:bottom="1440" w:left="1800" w:header="851" w:footer="992" w:gutter="0"/>
          <w:cols w:num="1" w:space="720"/>
          <w:docGrid w:type="lines" w:linePitch="312" w:charSpace="0"/>
        </w:sectPr>
      </w:pPr>
      <w:r>
        <w:rPr>
          <w:rFonts w:ascii="黑体" w:eastAsia="黑体" w:hAnsi="黑体" w:cs="黑体" w:hint="eastAsia"/>
          <w:sz w:val="28"/>
          <w:szCs w:val="28"/>
        </w:rPr>
        <w:t>关键词</w:t>
      </w:r>
      <w:r>
        <w:rPr>
          <w:rFonts w:ascii="宋体" w:hAnsi="宋体" w:cs="宋体" w:hint="eastAsia"/>
          <w:szCs w:val="21"/>
        </w:rPr>
        <w:t>：</w:t>
      </w:r>
      <w:r>
        <w:rPr>
          <w:rFonts w:ascii="黑体" w:eastAsia="黑体" w:hAnsi="黑体" w:cs="黑体" w:hint="eastAsia"/>
          <w:sz w:val="24"/>
        </w:rPr>
        <w:t>ETC AVI 射频识别技术</w:t>
      </w:r>
    </w:p>
    <w:p>
      <w:pPr>
        <w:spacing w:after="100"/>
        <w:rPr>
          <w:rFonts w:ascii="黑体" w:eastAsia="黑体" w:hAnsi="黑体" w:cs="黑体"/>
          <w:sz w:val="24"/>
        </w:rPr>
      </w:pPr>
    </w:p>
    <w:p>
      <w:pPr>
        <w:spacing w:after="100"/>
        <w:jc w:val="center"/>
        <w:rPr>
          <w:rFonts w:ascii="Arial Unicode MS" w:eastAsia="Arial Unicode MS" w:hAnsi="Arial Unicode MS" w:cs="Arial Unicode MS"/>
          <w:b/>
          <w:bCs/>
          <w:sz w:val="32"/>
          <w:szCs w:val="32"/>
        </w:rPr>
      </w:pPr>
    </w:p>
    <w:p>
      <w:pPr>
        <w:spacing w:after="100"/>
        <w:jc w:val="center"/>
        <w:rPr>
          <w:rFonts w:ascii="Arial Unicode MS" w:eastAsia="Arial Unicode MS" w:hAnsi="Arial Unicode MS" w:cs="Arial Unicode MS"/>
          <w:b/>
          <w:bCs/>
          <w:sz w:val="32"/>
          <w:szCs w:val="32"/>
        </w:rPr>
      </w:pPr>
    </w:p>
    <w:p>
      <w:pPr>
        <w:spacing w:after="100"/>
        <w:jc w:val="center"/>
        <w:rPr>
          <w:rFonts w:ascii="Arial Unicode MS" w:eastAsia="Arial Unicode MS" w:hAnsi="Arial Unicode MS" w:cs="Arial Unicode MS"/>
          <w:b/>
          <w:bCs/>
          <w:sz w:val="32"/>
          <w:szCs w:val="32"/>
        </w:rPr>
      </w:pPr>
    </w:p>
    <w:p>
      <w:pPr>
        <w:spacing w:after="100"/>
        <w:jc w:val="center"/>
        <w:rPr>
          <w:rFonts w:ascii="Arial Unicode MS" w:eastAsia="Arial Unicode MS" w:hAnsi="Arial Unicode MS" w:cs="Arial Unicode MS"/>
          <w:b/>
          <w:bCs/>
          <w:sz w:val="32"/>
          <w:szCs w:val="32"/>
        </w:rPr>
      </w:pPr>
    </w:p>
    <w:p>
      <w:pPr>
        <w:spacing w:after="100"/>
        <w:jc w:val="center"/>
        <w:rPr>
          <w:rFonts w:ascii="Arial Unicode MS" w:eastAsia="Arial Unicode MS" w:hAnsi="Arial Unicode MS" w:cs="Arial Unicode MS"/>
          <w:b/>
          <w:bCs/>
          <w:sz w:val="32"/>
          <w:szCs w:val="32"/>
        </w:rPr>
      </w:pPr>
      <w:r>
        <w:rPr>
          <w:rFonts w:ascii="Arial Unicode MS" w:eastAsia="Arial Unicode MS" w:hAnsi="Arial Unicode MS" w:cs="Arial Unicode MS" w:hint="eastAsia"/>
          <w:b/>
          <w:bCs/>
          <w:sz w:val="32"/>
          <w:szCs w:val="32"/>
        </w:rPr>
        <w:t>Rfid-etc gate system design</w:t>
      </w:r>
    </w:p>
    <w:p>
      <w:pPr>
        <w:spacing w:after="100"/>
        <w:jc w:val="center"/>
        <w:rPr>
          <w:rFonts w:ascii="Arial Unicode MS" w:eastAsia="Arial Unicode MS" w:hAnsi="Arial Unicode MS" w:cs="Arial Unicode MS"/>
          <w:b/>
          <w:bCs/>
          <w:sz w:val="32"/>
          <w:szCs w:val="32"/>
        </w:rPr>
      </w:pPr>
    </w:p>
    <w:p>
      <w:pPr>
        <w:spacing w:after="100"/>
        <w:rPr>
          <w:rFonts w:ascii="黑体" w:eastAsia="黑体"/>
          <w:sz w:val="28"/>
          <w:szCs w:val="28"/>
        </w:rPr>
      </w:pPr>
      <w:bookmarkStart w:id="2" w:name="_Toc1028"/>
      <w:r>
        <w:rPr>
          <w:rStyle w:val="1Char"/>
          <w:rFonts w:hint="eastAsia"/>
          <w:b w:val="0"/>
          <w:bCs/>
        </w:rPr>
        <w:t>A</w:t>
      </w:r>
      <w:r>
        <w:rPr>
          <w:rStyle w:val="1Char"/>
          <w:b w:val="0"/>
          <w:bCs/>
        </w:rPr>
        <w:t>bstract</w:t>
      </w:r>
      <w:bookmarkEnd w:id="2"/>
      <w:r>
        <w:rPr>
          <w:rFonts w:ascii="黑体" w:eastAsia="黑体"/>
          <w:sz w:val="28"/>
          <w:szCs w:val="28"/>
        </w:rPr>
        <w:t>:</w:t>
      </w:r>
    </w:p>
    <w:p>
      <w:pPr>
        <w:spacing w:after="100"/>
        <w:rPr>
          <w:rFonts w:ascii="Arial Unicode MS" w:eastAsia="Arial Unicode MS" w:hAnsi="Arial Unicode MS" w:cs="Arial Unicode MS"/>
          <w:sz w:val="24"/>
        </w:rPr>
      </w:pPr>
      <w:r>
        <w:rPr>
          <w:rFonts w:ascii="黑体" w:eastAsia="黑体" w:hint="eastAsia"/>
          <w:sz w:val="28"/>
          <w:szCs w:val="28"/>
        </w:rPr>
        <w:t xml:space="preserve">   </w:t>
      </w:r>
      <w:r>
        <w:rPr>
          <w:rFonts w:ascii="Arial Unicode MS" w:eastAsia="Arial Unicode MS" w:hAnsi="Arial Unicode MS" w:cs="Arial Unicode MS" w:hint="eastAsia"/>
          <w:sz w:val="24"/>
        </w:rPr>
        <w:t>ETC brake system is not parking charge system (Electronic Toll Collection, ETC.) is an important field in intelligent transportation systems and applications, also known as automatic payment system, is a dedicated to high-speed Toll road or bridge road pricing way, usually found in highway, bridge or tunnel of charge policy, and downtown sections of the road, the charging method is used to alleviate the urban traffic congestion.Through the microwave special short-range communication between the on-board electronic tag installed on the vehicle windshield and the microwave antenna on the ETC lane of the toll station, the computer networking technology and the banking system can be used for background settlement processing, so as to realize the purpose of paying fees through the road and bridge toll station without stopping.Through this kind of technology means of no parking charge, can greatly improve the capacity of the road, the efficiency of the vehicle operation, but also can reduce the fuel consumption of vehicles and the consumption of vehicles, reduce the exhaust emissions of vehicles, so as to save energy and protect the environment.</w:t>
      </w:r>
    </w:p>
    <w:p>
      <w:pPr>
        <w:spacing w:after="100"/>
        <w:rPr>
          <w:rFonts w:ascii="Arial Unicode MS" w:eastAsia="Arial Unicode MS" w:hAnsi="Arial Unicode MS" w:cs="Arial Unicode MS"/>
          <w:sz w:val="24"/>
        </w:rPr>
      </w:pPr>
      <w:r>
        <w:rPr>
          <w:rFonts w:ascii="Arial Unicode MS" w:eastAsia="Arial Unicode MS" w:hAnsi="Arial Unicode MS" w:cs="Arial Unicode MS" w:hint="eastAsia"/>
          <w:sz w:val="24"/>
        </w:rPr>
        <w:t xml:space="preserve">    At present, more than 90% of the highway toll way or manual toll or do automatic toll way. Nowadays, they have become the main bottleneck of China's road development, bearing the following four drawbacks:</w:t>
      </w:r>
    </w:p>
    <w:p>
      <w:pPr>
        <w:spacing w:after="100"/>
        <w:rPr>
          <w:rFonts w:ascii="Arial Unicode MS" w:eastAsia="Arial Unicode MS" w:hAnsi="Arial Unicode MS" w:cs="Arial Unicode MS"/>
          <w:sz w:val="24"/>
        </w:rPr>
      </w:pPr>
      <w:r>
        <w:rPr>
          <w:rFonts w:ascii="Arial Unicode MS" w:eastAsia="Arial Unicode MS" w:hAnsi="Arial Unicode MS" w:cs="Arial Unicode MS" w:hint="eastAsia"/>
          <w:sz w:val="24"/>
        </w:rPr>
        <w:t>1. Backward charging facilities and technologies make the entrance and exit of toll stations easy to form traffic congestion;</w:t>
      </w:r>
    </w:p>
    <w:p>
      <w:pPr>
        <w:spacing w:after="100"/>
        <w:rPr>
          <w:rFonts w:ascii="Arial Unicode MS" w:eastAsia="Arial Unicode MS" w:hAnsi="Arial Unicode MS" w:cs="Arial Unicode MS"/>
          <w:sz w:val="24"/>
        </w:rPr>
      </w:pPr>
    </w:p>
    <w:p>
      <w:pPr>
        <w:spacing w:after="100"/>
        <w:rPr>
          <w:rFonts w:ascii="Arial Unicode MS" w:eastAsia="Arial Unicode MS" w:hAnsi="Arial Unicode MS" w:cs="Arial Unicode MS"/>
          <w:sz w:val="24"/>
        </w:rPr>
      </w:pPr>
      <w:r>
        <w:rPr>
          <w:rFonts w:ascii="Arial Unicode MS" w:eastAsia="Arial Unicode MS" w:hAnsi="Arial Unicode MS" w:cs="Arial Unicode MS" w:hint="eastAsia"/>
          <w:sz w:val="24"/>
        </w:rPr>
        <w:t>2. Different charging methods and standards of each road section lead to confusion for car owners;</w:t>
      </w:r>
      <w:r>
        <w:rPr>
          <w:rFonts w:ascii="Arial Unicode MS" w:eastAsia="Arial Unicode MS" w:hAnsi="Arial Unicode MS" w:cs="Arial Unicode MS"/>
          <w:sz w:val="24"/>
        </w:rPr>
        <w:br/>
      </w:r>
      <w:r>
        <w:rPr>
          <w:rFonts w:ascii="Arial Unicode MS" w:eastAsia="Arial Unicode MS" w:hAnsi="Arial Unicode MS" w:cs="Arial Unicode MS"/>
          <w:sz w:val="24"/>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https://d.book118.com/017161031141006030</w:t>
        </w:r>
      </w:hyperlink>
    </w:p>
    <w:p>
      <w:pPr>
        <w:spacing w:after="100"/>
        <w:rPr>
          <w:rFonts w:ascii="Arial Unicode MS" w:eastAsia="Arial Unicode MS" w:hAnsi="Arial Unicode MS" w:cs="Arial Unicode MS"/>
          <w:sz w:val="24"/>
        </w:rPr>
      </w:pPr>
    </w:p>
    <w:sectPr>
      <w:type w:val="nextPage"/>
      <w:pgSz w:w="11906" w:h="16838"/>
      <w:pgMar w:top="1440" w:right="1800" w:bottom="1440" w:left="1800" w:header="851" w:footer="992" w:gutter="0"/>
      <w:pgNumType w:start="2"/>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20DEB62"/>
    <w:multiLevelType w:val="singleLevel"/>
    <w:tmpl w:val="B20DEB62"/>
    <w:lvl w:ilvl="0">
      <w:start w:val="1"/>
      <w:numFmt w:val="decimal"/>
      <w:lvlText w:val="%1."/>
      <w:lvlJc w:val="left"/>
      <w:pPr>
        <w:tabs>
          <w:tab w:val="left" w:pos="312"/>
        </w:tabs>
        <w:ind w:left="280" w:firstLine="0"/>
      </w:pPr>
    </w:lvl>
  </w:abstractNum>
  <w:abstractNum w:abstractNumId="1">
    <w:nsid w:val="B282ACF3"/>
    <w:multiLevelType w:val="singleLevel"/>
    <w:tmpl w:val="B282ACF3"/>
    <w:lvl w:ilvl="0">
      <w:start w:val="1"/>
      <w:numFmt w:val="decimal"/>
      <w:suff w:val="nothing"/>
      <w:lvlText w:val="%1、"/>
      <w:lvlJc w:val="left"/>
    </w:lvl>
  </w:abstractNum>
  <w:abstractNum w:abstractNumId="2">
    <w:nsid w:val="B5B202B9"/>
    <w:multiLevelType w:val="singleLevel"/>
    <w:tmpl w:val="B5B202B9"/>
    <w:lvl w:ilvl="0">
      <w:start w:val="1"/>
      <w:numFmt w:val="decimal"/>
      <w:suff w:val="nothing"/>
      <w:lvlText w:val="%1）"/>
      <w:lvlJc w:val="left"/>
    </w:lvl>
  </w:abstractNum>
  <w:abstractNum w:abstractNumId="3">
    <w:nsid w:val="0314F1B2"/>
    <w:multiLevelType w:val="singleLevel"/>
    <w:tmpl w:val="0314F1B2"/>
    <w:lvl w:ilvl="0">
      <w:start w:val="3"/>
      <w:numFmt w:val="decimal"/>
      <w:suff w:val="nothing"/>
      <w:lvlText w:val="%1、"/>
      <w:lvlJc w:val="left"/>
    </w:lvl>
  </w:abstractNum>
  <w:abstractNum w:abstractNumId="4">
    <w:nsid w:val="1355D07A"/>
    <w:multiLevelType w:val="singleLevel"/>
    <w:tmpl w:val="1355D07A"/>
    <w:lvl w:ilvl="0">
      <w:start w:val="1"/>
      <w:numFmt w:val="decimal"/>
      <w:suff w:val="nothing"/>
      <w:lvlText w:val="%1、"/>
      <w:lvlJc w:val="left"/>
      <w:pPr>
        <w:ind w:left="420" w:firstLine="0"/>
      </w:pPr>
    </w:lvl>
  </w:abstractNum>
  <w:abstractNum w:abstractNumId="5">
    <w:nsid w:val="1DA1400C"/>
    <w:multiLevelType w:val="singleLevel"/>
    <w:tmpl w:val="1DA1400C"/>
    <w:lvl w:ilvl="0">
      <w:start w:val="1"/>
      <w:numFmt w:val="decimal"/>
      <w:suff w:val="nothing"/>
      <w:lvlText w:val="（%1）"/>
      <w:lvlJc w:val="left"/>
    </w:lvl>
  </w:abstractNum>
  <w:abstractNum w:abstractNumId="6">
    <w:nsid w:val="23C0FBAB"/>
    <w:multiLevelType w:val="singleLevel"/>
    <w:tmpl w:val="23C0FBAB"/>
    <w:lvl w:ilvl="0">
      <w:start w:val="1"/>
      <w:numFmt w:val="decimal"/>
      <w:lvlText w:val="%1."/>
      <w:lvlJc w:val="left"/>
      <w:pPr>
        <w:tabs>
          <w:tab w:val="left" w:pos="312"/>
        </w:tabs>
      </w:pPr>
    </w:lvl>
  </w:abstractNum>
  <w:abstractNum w:abstractNumId="7">
    <w:nsid w:val="3EC23842"/>
    <w:multiLevelType w:val="singleLevel"/>
    <w:tmpl w:val="3EC23842"/>
    <w:lvl w:ilvl="0">
      <w:start w:val="1"/>
      <w:numFmt w:val="decimal"/>
      <w:suff w:val="nothing"/>
      <w:lvlText w:val="%1、"/>
      <w:lvlJc w:val="left"/>
    </w:lvl>
  </w:abstractNum>
  <w:abstractNum w:abstractNumId="8">
    <w:nsid w:val="502C72BD"/>
    <w:multiLevelType w:val="singleLevel"/>
    <w:tmpl w:val="502C72BD"/>
    <w:lvl w:ilvl="0">
      <w:start w:val="1"/>
      <w:numFmt w:val="decimal"/>
      <w:lvlText w:val="%1."/>
      <w:lvlJc w:val="left"/>
      <w:pPr>
        <w:tabs>
          <w:tab w:val="left" w:pos="312"/>
        </w:tabs>
      </w:pPr>
    </w:lvl>
  </w:abstractNum>
  <w:num w:numId="1">
    <w:abstractNumId w:val="8"/>
  </w:num>
  <w:num w:numId="2">
    <w:abstractNumId w:val="3"/>
  </w:num>
  <w:num w:numId="3">
    <w:abstractNumId w:val="5"/>
  </w:num>
  <w:num w:numId="4">
    <w:abstractNumId w:val="6"/>
  </w:num>
  <w:num w:numId="5">
    <w:abstractNumId w:val="2"/>
  </w:num>
  <w:num w:numId="6">
    <w:abstractNumId w:val="7"/>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5D2"/>
    <w:rsid w:val="0078743D"/>
    <w:rsid w:val="00AC7615"/>
    <w:rsid w:val="00BD45D2"/>
    <w:rsid w:val="00D50415"/>
    <w:rsid w:val="06B319E9"/>
    <w:rsid w:val="08861531"/>
    <w:rsid w:val="0A437DB8"/>
    <w:rsid w:val="0F600A9E"/>
    <w:rsid w:val="11B82B44"/>
    <w:rsid w:val="144B6F1B"/>
    <w:rsid w:val="17136F03"/>
    <w:rsid w:val="24DE6C6C"/>
    <w:rsid w:val="29D50B7E"/>
    <w:rsid w:val="30984D73"/>
    <w:rsid w:val="32692D0B"/>
    <w:rsid w:val="37FF56D6"/>
    <w:rsid w:val="3AEA5731"/>
    <w:rsid w:val="3D172697"/>
    <w:rsid w:val="3D423997"/>
    <w:rsid w:val="42303889"/>
    <w:rsid w:val="440512D3"/>
    <w:rsid w:val="46CB0ECE"/>
    <w:rsid w:val="483E13D6"/>
    <w:rsid w:val="4E5075CF"/>
    <w:rsid w:val="52D57A67"/>
    <w:rsid w:val="534B0A98"/>
    <w:rsid w:val="59365DA5"/>
    <w:rsid w:val="667E1C6D"/>
    <w:rsid w:val="78595C43"/>
    <w:rsid w:val="7F313CB5"/>
  </w:rsids>
  <w:docVars>
    <w:docVar w:name="commondata" w:val="eyJoZGlkIjoiZGY5OGNiNGUyMjQ5MmI4ZDQ3ZjRhNGEzOTgxOWU3N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uiPriority="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paragraph" w:styleId="Heading1">
    <w:name w:val="heading 1"/>
    <w:basedOn w:val="Normal"/>
    <w:next w:val="Normal"/>
    <w:link w:val="1Char"/>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CommentText">
    <w:name w:val="annotation text"/>
    <w:basedOn w:val="Normal"/>
    <w:autoRedefine/>
    <w:qFormat/>
    <w:pPr>
      <w:jc w:val="left"/>
    </w:pPr>
  </w:style>
  <w:style w:type="paragraph" w:styleId="TOC3">
    <w:name w:val="toc 3"/>
    <w:basedOn w:val="Normal"/>
    <w:next w:val="Normal"/>
    <w:autoRedefine/>
    <w:qFormat/>
    <w:pPr>
      <w:ind w:left="840" w:leftChars="400"/>
    </w:pPr>
  </w:style>
  <w:style w:type="paragraph" w:styleId="Footer">
    <w:name w:val="footer"/>
    <w:basedOn w:val="Normal"/>
    <w:link w:val="Char0"/>
    <w:autoRedefine/>
    <w:qFormat/>
    <w:pPr>
      <w:tabs>
        <w:tab w:val="center" w:pos="4153"/>
        <w:tab w:val="right" w:pos="8306"/>
      </w:tabs>
      <w:snapToGrid w:val="0"/>
      <w:jc w:val="left"/>
    </w:pPr>
    <w:rPr>
      <w:sz w:val="18"/>
      <w:szCs w:val="18"/>
    </w:rPr>
  </w:style>
  <w:style w:type="paragraph" w:styleId="Header">
    <w:name w:val="header"/>
    <w:basedOn w:val="Normal"/>
    <w:link w:val="Char"/>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qFormat/>
  </w:style>
  <w:style w:type="paragraph" w:styleId="TOC2">
    <w:name w:val="toc 2"/>
    <w:basedOn w:val="Normal"/>
    <w:next w:val="Normal"/>
    <w:autoRedefine/>
    <w:qFormat/>
    <w:pPr>
      <w:ind w:left="420" w:leftChars="200"/>
    </w:pPr>
  </w:style>
  <w:style w:type="character" w:customStyle="1" w:styleId="1Char">
    <w:name w:val="标题 1 Char"/>
    <w:link w:val="Heading1"/>
    <w:autoRedefine/>
    <w:qFormat/>
    <w:rPr>
      <w:b/>
      <w:kern w:val="44"/>
      <w:sz w:val="44"/>
    </w:rPr>
  </w:style>
  <w:style w:type="character" w:customStyle="1" w:styleId="Char">
    <w:name w:val="页眉 Char"/>
    <w:basedOn w:val="DefaultParagraphFont"/>
    <w:link w:val="Header"/>
    <w:autoRedefine/>
    <w:qFormat/>
    <w:rPr>
      <w:rFonts w:ascii="Calibri" w:hAnsi="Calibri"/>
      <w:kern w:val="2"/>
      <w:sz w:val="18"/>
      <w:szCs w:val="18"/>
    </w:rPr>
  </w:style>
  <w:style w:type="character" w:customStyle="1" w:styleId="Char0">
    <w:name w:val="页脚 Char"/>
    <w:basedOn w:val="DefaultParagraphFont"/>
    <w:link w:val="Footer"/>
    <w:autoRedefine/>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01716103114100603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4893</Words>
  <Characters>27893</Characters>
  <Application>Microsoft Office Word</Application>
  <DocSecurity>0</DocSecurity>
  <Lines>232</Lines>
  <Paragraphs>65</Paragraphs>
  <ScaleCrop>false</ScaleCrop>
  <Company/>
  <LinksUpToDate>false</LinksUpToDate>
  <CharactersWithSpaces>32721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张老师</cp:lastModifiedBy>
  <cp:revision>3</cp:revision>
  <cp:lastPrinted>2021-05-28T12:11:00Z</cp:lastPrinted>
  <dcterms:created xsi:type="dcterms:W3CDTF">2014-10-29T12:08:00Z</dcterms:created>
  <dcterms:modified xsi:type="dcterms:W3CDTF">2024-01-11T13:48:21Z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E6047CA05FAF4D33A9250913F8FB388A_12</vt:lpwstr>
  </property>
  <property fmtid="{D5CDD505-2E9C-101B-9397-08002B2CF9AE}" pid="3" name="KSOProductBuildVer">
    <vt:lpwstr>2052-12.1.0.16120</vt:lpwstr>
  </property>
</Properties>
</file>