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2018-2023年南京交通职业技术学院高职单招（数学／语文／英语）历年常考试题库含答案解析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中唐古文运动的倡导者是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从内容上说，《氓》是一首（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B.劳动诗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C.祭祀诗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D.弃妇诗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人称“曲状元”的元代散曲作家是（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C.郑光祖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辛弃疾《水龙吟（登建康赏心亭）》中运用典故表达壮志未酬、时光虚度的感伤之情的是（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A.休说鲈鱼堪脍，尽西风、季鹰归未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B.求田问舍，怕应羞见，刘郎才气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C.可惜流年，忧愁风雨，树犹如此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D.倩何人，唤取红巾翠袖，揾英雄泪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《关山月》是以什么为线索来抒情的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A.笛声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B.月夜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C.歌舞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D.泪痕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梁启超《论毅力》一文的中心论点是（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B.人生历程，大抵逆境居十六七，顺境亦居十三四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C.小逆之后，必有小顺；大逆之后，必有大顺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提出“文章合为时而著，歌诗合为事而作”文学主张的是（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D.欧?亨利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《米龙老爹》的故事背景是（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A.1848年革命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B.1870年的普法战争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C.1914年第一次世界大战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D.1830年七月革命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培根《论学问》中采用最多的两种修辞手法是（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A.排比和对偶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B.排比和比喻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C.比喻和对偶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D.比喻和比拟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“举案齐眉”、“乘舟梦日”、“鲈鱼堪脍”三个典故所涉及的人物依次是（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A.孟光、季鹰、伊尹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B.盂光、伊尹、季鹰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C.伊尹、孟光、季鹰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D.季鹰、伊尹、孟光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D.古题乐府诗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https://d.book118.com/018021034132006040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018021034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