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光伏发电并网技术研究</w:t>
      </w: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rPr>
          <w:rFonts w:ascii="Microsoft JhengHei"/>
          <w:b/>
          <w:sz w:val="20"/>
        </w:rPr>
      </w:pPr>
    </w:p>
    <w:p>
      <w:pPr>
        <w:pStyle w:val="BodyText"/>
        <w:spacing w:before="11"/>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7"/>
        <w:rPr>
          <w:rFonts w:ascii="Microsoft JhengHei"/>
          <w:b/>
          <w:sz w:val="14"/>
        </w:rPr>
      </w:pPr>
    </w:p>
    <w:sdt>
      <w:sdtPr>
        <w:id w:val="1131365630"/>
        <w:docPartObj>
          <w:docPartGallery w:val="Table of Contents"/>
          <w:docPartUnique/>
        </w:docPartObj>
      </w:sdtPr>
      <w:sdtContent>
        <w:p>
          <w:pPr>
            <w:pStyle w:val="TOC1"/>
            <w:tabs>
              <w:tab w:val="left" w:pos="1589"/>
              <w:tab w:val="right" w:leader="dot" w:pos="8415"/>
            </w:tabs>
            <w:spacing w:before="71"/>
            <w:rPr>
              <w:rFonts w:ascii="Calibri" w:eastAsia="Calibri"/>
            </w:rPr>
          </w:pPr>
          <w:r>
            <w:fldChar w:fldCharType="begin"/>
          </w:r>
          <w:r>
            <w:instrText xml:space="preserve">TOC \o "1-1" \h \z \u </w:instrText>
          </w:r>
          <w:r>
            <w:fldChar w:fldCharType="separate"/>
          </w:r>
          <w:hyperlink w:anchor="_bookmark0" w:history="1">
            <w:r>
              <w:t>第一部</w:t>
            </w:r>
            <w:r>
              <w:rPr>
                <w:spacing w:val="-10"/>
              </w:rPr>
              <w:t>分</w:t>
            </w:r>
            <w:r>
              <w:tab/>
              <w:t>光伏发电系统概</w:t>
            </w:r>
            <w:r>
              <w:rPr>
                <w:spacing w:val="-10"/>
              </w:rPr>
              <w:t>述</w:t>
            </w:r>
            <w:r>
              <w:rPr>
                <w:rFonts w:ascii="Times New Roman" w:eastAsia="Times New Roman"/>
              </w:rPr>
              <w:tab/>
            </w:r>
            <w:r>
              <w:rPr>
                <w:rFonts w:ascii="Calibri" w:eastAsia="Calibri"/>
                <w:spacing w:val="-10"/>
              </w:rPr>
              <w:t>2</w:t>
            </w:r>
          </w:hyperlink>
        </w:p>
        <w:p>
          <w:pPr>
            <w:pStyle w:val="TOC1"/>
            <w:tabs>
              <w:tab w:val="left" w:pos="1589"/>
              <w:tab w:val="right" w:leader="dot" w:pos="8415"/>
            </w:tabs>
            <w:rPr>
              <w:rFonts w:ascii="Calibri" w:eastAsia="Calibri"/>
            </w:rPr>
          </w:pPr>
          <w:hyperlink w:anchor="_TOC_250008" w:history="1">
            <w:r>
              <w:t>第二部</w:t>
            </w:r>
            <w:r>
              <w:rPr>
                <w:spacing w:val="-10"/>
              </w:rPr>
              <w:t>分</w:t>
            </w:r>
            <w:r>
              <w:tab/>
              <w:t>并网技术基本原</w:t>
            </w:r>
            <w:r>
              <w:rPr>
                <w:spacing w:val="-10"/>
              </w:rPr>
              <w:t>理</w:t>
            </w:r>
            <w:r>
              <w:rPr>
                <w:rFonts w:ascii="Times New Roman" w:eastAsia="Times New Roman"/>
              </w:rPr>
              <w:tab/>
            </w:r>
            <w:r>
              <w:rPr>
                <w:rFonts w:ascii="Calibri" w:eastAsia="Calibri"/>
                <w:spacing w:val="-10"/>
              </w:rPr>
              <w:t>5</w:t>
            </w:r>
          </w:hyperlink>
        </w:p>
        <w:p>
          <w:pPr>
            <w:pStyle w:val="TOC1"/>
            <w:tabs>
              <w:tab w:val="left" w:pos="1589"/>
              <w:tab w:val="right" w:leader="dot" w:pos="8415"/>
            </w:tabs>
            <w:rPr>
              <w:rFonts w:ascii="Calibri" w:eastAsia="Calibri"/>
            </w:rPr>
          </w:pPr>
          <w:hyperlink w:anchor="_TOC_250007" w:history="1">
            <w:r>
              <w:t>第三部</w:t>
            </w:r>
            <w:r>
              <w:rPr>
                <w:spacing w:val="-10"/>
              </w:rPr>
              <w:t>分</w:t>
            </w:r>
            <w:r>
              <w:tab/>
              <w:t>光伏并网法规与标</w:t>
            </w:r>
            <w:r>
              <w:rPr>
                <w:spacing w:val="-10"/>
              </w:rPr>
              <w:t>准</w:t>
            </w:r>
            <w:r>
              <w:rPr>
                <w:rFonts w:ascii="Times New Roman" w:eastAsia="Times New Roman"/>
              </w:rPr>
              <w:tab/>
            </w:r>
            <w:r>
              <w:rPr>
                <w:rFonts w:ascii="Calibri" w:eastAsia="Calibri"/>
                <w:spacing w:val="-10"/>
              </w:rPr>
              <w:t>7</w:t>
            </w:r>
          </w:hyperlink>
        </w:p>
        <w:p>
          <w:pPr>
            <w:pStyle w:val="TOC1"/>
            <w:tabs>
              <w:tab w:val="left" w:pos="1589"/>
              <w:tab w:val="right" w:leader="dot" w:pos="8415"/>
            </w:tabs>
            <w:rPr>
              <w:rFonts w:ascii="Calibri" w:eastAsia="Calibri"/>
            </w:rPr>
          </w:pPr>
          <w:hyperlink w:anchor="_TOC_250006" w:history="1">
            <w:r>
              <w:t>第四部</w:t>
            </w:r>
            <w:r>
              <w:rPr>
                <w:spacing w:val="-10"/>
              </w:rPr>
              <w:t>分</w:t>
            </w:r>
            <w:r>
              <w:tab/>
              <w:t>逆变器在并网中的作</w:t>
            </w:r>
            <w:r>
              <w:rPr>
                <w:spacing w:val="-10"/>
              </w:rPr>
              <w:t>用</w:t>
            </w:r>
            <w:r>
              <w:rPr>
                <w:rFonts w:ascii="Times New Roman" w:eastAsia="Times New Roman"/>
              </w:rPr>
              <w:tab/>
            </w:r>
            <w:r>
              <w:rPr>
                <w:rFonts w:ascii="Calibri" w:eastAsia="Calibri"/>
                <w:spacing w:val="-5"/>
              </w:rPr>
              <w:t>10</w:t>
            </w:r>
          </w:hyperlink>
        </w:p>
        <w:p>
          <w:pPr>
            <w:pStyle w:val="TOC1"/>
            <w:tabs>
              <w:tab w:val="left" w:pos="1589"/>
              <w:tab w:val="right" w:leader="dot" w:pos="8415"/>
            </w:tabs>
            <w:rPr>
              <w:rFonts w:ascii="Calibri" w:eastAsia="Calibri"/>
            </w:rPr>
          </w:pPr>
          <w:hyperlink w:anchor="_TOC_250005" w:history="1">
            <w:r>
              <w:t>第五部</w:t>
            </w:r>
            <w:r>
              <w:rPr>
                <w:spacing w:val="-10"/>
              </w:rPr>
              <w:t>分</w:t>
            </w:r>
            <w:r>
              <w:tab/>
              <w:t>光伏并网的电能质量影</w:t>
            </w:r>
            <w:r>
              <w:rPr>
                <w:spacing w:val="-10"/>
              </w:rPr>
              <w:t>响</w:t>
            </w:r>
            <w:r>
              <w:rPr>
                <w:rFonts w:ascii="Times New Roman" w:eastAsia="Times New Roman"/>
              </w:rPr>
              <w:tab/>
            </w:r>
            <w:r>
              <w:rPr>
                <w:rFonts w:ascii="Calibri" w:eastAsia="Calibri"/>
                <w:spacing w:val="-5"/>
              </w:rPr>
              <w:t>12</w:t>
            </w:r>
          </w:hyperlink>
        </w:p>
        <w:p>
          <w:pPr>
            <w:pStyle w:val="TOC1"/>
            <w:tabs>
              <w:tab w:val="left" w:pos="1589"/>
              <w:tab w:val="right" w:leader="dot" w:pos="8415"/>
            </w:tabs>
            <w:rPr>
              <w:rFonts w:ascii="Calibri" w:eastAsia="Calibri"/>
            </w:rPr>
          </w:pPr>
          <w:hyperlink w:anchor="_TOC_250004" w:history="1">
            <w:r>
              <w:t>第六部</w:t>
            </w:r>
            <w:r>
              <w:rPr>
                <w:spacing w:val="-10"/>
              </w:rPr>
              <w:t>分</w:t>
            </w:r>
            <w:r>
              <w:tab/>
              <w:t>电网适应性分析方</w:t>
            </w:r>
            <w:r>
              <w:rPr>
                <w:spacing w:val="-10"/>
              </w:rPr>
              <w:t>法</w:t>
            </w:r>
            <w:r>
              <w:rPr>
                <w:rFonts w:ascii="Times New Roman" w:eastAsia="Times New Roman"/>
              </w:rPr>
              <w:tab/>
            </w:r>
            <w:r>
              <w:rPr>
                <w:rFonts w:ascii="Calibri" w:eastAsia="Calibri"/>
                <w:spacing w:val="-5"/>
              </w:rPr>
              <w:t>14</w:t>
            </w:r>
          </w:hyperlink>
        </w:p>
        <w:p>
          <w:pPr>
            <w:pStyle w:val="TOC1"/>
            <w:tabs>
              <w:tab w:val="left" w:pos="1589"/>
              <w:tab w:val="right" w:leader="dot" w:pos="8415"/>
            </w:tabs>
            <w:spacing w:before="354"/>
            <w:rPr>
              <w:rFonts w:ascii="Calibri" w:eastAsia="Calibri"/>
            </w:rPr>
          </w:pPr>
          <w:hyperlink w:anchor="_TOC_250003" w:history="1">
            <w:r>
              <w:t>第七部</w:t>
            </w:r>
            <w:r>
              <w:rPr>
                <w:spacing w:val="-10"/>
              </w:rPr>
              <w:t>分</w:t>
            </w:r>
            <w:r>
              <w:tab/>
              <w:t>并网保护与控制策</w:t>
            </w:r>
            <w:r>
              <w:rPr>
                <w:spacing w:val="-10"/>
              </w:rPr>
              <w:t>略</w:t>
            </w:r>
            <w:r>
              <w:rPr>
                <w:rFonts w:ascii="Times New Roman" w:eastAsia="Times New Roman"/>
              </w:rPr>
              <w:tab/>
            </w:r>
            <w:r>
              <w:rPr>
                <w:rFonts w:ascii="Calibri" w:eastAsia="Calibri"/>
                <w:spacing w:val="-5"/>
              </w:rPr>
              <w:t>18</w:t>
            </w:r>
          </w:hyperlink>
        </w:p>
        <w:p>
          <w:pPr>
            <w:pStyle w:val="TOC1"/>
            <w:tabs>
              <w:tab w:val="left" w:pos="1589"/>
              <w:tab w:val="right" w:leader="dot" w:pos="8415"/>
            </w:tabs>
            <w:rPr>
              <w:rFonts w:ascii="Calibri" w:eastAsia="Calibri"/>
            </w:rPr>
          </w:pPr>
          <w:hyperlink w:anchor="_TOC_250002" w:history="1">
            <w:r>
              <w:t>第八部</w:t>
            </w:r>
            <w:r>
              <w:rPr>
                <w:spacing w:val="-10"/>
              </w:rPr>
              <w:t>分</w:t>
            </w:r>
            <w:r>
              <w:tab/>
              <w:t>实时监控与故障处</w:t>
            </w:r>
            <w:r>
              <w:rPr>
                <w:spacing w:val="-10"/>
              </w:rPr>
              <w:t>理</w:t>
            </w:r>
            <w:r>
              <w:rPr>
                <w:rFonts w:ascii="Times New Roman" w:eastAsia="Times New Roman"/>
              </w:rPr>
              <w:tab/>
            </w:r>
            <w:r>
              <w:rPr>
                <w:rFonts w:ascii="Calibri" w:eastAsia="Calibri"/>
                <w:spacing w:val="-5"/>
              </w:rPr>
              <w:t>20</w:t>
            </w:r>
          </w:hyperlink>
        </w:p>
        <w:p>
          <w:pPr>
            <w:pStyle w:val="TOC1"/>
            <w:tabs>
              <w:tab w:val="left" w:pos="1589"/>
              <w:tab w:val="right" w:leader="dot" w:pos="8415"/>
            </w:tabs>
            <w:rPr>
              <w:rFonts w:ascii="Calibri" w:eastAsia="Calibri"/>
            </w:rPr>
          </w:pPr>
          <w:hyperlink w:anchor="_TOC_250001" w:history="1">
            <w:r>
              <w:t>第九部</w:t>
            </w:r>
            <w:r>
              <w:rPr>
                <w:spacing w:val="-10"/>
              </w:rPr>
              <w:t>分</w:t>
            </w:r>
            <w:r>
              <w:tab/>
              <w:t>并网技术发展趋</w:t>
            </w:r>
            <w:r>
              <w:rPr>
                <w:spacing w:val="-10"/>
              </w:rPr>
              <w:t>势</w:t>
            </w:r>
            <w:r>
              <w:rPr>
                <w:rFonts w:ascii="Times New Roman" w:eastAsia="Times New Roman"/>
              </w:rPr>
              <w:tab/>
            </w:r>
            <w:r>
              <w:rPr>
                <w:rFonts w:ascii="Calibri" w:eastAsia="Calibri"/>
                <w:spacing w:val="-5"/>
              </w:rPr>
              <w:t>23</w:t>
            </w:r>
          </w:hyperlink>
        </w:p>
        <w:p>
          <w:pPr>
            <w:pStyle w:val="TOC1"/>
            <w:tabs>
              <w:tab w:val="left" w:pos="1589"/>
              <w:tab w:val="right" w:leader="dot" w:pos="8415"/>
            </w:tabs>
            <w:rPr>
              <w:rFonts w:ascii="Calibri" w:eastAsia="Calibri"/>
            </w:rPr>
          </w:pPr>
          <w:hyperlink w:anchor="_TOC_250000" w:history="1">
            <w:r>
              <w:t>第十部</w:t>
            </w:r>
            <w:r>
              <w:rPr>
                <w:spacing w:val="-10"/>
              </w:rPr>
              <w:t>分</w:t>
            </w:r>
            <w:r>
              <w:tab/>
              <w:t>案例分析与实践应</w:t>
            </w:r>
            <w:r>
              <w:rPr>
                <w:spacing w:val="-10"/>
              </w:rPr>
              <w:t>用</w:t>
            </w:r>
            <w:r>
              <w:rPr>
                <w:rFonts w:ascii="Times New Roman" w:eastAsia="Times New Roman"/>
              </w:rPr>
              <w:tab/>
            </w:r>
            <w:r>
              <w:rPr>
                <w:rFonts w:ascii="Calibri" w:eastAsia="Calibri"/>
                <w:spacing w:val="-5"/>
              </w:rPr>
              <w:t>25</w:t>
            </w:r>
          </w:hyperlink>
        </w:p>
        <w:p>
          <w:r>
            <w:fldChar w:fldCharType="end"/>
          </w:r>
        </w:p>
      </w:sdtContent>
    </w:sdt>
    <w:p>
      <w:pPr>
        <w:spacing w:after="0"/>
        <w:sectPr>
          <w:footerReference w:type="default" r:id="rId5"/>
          <w:type w:val="continuous"/>
          <w:pgSz w:w="11910" w:h="16840"/>
          <w:pgMar w:top="1480" w:right="1280" w:bottom="1380" w:left="1680" w:header="0" w:footer="1195"/>
          <w:pgNumType w:start="1"/>
          <w:cols w:space="708"/>
        </w:sectPr>
      </w:pPr>
    </w:p>
    <w:p>
      <w:pPr>
        <w:pStyle w:val="Heading1"/>
        <w:spacing w:line="514" w:lineRule="exact"/>
      </w:pPr>
      <w:bookmarkStart w:id="0" w:name="_bookmark0"/>
      <w:bookmarkEnd w:id="0"/>
      <w:r>
        <w:t>第一部分</w:t>
      </w:r>
      <w:r>
        <w:rPr>
          <w:spacing w:val="211"/>
          <w:w w:val="150"/>
        </w:rPr>
        <w:t xml:space="preserve"> </w:t>
      </w:r>
      <w:r>
        <w:rPr>
          <w:spacing w:val="-2"/>
        </w:rPr>
        <w:t>光伏发电系统概述</w:t>
      </w:r>
    </w:p>
    <w:p>
      <w:pPr>
        <w:pStyle w:val="BodyText"/>
        <w:spacing w:before="3"/>
        <w:rPr>
          <w:rFonts w:ascii="Microsoft JhengHei"/>
          <w:b/>
          <w:sz w:val="23"/>
        </w:rPr>
      </w:pPr>
    </w:p>
    <w:p>
      <w:pPr>
        <w:pStyle w:val="BodyText"/>
        <w:ind w:left="680"/>
      </w:pPr>
      <w:r>
        <w:rPr>
          <w:spacing w:val="-2"/>
        </w:rPr>
        <w:t>光伏发电系统概述</w:t>
      </w:r>
    </w:p>
    <w:p>
      <w:pPr>
        <w:pStyle w:val="BodyText"/>
      </w:pPr>
    </w:p>
    <w:p>
      <w:pPr>
        <w:pStyle w:val="BodyText"/>
        <w:spacing w:before="5"/>
        <w:rPr>
          <w:sz w:val="41"/>
        </w:rPr>
      </w:pPr>
    </w:p>
    <w:p>
      <w:pPr>
        <w:pStyle w:val="BodyText"/>
        <w:spacing w:line="417" w:lineRule="auto"/>
        <w:ind w:left="120" w:right="518"/>
        <w:jc w:val="both"/>
      </w:pPr>
      <w:r>
        <w:rPr>
          <w:spacing w:val="-6"/>
        </w:rPr>
        <w:t>随着全球能源结构的不断优化和环保意识的日益增强，可再生能源的</w:t>
      </w:r>
      <w:r>
        <w:rPr>
          <w:spacing w:val="-4"/>
        </w:rPr>
        <w:t>应用得到了广泛关注。其中，太阳能作为取之不尽、用之不竭的清洁</w:t>
      </w:r>
      <w:r>
        <w:rPr>
          <w:spacing w:val="-4"/>
        </w:rPr>
        <w:t>能源之一，其发展潜力巨大。光伏发电作为一种利用太阳能转化为电</w:t>
      </w:r>
      <w:r>
        <w:rPr>
          <w:spacing w:val="-2"/>
        </w:rPr>
        <w:t>能的技术，已成为现代电力系统中不可或缺的一部分。</w:t>
      </w:r>
    </w:p>
    <w:p>
      <w:pPr>
        <w:pStyle w:val="BodyText"/>
      </w:pPr>
    </w:p>
    <w:p>
      <w:pPr>
        <w:pStyle w:val="BodyText"/>
        <w:spacing w:before="8"/>
        <w:rPr>
          <w:sz w:val="20"/>
        </w:rPr>
      </w:pPr>
    </w:p>
    <w:p>
      <w:pPr>
        <w:pStyle w:val="BodyText"/>
        <w:spacing w:before="1" w:line="417" w:lineRule="auto"/>
        <w:ind w:left="120" w:right="518"/>
        <w:jc w:val="both"/>
      </w:pPr>
      <w:r>
        <w:rPr>
          <w:spacing w:val="-4"/>
        </w:rPr>
        <w:t>光伏发电系统由多个组成部分组成，包括光伏电池组件、逆变器、并</w:t>
      </w:r>
      <w:r>
        <w:rPr>
          <w:spacing w:val="-12"/>
        </w:rPr>
        <w:t>网接口设备等。本文将对光伏发电系统的构成及其工作原理进行详细</w:t>
      </w:r>
      <w:r>
        <w:rPr>
          <w:spacing w:val="-4"/>
        </w:rPr>
        <w:t>介绍。</w:t>
      </w:r>
    </w:p>
    <w:p>
      <w:pPr>
        <w:pStyle w:val="BodyText"/>
      </w:pPr>
    </w:p>
    <w:p>
      <w:pPr>
        <w:pStyle w:val="BodyText"/>
        <w:spacing w:before="8"/>
        <w:rPr>
          <w:sz w:val="20"/>
        </w:rPr>
      </w:pPr>
    </w:p>
    <w:p>
      <w:pPr>
        <w:pStyle w:val="ListParagraph"/>
        <w:numPr>
          <w:ilvl w:val="0"/>
          <w:numId w:val="21"/>
        </w:numPr>
        <w:tabs>
          <w:tab w:val="left" w:pos="540"/>
        </w:tabs>
        <w:spacing w:before="0" w:after="0" w:line="240" w:lineRule="auto"/>
        <w:ind w:left="540" w:right="0" w:hanging="420"/>
        <w:jc w:val="left"/>
        <w:rPr>
          <w:sz w:val="28"/>
        </w:rPr>
      </w:pPr>
      <w:r>
        <w:rPr>
          <w:spacing w:val="-2"/>
          <w:sz w:val="28"/>
        </w:rPr>
        <w:t>光伏电池组件</w:t>
      </w:r>
    </w:p>
    <w:p>
      <w:pPr>
        <w:pStyle w:val="BodyText"/>
      </w:pPr>
    </w:p>
    <w:p>
      <w:pPr>
        <w:pStyle w:val="BodyText"/>
        <w:spacing w:before="5"/>
        <w:rPr>
          <w:sz w:val="41"/>
        </w:rPr>
      </w:pPr>
    </w:p>
    <w:p>
      <w:pPr>
        <w:pStyle w:val="BodyText"/>
        <w:spacing w:line="417" w:lineRule="auto"/>
        <w:ind w:left="120" w:right="244"/>
      </w:pPr>
      <w:r>
        <w:rPr>
          <w:spacing w:val="-7"/>
        </w:rPr>
        <w:t>光伏电池组件是光伏发电系统的核心部分，它通过吸收太阳光来产生</w:t>
      </w:r>
      <w:r>
        <w:rPr>
          <w:spacing w:val="-2"/>
        </w:rPr>
        <w:t xml:space="preserve"> </w:t>
      </w:r>
      <w:r>
        <w:rPr>
          <w:spacing w:val="-15"/>
        </w:rPr>
        <w:t>电流。目前常用的光伏电池组件主要为硅基材料</w:t>
      </w:r>
      <w:r>
        <w:rPr>
          <w:spacing w:val="-2"/>
        </w:rPr>
        <w:t>（</w:t>
      </w:r>
      <w:r>
        <w:rPr>
          <w:spacing w:val="-13"/>
        </w:rPr>
        <w:t>如单晶硅、多晶硅</w:t>
      </w:r>
      <w:r>
        <w:rPr>
          <w:spacing w:val="-2"/>
        </w:rPr>
        <w:t>）</w:t>
      </w:r>
      <w:r>
        <w:rPr>
          <w:spacing w:val="-2"/>
        </w:rPr>
        <w:t>以及薄膜材料（如非晶硅、</w:t>
      </w:r>
      <w:r>
        <w:rPr>
          <w:rFonts w:ascii="仿宋" w:eastAsia="仿宋"/>
          <w:spacing w:val="-2"/>
        </w:rPr>
        <w:t>CIGS</w:t>
      </w:r>
      <w:r>
        <w:rPr>
          <w:spacing w:val="-2"/>
        </w:rPr>
        <w:t>、</w:t>
      </w:r>
      <w:r>
        <w:rPr>
          <w:rFonts w:ascii="仿宋" w:eastAsia="仿宋"/>
          <w:spacing w:val="25"/>
        </w:rPr>
        <w:t>CdTe</w:t>
      </w:r>
      <w:r>
        <w:rPr>
          <w:spacing w:val="-114"/>
        </w:rPr>
        <w:t>）</w:t>
      </w:r>
      <w:r>
        <w:rPr>
          <w:spacing w:val="-2"/>
        </w:rPr>
        <w:t xml:space="preserve">。其中，单晶硅和多晶硅电 </w:t>
      </w:r>
      <w:r>
        <w:rPr>
          <w:spacing w:val="-2"/>
        </w:rPr>
        <w:t>池组件具有较高的光电转换效率，但成本较高；而薄膜材料电池组件</w:t>
      </w:r>
      <w:r>
        <w:rPr>
          <w:spacing w:val="-2"/>
        </w:rPr>
        <w:t xml:space="preserve"> </w:t>
      </w:r>
      <w:r>
        <w:rPr>
          <w:spacing w:val="-2"/>
        </w:rPr>
        <w:t>虽然光电转换效率相对较低，但具有更低的成本和更好的可扩展性。</w:t>
      </w:r>
    </w:p>
    <w:p>
      <w:pPr>
        <w:pStyle w:val="BodyText"/>
        <w:spacing w:before="3"/>
      </w:pPr>
    </w:p>
    <w:p>
      <w:pPr>
        <w:pStyle w:val="BodyText"/>
        <w:spacing w:line="620" w:lineRule="atLeast"/>
        <w:ind w:left="120" w:right="518"/>
      </w:pPr>
      <w:r>
        <w:rPr>
          <w:spacing w:val="-9"/>
        </w:rPr>
        <w:t>根据不同的应用场合和性能需求，光伏电池组件可以组合成不同规格</w:t>
      </w:r>
      <w:r>
        <w:rPr>
          <w:spacing w:val="-2"/>
        </w:rPr>
        <w:t>和功率的阵列，以满足不同用户的需要。</w:t>
      </w:r>
    </w:p>
    <w:p>
      <w:pPr>
        <w:spacing w:after="0" w:line="620" w:lineRule="atLeast"/>
        <w:sectPr>
          <w:footerReference w:type="default" r:id="rId6"/>
          <w:pgSz w:w="11910" w:h="16840"/>
          <w:pgMar w:top="1500" w:right="1280" w:bottom="1380" w:left="1680" w:header="0" w:footer="1195"/>
          <w:pgNumType w:start="2"/>
          <w:cols w:space="708"/>
        </w:sectPr>
      </w:pPr>
    </w:p>
    <w:p>
      <w:pPr>
        <w:pStyle w:val="BodyText"/>
        <w:spacing w:before="8"/>
        <w:rPr>
          <w:sz w:val="15"/>
        </w:rPr>
      </w:pPr>
    </w:p>
    <w:p>
      <w:pPr>
        <w:pStyle w:val="ListParagraph"/>
        <w:numPr>
          <w:ilvl w:val="0"/>
          <w:numId w:val="21"/>
        </w:numPr>
        <w:tabs>
          <w:tab w:val="left" w:pos="540"/>
        </w:tabs>
        <w:spacing w:before="60" w:after="0" w:line="240" w:lineRule="auto"/>
        <w:ind w:left="540" w:right="0" w:hanging="420"/>
        <w:jc w:val="left"/>
        <w:rPr>
          <w:sz w:val="28"/>
        </w:rPr>
      </w:pPr>
      <w:r>
        <w:rPr>
          <w:spacing w:val="-4"/>
          <w:sz w:val="28"/>
        </w:rPr>
        <w:t>逆变器</w:t>
      </w:r>
    </w:p>
    <w:p>
      <w:pPr>
        <w:pStyle w:val="BodyText"/>
      </w:pPr>
    </w:p>
    <w:p>
      <w:pPr>
        <w:pStyle w:val="BodyText"/>
        <w:spacing w:before="5"/>
        <w:rPr>
          <w:sz w:val="41"/>
        </w:rPr>
      </w:pPr>
    </w:p>
    <w:p>
      <w:pPr>
        <w:pStyle w:val="BodyText"/>
        <w:spacing w:before="1" w:line="417" w:lineRule="auto"/>
        <w:ind w:left="120" w:right="378"/>
        <w:jc w:val="both"/>
      </w:pPr>
      <w:r>
        <w:rPr>
          <w:spacing w:val="-8"/>
        </w:rPr>
        <w:t>逆变器是光伏发电系统中的关键设备，它的作用是将光伏电池组件产</w:t>
      </w:r>
      <w:r>
        <w:rPr>
          <w:spacing w:val="-2"/>
        </w:rPr>
        <w:t>生的直流电转换为交流电，以便供用电系统使用。在并网光伏发电系</w:t>
      </w:r>
      <w:r>
        <w:rPr>
          <w:spacing w:val="-18"/>
        </w:rPr>
        <w:t>统中，逆变器还需要具备一定的功率调节能力，以确保电网稳定运行。</w:t>
      </w:r>
    </w:p>
    <w:p>
      <w:pPr>
        <w:pStyle w:val="BodyText"/>
      </w:pPr>
    </w:p>
    <w:p>
      <w:pPr>
        <w:pStyle w:val="BodyText"/>
        <w:spacing w:before="8"/>
        <w:rPr>
          <w:sz w:val="20"/>
        </w:rPr>
      </w:pPr>
    </w:p>
    <w:p>
      <w:pPr>
        <w:pStyle w:val="BodyText"/>
        <w:spacing w:line="417" w:lineRule="auto"/>
        <w:ind w:left="120" w:right="238"/>
      </w:pPr>
      <w:r>
        <w:rPr>
          <w:spacing w:val="-6"/>
        </w:rPr>
        <w:t>逆变器通常分为集中式逆变器和组串式逆变器两大类。集中式逆变器</w:t>
      </w:r>
      <w:r>
        <w:rPr>
          <w:spacing w:val="-2"/>
        </w:rPr>
        <w:t xml:space="preserve"> </w:t>
      </w:r>
      <w:r>
        <w:rPr>
          <w:spacing w:val="-2"/>
        </w:rPr>
        <w:t>适用于大规模地面电站，其优点在于结构简单、易于维护，但可能受</w:t>
      </w:r>
      <w:r>
        <w:rPr>
          <w:spacing w:val="-2"/>
        </w:rPr>
        <w:t xml:space="preserve"> </w:t>
      </w:r>
      <w:r>
        <w:rPr>
          <w:spacing w:val="-11"/>
        </w:rPr>
        <w:t>到局部阴影或组件参数不一致的影响，从而影响整个系统的发电效率。</w:t>
      </w:r>
      <w:r>
        <w:rPr>
          <w:spacing w:val="-2"/>
        </w:rPr>
        <w:t>组串式逆变器则适用于分布式光伏系统，每个组串独立接入逆变器，</w:t>
      </w:r>
      <w:r>
        <w:rPr>
          <w:spacing w:val="-2"/>
        </w:rPr>
        <w:t>可以减少局部阴影对系统整体性能的影响。</w:t>
      </w:r>
    </w:p>
    <w:p>
      <w:pPr>
        <w:pStyle w:val="BodyText"/>
      </w:pPr>
    </w:p>
    <w:p>
      <w:pPr>
        <w:pStyle w:val="BodyText"/>
        <w:spacing w:before="8"/>
        <w:rPr>
          <w:sz w:val="20"/>
        </w:rPr>
      </w:pPr>
    </w:p>
    <w:p>
      <w:pPr>
        <w:pStyle w:val="ListParagraph"/>
        <w:numPr>
          <w:ilvl w:val="0"/>
          <w:numId w:val="21"/>
        </w:numPr>
        <w:tabs>
          <w:tab w:val="left" w:pos="540"/>
        </w:tabs>
        <w:spacing w:before="0" w:after="0" w:line="240" w:lineRule="auto"/>
        <w:ind w:left="540" w:right="0" w:hanging="420"/>
        <w:jc w:val="left"/>
        <w:rPr>
          <w:sz w:val="28"/>
        </w:rPr>
      </w:pPr>
      <w:r>
        <w:rPr>
          <w:spacing w:val="-2"/>
          <w:sz w:val="28"/>
        </w:rPr>
        <w:t>并网接口设备</w:t>
      </w:r>
    </w:p>
    <w:p>
      <w:pPr>
        <w:pStyle w:val="BodyText"/>
      </w:pPr>
    </w:p>
    <w:p>
      <w:pPr>
        <w:pStyle w:val="BodyText"/>
        <w:spacing w:before="5"/>
        <w:rPr>
          <w:sz w:val="41"/>
        </w:rPr>
      </w:pPr>
    </w:p>
    <w:p>
      <w:pPr>
        <w:pStyle w:val="BodyText"/>
        <w:spacing w:line="417" w:lineRule="auto"/>
        <w:ind w:left="120" w:right="378"/>
      </w:pPr>
      <w:r>
        <w:rPr>
          <w:spacing w:val="-15"/>
        </w:rPr>
        <w:t>并网接口设备主要包括并网断路器、防孤岛保护装置、谐波滤波器等。</w:t>
      </w:r>
      <w:r>
        <w:rPr>
          <w:spacing w:val="-6"/>
        </w:rPr>
        <w:t>这些设备的作用是保证光伏发电系统与电网之间的安全稳定连接，并</w:t>
      </w:r>
      <w:r>
        <w:rPr>
          <w:spacing w:val="-2"/>
        </w:rPr>
        <w:t>符合电力调度部门的相关技术要求。</w:t>
      </w:r>
    </w:p>
    <w:p>
      <w:pPr>
        <w:pStyle w:val="BodyText"/>
      </w:pPr>
    </w:p>
    <w:p>
      <w:pPr>
        <w:pStyle w:val="BodyText"/>
        <w:spacing w:before="8"/>
        <w:rPr>
          <w:sz w:val="20"/>
        </w:rPr>
      </w:pPr>
    </w:p>
    <w:p>
      <w:pPr>
        <w:pStyle w:val="BodyText"/>
        <w:spacing w:line="417" w:lineRule="auto"/>
        <w:ind w:left="120" w:right="518"/>
        <w:jc w:val="both"/>
      </w:pPr>
      <w:r>
        <w:rPr>
          <w:spacing w:val="-6"/>
        </w:rPr>
        <w:t>并网断路器主要用于控制光伏发电系统的并网和离网状态，当电网发</w:t>
      </w:r>
      <w:r>
        <w:rPr>
          <w:spacing w:val="-4"/>
        </w:rPr>
        <w:t>生故障时能够快速断开，防止光伏系统向电网反送电。防孤岛保护装</w:t>
      </w:r>
      <w:r>
        <w:rPr>
          <w:spacing w:val="-5"/>
        </w:rPr>
        <w:t>置则是为了防止在电网故障情况下，光伏发电系统仍然继续供电，导</w:t>
      </w:r>
    </w:p>
    <w:p>
      <w:pPr>
        <w:spacing w:after="0" w:line="417" w:lineRule="auto"/>
        <w:jc w:val="both"/>
        <w:sectPr>
          <w:footerReference w:type="default" r:id="rId7"/>
          <w:pgSz w:w="11910" w:h="16840"/>
          <w:pgMar w:top="1920" w:right="1280" w:bottom="1380" w:left="1680" w:header="0" w:footer="1195"/>
          <w:pgNumType w:start="3"/>
          <w:cols w:space="708"/>
        </w:sectPr>
      </w:pPr>
    </w:p>
    <w:p>
      <w:pPr>
        <w:pStyle w:val="BodyText"/>
        <w:spacing w:before="37" w:line="417" w:lineRule="auto"/>
        <w:ind w:left="120" w:right="518"/>
      </w:pPr>
      <w:r>
        <w:rPr>
          <w:spacing w:val="-11"/>
        </w:rPr>
        <w:t>致维修人员触电的风险。谐波滤波器用于消除光伏发电系统产生的谐</w:t>
      </w:r>
      <w:r>
        <w:rPr>
          <w:spacing w:val="-2"/>
        </w:rPr>
        <w:t>波干扰，提高电网质量。</w:t>
      </w:r>
    </w:p>
    <w:p>
      <w:pPr>
        <w:pStyle w:val="BodyText"/>
      </w:pPr>
    </w:p>
    <w:p>
      <w:pPr>
        <w:pStyle w:val="BodyText"/>
        <w:spacing w:before="8"/>
        <w:rPr>
          <w:sz w:val="20"/>
        </w:rPr>
      </w:pPr>
    </w:p>
    <w:p>
      <w:pPr>
        <w:pStyle w:val="ListParagraph"/>
        <w:numPr>
          <w:ilvl w:val="0"/>
          <w:numId w:val="21"/>
        </w:numPr>
        <w:tabs>
          <w:tab w:val="left" w:pos="540"/>
        </w:tabs>
        <w:spacing w:before="0" w:after="0" w:line="240" w:lineRule="auto"/>
        <w:ind w:left="540" w:right="0" w:hanging="420"/>
        <w:jc w:val="left"/>
        <w:rPr>
          <w:sz w:val="28"/>
        </w:rPr>
      </w:pPr>
      <w:r>
        <w:rPr>
          <w:spacing w:val="-3"/>
          <w:sz w:val="28"/>
        </w:rPr>
        <w:t>工作原理</w:t>
      </w:r>
    </w:p>
    <w:p>
      <w:pPr>
        <w:pStyle w:val="BodyText"/>
      </w:pPr>
    </w:p>
    <w:p>
      <w:pPr>
        <w:pStyle w:val="BodyText"/>
        <w:spacing w:before="5"/>
        <w:rPr>
          <w:sz w:val="41"/>
        </w:rPr>
      </w:pPr>
    </w:p>
    <w:p>
      <w:pPr>
        <w:pStyle w:val="BodyText"/>
        <w:spacing w:line="417" w:lineRule="auto"/>
        <w:ind w:left="120" w:right="378"/>
      </w:pPr>
      <w:r>
        <w:rPr>
          <w:spacing w:val="5"/>
        </w:rPr>
        <w:t>光伏发电系统的工作原理主要是通过光伏电池组件将太阳能转化为</w:t>
      </w:r>
      <w:r>
        <w:rPr>
          <w:spacing w:val="-8"/>
        </w:rPr>
        <w:t>电能，然后经过逆变器将直流电转换为交流电，并通过并网接口设备</w:t>
      </w:r>
      <w:r>
        <w:rPr>
          <w:spacing w:val="-18"/>
        </w:rPr>
        <w:t>接入电网。在整个过程中，光伏发电系统会自动跟踪太阳光线的变化，</w:t>
      </w:r>
      <w:r>
        <w:t>调整组件的角度，以获取最大的发电效率。</w:t>
      </w:r>
    </w:p>
    <w:p>
      <w:pPr>
        <w:pStyle w:val="BodyText"/>
      </w:pPr>
    </w:p>
    <w:p>
      <w:pPr>
        <w:pStyle w:val="BodyText"/>
        <w:spacing w:before="8"/>
        <w:rPr>
          <w:sz w:val="20"/>
        </w:rPr>
      </w:pPr>
    </w:p>
    <w:p>
      <w:pPr>
        <w:pStyle w:val="ListParagraph"/>
        <w:numPr>
          <w:ilvl w:val="0"/>
          <w:numId w:val="21"/>
        </w:numPr>
        <w:tabs>
          <w:tab w:val="left" w:pos="540"/>
        </w:tabs>
        <w:spacing w:before="0" w:after="0" w:line="240" w:lineRule="auto"/>
        <w:ind w:left="540" w:right="0" w:hanging="420"/>
        <w:jc w:val="left"/>
        <w:rPr>
          <w:sz w:val="28"/>
        </w:rPr>
      </w:pPr>
      <w:r>
        <w:rPr>
          <w:spacing w:val="-3"/>
          <w:sz w:val="28"/>
        </w:rPr>
        <w:t>发展趋势</w:t>
      </w:r>
    </w:p>
    <w:p>
      <w:pPr>
        <w:pStyle w:val="BodyText"/>
      </w:pPr>
    </w:p>
    <w:p>
      <w:pPr>
        <w:pStyle w:val="BodyText"/>
        <w:spacing w:before="5"/>
        <w:rPr>
          <w:sz w:val="41"/>
        </w:rPr>
      </w:pPr>
    </w:p>
    <w:p>
      <w:pPr>
        <w:pStyle w:val="BodyText"/>
        <w:spacing w:before="1" w:line="417" w:lineRule="auto"/>
        <w:ind w:left="120" w:right="378"/>
      </w:pPr>
      <w:r>
        <w:rPr>
          <w:spacing w:val="-6"/>
        </w:rPr>
        <w:t>随着技术的不断发展和市场需求的增长，光伏发电系统正朝着更高的</w:t>
      </w:r>
      <w:r>
        <w:rPr>
          <w:spacing w:val="-18"/>
        </w:rPr>
        <w:t>转换效率、更智能的控制系统、更灵活的安装方式等方面发展。同时，</w:t>
      </w:r>
      <w:r>
        <w:rPr>
          <w:spacing w:val="5"/>
        </w:rPr>
        <w:t>储能技术的发展也将使得光伏发电系统能够更好地解决间歇性和波动性问题，提高其在电力系统中的利用率。</w:t>
      </w:r>
    </w:p>
    <w:p>
      <w:pPr>
        <w:pStyle w:val="BodyText"/>
      </w:pPr>
    </w:p>
    <w:p>
      <w:pPr>
        <w:pStyle w:val="BodyText"/>
        <w:spacing w:before="7"/>
        <w:rPr>
          <w:sz w:val="20"/>
        </w:rPr>
      </w:pPr>
    </w:p>
    <w:p>
      <w:pPr>
        <w:pStyle w:val="BodyText"/>
        <w:spacing w:before="1" w:line="417" w:lineRule="auto"/>
        <w:ind w:left="120" w:right="518"/>
        <w:jc w:val="both"/>
      </w:pPr>
      <w:r>
        <w:rPr>
          <w:spacing w:val="-4"/>
        </w:rPr>
        <w:t>综上所述，光伏发电系统作为一种清洁可持续的能源来源，在未来的</w:t>
      </w:r>
      <w:r>
        <w:rPr>
          <w:spacing w:val="-8"/>
        </w:rPr>
        <w:t>能源结构中将发挥越来越重要的作用。随着相关技术研发和产业化的</w:t>
      </w:r>
      <w:r>
        <w:rPr>
          <w:spacing w:val="-4"/>
        </w:rPr>
        <w:t>不断推进，光伏发电系统的经济性、可靠性将会得到进一步提升，有</w:t>
      </w:r>
      <w:r>
        <w:rPr>
          <w:spacing w:val="-2"/>
        </w:rPr>
        <w:t>望成为推动全球能源转型的重要力量。</w:t>
      </w:r>
    </w:p>
    <w:p>
      <w:pPr>
        <w:spacing w:after="0" w:line="417" w:lineRule="auto"/>
        <w:jc w:val="both"/>
        <w:sectPr>
          <w:footerReference w:type="default" r:id="rId8"/>
          <w:pgSz w:w="11910" w:h="16840"/>
          <w:pgMar w:top="1520" w:right="1280" w:bottom="1380" w:left="1680" w:header="0" w:footer="1195"/>
          <w:pgNumType w:start="4"/>
          <w:cols w:space="708"/>
        </w:sectPr>
      </w:pPr>
    </w:p>
    <w:p>
      <w:pPr>
        <w:pStyle w:val="Heading1"/>
        <w:tabs>
          <w:tab w:val="left" w:pos="1725"/>
        </w:tabs>
        <w:spacing w:line="514" w:lineRule="exact"/>
        <w:jc w:val="left"/>
      </w:pPr>
      <w:bookmarkStart w:id="1" w:name="_TOC_250008"/>
      <w:r>
        <w:t>第</w:t>
      </w:r>
      <w:r>
        <w:t>二</w:t>
      </w:r>
      <w:r>
        <w:t>部</w:t>
      </w:r>
      <w:r>
        <w:rPr>
          <w:spacing w:val="-10"/>
        </w:rPr>
        <w:t>分</w:t>
      </w:r>
      <w:r>
        <w:tab/>
        <w:t>并</w:t>
      </w:r>
      <w:r>
        <w:t>网</w:t>
      </w:r>
      <w:r>
        <w:t>技</w:t>
      </w:r>
      <w:r>
        <w:t>术</w:t>
      </w:r>
      <w:r>
        <w:t>基</w:t>
      </w:r>
      <w:r>
        <w:t>本</w:t>
      </w:r>
      <w:r>
        <w:t>原</w:t>
      </w:r>
      <w:bookmarkEnd w:id="1"/>
      <w:r>
        <w:rPr>
          <w:spacing w:val="-10"/>
        </w:rPr>
        <w:t>理</w:t>
      </w:r>
    </w:p>
    <w:p>
      <w:pPr>
        <w:pStyle w:val="BodyText"/>
        <w:spacing w:before="3"/>
        <w:rPr>
          <w:rFonts w:ascii="Microsoft JhengHei"/>
          <w:b/>
          <w:sz w:val="23"/>
        </w:rPr>
      </w:pPr>
    </w:p>
    <w:p>
      <w:pPr>
        <w:pStyle w:val="BodyText"/>
        <w:spacing w:line="417" w:lineRule="auto"/>
        <w:ind w:left="120" w:right="518" w:firstLine="560"/>
      </w:pPr>
      <w:r>
        <w:rPr>
          <w:spacing w:val="-2"/>
        </w:rPr>
        <w:t>光伏发电并网技术的研究和应用是实现可再生能源与电网稳定</w:t>
      </w:r>
      <w:r>
        <w:rPr>
          <w:spacing w:val="-2"/>
        </w:rPr>
        <w:t>运行的关键。并网技术的基本原理主要包括以下几个方面。</w:t>
      </w:r>
    </w:p>
    <w:p>
      <w:pPr>
        <w:pStyle w:val="BodyText"/>
      </w:pPr>
    </w:p>
    <w:p>
      <w:pPr>
        <w:pStyle w:val="BodyText"/>
        <w:spacing w:before="9"/>
        <w:rPr>
          <w:sz w:val="20"/>
        </w:rPr>
      </w:pPr>
    </w:p>
    <w:p>
      <w:pPr>
        <w:pStyle w:val="ListParagraph"/>
        <w:numPr>
          <w:ilvl w:val="0"/>
          <w:numId w:val="20"/>
        </w:numPr>
        <w:tabs>
          <w:tab w:val="left" w:pos="540"/>
        </w:tabs>
        <w:spacing w:before="0" w:after="0" w:line="240" w:lineRule="auto"/>
        <w:ind w:left="540" w:right="0" w:hanging="420"/>
        <w:jc w:val="left"/>
        <w:rPr>
          <w:sz w:val="28"/>
        </w:rPr>
      </w:pPr>
      <w:r>
        <w:rPr>
          <w:spacing w:val="-3"/>
          <w:sz w:val="28"/>
        </w:rPr>
        <w:t>并网方式</w:t>
      </w:r>
    </w:p>
    <w:p>
      <w:pPr>
        <w:pStyle w:val="BodyText"/>
      </w:pPr>
    </w:p>
    <w:p>
      <w:pPr>
        <w:pStyle w:val="BodyText"/>
        <w:spacing w:before="5"/>
        <w:rPr>
          <w:sz w:val="41"/>
        </w:rPr>
      </w:pPr>
    </w:p>
    <w:p>
      <w:pPr>
        <w:pStyle w:val="BodyText"/>
        <w:spacing w:line="417" w:lineRule="auto"/>
        <w:ind w:left="120" w:right="238"/>
      </w:pPr>
      <w:r>
        <w:rPr>
          <w:spacing w:val="-2"/>
        </w:rPr>
        <w:t>根据接入电网的方式，光伏并网系统可以分为集中式并网、分布式并</w:t>
      </w:r>
      <w:r>
        <w:rPr>
          <w:spacing w:val="-2"/>
        </w:rPr>
        <w:t xml:space="preserve"> </w:t>
      </w:r>
      <w:r>
        <w:rPr>
          <w:spacing w:val="-12"/>
        </w:rPr>
        <w:t>网以及微电网等形式。集中式并网是指将光伏电站通过升压变电站与</w:t>
      </w:r>
      <w:r>
        <w:rPr>
          <w:spacing w:val="-2"/>
        </w:rPr>
        <w:t xml:space="preserve"> </w:t>
      </w:r>
      <w:r>
        <w:rPr>
          <w:spacing w:val="-2"/>
        </w:rPr>
        <w:t>高压电网相连；分布式并网则是指在用户侧安装小型光伏发电系统，</w:t>
      </w:r>
      <w:r>
        <w:rPr>
          <w:spacing w:val="-2"/>
        </w:rPr>
        <w:t>并直接将其电力送入低压配电网中；微电网则是一种能够独立运行或</w:t>
      </w:r>
      <w:r>
        <w:rPr>
          <w:spacing w:val="-2"/>
        </w:rPr>
        <w:t xml:space="preserve"> </w:t>
      </w:r>
      <w:r>
        <w:rPr>
          <w:spacing w:val="-15"/>
        </w:rPr>
        <w:t>者与主电网连接的局部电网形式，其中包含多种能源类型，如太阳能、</w:t>
      </w:r>
      <w:r>
        <w:rPr>
          <w:spacing w:val="-4"/>
        </w:rPr>
        <w:t>风能等。</w:t>
      </w:r>
    </w:p>
    <w:p>
      <w:pPr>
        <w:pStyle w:val="BodyText"/>
      </w:pPr>
    </w:p>
    <w:p>
      <w:pPr>
        <w:pStyle w:val="BodyText"/>
        <w:spacing w:before="7"/>
        <w:rPr>
          <w:sz w:val="20"/>
        </w:rPr>
      </w:pPr>
    </w:p>
    <w:p>
      <w:pPr>
        <w:pStyle w:val="ListParagraph"/>
        <w:numPr>
          <w:ilvl w:val="0"/>
          <w:numId w:val="20"/>
        </w:numPr>
        <w:tabs>
          <w:tab w:val="left" w:pos="540"/>
        </w:tabs>
        <w:spacing w:before="1" w:after="0" w:line="240" w:lineRule="auto"/>
        <w:ind w:left="540" w:right="0" w:hanging="420"/>
        <w:jc w:val="left"/>
        <w:rPr>
          <w:sz w:val="28"/>
        </w:rPr>
      </w:pPr>
      <w:r>
        <w:rPr>
          <w:spacing w:val="-2"/>
          <w:sz w:val="28"/>
        </w:rPr>
        <w:t>电压等级匹配</w:t>
      </w:r>
    </w:p>
    <w:p>
      <w:pPr>
        <w:pStyle w:val="BodyText"/>
      </w:pPr>
    </w:p>
    <w:p>
      <w:pPr>
        <w:pStyle w:val="BodyText"/>
        <w:spacing w:before="5"/>
        <w:rPr>
          <w:sz w:val="41"/>
        </w:rPr>
      </w:pPr>
    </w:p>
    <w:p>
      <w:pPr>
        <w:pStyle w:val="BodyText"/>
        <w:spacing w:line="417" w:lineRule="auto"/>
        <w:ind w:left="120" w:right="518"/>
        <w:jc w:val="both"/>
      </w:pPr>
      <w:r>
        <w:rPr>
          <w:spacing w:val="-8"/>
        </w:rPr>
        <w:t>光伏并网需要考虑电压等级的匹配问题。由于光伏发电系统的输出功</w:t>
      </w:r>
      <w:r>
        <w:rPr>
          <w:spacing w:val="-11"/>
        </w:rPr>
        <w:t>率受到光照强度的影响，因此需要配备合适的逆变器来转换直流电为</w:t>
      </w:r>
      <w:r>
        <w:rPr>
          <w:spacing w:val="-4"/>
        </w:rPr>
        <w:t>交流电，并且调节电压以满足不同电压等级的电网需求。常用的逆变</w:t>
      </w:r>
      <w:r>
        <w:rPr>
          <w:spacing w:val="-2"/>
        </w:rPr>
        <w:t>器包括单相逆变器、三相逆变器以及多级逆变器等。</w:t>
      </w:r>
    </w:p>
    <w:p>
      <w:pPr>
        <w:pStyle w:val="BodyText"/>
      </w:pPr>
    </w:p>
    <w:p>
      <w:pPr>
        <w:pStyle w:val="BodyText"/>
        <w:spacing w:before="8"/>
        <w:rPr>
          <w:sz w:val="20"/>
        </w:rPr>
      </w:pPr>
    </w:p>
    <w:p>
      <w:pPr>
        <w:pStyle w:val="ListParagraph"/>
        <w:numPr>
          <w:ilvl w:val="0"/>
          <w:numId w:val="20"/>
        </w:numPr>
        <w:tabs>
          <w:tab w:val="left" w:pos="540"/>
        </w:tabs>
        <w:spacing w:before="0" w:after="0" w:line="240" w:lineRule="auto"/>
        <w:ind w:left="540" w:right="0" w:hanging="420"/>
        <w:jc w:val="left"/>
        <w:rPr>
          <w:sz w:val="28"/>
        </w:rPr>
      </w:pPr>
      <w:r>
        <w:rPr>
          <w:spacing w:val="-2"/>
          <w:sz w:val="28"/>
        </w:rPr>
        <w:t>功率控制与调节</w:t>
      </w:r>
    </w:p>
    <w:p>
      <w:pPr>
        <w:spacing w:after="0" w:line="240" w:lineRule="auto"/>
        <w:jc w:val="left"/>
        <w:rPr>
          <w:sz w:val="28"/>
        </w:rPr>
        <w:sectPr>
          <w:footerReference w:type="default" r:id="rId9"/>
          <w:pgSz w:w="11910" w:h="16840"/>
          <w:pgMar w:top="1500" w:right="1280" w:bottom="1380" w:left="1680" w:header="0" w:footer="1195"/>
          <w:pgNumType w:start="5"/>
          <w:cols w:space="708"/>
        </w:sectPr>
      </w:pPr>
    </w:p>
    <w:p>
      <w:pPr>
        <w:pStyle w:val="BodyText"/>
        <w:spacing w:before="37" w:line="417" w:lineRule="auto"/>
        <w:ind w:left="120" w:right="518"/>
        <w:jc w:val="both"/>
      </w:pPr>
      <w:r>
        <w:rPr>
          <w:spacing w:val="-6"/>
        </w:rPr>
        <w:t>为了保证光伏发电系统的稳定运行以及与电网的良好互动，需要对光</w:t>
      </w:r>
      <w:r>
        <w:rPr>
          <w:spacing w:val="-8"/>
        </w:rPr>
        <w:t>伏发电系统的输出功率进行控制与调节。这通常通过采用各种控制策</w:t>
      </w:r>
      <w:r>
        <w:rPr>
          <w:spacing w:val="-2"/>
        </w:rPr>
        <w:t>略来实现，如最大功率点跟踪</w:t>
      </w:r>
      <w:r>
        <w:rPr>
          <w:spacing w:val="21"/>
        </w:rPr>
        <w:t>（</w:t>
      </w:r>
      <w:r>
        <w:rPr>
          <w:rFonts w:ascii="仿宋" w:eastAsia="仿宋"/>
          <w:spacing w:val="21"/>
        </w:rPr>
        <w:t>MPPT</w:t>
      </w:r>
      <w:r>
        <w:rPr>
          <w:spacing w:val="-119"/>
        </w:rPr>
        <w:t>）</w:t>
      </w:r>
      <w:r>
        <w:rPr>
          <w:spacing w:val="-2"/>
        </w:rPr>
        <w:t>、电压</w:t>
      </w:r>
      <w:r>
        <w:rPr>
          <w:rFonts w:ascii="仿宋" w:eastAsia="仿宋"/>
          <w:spacing w:val="-2"/>
        </w:rPr>
        <w:t>/</w:t>
      </w:r>
      <w:r>
        <w:rPr>
          <w:spacing w:val="-2"/>
        </w:rPr>
        <w:t>频率调整等。</w:t>
      </w:r>
    </w:p>
    <w:p>
      <w:pPr>
        <w:pStyle w:val="BodyText"/>
      </w:pPr>
    </w:p>
    <w:p>
      <w:pPr>
        <w:pStyle w:val="BodyText"/>
        <w:spacing w:before="8"/>
        <w:rPr>
          <w:sz w:val="20"/>
        </w:rPr>
      </w:pPr>
    </w:p>
    <w:p>
      <w:pPr>
        <w:pStyle w:val="ListParagraph"/>
        <w:numPr>
          <w:ilvl w:val="0"/>
          <w:numId w:val="20"/>
        </w:numPr>
        <w:tabs>
          <w:tab w:val="left" w:pos="540"/>
        </w:tabs>
        <w:spacing w:before="0" w:after="0" w:line="240" w:lineRule="auto"/>
        <w:ind w:left="540" w:right="0" w:hanging="420"/>
        <w:jc w:val="left"/>
        <w:rPr>
          <w:sz w:val="28"/>
        </w:rPr>
      </w:pPr>
      <w:r>
        <w:rPr>
          <w:spacing w:val="-2"/>
          <w:sz w:val="28"/>
        </w:rPr>
        <w:t>电能质量控制</w:t>
      </w:r>
    </w:p>
    <w:p>
      <w:pPr>
        <w:pStyle w:val="BodyText"/>
      </w:pPr>
    </w:p>
    <w:p>
      <w:pPr>
        <w:pStyle w:val="BodyText"/>
        <w:spacing w:before="5"/>
        <w:rPr>
          <w:sz w:val="41"/>
        </w:rPr>
      </w:pPr>
    </w:p>
    <w:p>
      <w:pPr>
        <w:pStyle w:val="BodyText"/>
        <w:spacing w:line="417" w:lineRule="auto"/>
        <w:ind w:left="120" w:right="518"/>
        <w:jc w:val="both"/>
      </w:pPr>
      <w:r>
        <w:rPr>
          <w:spacing w:val="-6"/>
        </w:rPr>
        <w:t>由于光伏发电系统的输出电流波形可能含有谐波成分，因此需要采取</w:t>
      </w:r>
      <w:r>
        <w:rPr>
          <w:spacing w:val="-4"/>
        </w:rPr>
        <w:t>措施来提高电能质量。常见的电能质量控制方法包括有源滤波器、无</w:t>
      </w:r>
      <w:r>
        <w:rPr>
          <w:spacing w:val="-2"/>
        </w:rPr>
        <w:t>源滤波器、谐振抑制以及动态电压恢复器等。</w:t>
      </w:r>
    </w:p>
    <w:p>
      <w:pPr>
        <w:pStyle w:val="BodyText"/>
      </w:pPr>
    </w:p>
    <w:p>
      <w:pPr>
        <w:pStyle w:val="BodyText"/>
        <w:spacing w:before="8"/>
        <w:rPr>
          <w:sz w:val="20"/>
        </w:rPr>
      </w:pPr>
    </w:p>
    <w:p>
      <w:pPr>
        <w:pStyle w:val="ListParagraph"/>
        <w:numPr>
          <w:ilvl w:val="0"/>
          <w:numId w:val="20"/>
        </w:numPr>
        <w:tabs>
          <w:tab w:val="left" w:pos="540"/>
        </w:tabs>
        <w:spacing w:before="0" w:after="0" w:line="240" w:lineRule="auto"/>
        <w:ind w:left="540" w:right="0" w:hanging="420"/>
        <w:jc w:val="left"/>
        <w:rPr>
          <w:sz w:val="28"/>
        </w:rPr>
      </w:pPr>
      <w:r>
        <w:rPr>
          <w:spacing w:val="-2"/>
          <w:sz w:val="28"/>
        </w:rPr>
        <w:t>安全保护与故障隔离</w:t>
      </w:r>
    </w:p>
    <w:p>
      <w:pPr>
        <w:pStyle w:val="BodyText"/>
      </w:pPr>
    </w:p>
    <w:p>
      <w:pPr>
        <w:pStyle w:val="BodyText"/>
        <w:spacing w:before="5"/>
        <w:rPr>
          <w:sz w:val="41"/>
        </w:rPr>
      </w:pPr>
    </w:p>
    <w:p>
      <w:pPr>
        <w:pStyle w:val="BodyText"/>
        <w:spacing w:before="1" w:line="417" w:lineRule="auto"/>
        <w:ind w:left="120" w:right="518"/>
        <w:jc w:val="both"/>
      </w:pPr>
      <w:r>
        <w:rPr>
          <w:spacing w:val="-10"/>
        </w:rPr>
        <w:t>为了保障电网的安全运行，在光伏发电并网过程中需要设置相应的安</w:t>
      </w:r>
      <w:r>
        <w:rPr>
          <w:spacing w:val="-4"/>
        </w:rPr>
        <w:t>全保护机制。当出现异常情况时，可以通过断路器等设备及时切断光</w:t>
      </w:r>
      <w:r>
        <w:rPr>
          <w:spacing w:val="-2"/>
        </w:rPr>
        <w:t>伏发电系统与电网之间的连接，避免影响电网稳定运行。</w:t>
      </w:r>
    </w:p>
    <w:p>
      <w:pPr>
        <w:pStyle w:val="BodyText"/>
      </w:pPr>
    </w:p>
    <w:p>
      <w:pPr>
        <w:pStyle w:val="BodyText"/>
        <w:spacing w:before="8"/>
        <w:rPr>
          <w:sz w:val="20"/>
        </w:rPr>
      </w:pPr>
    </w:p>
    <w:p>
      <w:pPr>
        <w:pStyle w:val="ListParagraph"/>
        <w:numPr>
          <w:ilvl w:val="0"/>
          <w:numId w:val="20"/>
        </w:numPr>
        <w:tabs>
          <w:tab w:val="left" w:pos="540"/>
        </w:tabs>
        <w:spacing w:before="0" w:after="0" w:line="240" w:lineRule="auto"/>
        <w:ind w:left="540" w:right="0" w:hanging="420"/>
        <w:jc w:val="left"/>
        <w:rPr>
          <w:sz w:val="28"/>
        </w:rPr>
      </w:pPr>
      <w:r>
        <w:rPr>
          <w:spacing w:val="-2"/>
          <w:sz w:val="28"/>
        </w:rPr>
        <w:t>通信技术的应用</w:t>
      </w:r>
    </w:p>
    <w:p>
      <w:pPr>
        <w:pStyle w:val="BodyText"/>
      </w:pPr>
    </w:p>
    <w:p>
      <w:pPr>
        <w:pStyle w:val="BodyText"/>
        <w:spacing w:before="5"/>
        <w:rPr>
          <w:sz w:val="41"/>
        </w:rPr>
      </w:pPr>
    </w:p>
    <w:p>
      <w:pPr>
        <w:pStyle w:val="BodyText"/>
        <w:spacing w:line="417" w:lineRule="auto"/>
        <w:ind w:left="120" w:right="238"/>
      </w:pPr>
      <w:r>
        <w:rPr>
          <w:spacing w:val="-2"/>
        </w:rPr>
        <w:t>在现代电网中，通信技术已经成为重要的组成部分之一。在光伏并网</w:t>
      </w:r>
      <w:r>
        <w:rPr>
          <w:spacing w:val="-2"/>
        </w:rPr>
        <w:t xml:space="preserve"> </w:t>
      </w:r>
      <w:r>
        <w:rPr>
          <w:spacing w:val="-2"/>
        </w:rPr>
        <w:t>系统中，通信技术可以用于远程监控、数据采集、故障报警等方面，</w:t>
      </w:r>
      <w:r>
        <w:rPr>
          <w:spacing w:val="-2"/>
        </w:rPr>
        <w:t>从而提高整个系统的运行效率和安全性。</w:t>
      </w:r>
    </w:p>
    <w:p>
      <w:pPr>
        <w:spacing w:after="0" w:line="417" w:lineRule="auto"/>
        <w:sectPr>
          <w:footerReference w:type="default" r:id="rId10"/>
          <w:pgSz w:w="11910" w:h="16840"/>
          <w:pgMar w:top="1520" w:right="1280" w:bottom="1380" w:left="1680" w:header="0" w:footer="1195"/>
          <w:pgNumType w:start="6"/>
          <w:cols w:space="708"/>
        </w:sectPr>
      </w:pPr>
    </w:p>
    <w:p>
      <w:pPr>
        <w:pStyle w:val="BodyText"/>
        <w:spacing w:before="37" w:line="417" w:lineRule="auto"/>
        <w:ind w:left="120" w:right="518"/>
        <w:jc w:val="both"/>
      </w:pPr>
      <w:r>
        <w:rPr>
          <w:spacing w:val="-4"/>
        </w:rPr>
        <w:t>总之，光伏发电并网技术涉及多个方面，包括并网方式的选择、电压</w:t>
      </w:r>
      <w:r>
        <w:rPr>
          <w:spacing w:val="-4"/>
        </w:rPr>
        <w:t>等级匹配、功率控制与调节、电能质量控制、安全保护与故障隔离以</w:t>
      </w:r>
      <w:r>
        <w:rPr>
          <w:spacing w:val="-4"/>
        </w:rPr>
        <w:t>及通信技术的应用等。只有充分理解这些基本原理，并不断进行技术</w:t>
      </w:r>
      <w:r>
        <w:rPr>
          <w:spacing w:val="-4"/>
        </w:rPr>
        <w:t>创新和完善，才能推动光伏发电产业的健康发展，促进可再生能源在</w:t>
      </w:r>
      <w:r>
        <w:rPr>
          <w:spacing w:val="-2"/>
        </w:rPr>
        <w:t>全球范围内的广泛应用。</w:t>
      </w:r>
    </w:p>
    <w:p>
      <w:pPr>
        <w:pStyle w:val="BodyText"/>
      </w:pPr>
    </w:p>
    <w:p>
      <w:pPr>
        <w:pStyle w:val="Heading1"/>
        <w:spacing w:before="237"/>
      </w:pPr>
      <w:bookmarkStart w:id="2" w:name="_TOC_250007"/>
      <w:r>
        <w:t>第三部分</w:t>
      </w:r>
      <w:r>
        <w:rPr>
          <w:spacing w:val="212"/>
          <w:w w:val="150"/>
        </w:rPr>
        <w:t xml:space="preserve"> </w:t>
      </w:r>
      <w:bookmarkEnd w:id="2"/>
      <w:r>
        <w:rPr>
          <w:spacing w:val="-2"/>
        </w:rPr>
        <w:t>光伏并网法规与标准</w:t>
      </w:r>
    </w:p>
    <w:p>
      <w:pPr>
        <w:pStyle w:val="BodyText"/>
        <w:spacing w:before="3"/>
        <w:rPr>
          <w:rFonts w:ascii="Microsoft JhengHei"/>
          <w:b/>
          <w:sz w:val="23"/>
        </w:rPr>
      </w:pPr>
    </w:p>
    <w:p>
      <w:pPr>
        <w:pStyle w:val="BodyText"/>
        <w:spacing w:line="417" w:lineRule="auto"/>
        <w:ind w:left="120" w:right="518" w:firstLine="560"/>
        <w:jc w:val="both"/>
      </w:pPr>
      <w:r>
        <w:rPr>
          <w:spacing w:val="-8"/>
        </w:rPr>
        <w:t>随着太阳能光伏技术的发展和应用，光伏发电并网已经成为重要</w:t>
      </w:r>
      <w:r>
        <w:rPr>
          <w:spacing w:val="-4"/>
        </w:rPr>
        <w:t>的电力供应方式之一。在光伏发电并网过程中，需要遵循一定的法规</w:t>
      </w:r>
      <w:r>
        <w:rPr>
          <w:spacing w:val="-7"/>
        </w:rPr>
        <w:t>与标准来确保电网的稳定运行和电力质量的保证。本文将详细介绍光</w:t>
      </w:r>
      <w:r>
        <w:rPr>
          <w:spacing w:val="-2"/>
        </w:rPr>
        <w:t>伏发电并网的相关法规与标准。</w:t>
      </w:r>
    </w:p>
    <w:p>
      <w:pPr>
        <w:pStyle w:val="BodyText"/>
      </w:pPr>
    </w:p>
    <w:p>
      <w:pPr>
        <w:pStyle w:val="BodyText"/>
        <w:spacing w:before="8"/>
        <w:rPr>
          <w:sz w:val="20"/>
        </w:rPr>
      </w:pPr>
    </w:p>
    <w:p>
      <w:pPr>
        <w:pStyle w:val="BodyText"/>
        <w:ind w:left="120"/>
      </w:pPr>
      <w:r>
        <w:rPr>
          <w:spacing w:val="-2"/>
        </w:rPr>
        <w:t>一、国家政策法规</w:t>
      </w:r>
    </w:p>
    <w:p>
      <w:pPr>
        <w:pStyle w:val="BodyText"/>
      </w:pPr>
    </w:p>
    <w:p>
      <w:pPr>
        <w:pStyle w:val="BodyText"/>
        <w:spacing w:before="5"/>
        <w:rPr>
          <w:sz w:val="41"/>
        </w:rPr>
      </w:pPr>
    </w:p>
    <w:p>
      <w:pPr>
        <w:pStyle w:val="BodyText"/>
        <w:spacing w:before="1" w:line="417" w:lineRule="auto"/>
        <w:ind w:left="120" w:right="518"/>
      </w:pPr>
      <w:r>
        <w:rPr>
          <w:spacing w:val="-7"/>
        </w:rPr>
        <w:t>中国政府对于光伏发电并网制定了多项政策法规，以推动太阳能发电</w:t>
      </w:r>
      <w:r>
        <w:rPr>
          <w:spacing w:val="-2"/>
        </w:rPr>
        <w:t>产业的发展，保障并网安全和可靠性。</w:t>
      </w:r>
    </w:p>
    <w:p>
      <w:pPr>
        <w:pStyle w:val="BodyText"/>
      </w:pPr>
    </w:p>
    <w:p>
      <w:pPr>
        <w:pStyle w:val="BodyText"/>
        <w:spacing w:before="8"/>
        <w:rPr>
          <w:sz w:val="20"/>
        </w:rPr>
      </w:pPr>
    </w:p>
    <w:p>
      <w:pPr>
        <w:pStyle w:val="ListParagraph"/>
        <w:numPr>
          <w:ilvl w:val="0"/>
          <w:numId w:val="19"/>
        </w:numPr>
        <w:tabs>
          <w:tab w:val="left" w:pos="540"/>
        </w:tabs>
        <w:spacing w:before="0" w:after="0" w:line="417" w:lineRule="auto"/>
        <w:ind w:left="120" w:right="518" w:firstLine="0"/>
        <w:jc w:val="both"/>
        <w:rPr>
          <w:sz w:val="28"/>
        </w:rPr>
      </w:pPr>
      <w:r>
        <w:rPr>
          <w:spacing w:val="-4"/>
          <w:sz w:val="28"/>
        </w:rPr>
        <w:t>《可再生能源法》：</w:t>
      </w:r>
      <w:r>
        <w:rPr>
          <w:rFonts w:ascii="仿宋" w:eastAsia="仿宋"/>
          <w:spacing w:val="-4"/>
          <w:sz w:val="28"/>
        </w:rPr>
        <w:t>2005</w:t>
      </w:r>
      <w:r>
        <w:rPr>
          <w:rFonts w:ascii="仿宋" w:eastAsia="仿宋"/>
          <w:spacing w:val="-9"/>
          <w:sz w:val="28"/>
        </w:rPr>
        <w:t xml:space="preserve"> </w:t>
      </w:r>
      <w:r>
        <w:rPr>
          <w:spacing w:val="-4"/>
          <w:sz w:val="28"/>
        </w:rPr>
        <w:t>年出台的《中华人民共和国可再生能源</w:t>
      </w:r>
      <w:r>
        <w:rPr>
          <w:spacing w:val="-13"/>
          <w:sz w:val="28"/>
        </w:rPr>
        <w:t>法》规定了光伏发电等可再生能源的开发和利用的基本原则和政策支</w:t>
      </w:r>
      <w:r>
        <w:rPr>
          <w:spacing w:val="-4"/>
          <w:sz w:val="28"/>
        </w:rPr>
        <w:t>持措施。该法律明确了国家对可再生能源发展的扶持政策，并要求电</w:t>
      </w:r>
      <w:r>
        <w:rPr>
          <w:spacing w:val="-2"/>
          <w:sz w:val="28"/>
        </w:rPr>
        <w:t>网企业积极接纳和输送可再生能源发电。</w:t>
      </w:r>
    </w:p>
    <w:p>
      <w:pPr>
        <w:spacing w:after="0" w:line="417" w:lineRule="auto"/>
        <w:jc w:val="both"/>
        <w:rPr>
          <w:sz w:val="28"/>
        </w:rPr>
        <w:sectPr>
          <w:footerReference w:type="default" r:id="rId11"/>
          <w:pgSz w:w="11910" w:h="16840"/>
          <w:pgMar w:top="1520" w:right="1280" w:bottom="1380" w:left="1680" w:header="0" w:footer="1195"/>
          <w:pgNumType w:start="7"/>
          <w:cols w:space="708"/>
        </w:sectPr>
      </w:pPr>
    </w:p>
    <w:p>
      <w:pPr>
        <w:pStyle w:val="BodyText"/>
        <w:spacing w:before="8"/>
        <w:rPr>
          <w:sz w:val="15"/>
        </w:rPr>
      </w:pPr>
    </w:p>
    <w:p>
      <w:pPr>
        <w:pStyle w:val="ListParagraph"/>
        <w:numPr>
          <w:ilvl w:val="0"/>
          <w:numId w:val="19"/>
        </w:numPr>
        <w:tabs>
          <w:tab w:val="left" w:pos="540"/>
        </w:tabs>
        <w:spacing w:before="60" w:after="0" w:line="240" w:lineRule="auto"/>
        <w:ind w:left="540" w:right="0" w:hanging="420"/>
        <w:jc w:val="left"/>
        <w:rPr>
          <w:sz w:val="28"/>
        </w:rPr>
      </w:pPr>
      <w:r>
        <w:rPr>
          <w:spacing w:val="-2"/>
          <w:sz w:val="28"/>
        </w:rPr>
        <w:t>《电力法》：</w:t>
      </w:r>
      <w:r>
        <w:rPr>
          <w:rFonts w:ascii="仿宋" w:eastAsia="仿宋"/>
          <w:spacing w:val="-2"/>
          <w:sz w:val="28"/>
        </w:rPr>
        <w:t>2009</w:t>
      </w:r>
      <w:r>
        <w:rPr>
          <w:rFonts w:ascii="仿宋" w:eastAsia="仿宋"/>
          <w:spacing w:val="-38"/>
          <w:sz w:val="28"/>
        </w:rPr>
        <w:t xml:space="preserve"> </w:t>
      </w:r>
      <w:r>
        <w:rPr>
          <w:spacing w:val="-3"/>
          <w:sz w:val="28"/>
        </w:rPr>
        <w:t>年修订的《中华人民共和国电力法》规定了电</w:t>
      </w:r>
    </w:p>
    <w:p>
      <w:pPr>
        <w:pStyle w:val="BodyText"/>
        <w:spacing w:before="9"/>
        <w:rPr>
          <w:sz w:val="20"/>
        </w:rPr>
      </w:pPr>
    </w:p>
    <w:p>
      <w:pPr>
        <w:pStyle w:val="BodyText"/>
        <w:spacing w:line="417" w:lineRule="auto"/>
        <w:ind w:left="120" w:right="98"/>
      </w:pPr>
      <w:r>
        <w:rPr>
          <w:spacing w:val="-10"/>
        </w:rPr>
        <w:t>力企业和电力用户之间的权利和义务，并明确了电力市场的发展方向。</w:t>
      </w:r>
      <w:r>
        <w:rPr>
          <w:spacing w:val="-5"/>
        </w:rPr>
        <w:t xml:space="preserve">其中，第 </w:t>
      </w:r>
      <w:r>
        <w:rPr>
          <w:rFonts w:ascii="仿宋" w:eastAsia="仿宋"/>
        </w:rPr>
        <w:t>48</w:t>
      </w:r>
      <w:r>
        <w:rPr>
          <w:rFonts w:ascii="仿宋" w:eastAsia="仿宋"/>
          <w:spacing w:val="-21"/>
        </w:rPr>
        <w:t xml:space="preserve"> </w:t>
      </w:r>
      <w:r>
        <w:t>条特别强调了鼓励和支持可再生能源发电的政策导向。</w:t>
      </w:r>
    </w:p>
    <w:p>
      <w:pPr>
        <w:pStyle w:val="BodyText"/>
      </w:pPr>
    </w:p>
    <w:p>
      <w:pPr>
        <w:pStyle w:val="BodyText"/>
        <w:spacing w:before="9"/>
        <w:rPr>
          <w:sz w:val="20"/>
        </w:rPr>
      </w:pPr>
    </w:p>
    <w:p>
      <w:pPr>
        <w:pStyle w:val="ListParagraph"/>
        <w:numPr>
          <w:ilvl w:val="0"/>
          <w:numId w:val="19"/>
        </w:numPr>
        <w:tabs>
          <w:tab w:val="left" w:pos="540"/>
        </w:tabs>
        <w:spacing w:before="0" w:after="0" w:line="417" w:lineRule="auto"/>
        <w:ind w:left="120" w:right="285" w:firstLine="0"/>
        <w:jc w:val="left"/>
        <w:rPr>
          <w:sz w:val="28"/>
        </w:rPr>
      </w:pPr>
      <w:r>
        <w:rPr>
          <w:sz w:val="28"/>
        </w:rPr>
        <w:t>《新能源汽车产业发展规划》：</w:t>
      </w:r>
      <w:r>
        <w:rPr>
          <w:rFonts w:ascii="仿宋" w:eastAsia="仿宋"/>
          <w:sz w:val="28"/>
        </w:rPr>
        <w:t>2016</w:t>
      </w:r>
      <w:r>
        <w:rPr>
          <w:rFonts w:ascii="仿宋" w:eastAsia="仿宋"/>
          <w:spacing w:val="-41"/>
          <w:sz w:val="28"/>
        </w:rPr>
        <w:t xml:space="preserve"> </w:t>
      </w:r>
      <w:r>
        <w:rPr>
          <w:sz w:val="28"/>
        </w:rPr>
        <w:t>年发布的《新能源汽车产业发展规划（</w:t>
      </w:r>
      <w:r>
        <w:rPr>
          <w:rFonts w:ascii="仿宋" w:eastAsia="仿宋"/>
          <w:sz w:val="28"/>
        </w:rPr>
        <w:t>2016-2020</w:t>
      </w:r>
      <w:r>
        <w:rPr>
          <w:rFonts w:ascii="仿宋" w:eastAsia="仿宋"/>
          <w:spacing w:val="3"/>
          <w:sz w:val="28"/>
        </w:rPr>
        <w:t xml:space="preserve"> </w:t>
      </w:r>
      <w:r>
        <w:rPr>
          <w:sz w:val="28"/>
        </w:rPr>
        <w:t>年</w:t>
      </w:r>
      <w:r>
        <w:rPr>
          <w:spacing w:val="-136"/>
          <w:sz w:val="28"/>
        </w:rPr>
        <w:t>）</w:t>
      </w:r>
      <w:r>
        <w:rPr>
          <w:spacing w:val="-1"/>
          <w:sz w:val="28"/>
        </w:rPr>
        <w:t>》中提出了推广电动汽车充电设施和储能系</w:t>
      </w:r>
      <w:r>
        <w:rPr>
          <w:spacing w:val="-14"/>
          <w:sz w:val="28"/>
        </w:rPr>
        <w:t>统建设的要求，促进了太阳能光伏与电动汽车充电设施的协同发展。</w:t>
      </w:r>
    </w:p>
    <w:p>
      <w:pPr>
        <w:pStyle w:val="BodyText"/>
      </w:pPr>
    </w:p>
    <w:p>
      <w:pPr>
        <w:pStyle w:val="BodyText"/>
        <w:spacing w:before="8"/>
        <w:rPr>
          <w:sz w:val="20"/>
        </w:rPr>
      </w:pPr>
    </w:p>
    <w:p>
      <w:pPr>
        <w:pStyle w:val="BodyText"/>
        <w:ind w:left="120"/>
      </w:pPr>
      <w:r>
        <w:rPr>
          <w:spacing w:val="-1"/>
        </w:rPr>
        <w:t>二、并网接入技术标准</w:t>
      </w:r>
    </w:p>
    <w:p>
      <w:pPr>
        <w:pStyle w:val="BodyText"/>
      </w:pPr>
    </w:p>
    <w:p>
      <w:pPr>
        <w:pStyle w:val="BodyText"/>
        <w:spacing w:before="5"/>
        <w:rPr>
          <w:sz w:val="41"/>
        </w:rPr>
      </w:pPr>
    </w:p>
    <w:p>
      <w:pPr>
        <w:pStyle w:val="BodyText"/>
        <w:spacing w:line="417" w:lineRule="auto"/>
        <w:ind w:left="120" w:right="518"/>
      </w:pPr>
      <w:r>
        <w:rPr>
          <w:spacing w:val="-8"/>
        </w:rPr>
        <w:t>为了确保光伏发电系统的顺利并入电网，国家能源局等相关机构制定</w:t>
      </w:r>
      <w:r>
        <w:rPr>
          <w:spacing w:val="-2"/>
        </w:rPr>
        <w:t>了一系列并网接入技术标准。</w:t>
      </w:r>
    </w:p>
    <w:p>
      <w:pPr>
        <w:pStyle w:val="BodyText"/>
      </w:pPr>
    </w:p>
    <w:p>
      <w:pPr>
        <w:pStyle w:val="BodyText"/>
        <w:spacing w:before="9"/>
        <w:rPr>
          <w:sz w:val="20"/>
        </w:rPr>
      </w:pPr>
    </w:p>
    <w:p>
      <w:pPr>
        <w:pStyle w:val="ListParagraph"/>
        <w:numPr>
          <w:ilvl w:val="0"/>
          <w:numId w:val="18"/>
        </w:numPr>
        <w:tabs>
          <w:tab w:val="left" w:pos="540"/>
        </w:tabs>
        <w:spacing w:before="0" w:after="0" w:line="417" w:lineRule="auto"/>
        <w:ind w:left="120" w:right="518" w:firstLine="0"/>
        <w:jc w:val="both"/>
        <w:rPr>
          <w:sz w:val="28"/>
        </w:rPr>
      </w:pPr>
      <w:r>
        <w:rPr>
          <w:rFonts w:ascii="仿宋" w:eastAsia="仿宋"/>
          <w:spacing w:val="-2"/>
          <w:sz w:val="28"/>
        </w:rPr>
        <w:t>GB/T</w:t>
      </w:r>
      <w:r>
        <w:rPr>
          <w:rFonts w:ascii="仿宋" w:eastAsia="仿宋"/>
          <w:spacing w:val="-33"/>
          <w:sz w:val="28"/>
        </w:rPr>
        <w:t xml:space="preserve"> </w:t>
      </w:r>
      <w:r>
        <w:rPr>
          <w:rFonts w:ascii="仿宋" w:eastAsia="仿宋"/>
          <w:spacing w:val="-2"/>
          <w:sz w:val="28"/>
        </w:rPr>
        <w:t>19964-2012</w:t>
      </w:r>
      <w:r>
        <w:rPr>
          <w:spacing w:val="-2"/>
          <w:sz w:val="28"/>
        </w:rPr>
        <w:t>《光伏发电接入电力系统技术规定》：该标准规</w:t>
      </w:r>
      <w:r>
        <w:rPr>
          <w:spacing w:val="-4"/>
          <w:sz w:val="28"/>
        </w:rPr>
        <w:t>定了光伏发电系统接入电力系统的电压等级、电能质量、保护及控制</w:t>
      </w:r>
      <w:r>
        <w:rPr>
          <w:spacing w:val="-2"/>
          <w:sz w:val="28"/>
        </w:rPr>
        <w:t>等方面的技术要求，适用于新建、扩建和改造的光伏发电项目。</w:t>
      </w:r>
    </w:p>
    <w:p>
      <w:pPr>
        <w:pStyle w:val="BodyText"/>
      </w:pPr>
    </w:p>
    <w:p>
      <w:pPr>
        <w:pStyle w:val="BodyText"/>
        <w:spacing w:before="8"/>
        <w:rPr>
          <w:sz w:val="20"/>
        </w:rPr>
      </w:pPr>
    </w:p>
    <w:p>
      <w:pPr>
        <w:pStyle w:val="ListParagraph"/>
        <w:numPr>
          <w:ilvl w:val="0"/>
          <w:numId w:val="18"/>
        </w:numPr>
        <w:tabs>
          <w:tab w:val="left" w:pos="540"/>
        </w:tabs>
        <w:spacing w:before="0" w:after="0" w:line="417" w:lineRule="auto"/>
        <w:ind w:left="120" w:right="518" w:firstLine="0"/>
        <w:jc w:val="both"/>
        <w:rPr>
          <w:sz w:val="28"/>
        </w:rPr>
      </w:pPr>
      <w:r>
        <w:rPr>
          <w:rFonts w:ascii="仿宋" w:eastAsia="仿宋"/>
          <w:spacing w:val="-2"/>
          <w:sz w:val="28"/>
        </w:rPr>
        <w:t>GB/T</w:t>
      </w:r>
      <w:r>
        <w:rPr>
          <w:rFonts w:ascii="仿宋" w:eastAsia="仿宋"/>
          <w:spacing w:val="-33"/>
          <w:sz w:val="28"/>
        </w:rPr>
        <w:t xml:space="preserve"> </w:t>
      </w:r>
      <w:r>
        <w:rPr>
          <w:rFonts w:ascii="仿宋" w:eastAsia="仿宋"/>
          <w:spacing w:val="-2"/>
          <w:sz w:val="28"/>
        </w:rPr>
        <w:t>29319-2012</w:t>
      </w:r>
      <w:r>
        <w:rPr>
          <w:spacing w:val="-2"/>
          <w:sz w:val="28"/>
        </w:rPr>
        <w:t>《光伏发电接入电力系统测试方法》：本标准规</w:t>
      </w:r>
      <w:r>
        <w:rPr>
          <w:spacing w:val="-4"/>
          <w:sz w:val="28"/>
        </w:rPr>
        <w:t>定了光伏发电系统接入电力系统时的电气性能、稳定性、电能质量等</w:t>
      </w:r>
      <w:r>
        <w:rPr>
          <w:spacing w:val="-4"/>
          <w:sz w:val="28"/>
        </w:rPr>
        <w:t>方面的测试方法和技术指标，为光伏发电系统的设计、建设和运行提</w:t>
      </w:r>
      <w:r>
        <w:rPr>
          <w:spacing w:val="-2"/>
          <w:sz w:val="28"/>
        </w:rPr>
        <w:t>供技术支持。</w:t>
      </w:r>
    </w:p>
    <w:p>
      <w:pPr>
        <w:spacing w:after="0" w:line="417" w:lineRule="auto"/>
        <w:jc w:val="both"/>
        <w:rPr>
          <w:sz w:val="28"/>
        </w:rPr>
        <w:sectPr>
          <w:footerReference w:type="default" r:id="rId12"/>
          <w:pgSz w:w="11910" w:h="16840"/>
          <w:pgMar w:top="1920" w:right="1280" w:bottom="1380" w:left="1680" w:header="0" w:footer="1195"/>
          <w:pgNumType w:start="8"/>
          <w:cols w:space="708"/>
        </w:sectPr>
      </w:pPr>
    </w:p>
    <w:p>
      <w:pPr>
        <w:pStyle w:val="BodyText"/>
        <w:spacing w:before="8"/>
        <w:rPr>
          <w:sz w:val="15"/>
        </w:rPr>
      </w:pPr>
    </w:p>
    <w:p>
      <w:pPr>
        <w:pStyle w:val="ListParagraph"/>
        <w:numPr>
          <w:ilvl w:val="0"/>
          <w:numId w:val="18"/>
        </w:numPr>
        <w:tabs>
          <w:tab w:val="left" w:pos="542"/>
        </w:tabs>
        <w:spacing w:before="60" w:after="0" w:line="417" w:lineRule="auto"/>
        <w:ind w:left="120" w:right="518" w:firstLine="0"/>
        <w:jc w:val="both"/>
        <w:rPr>
          <w:sz w:val="28"/>
        </w:rPr>
      </w:pPr>
      <w:r>
        <w:rPr>
          <w:rFonts w:ascii="仿宋" w:eastAsia="仿宋"/>
          <w:sz w:val="28"/>
        </w:rPr>
        <w:t>DL/T 5373-2012</w:t>
      </w:r>
      <w:r>
        <w:rPr>
          <w:sz w:val="28"/>
        </w:rPr>
        <w:t>《光伏发电接入电力系统设计导则》：该标准提</w:t>
      </w:r>
      <w:r>
        <w:rPr>
          <w:spacing w:val="-7"/>
          <w:sz w:val="28"/>
        </w:rPr>
        <w:t>供了光伏发电接入电力系统的规划设计方法和步骤，包括电气接口设</w:t>
      </w:r>
      <w:r>
        <w:rPr>
          <w:spacing w:val="-2"/>
          <w:sz w:val="28"/>
        </w:rPr>
        <w:t>计、保护配置、无功补偿、调度通信等方面的技术要求。</w:t>
      </w:r>
    </w:p>
    <w:p>
      <w:pPr>
        <w:pStyle w:val="BodyText"/>
      </w:pPr>
    </w:p>
    <w:p>
      <w:pPr>
        <w:pStyle w:val="BodyText"/>
        <w:spacing w:before="8"/>
        <w:rPr>
          <w:sz w:val="20"/>
        </w:rPr>
      </w:pPr>
    </w:p>
    <w:p>
      <w:pPr>
        <w:pStyle w:val="BodyText"/>
        <w:spacing w:before="1"/>
        <w:ind w:left="120"/>
      </w:pPr>
      <w:r>
        <w:rPr>
          <w:spacing w:val="-1"/>
        </w:rPr>
        <w:t>三、国际并网标准比较</w:t>
      </w:r>
    </w:p>
    <w:p>
      <w:pPr>
        <w:pStyle w:val="BodyText"/>
      </w:pPr>
    </w:p>
    <w:p>
      <w:pPr>
        <w:pStyle w:val="BodyText"/>
        <w:spacing w:before="5"/>
        <w:rPr>
          <w:sz w:val="41"/>
        </w:rPr>
      </w:pPr>
    </w:p>
    <w:p>
      <w:pPr>
        <w:pStyle w:val="BodyText"/>
        <w:spacing w:line="417" w:lineRule="auto"/>
        <w:ind w:left="120" w:right="518"/>
      </w:pPr>
      <w:r>
        <w:rPr>
          <w:spacing w:val="-7"/>
        </w:rPr>
        <w:t>国际上对于光伏发电并网也有相应的法规和标准，其中最具代表性的</w:t>
      </w:r>
      <w:r>
        <w:rPr>
          <w:spacing w:val="-2"/>
        </w:rPr>
        <w:t>有德国、美国和日本等国。</w:t>
      </w:r>
    </w:p>
    <w:p>
      <w:pPr>
        <w:pStyle w:val="BodyText"/>
      </w:pPr>
    </w:p>
    <w:p>
      <w:pPr>
        <w:pStyle w:val="BodyText"/>
        <w:spacing w:before="8"/>
        <w:rPr>
          <w:sz w:val="20"/>
        </w:rPr>
      </w:pPr>
    </w:p>
    <w:p>
      <w:pPr>
        <w:pStyle w:val="ListParagraph"/>
        <w:numPr>
          <w:ilvl w:val="0"/>
          <w:numId w:val="17"/>
        </w:numPr>
        <w:tabs>
          <w:tab w:val="left" w:pos="542"/>
        </w:tabs>
        <w:spacing w:before="0" w:after="0" w:line="417" w:lineRule="auto"/>
        <w:ind w:left="120" w:right="518" w:firstLine="0"/>
        <w:jc w:val="both"/>
        <w:rPr>
          <w:sz w:val="28"/>
        </w:rPr>
      </w:pPr>
      <w:r>
        <w:rPr>
          <w:spacing w:val="-2"/>
          <w:sz w:val="28"/>
        </w:rPr>
        <w:t>德国：德国是全球太阳能光伏市场的重要参与者，其并网标准主</w:t>
      </w:r>
      <w:r>
        <w:rPr>
          <w:spacing w:val="-10"/>
          <w:sz w:val="28"/>
        </w:rPr>
        <w:t xml:space="preserve">要包括 </w:t>
      </w:r>
      <w:r>
        <w:rPr>
          <w:rFonts w:ascii="仿宋" w:eastAsia="仿宋"/>
          <w:spacing w:val="-2"/>
          <w:sz w:val="28"/>
        </w:rPr>
        <w:t>VDE-AR-N</w:t>
      </w:r>
      <w:r>
        <w:rPr>
          <w:rFonts w:ascii="仿宋" w:eastAsia="仿宋"/>
          <w:spacing w:val="-33"/>
          <w:sz w:val="28"/>
        </w:rPr>
        <w:t xml:space="preserve"> </w:t>
      </w:r>
      <w:r>
        <w:rPr>
          <w:rFonts w:ascii="仿宋" w:eastAsia="仿宋"/>
          <w:spacing w:val="-2"/>
          <w:sz w:val="28"/>
        </w:rPr>
        <w:t>4105</w:t>
      </w:r>
      <w:r>
        <w:rPr>
          <w:rFonts w:ascii="仿宋" w:eastAsia="仿宋"/>
          <w:spacing w:val="-33"/>
          <w:sz w:val="28"/>
        </w:rPr>
        <w:t xml:space="preserve"> </w:t>
      </w:r>
      <w:r>
        <w:rPr>
          <w:spacing w:val="-18"/>
          <w:sz w:val="28"/>
        </w:rPr>
        <w:t xml:space="preserve">和 </w:t>
      </w:r>
      <w:r>
        <w:rPr>
          <w:rFonts w:ascii="仿宋" w:eastAsia="仿宋"/>
          <w:spacing w:val="-2"/>
          <w:sz w:val="28"/>
        </w:rPr>
        <w:t>VDE-AR-E</w:t>
      </w:r>
      <w:r>
        <w:rPr>
          <w:rFonts w:ascii="仿宋" w:eastAsia="仿宋"/>
          <w:spacing w:val="-33"/>
          <w:sz w:val="28"/>
        </w:rPr>
        <w:t xml:space="preserve"> </w:t>
      </w:r>
      <w:r>
        <w:rPr>
          <w:rFonts w:ascii="仿宋" w:eastAsia="仿宋"/>
          <w:spacing w:val="-2"/>
          <w:sz w:val="28"/>
        </w:rPr>
        <w:t>4110</w:t>
      </w:r>
      <w:r>
        <w:rPr>
          <w:spacing w:val="-2"/>
          <w:sz w:val="28"/>
        </w:rPr>
        <w:t>。这些标准对光伏发电系统</w:t>
      </w:r>
      <w:r>
        <w:rPr>
          <w:spacing w:val="-2"/>
          <w:sz w:val="28"/>
        </w:rPr>
        <w:t>的保护、控制系统、故障电流限制等方面进行了详细规定。</w:t>
      </w:r>
    </w:p>
    <w:p>
      <w:pPr>
        <w:pStyle w:val="BodyText"/>
      </w:pPr>
    </w:p>
    <w:p>
      <w:pPr>
        <w:pStyle w:val="BodyText"/>
        <w:spacing w:before="9"/>
        <w:rPr>
          <w:sz w:val="20"/>
        </w:rPr>
      </w:pPr>
    </w:p>
    <w:p>
      <w:pPr>
        <w:pStyle w:val="ListParagraph"/>
        <w:numPr>
          <w:ilvl w:val="0"/>
          <w:numId w:val="17"/>
        </w:numPr>
        <w:tabs>
          <w:tab w:val="left" w:pos="562"/>
        </w:tabs>
        <w:spacing w:before="0" w:after="0" w:line="240" w:lineRule="auto"/>
        <w:ind w:left="561" w:right="0" w:hanging="442"/>
        <w:jc w:val="left"/>
        <w:rPr>
          <w:rFonts w:ascii="仿宋" w:eastAsia="仿宋"/>
          <w:sz w:val="28"/>
        </w:rPr>
      </w:pPr>
      <w:r>
        <w:rPr>
          <w:spacing w:val="17"/>
          <w:sz w:val="28"/>
        </w:rPr>
        <w:t xml:space="preserve">美国：美国的并网标准主要由各州自行制定，常见的有 </w:t>
      </w:r>
      <w:r>
        <w:rPr>
          <w:rFonts w:ascii="仿宋" w:eastAsia="仿宋"/>
          <w:spacing w:val="-4"/>
          <w:sz w:val="28"/>
        </w:rPr>
        <w:t>IEEE</w:t>
      </w:r>
    </w:p>
    <w:p>
      <w:pPr>
        <w:pStyle w:val="BodyText"/>
        <w:spacing w:before="9"/>
        <w:rPr>
          <w:rFonts w:ascii="仿宋"/>
          <w:sz w:val="20"/>
        </w:rPr>
      </w:pPr>
    </w:p>
    <w:p>
      <w:pPr>
        <w:pStyle w:val="BodyText"/>
        <w:spacing w:line="417" w:lineRule="auto"/>
        <w:ind w:left="120" w:right="518"/>
      </w:pPr>
      <w:r>
        <w:rPr>
          <w:rFonts w:ascii="仿宋" w:eastAsia="仿宋"/>
        </w:rPr>
        <w:t>1547</w:t>
      </w:r>
      <w:r>
        <w:rPr>
          <w:rFonts w:ascii="仿宋" w:eastAsia="仿宋"/>
          <w:spacing w:val="-41"/>
        </w:rPr>
        <w:t xml:space="preserve"> </w:t>
      </w:r>
      <w:r>
        <w:t>系列标准。这些标准涵盖了光伏发电系统的电能质量、通信接</w:t>
      </w:r>
      <w:r>
        <w:rPr>
          <w:spacing w:val="-2"/>
        </w:rPr>
        <w:t>口、保护功能等方面的内容。</w:t>
      </w:r>
    </w:p>
    <w:p>
      <w:pPr>
        <w:pStyle w:val="BodyText"/>
      </w:pPr>
    </w:p>
    <w:p>
      <w:pPr>
        <w:pStyle w:val="BodyText"/>
        <w:spacing w:before="8"/>
        <w:rPr>
          <w:sz w:val="20"/>
        </w:rPr>
      </w:pPr>
    </w:p>
    <w:p>
      <w:pPr>
        <w:pStyle w:val="ListParagraph"/>
        <w:numPr>
          <w:ilvl w:val="0"/>
          <w:numId w:val="17"/>
        </w:numPr>
        <w:tabs>
          <w:tab w:val="left" w:pos="547"/>
        </w:tabs>
        <w:spacing w:before="0" w:after="0" w:line="417" w:lineRule="auto"/>
        <w:ind w:left="120" w:right="518" w:firstLine="0"/>
        <w:jc w:val="both"/>
        <w:rPr>
          <w:sz w:val="28"/>
        </w:rPr>
      </w:pPr>
      <w:r>
        <w:rPr>
          <w:spacing w:val="-3"/>
          <w:sz w:val="28"/>
        </w:rPr>
        <w:t xml:space="preserve">日本：日本的并网标准主要包括 </w:t>
      </w:r>
      <w:r>
        <w:rPr>
          <w:rFonts w:ascii="仿宋" w:eastAsia="仿宋"/>
          <w:sz w:val="28"/>
        </w:rPr>
        <w:t>JIS</w:t>
      </w:r>
      <w:r>
        <w:rPr>
          <w:rFonts w:ascii="仿宋" w:eastAsia="仿宋"/>
          <w:spacing w:val="-35"/>
          <w:sz w:val="28"/>
        </w:rPr>
        <w:t xml:space="preserve"> </w:t>
      </w:r>
      <w:r>
        <w:rPr>
          <w:rFonts w:ascii="仿宋" w:eastAsia="仿宋"/>
          <w:sz w:val="28"/>
        </w:rPr>
        <w:t>C</w:t>
      </w:r>
      <w:r>
        <w:rPr>
          <w:rFonts w:ascii="仿宋" w:eastAsia="仿宋"/>
          <w:spacing w:val="-22"/>
          <w:sz w:val="28"/>
        </w:rPr>
        <w:t xml:space="preserve"> </w:t>
      </w:r>
      <w:r>
        <w:rPr>
          <w:rFonts w:ascii="仿宋" w:eastAsia="仿宋"/>
          <w:sz w:val="28"/>
        </w:rPr>
        <w:t>8911</w:t>
      </w:r>
      <w:r>
        <w:rPr>
          <w:rFonts w:ascii="仿宋" w:eastAsia="仿宋"/>
          <w:spacing w:val="-35"/>
          <w:sz w:val="28"/>
        </w:rPr>
        <w:t xml:space="preserve"> </w:t>
      </w:r>
      <w:r>
        <w:rPr>
          <w:spacing w:val="-18"/>
          <w:sz w:val="28"/>
        </w:rPr>
        <w:t xml:space="preserve">和 </w:t>
      </w:r>
      <w:r>
        <w:rPr>
          <w:rFonts w:ascii="仿宋" w:eastAsia="仿宋"/>
          <w:sz w:val="28"/>
        </w:rPr>
        <w:t>JIS C 8952</w:t>
      </w:r>
      <w:r>
        <w:rPr>
          <w:sz w:val="28"/>
        </w:rPr>
        <w:t>。这</w:t>
      </w:r>
      <w:r>
        <w:rPr>
          <w:spacing w:val="-4"/>
          <w:sz w:val="28"/>
        </w:rPr>
        <w:t>些标准规定了光伏发电系统并网时的电能质量、谐波抑制、无功功率</w:t>
      </w:r>
      <w:r>
        <w:rPr>
          <w:spacing w:val="-2"/>
          <w:sz w:val="28"/>
        </w:rPr>
        <w:t>调节等方面的技术要求。</w:t>
      </w:r>
    </w:p>
    <w:p>
      <w:pPr>
        <w:spacing w:after="0" w:line="417" w:lineRule="auto"/>
        <w:jc w:val="both"/>
        <w:rPr>
          <w:sz w:val="28"/>
        </w:rPr>
        <w:sectPr>
          <w:footerReference w:type="default" r:id="rId13"/>
          <w:pgSz w:w="11910" w:h="16840"/>
          <w:pgMar w:top="1920" w:right="1280" w:bottom="1380" w:left="1680" w:header="0" w:footer="1195"/>
          <w:pgNumType w:start="9"/>
          <w:cols w:space="708"/>
        </w:sectPr>
      </w:pPr>
    </w:p>
    <w:p>
      <w:pPr>
        <w:pStyle w:val="BodyText"/>
        <w:spacing w:before="37" w:line="417" w:lineRule="auto"/>
        <w:ind w:left="120" w:right="518"/>
        <w:jc w:val="both"/>
      </w:pPr>
      <w:r>
        <w:rPr>
          <w:spacing w:val="-4"/>
        </w:rPr>
        <w:t>综上所述，光伏发电并网必须遵守相关的法规与标准，确保电力系统</w:t>
      </w:r>
      <w:r>
        <w:rPr>
          <w:spacing w:val="-4"/>
        </w:rPr>
        <w:t>的稳定运行和电力质量的保证。同时，各国在并网标准方面也存在差</w:t>
      </w:r>
      <w:r>
        <w:rPr>
          <w:spacing w:val="-2"/>
        </w:rPr>
        <w:t>异，因此在实际操作中需要注意相关国家和地区的具体要求。</w:t>
      </w:r>
    </w:p>
    <w:p>
      <w:pPr>
        <w:pStyle w:val="BodyText"/>
      </w:pPr>
    </w:p>
    <w:p>
      <w:pPr>
        <w:pStyle w:val="Heading1"/>
        <w:spacing w:before="237"/>
      </w:pPr>
      <w:bookmarkStart w:id="3" w:name="_TOC_250006"/>
      <w:r>
        <w:t>第四部分</w:t>
      </w:r>
      <w:r>
        <w:rPr>
          <w:spacing w:val="213"/>
          <w:w w:val="150"/>
        </w:rPr>
        <w:t xml:space="preserve"> </w:t>
      </w:r>
      <w:bookmarkEnd w:id="3"/>
      <w:r>
        <w:rPr>
          <w:spacing w:val="-1"/>
        </w:rPr>
        <w:t>逆变器在并网中的作用</w:t>
      </w:r>
    </w:p>
    <w:p>
      <w:pPr>
        <w:pStyle w:val="BodyText"/>
        <w:spacing w:before="4"/>
        <w:rPr>
          <w:rFonts w:ascii="Microsoft JhengHei"/>
          <w:b/>
          <w:sz w:val="23"/>
        </w:rPr>
      </w:pPr>
    </w:p>
    <w:p>
      <w:pPr>
        <w:pStyle w:val="BodyText"/>
        <w:spacing w:line="417" w:lineRule="auto"/>
        <w:ind w:left="120" w:right="518" w:firstLine="560"/>
        <w:jc w:val="both"/>
      </w:pPr>
      <w:r>
        <w:rPr>
          <w:spacing w:val="-7"/>
        </w:rPr>
        <w:t>逆变器在并网光伏发电系统中的作用是至关重要的。它是将光伏</w:t>
      </w:r>
      <w:r>
        <w:rPr>
          <w:spacing w:val="-6"/>
        </w:rPr>
        <w:t>电池产生的直流电转换为符合电网要求的交流电的关键设备，同时也</w:t>
      </w:r>
      <w:r>
        <w:rPr>
          <w:spacing w:val="-2"/>
        </w:rPr>
        <w:t>是保证光伏发电系统与电网安全稳定运行的重要环节。</w:t>
      </w:r>
    </w:p>
    <w:p>
      <w:pPr>
        <w:pStyle w:val="BodyText"/>
      </w:pPr>
    </w:p>
    <w:p>
      <w:pPr>
        <w:pStyle w:val="BodyText"/>
        <w:spacing w:before="8"/>
        <w:rPr>
          <w:sz w:val="20"/>
        </w:rPr>
      </w:pPr>
    </w:p>
    <w:p>
      <w:pPr>
        <w:pStyle w:val="BodyText"/>
        <w:spacing w:line="417" w:lineRule="auto"/>
        <w:ind w:left="120" w:right="518"/>
        <w:jc w:val="both"/>
      </w:pPr>
      <w:r>
        <w:rPr>
          <w:spacing w:val="-4"/>
        </w:rPr>
        <w:t>首先，逆变器可以实现电力质量控制。由于光伏发电系统的输出电流</w:t>
      </w:r>
      <w:r>
        <w:rPr>
          <w:spacing w:val="-4"/>
        </w:rPr>
        <w:t>受到光照强度、温度等因素的影响，因此其输出电流波形往往存在一</w:t>
      </w:r>
      <w:r>
        <w:rPr>
          <w:spacing w:val="-8"/>
        </w:rPr>
        <w:t xml:space="preserve">定的畸变。逆变器可以通过内部的 </w:t>
      </w:r>
      <w:r>
        <w:rPr>
          <w:rFonts w:ascii="仿宋" w:eastAsia="仿宋"/>
          <w:spacing w:val="-6"/>
        </w:rPr>
        <w:t>PWM</w:t>
      </w:r>
      <w:r>
        <w:rPr>
          <w:rFonts w:ascii="仿宋" w:eastAsia="仿宋"/>
          <w:spacing w:val="-29"/>
        </w:rPr>
        <w:t xml:space="preserve"> </w:t>
      </w:r>
      <w:r>
        <w:rPr>
          <w:spacing w:val="-6"/>
        </w:rPr>
        <w:t>调制算法和滤波电路，对输入</w:t>
      </w:r>
      <w:r>
        <w:rPr>
          <w:spacing w:val="-4"/>
        </w:rPr>
        <w:t>的直流电压进行高效、精确的调控，使得输出的交流电流具有良好的</w:t>
      </w:r>
      <w:r>
        <w:rPr>
          <w:spacing w:val="-4"/>
        </w:rPr>
        <w:t>正弦波形，且频率、相位等参数与电网同步。这样可以确保并入电网</w:t>
      </w:r>
      <w:r>
        <w:rPr>
          <w:spacing w:val="-2"/>
        </w:rPr>
        <w:t>的电力质量达到规定的标准，避免对电网造成干扰或损害。</w:t>
      </w:r>
    </w:p>
    <w:p>
      <w:pPr>
        <w:pStyle w:val="BodyText"/>
      </w:pPr>
    </w:p>
    <w:p>
      <w:pPr>
        <w:pStyle w:val="BodyText"/>
        <w:spacing w:before="8"/>
        <w:rPr>
          <w:sz w:val="20"/>
        </w:rPr>
      </w:pPr>
    </w:p>
    <w:p>
      <w:pPr>
        <w:pStyle w:val="BodyText"/>
        <w:spacing w:line="417" w:lineRule="auto"/>
        <w:ind w:left="120" w:right="285"/>
      </w:pPr>
      <w:r>
        <w:rPr>
          <w:spacing w:val="-10"/>
        </w:rPr>
        <w:t>其次，逆变器能够实现功率因数校正。功率因数是衡量电力系统中负</w:t>
      </w:r>
      <w:r>
        <w:rPr>
          <w:spacing w:val="-14"/>
        </w:rPr>
        <w:t>载消耗有功功率和视在功率的比例关系的一个重要参数。光伏发电系</w:t>
      </w:r>
      <w:r>
        <w:rPr>
          <w:spacing w:val="-19"/>
        </w:rPr>
        <w:t>统在没有逆变器的情况下，直接并入电网时可能会导致功率因数偏低，</w:t>
      </w:r>
      <w:r>
        <w:rPr>
          <w:spacing w:val="5"/>
        </w:rPr>
        <w:t>从而影响到电网的整体效率。逆变器通过内置的功率因数校正技术</w:t>
      </w:r>
    </w:p>
    <w:p>
      <w:pPr>
        <w:pStyle w:val="BodyText"/>
        <w:spacing w:line="358" w:lineRule="exact"/>
        <w:ind w:left="120"/>
      </w:pPr>
      <w:r>
        <w:rPr>
          <w:spacing w:val="-2"/>
        </w:rPr>
        <w:t>（</w:t>
      </w:r>
      <w:r>
        <w:rPr>
          <w:spacing w:val="-21"/>
        </w:rPr>
        <w:t xml:space="preserve">如 </w:t>
      </w:r>
      <w:r>
        <w:rPr>
          <w:rFonts w:ascii="仿宋" w:eastAsia="仿宋"/>
          <w:spacing w:val="24"/>
        </w:rPr>
        <w:t>PFC</w:t>
      </w:r>
      <w:r>
        <w:rPr>
          <w:spacing w:val="-112"/>
        </w:rPr>
        <w:t>）</w:t>
      </w:r>
      <w:r>
        <w:rPr>
          <w:spacing w:val="-3"/>
        </w:rPr>
        <w:t>，可以将光伏发电系统的无功功率和有功功率调整至最佳</w:t>
      </w:r>
    </w:p>
    <w:p>
      <w:pPr>
        <w:spacing w:after="0" w:line="358" w:lineRule="exact"/>
        <w:sectPr>
          <w:footerReference w:type="default" r:id="rId14"/>
          <w:pgSz w:w="11910" w:h="16840"/>
          <w:pgMar w:top="1520" w:right="1280" w:bottom="1380" w:left="1680" w:header="0" w:footer="1195"/>
          <w:pgNumType w:start="10"/>
          <w:cols w:space="708"/>
        </w:sectPr>
      </w:pPr>
    </w:p>
    <w:p>
      <w:pPr>
        <w:pStyle w:val="BodyText"/>
        <w:spacing w:before="37"/>
        <w:ind w:left="120"/>
      </w:pPr>
      <w:r>
        <w:rPr>
          <w:spacing w:val="-1"/>
        </w:rPr>
        <w:t>比例，提高整体系统的能效比。</w:t>
      </w:r>
    </w:p>
    <w:p>
      <w:pPr>
        <w:pStyle w:val="BodyText"/>
      </w:pPr>
    </w:p>
    <w:p>
      <w:pPr>
        <w:pStyle w:val="BodyText"/>
        <w:spacing w:before="5"/>
        <w:rPr>
          <w:sz w:val="41"/>
        </w:rPr>
      </w:pPr>
    </w:p>
    <w:p>
      <w:pPr>
        <w:pStyle w:val="BodyText"/>
        <w:spacing w:line="417" w:lineRule="auto"/>
        <w:ind w:left="120" w:right="518"/>
        <w:jc w:val="both"/>
      </w:pPr>
      <w:r>
        <w:rPr>
          <w:spacing w:val="-4"/>
        </w:rPr>
        <w:t>此外，逆变器还可以实现电网保护功能。当电网发生故障时，逆变器</w:t>
      </w:r>
      <w:r>
        <w:rPr>
          <w:spacing w:val="-4"/>
        </w:rPr>
        <w:t>需要立即检测到异常情况，并采取相应的措施，防止光伏发电系统向</w:t>
      </w:r>
      <w:r>
        <w:rPr>
          <w:spacing w:val="-4"/>
        </w:rPr>
        <w:t>电网注入大量的电流，避免电网的损坏。例如，逆变器可以配备过电压、欠电压、过电流、短路等保护功能，一旦出现这些异常情况，逆</w:t>
      </w:r>
      <w:r>
        <w:rPr>
          <w:spacing w:val="-2"/>
        </w:rPr>
        <w:t>变器会迅速切断与电网的连接，保护整个系统的安全。</w:t>
      </w:r>
    </w:p>
    <w:p>
      <w:pPr>
        <w:pStyle w:val="BodyText"/>
      </w:pPr>
    </w:p>
    <w:p>
      <w:pPr>
        <w:pStyle w:val="BodyText"/>
        <w:spacing w:before="7"/>
        <w:rPr>
          <w:sz w:val="20"/>
        </w:rPr>
      </w:pPr>
    </w:p>
    <w:p>
      <w:pPr>
        <w:pStyle w:val="BodyText"/>
        <w:spacing w:before="1" w:line="417" w:lineRule="auto"/>
        <w:ind w:left="120" w:right="238"/>
      </w:pPr>
      <w:r>
        <w:rPr>
          <w:spacing w:val="-2"/>
        </w:rPr>
        <w:t>同时，逆变器还可以实现孤岛效应防护。孤岛效应是指当电网停电或</w:t>
      </w:r>
      <w:r>
        <w:rPr>
          <w:spacing w:val="-2"/>
        </w:rPr>
        <w:t xml:space="preserve"> </w:t>
      </w:r>
      <w:r>
        <w:rPr>
          <w:spacing w:val="-2"/>
        </w:rPr>
        <w:t>者部分区域断电时，光伏发电系统仍然持续供电的情况。这种情况对</w:t>
      </w:r>
      <w:r>
        <w:rPr>
          <w:spacing w:val="-2"/>
        </w:rPr>
        <w:t xml:space="preserve"> </w:t>
      </w:r>
      <w:r>
        <w:rPr>
          <w:spacing w:val="-9"/>
        </w:rPr>
        <w:t>于维修人员来说是非常危险的，因为他们可能会误认为电网已经完全</w:t>
      </w:r>
      <w:r>
        <w:rPr>
          <w:spacing w:val="-2"/>
        </w:rPr>
        <w:t xml:space="preserve"> </w:t>
      </w:r>
      <w:r>
        <w:rPr>
          <w:spacing w:val="-2"/>
        </w:rPr>
        <w:t>停电而开始检修工作。逆变器通过内置的孤岛效应检测和防护技术，</w:t>
      </w:r>
      <w:r>
        <w:rPr>
          <w:spacing w:val="-7"/>
        </w:rPr>
        <w:t>能够在电网停电时自动切断与光伏电池的连接，从而有效避免这种现</w:t>
      </w:r>
      <w:r>
        <w:rPr>
          <w:spacing w:val="-2"/>
        </w:rPr>
        <w:t xml:space="preserve"> </w:t>
      </w:r>
      <w:r>
        <w:rPr>
          <w:spacing w:val="-2"/>
        </w:rPr>
        <w:t>象的发生。</w:t>
      </w:r>
    </w:p>
    <w:p>
      <w:pPr>
        <w:pStyle w:val="BodyText"/>
      </w:pPr>
    </w:p>
    <w:p>
      <w:pPr>
        <w:pStyle w:val="BodyText"/>
        <w:spacing w:before="7"/>
        <w:rPr>
          <w:sz w:val="20"/>
        </w:rPr>
      </w:pPr>
    </w:p>
    <w:p>
      <w:pPr>
        <w:pStyle w:val="BodyText"/>
        <w:spacing w:line="417" w:lineRule="auto"/>
        <w:ind w:left="120" w:right="518"/>
        <w:jc w:val="both"/>
      </w:pPr>
      <w:r>
        <w:rPr>
          <w:spacing w:val="-4"/>
        </w:rPr>
        <w:t>综上所述，逆变器在并网光伏发电系统中起着关键的作用，它不仅可</w:t>
      </w:r>
      <w:r>
        <w:rPr>
          <w:spacing w:val="-4"/>
        </w:rPr>
        <w:t>以实现电力质量控制、功率因数校正、电网保护以及孤岛效应防护等</w:t>
      </w:r>
      <w:r>
        <w:rPr>
          <w:spacing w:val="-4"/>
        </w:rPr>
        <w:t>功能，而且还能确保整个系统安全、稳定、高效地运行。随着科技的</w:t>
      </w:r>
      <w:r>
        <w:rPr>
          <w:spacing w:val="-4"/>
        </w:rPr>
        <w:t>发展，未来的逆变器将会更加智能化、可靠化，为推动可再生能源的</w:t>
      </w:r>
      <w:r>
        <w:rPr>
          <w:spacing w:val="-2"/>
        </w:rPr>
        <w:t>广泛应用发挥更大的作用。</w:t>
      </w:r>
    </w:p>
    <w:p>
      <w:pPr>
        <w:spacing w:after="0" w:line="417" w:lineRule="auto"/>
        <w:jc w:val="both"/>
        <w:sectPr>
          <w:footerReference w:type="default" r:id="rId15"/>
          <w:pgSz w:w="11910" w:h="16840"/>
          <w:pgMar w:top="1520" w:right="1280" w:bottom="1380" w:left="1680" w:header="0" w:footer="1195"/>
          <w:pgNumType w:start="11"/>
          <w:cols w:space="708"/>
        </w:sectPr>
      </w:pPr>
    </w:p>
    <w:p>
      <w:pPr>
        <w:pStyle w:val="Heading1"/>
        <w:spacing w:line="514" w:lineRule="exact"/>
      </w:pPr>
      <w:bookmarkStart w:id="4" w:name="_TOC_250005"/>
      <w:r>
        <w:t>第五部分</w:t>
      </w:r>
      <w:r>
        <w:rPr>
          <w:spacing w:val="214"/>
          <w:w w:val="150"/>
        </w:rPr>
        <w:t xml:space="preserve"> </w:t>
      </w:r>
      <w:bookmarkEnd w:id="4"/>
      <w:r>
        <w:rPr>
          <w:spacing w:val="-1"/>
        </w:rPr>
        <w:t>光伏并网的电能质量影响</w:t>
      </w:r>
    </w:p>
    <w:p>
      <w:pPr>
        <w:pStyle w:val="BodyText"/>
        <w:spacing w:before="3"/>
        <w:rPr>
          <w:rFonts w:ascii="Microsoft JhengHei"/>
          <w:b/>
          <w:sz w:val="23"/>
        </w:rPr>
      </w:pPr>
    </w:p>
    <w:p>
      <w:pPr>
        <w:pStyle w:val="BodyText"/>
        <w:ind w:left="680"/>
      </w:pPr>
      <w:r>
        <w:rPr>
          <w:spacing w:val="-1"/>
        </w:rPr>
        <w:t>光伏并网的电能质量影响</w:t>
      </w:r>
    </w:p>
    <w:p>
      <w:pPr>
        <w:pStyle w:val="BodyText"/>
      </w:pPr>
    </w:p>
    <w:p>
      <w:pPr>
        <w:pStyle w:val="BodyText"/>
        <w:spacing w:before="5"/>
        <w:rPr>
          <w:sz w:val="41"/>
        </w:rPr>
      </w:pPr>
    </w:p>
    <w:p>
      <w:pPr>
        <w:pStyle w:val="BodyText"/>
        <w:spacing w:line="417" w:lineRule="auto"/>
        <w:ind w:left="120" w:right="378"/>
        <w:jc w:val="both"/>
      </w:pPr>
      <w:r>
        <w:rPr>
          <w:spacing w:val="-9"/>
        </w:rPr>
        <w:t>随着太阳能资源利用技术的发展，光伏发电系统在全球范围内的应用</w:t>
      </w:r>
      <w:r>
        <w:rPr>
          <w:spacing w:val="-2"/>
        </w:rPr>
        <w:t>越来越广泛。然而，由于光伏电源的非线性特性以及光伏发电系统的</w:t>
      </w:r>
      <w:r>
        <w:rPr>
          <w:spacing w:val="-12"/>
        </w:rPr>
        <w:t>固有波动性，光伏发电并网可能对电力系统的电能质量产生一定的影</w:t>
      </w:r>
      <w:r>
        <w:rPr>
          <w:spacing w:val="-18"/>
        </w:rPr>
        <w:t>响。本文将探讨光伏并网对电能质量的影响，并提出相应的解决措施。</w:t>
      </w:r>
    </w:p>
    <w:p>
      <w:pPr>
        <w:pStyle w:val="BodyText"/>
      </w:pPr>
    </w:p>
    <w:p>
      <w:pPr>
        <w:pStyle w:val="BodyText"/>
        <w:spacing w:before="8"/>
        <w:rPr>
          <w:sz w:val="20"/>
        </w:rPr>
      </w:pPr>
    </w:p>
    <w:p>
      <w:pPr>
        <w:pStyle w:val="BodyText"/>
        <w:spacing w:before="1"/>
        <w:ind w:left="120"/>
      </w:pPr>
      <w:r>
        <w:rPr>
          <w:spacing w:val="-1"/>
        </w:rPr>
        <w:t>一、光伏并网对电压质量的影响</w:t>
      </w:r>
    </w:p>
    <w:p>
      <w:pPr>
        <w:pStyle w:val="BodyText"/>
        <w:spacing w:before="8"/>
        <w:rPr>
          <w:sz w:val="20"/>
        </w:rPr>
      </w:pPr>
    </w:p>
    <w:p>
      <w:pPr>
        <w:pStyle w:val="ListParagraph"/>
        <w:numPr>
          <w:ilvl w:val="0"/>
          <w:numId w:val="16"/>
        </w:numPr>
        <w:tabs>
          <w:tab w:val="left" w:pos="542"/>
        </w:tabs>
        <w:spacing w:before="1" w:after="0" w:line="417" w:lineRule="auto"/>
        <w:ind w:left="120" w:right="244" w:firstLine="0"/>
        <w:jc w:val="left"/>
        <w:rPr>
          <w:sz w:val="28"/>
        </w:rPr>
      </w:pPr>
      <w:r>
        <w:rPr>
          <w:spacing w:val="-2"/>
          <w:sz w:val="28"/>
        </w:rPr>
        <w:t>电压偏差：由于光伏电站的出力受到天气条件的影响，其功率输</w:t>
      </w:r>
      <w:r>
        <w:rPr>
          <w:spacing w:val="40"/>
          <w:sz w:val="28"/>
        </w:rPr>
        <w:t xml:space="preserve"> </w:t>
      </w:r>
      <w:r>
        <w:rPr>
          <w:spacing w:val="-2"/>
          <w:sz w:val="28"/>
        </w:rPr>
        <w:t>出可能出现较大的波动，从而导致电网电压的不稳定。当光伏发电系</w:t>
      </w:r>
      <w:r>
        <w:rPr>
          <w:spacing w:val="-2"/>
          <w:sz w:val="28"/>
        </w:rPr>
        <w:t xml:space="preserve"> 统接入电网后，其功率变化可能导致电网电压的偏差超出允许范围。</w:t>
      </w:r>
    </w:p>
    <w:p>
      <w:pPr>
        <w:pStyle w:val="ListParagraph"/>
        <w:numPr>
          <w:ilvl w:val="0"/>
          <w:numId w:val="16"/>
        </w:numPr>
        <w:tabs>
          <w:tab w:val="left" w:pos="542"/>
        </w:tabs>
        <w:spacing w:before="0" w:after="0" w:line="417" w:lineRule="auto"/>
        <w:ind w:left="120" w:right="518" w:firstLine="0"/>
        <w:jc w:val="both"/>
        <w:rPr>
          <w:sz w:val="28"/>
        </w:rPr>
      </w:pPr>
      <w:r>
        <w:rPr>
          <w:spacing w:val="-2"/>
          <w:sz w:val="28"/>
        </w:rPr>
        <w:t>电压闪变：光伏发电系统的开关操作和故障处理可能会引起电压</w:t>
      </w:r>
      <w:r>
        <w:rPr>
          <w:spacing w:val="-4"/>
          <w:sz w:val="28"/>
        </w:rPr>
        <w:t>瞬态变化，导致电压闪变现象。电压闪变会降低供电质量，影响用户</w:t>
      </w:r>
      <w:r>
        <w:rPr>
          <w:spacing w:val="-2"/>
          <w:sz w:val="28"/>
        </w:rPr>
        <w:t>的用电体验。</w:t>
      </w:r>
    </w:p>
    <w:p>
      <w:pPr>
        <w:pStyle w:val="BodyText"/>
      </w:pPr>
    </w:p>
    <w:p>
      <w:pPr>
        <w:pStyle w:val="BodyText"/>
        <w:spacing w:before="7"/>
        <w:rPr>
          <w:sz w:val="20"/>
        </w:rPr>
      </w:pPr>
    </w:p>
    <w:p>
      <w:pPr>
        <w:pStyle w:val="BodyText"/>
        <w:ind w:left="120"/>
      </w:pPr>
      <w:r>
        <w:rPr>
          <w:spacing w:val="-1"/>
        </w:rPr>
        <w:t>二、光伏并网对频率质量的影响</w:t>
      </w:r>
    </w:p>
    <w:p>
      <w:pPr>
        <w:pStyle w:val="BodyText"/>
        <w:spacing w:before="9"/>
        <w:rPr>
          <w:sz w:val="20"/>
        </w:rPr>
      </w:pPr>
    </w:p>
    <w:p>
      <w:pPr>
        <w:pStyle w:val="ListParagraph"/>
        <w:numPr>
          <w:ilvl w:val="0"/>
          <w:numId w:val="15"/>
        </w:numPr>
        <w:tabs>
          <w:tab w:val="left" w:pos="542"/>
        </w:tabs>
        <w:spacing w:before="0" w:after="0" w:line="417" w:lineRule="auto"/>
        <w:ind w:left="120" w:right="518" w:firstLine="0"/>
        <w:jc w:val="both"/>
        <w:rPr>
          <w:sz w:val="28"/>
        </w:rPr>
      </w:pPr>
      <w:r>
        <w:rPr>
          <w:spacing w:val="-2"/>
          <w:sz w:val="28"/>
        </w:rPr>
        <w:t>频率偏差：光伏发电系统在没有储能装置的情况下，当太阳辐射</w:t>
      </w:r>
      <w:r>
        <w:rPr>
          <w:spacing w:val="-4"/>
          <w:sz w:val="28"/>
        </w:rPr>
        <w:t>强度发生变化时，其功率输出也会相应调整，可能导致电网频率出现</w:t>
      </w:r>
      <w:r>
        <w:rPr>
          <w:spacing w:val="-4"/>
          <w:sz w:val="28"/>
        </w:rPr>
        <w:t>偏差。同时，在大规模光伏发电并入电网的情况下，其无功功率需求</w:t>
      </w:r>
      <w:r>
        <w:rPr>
          <w:spacing w:val="-2"/>
          <w:sz w:val="28"/>
        </w:rPr>
        <w:t>也可能对电网频率造成一定影响。</w:t>
      </w:r>
    </w:p>
    <w:p>
      <w:pPr>
        <w:pStyle w:val="ListParagraph"/>
        <w:numPr>
          <w:ilvl w:val="0"/>
          <w:numId w:val="15"/>
        </w:numPr>
        <w:tabs>
          <w:tab w:val="left" w:pos="542"/>
        </w:tabs>
        <w:spacing w:before="0" w:after="0" w:line="358" w:lineRule="exact"/>
        <w:ind w:left="541" w:right="0" w:hanging="422"/>
        <w:jc w:val="both"/>
        <w:rPr>
          <w:sz w:val="28"/>
        </w:rPr>
      </w:pPr>
      <w:r>
        <w:rPr>
          <w:spacing w:val="-1"/>
          <w:sz w:val="28"/>
        </w:rPr>
        <w:t>频率波动：由于光伏电站具有较高的渗透率和较低的惯量，其对</w:t>
      </w:r>
    </w:p>
    <w:p>
      <w:pPr>
        <w:spacing w:after="0" w:line="358" w:lineRule="exact"/>
        <w:jc w:val="both"/>
        <w:rPr>
          <w:sz w:val="28"/>
        </w:rPr>
        <w:sectPr>
          <w:footerReference w:type="default" r:id="rId16"/>
          <w:pgSz w:w="11910" w:h="16840"/>
          <w:pgMar w:top="1500" w:right="1280" w:bottom="1380" w:left="1680" w:header="0" w:footer="1195"/>
          <w:pgNumType w:start="12"/>
          <w:cols w:space="708"/>
        </w:sectPr>
      </w:pPr>
    </w:p>
    <w:p>
      <w:pPr>
        <w:pStyle w:val="BodyText"/>
        <w:spacing w:before="37" w:line="417" w:lineRule="auto"/>
        <w:ind w:left="120" w:right="518"/>
      </w:pPr>
      <w:r>
        <w:rPr>
          <w:spacing w:val="-4"/>
        </w:rPr>
        <w:t>电网频率的支持能力相对较弱。当光伏电站出现大功率波动时，可能</w:t>
      </w:r>
      <w:r>
        <w:rPr>
          <w:spacing w:val="-2"/>
        </w:rPr>
        <w:t>会导致电网频率的波动。</w:t>
      </w:r>
    </w:p>
    <w:p>
      <w:pPr>
        <w:pStyle w:val="BodyText"/>
      </w:pPr>
    </w:p>
    <w:p>
      <w:pPr>
        <w:pStyle w:val="BodyText"/>
        <w:spacing w:before="8"/>
        <w:rPr>
          <w:sz w:val="20"/>
        </w:rPr>
      </w:pPr>
    </w:p>
    <w:p>
      <w:pPr>
        <w:pStyle w:val="BodyText"/>
        <w:ind w:left="120"/>
      </w:pPr>
      <w:r>
        <w:rPr>
          <w:spacing w:val="-1"/>
        </w:rPr>
        <w:t>三、光伏并网对谐波的影响</w:t>
      </w:r>
    </w:p>
    <w:p>
      <w:pPr>
        <w:pStyle w:val="BodyText"/>
        <w:spacing w:before="9"/>
        <w:rPr>
          <w:sz w:val="20"/>
        </w:rPr>
      </w:pPr>
    </w:p>
    <w:p>
      <w:pPr>
        <w:pStyle w:val="ListParagraph"/>
        <w:numPr>
          <w:ilvl w:val="0"/>
          <w:numId w:val="14"/>
        </w:numPr>
        <w:tabs>
          <w:tab w:val="left" w:pos="542"/>
        </w:tabs>
        <w:spacing w:before="0" w:after="0" w:line="417" w:lineRule="auto"/>
        <w:ind w:left="120" w:right="518" w:firstLine="0"/>
        <w:jc w:val="both"/>
        <w:rPr>
          <w:sz w:val="28"/>
        </w:rPr>
      </w:pPr>
      <w:r>
        <w:rPr>
          <w:spacing w:val="-2"/>
          <w:sz w:val="28"/>
        </w:rPr>
        <w:t>谐波注入：光伏逆变器是将直流电转换为交流电的关键设备。由</w:t>
      </w:r>
      <w:r>
        <w:rPr>
          <w:spacing w:val="-8"/>
          <w:sz w:val="28"/>
        </w:rPr>
        <w:t>于逆变器工作过程中需要进行开关操作，因此可能存在一定的谐波成</w:t>
      </w:r>
      <w:r>
        <w:rPr>
          <w:spacing w:val="-2"/>
          <w:sz w:val="28"/>
        </w:rPr>
        <w:t>分。当大量光伏逆变器并网时，可能导致电网中谐波水平上升。</w:t>
      </w:r>
    </w:p>
    <w:p>
      <w:pPr>
        <w:pStyle w:val="ListParagraph"/>
        <w:numPr>
          <w:ilvl w:val="0"/>
          <w:numId w:val="14"/>
        </w:numPr>
        <w:tabs>
          <w:tab w:val="left" w:pos="542"/>
        </w:tabs>
        <w:spacing w:before="0" w:after="0" w:line="417" w:lineRule="auto"/>
        <w:ind w:left="120" w:right="518" w:firstLine="0"/>
        <w:jc w:val="both"/>
        <w:rPr>
          <w:sz w:val="28"/>
        </w:rPr>
      </w:pPr>
      <w:r>
        <w:rPr>
          <w:spacing w:val="-2"/>
          <w:sz w:val="28"/>
        </w:rPr>
        <w:t>谐振风险：光伏电站与电网之间的阻抗匹配情况可能引发谐振问</w:t>
      </w:r>
      <w:r>
        <w:rPr>
          <w:spacing w:val="-4"/>
          <w:sz w:val="28"/>
        </w:rPr>
        <w:t>题。如果谐振点与光伏电站产生的谐波频率一致，可能会导致谐波放</w:t>
      </w:r>
      <w:r>
        <w:rPr>
          <w:spacing w:val="-2"/>
          <w:sz w:val="28"/>
        </w:rPr>
        <w:t>大，加剧电网中的谐波污染。</w:t>
      </w:r>
    </w:p>
    <w:p>
      <w:pPr>
        <w:pStyle w:val="BodyText"/>
      </w:pPr>
    </w:p>
    <w:p>
      <w:pPr>
        <w:pStyle w:val="BodyText"/>
        <w:spacing w:before="8"/>
        <w:rPr>
          <w:sz w:val="20"/>
        </w:rPr>
      </w:pPr>
    </w:p>
    <w:p>
      <w:pPr>
        <w:pStyle w:val="BodyText"/>
        <w:ind w:left="120"/>
      </w:pPr>
      <w:r>
        <w:rPr>
          <w:spacing w:val="-1"/>
        </w:rPr>
        <w:t>四、光伏并网对无功功率的影响</w:t>
      </w:r>
    </w:p>
    <w:p>
      <w:pPr>
        <w:pStyle w:val="BodyText"/>
        <w:spacing w:before="9"/>
        <w:rPr>
          <w:sz w:val="20"/>
        </w:rPr>
      </w:pPr>
    </w:p>
    <w:p>
      <w:pPr>
        <w:pStyle w:val="ListParagraph"/>
        <w:numPr>
          <w:ilvl w:val="0"/>
          <w:numId w:val="13"/>
        </w:numPr>
        <w:tabs>
          <w:tab w:val="left" w:pos="542"/>
        </w:tabs>
        <w:spacing w:before="0" w:after="0" w:line="417" w:lineRule="auto"/>
        <w:ind w:left="120" w:right="518" w:firstLine="0"/>
        <w:jc w:val="both"/>
        <w:rPr>
          <w:sz w:val="28"/>
        </w:rPr>
      </w:pPr>
      <w:r>
        <w:rPr>
          <w:spacing w:val="-2"/>
          <w:sz w:val="28"/>
        </w:rPr>
        <w:t>无功功率需求：光伏发电系统主要提供有功功率，但其运行过程</w:t>
      </w:r>
      <w:r>
        <w:rPr>
          <w:spacing w:val="-4"/>
          <w:sz w:val="28"/>
        </w:rPr>
        <w:t>也需要消耗一定的无功功率。随着光伏电站规模的不断扩大，其无功</w:t>
      </w:r>
      <w:r>
        <w:rPr>
          <w:spacing w:val="-2"/>
          <w:sz w:val="28"/>
        </w:rPr>
        <w:t>功率需求也随之增加，可能导致电网无功平衡出现问题。</w:t>
      </w:r>
    </w:p>
    <w:p>
      <w:pPr>
        <w:pStyle w:val="ListParagraph"/>
        <w:numPr>
          <w:ilvl w:val="0"/>
          <w:numId w:val="13"/>
        </w:numPr>
        <w:tabs>
          <w:tab w:val="left" w:pos="542"/>
        </w:tabs>
        <w:spacing w:before="0" w:after="0" w:line="417" w:lineRule="auto"/>
        <w:ind w:left="120" w:right="518" w:firstLine="0"/>
        <w:jc w:val="both"/>
        <w:rPr>
          <w:sz w:val="28"/>
        </w:rPr>
      </w:pPr>
      <w:r>
        <w:rPr>
          <w:spacing w:val="-2"/>
          <w:sz w:val="28"/>
        </w:rPr>
        <w:t>电压调节：为了保证电压质量，光伏发电系统需要配备无功补偿</w:t>
      </w:r>
      <w:r>
        <w:rPr>
          <w:spacing w:val="-4"/>
          <w:sz w:val="28"/>
        </w:rPr>
        <w:t>设备。然而，无功补偿设备的投入和切除可能导致电压波动，进一步</w:t>
      </w:r>
      <w:r>
        <w:rPr>
          <w:spacing w:val="-2"/>
          <w:sz w:val="28"/>
        </w:rPr>
        <w:t>影响电能质量。</w:t>
      </w:r>
    </w:p>
    <w:p>
      <w:pPr>
        <w:pStyle w:val="BodyText"/>
      </w:pPr>
    </w:p>
    <w:p>
      <w:pPr>
        <w:pStyle w:val="BodyText"/>
        <w:spacing w:before="7"/>
        <w:rPr>
          <w:sz w:val="20"/>
        </w:rPr>
      </w:pPr>
    </w:p>
    <w:p>
      <w:pPr>
        <w:pStyle w:val="BodyText"/>
        <w:ind w:left="120"/>
      </w:pPr>
      <w:r>
        <w:rPr>
          <w:spacing w:val="-1"/>
        </w:rPr>
        <w:t>针对上述光伏并网对电能质量的影响，可以采取以下解决措施：</w:t>
      </w:r>
    </w:p>
    <w:p>
      <w:pPr>
        <w:pStyle w:val="BodyText"/>
        <w:spacing w:before="9"/>
        <w:rPr>
          <w:sz w:val="20"/>
        </w:rPr>
      </w:pPr>
    </w:p>
    <w:p>
      <w:pPr>
        <w:pStyle w:val="ListParagraph"/>
        <w:numPr>
          <w:ilvl w:val="0"/>
          <w:numId w:val="12"/>
        </w:numPr>
        <w:tabs>
          <w:tab w:val="left" w:pos="542"/>
        </w:tabs>
        <w:spacing w:before="0" w:after="0" w:line="417" w:lineRule="auto"/>
        <w:ind w:left="120" w:right="518" w:firstLine="0"/>
        <w:jc w:val="left"/>
        <w:rPr>
          <w:sz w:val="28"/>
        </w:rPr>
      </w:pPr>
      <w:r>
        <w:rPr>
          <w:spacing w:val="-2"/>
          <w:sz w:val="28"/>
        </w:rPr>
        <w:t>加强电压控制：通过采用先进的电压调节技术和设备，如动态电压恢复器（</w:t>
      </w:r>
      <w:r>
        <w:rPr>
          <w:rFonts w:ascii="仿宋" w:eastAsia="仿宋"/>
          <w:spacing w:val="-2"/>
          <w:sz w:val="28"/>
        </w:rPr>
        <w:t>DVR</w:t>
      </w:r>
      <w:r>
        <w:rPr>
          <w:spacing w:val="-2"/>
          <w:sz w:val="28"/>
        </w:rPr>
        <w:t>）等，实时监控和调节光伏电站接入点的电压，确保</w:t>
      </w:r>
    </w:p>
    <w:p>
      <w:pPr>
        <w:spacing w:after="0" w:line="417" w:lineRule="auto"/>
        <w:jc w:val="left"/>
        <w:rPr>
          <w:sz w:val="28"/>
        </w:rPr>
      </w:pPr>
      <w:r>
        <w:rPr>
          <w:sz w:val="28"/>
        </w:rPr>
        <w:br/>
      </w:r>
      <w:r>
        <w:rPr>
          <w:sz w:val="28"/>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https://d.book118.com/018025067130006042</w:t>
        </w:r>
      </w:hyperlink>
    </w:p>
    <w:p>
      <w:pPr>
        <w:spacing w:after="0" w:line="417" w:lineRule="auto"/>
        <w:jc w:val="left"/>
        <w:rPr>
          <w:sz w:val="28"/>
        </w:rPr>
      </w:pPr>
    </w:p>
    <w:sectPr>
      <w:footerReference w:type="default" r:id="rId18"/>
      <w:pgSz w:w="11910" w:h="16840"/>
      <w:pgMar w:top="1520" w:right="1280" w:bottom="1380" w:left="1680" w:header="0" w:footer="1195"/>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Calibri">
    <w:altName w:val="Calibri"/>
    <w:charset w:val="00"/>
    <w:family w:val="swiss"/>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9.8pt;height:11pt;margin-top:771.15pt;margin-left:284pt;mso-position-horizontal-relative:page;mso-position-vertical-relative:page;position:absolute;z-index:-251658240"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9.8pt;height:11pt;margin-top:771.15pt;margin-left:284pt;mso-position-horizontal-relative:page;mso-position-vertical-relative:page;position:absolute;z-index:-251657216"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2</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9.8pt;height:11pt;margin-top:771.15pt;margin-left:284pt;mso-position-horizontal-relative:page;mso-position-vertical-relative:page;position:absolute;z-index:-251656192"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3</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9.8pt;height:11pt;margin-top:771.15pt;margin-left:284pt;mso-position-horizontal-relative:page;mso-position-vertical-relative:page;position:absolute;z-index:-251655168"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4</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9.8pt;height:11pt;margin-top:771.15pt;margin-left:284pt;mso-position-horizontal-relative:page;mso-position-vertical-relative:page;position:absolute;z-index:-251654144"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5</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9.8pt;height:11pt;margin-top:771.15pt;margin-left:284pt;mso-position-horizontal-relative:page;mso-position-vertical-relative:page;position:absolute;z-index:-251653120"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6</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9.8pt;height:11pt;margin-top:771.15pt;margin-left:284pt;mso-position-horizontal-relative:page;mso-position-vertical-relative:page;position:absolute;z-index:-251652096"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7</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9.8pt;height:11pt;margin-top:771.15pt;margin-left:284pt;mso-position-horizontal-relative:page;mso-position-vertical-relative:page;position:absolute;z-index:-251651072"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8</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9.8pt;height:11pt;margin-top:771.15pt;margin-left:284pt;mso-position-horizontal-relative:page;mso-position-vertical-relative:page;position:absolute;z-index:-251650048"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9</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9.8pt;height:11pt;margin-top:771.15pt;margin-left:284pt;mso-position-horizontal-relative:page;mso-position-vertical-relative:page;position:absolute;z-index:-251649024"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10</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9.8pt;height:11pt;margin-top:771.15pt;margin-left:284pt;mso-position-horizontal-relative:page;mso-position-vertical-relative:page;position:absolute;z-index:-251648000"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11</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9.8pt;height:11pt;margin-top:771.15pt;margin-left:284pt;mso-position-horizontal-relative:page;mso-position-vertical-relative:page;position:absolute;z-index:-251646976"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12</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29.8pt;height:11pt;margin-top:771.15pt;margin-left:284pt;mso-position-horizontal-relative:page;mso-position-vertical-relative:page;position:absolute;z-index:-251645952" filled="f" stroked="f">
          <v:textbox inset="0,0,0,0">
            <w:txbxContent>
              <w:p>
                <w:pPr>
                  <w:spacing w:before="0" w:line="203" w:lineRule="exact"/>
                  <w:ind w:left="60" w:right="0" w:firstLine="0"/>
                  <w:jc w:val="left"/>
                  <w:rPr>
                    <w:rFonts w:ascii="Calibri"/>
                    <w:b/>
                    <w:sz w:val="18"/>
                  </w:rPr>
                </w:pPr>
                <w:r>
                  <w:rPr>
                    <w:rFonts w:ascii="Calibri"/>
                    <w:b/>
                    <w:sz w:val="18"/>
                  </w:rPr>
                  <w:fldChar w:fldCharType="begin"/>
                </w:r>
                <w:r>
                  <w:rPr>
                    <w:rFonts w:ascii="Calibri"/>
                    <w:b/>
                    <w:sz w:val="18"/>
                  </w:rPr>
                  <w:instrText xml:space="preserve"> PAGE </w:instrText>
                </w:r>
                <w:r>
                  <w:rPr>
                    <w:rFonts w:ascii="Calibri"/>
                    <w:b/>
                    <w:sz w:val="18"/>
                  </w:rPr>
                  <w:fldChar w:fldCharType="separate"/>
                </w:r>
                <w:r>
                  <w:rPr>
                    <w:rFonts w:ascii="Calibri"/>
                    <w:b/>
                    <w:sz w:val="18"/>
                  </w:rPr>
                  <w:t>14</w:t>
                </w:r>
                <w:r>
                  <w:rPr>
                    <w:rFonts w:ascii="Calibri"/>
                    <w:b/>
                    <w:sz w:val="18"/>
                  </w:rPr>
                  <w:fldChar w:fldCharType="end"/>
                </w:r>
                <w:r>
                  <w:rPr>
                    <w:rFonts w:ascii="Calibri"/>
                    <w:b/>
                    <w:sz w:val="18"/>
                  </w:rPr>
                  <w:t xml:space="preserve"> </w:t>
                </w:r>
                <w:r>
                  <w:rPr>
                    <w:rFonts w:ascii="Calibri"/>
                    <w:sz w:val="18"/>
                  </w:rPr>
                  <w:t>/</w:t>
                </w:r>
                <w:r>
                  <w:rPr>
                    <w:rFonts w:ascii="Calibri"/>
                    <w:spacing w:val="-1"/>
                    <w:sz w:val="18"/>
                  </w:rPr>
                  <w:t xml:space="preserve"> </w:t>
                </w:r>
                <w:r>
                  <w:rPr>
                    <w:rFonts w:ascii="Calibri"/>
                    <w:b/>
                    <w:spacing w:val="-5"/>
                    <w:sz w:val="18"/>
                  </w:rPr>
                  <w:fldChar w:fldCharType="begin"/>
                </w:r>
                <w:r>
                  <w:rPr>
                    <w:rFonts w:ascii="Calibri"/>
                    <w:b/>
                    <w:spacing w:val="-5"/>
                    <w:sz w:val="18"/>
                  </w:rPr>
                  <w:instrText xml:space="preserve"> NUMPAGES </w:instrText>
                </w:r>
                <w:r>
                  <w:rPr>
                    <w:rFonts w:ascii="Calibri"/>
                    <w:b/>
                    <w:spacing w:val="-5"/>
                    <w:sz w:val="18"/>
                  </w:rPr>
                  <w:fldChar w:fldCharType="separate"/>
                </w:r>
                <w:r>
                  <w:rPr>
                    <w:rFonts w:ascii="Calibri"/>
                    <w:b/>
                    <w:spacing w:val="-5"/>
                    <w:sz w:val="18"/>
                  </w:rPr>
                  <w:t>14</w:t>
                </w:r>
                <w:r>
                  <w:rPr>
                    <w:rFonts w:ascii="Calibri"/>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84377A0"/>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
    <w:nsid w:val="19256DBA"/>
    <w:multiLevelType w:val="hybridMultilevel"/>
    <w:tmpl w:val="00000000"/>
    <w:lvl w:ilvl="0">
      <w:start w:val="1"/>
      <w:numFmt w:val="decimal"/>
      <w:lvlText w:val="%1."/>
      <w:lvlJc w:val="left"/>
      <w:pPr>
        <w:ind w:left="546" w:hanging="427"/>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7"/>
      </w:pPr>
      <w:rPr>
        <w:rFonts w:hint="default"/>
        <w:lang w:val="en-US" w:eastAsia="zh-CN" w:bidi="ar-SA"/>
      </w:rPr>
    </w:lvl>
    <w:lvl w:ilvl="2">
      <w:start w:val="0"/>
      <w:numFmt w:val="bullet"/>
      <w:lvlText w:val="•"/>
      <w:lvlJc w:val="left"/>
      <w:pPr>
        <w:ind w:left="2221" w:hanging="427"/>
      </w:pPr>
      <w:rPr>
        <w:rFonts w:hint="default"/>
        <w:lang w:val="en-US" w:eastAsia="zh-CN" w:bidi="ar-SA"/>
      </w:rPr>
    </w:lvl>
    <w:lvl w:ilvl="3">
      <w:start w:val="0"/>
      <w:numFmt w:val="bullet"/>
      <w:lvlText w:val="•"/>
      <w:lvlJc w:val="left"/>
      <w:pPr>
        <w:ind w:left="3061" w:hanging="427"/>
      </w:pPr>
      <w:rPr>
        <w:rFonts w:hint="default"/>
        <w:lang w:val="en-US" w:eastAsia="zh-CN" w:bidi="ar-SA"/>
      </w:rPr>
    </w:lvl>
    <w:lvl w:ilvl="4">
      <w:start w:val="0"/>
      <w:numFmt w:val="bullet"/>
      <w:lvlText w:val="•"/>
      <w:lvlJc w:val="left"/>
      <w:pPr>
        <w:ind w:left="3902" w:hanging="427"/>
      </w:pPr>
      <w:rPr>
        <w:rFonts w:hint="default"/>
        <w:lang w:val="en-US" w:eastAsia="zh-CN" w:bidi="ar-SA"/>
      </w:rPr>
    </w:lvl>
    <w:lvl w:ilvl="5">
      <w:start w:val="0"/>
      <w:numFmt w:val="bullet"/>
      <w:lvlText w:val="•"/>
      <w:lvlJc w:val="left"/>
      <w:pPr>
        <w:ind w:left="4743" w:hanging="427"/>
      </w:pPr>
      <w:rPr>
        <w:rFonts w:hint="default"/>
        <w:lang w:val="en-US" w:eastAsia="zh-CN" w:bidi="ar-SA"/>
      </w:rPr>
    </w:lvl>
    <w:lvl w:ilvl="6">
      <w:start w:val="0"/>
      <w:numFmt w:val="bullet"/>
      <w:lvlText w:val="•"/>
      <w:lvlJc w:val="left"/>
      <w:pPr>
        <w:ind w:left="5583" w:hanging="427"/>
      </w:pPr>
      <w:rPr>
        <w:rFonts w:hint="default"/>
        <w:lang w:val="en-US" w:eastAsia="zh-CN" w:bidi="ar-SA"/>
      </w:rPr>
    </w:lvl>
    <w:lvl w:ilvl="7">
      <w:start w:val="0"/>
      <w:numFmt w:val="bullet"/>
      <w:lvlText w:val="•"/>
      <w:lvlJc w:val="left"/>
      <w:pPr>
        <w:ind w:left="6424" w:hanging="427"/>
      </w:pPr>
      <w:rPr>
        <w:rFonts w:hint="default"/>
        <w:lang w:val="en-US" w:eastAsia="zh-CN" w:bidi="ar-SA"/>
      </w:rPr>
    </w:lvl>
    <w:lvl w:ilvl="8">
      <w:start w:val="0"/>
      <w:numFmt w:val="bullet"/>
      <w:lvlText w:val="•"/>
      <w:lvlJc w:val="left"/>
      <w:pPr>
        <w:ind w:left="7264" w:hanging="427"/>
      </w:pPr>
      <w:rPr>
        <w:rFonts w:hint="default"/>
        <w:lang w:val="en-US" w:eastAsia="zh-CN" w:bidi="ar-SA"/>
      </w:rPr>
    </w:lvl>
  </w:abstractNum>
  <w:abstractNum w:abstractNumId="2">
    <w:nsid w:val="1F97F9D7"/>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
    <w:nsid w:val="34464804"/>
    <w:multiLevelType w:val="hybridMultilevel"/>
    <w:tmpl w:val="00000000"/>
    <w:lvl w:ilvl="0">
      <w:start w:val="1"/>
      <w:numFmt w:val="decimal"/>
      <w:lvlText w:val="[%1]"/>
      <w:lvlJc w:val="left"/>
      <w:pPr>
        <w:ind w:left="120" w:hanging="579"/>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579"/>
      </w:pPr>
      <w:rPr>
        <w:rFonts w:hint="default"/>
        <w:lang w:val="en-US" w:eastAsia="zh-CN" w:bidi="ar-SA"/>
      </w:rPr>
    </w:lvl>
    <w:lvl w:ilvl="2">
      <w:start w:val="0"/>
      <w:numFmt w:val="bullet"/>
      <w:lvlText w:val="•"/>
      <w:lvlJc w:val="left"/>
      <w:pPr>
        <w:ind w:left="1885" w:hanging="579"/>
      </w:pPr>
      <w:rPr>
        <w:rFonts w:hint="default"/>
        <w:lang w:val="en-US" w:eastAsia="zh-CN" w:bidi="ar-SA"/>
      </w:rPr>
    </w:lvl>
    <w:lvl w:ilvl="3">
      <w:start w:val="0"/>
      <w:numFmt w:val="bullet"/>
      <w:lvlText w:val="•"/>
      <w:lvlJc w:val="left"/>
      <w:pPr>
        <w:ind w:left="2767" w:hanging="579"/>
      </w:pPr>
      <w:rPr>
        <w:rFonts w:hint="default"/>
        <w:lang w:val="en-US" w:eastAsia="zh-CN" w:bidi="ar-SA"/>
      </w:rPr>
    </w:lvl>
    <w:lvl w:ilvl="4">
      <w:start w:val="0"/>
      <w:numFmt w:val="bullet"/>
      <w:lvlText w:val="•"/>
      <w:lvlJc w:val="left"/>
      <w:pPr>
        <w:ind w:left="3650" w:hanging="579"/>
      </w:pPr>
      <w:rPr>
        <w:rFonts w:hint="default"/>
        <w:lang w:val="en-US" w:eastAsia="zh-CN" w:bidi="ar-SA"/>
      </w:rPr>
    </w:lvl>
    <w:lvl w:ilvl="5">
      <w:start w:val="0"/>
      <w:numFmt w:val="bullet"/>
      <w:lvlText w:val="•"/>
      <w:lvlJc w:val="left"/>
      <w:pPr>
        <w:ind w:left="4533" w:hanging="579"/>
      </w:pPr>
      <w:rPr>
        <w:rFonts w:hint="default"/>
        <w:lang w:val="en-US" w:eastAsia="zh-CN" w:bidi="ar-SA"/>
      </w:rPr>
    </w:lvl>
    <w:lvl w:ilvl="6">
      <w:start w:val="0"/>
      <w:numFmt w:val="bullet"/>
      <w:lvlText w:val="•"/>
      <w:lvlJc w:val="left"/>
      <w:pPr>
        <w:ind w:left="5415" w:hanging="579"/>
      </w:pPr>
      <w:rPr>
        <w:rFonts w:hint="default"/>
        <w:lang w:val="en-US" w:eastAsia="zh-CN" w:bidi="ar-SA"/>
      </w:rPr>
    </w:lvl>
    <w:lvl w:ilvl="7">
      <w:start w:val="0"/>
      <w:numFmt w:val="bullet"/>
      <w:lvlText w:val="•"/>
      <w:lvlJc w:val="left"/>
      <w:pPr>
        <w:ind w:left="6298" w:hanging="579"/>
      </w:pPr>
      <w:rPr>
        <w:rFonts w:hint="default"/>
        <w:lang w:val="en-US" w:eastAsia="zh-CN" w:bidi="ar-SA"/>
      </w:rPr>
    </w:lvl>
    <w:lvl w:ilvl="8">
      <w:start w:val="0"/>
      <w:numFmt w:val="bullet"/>
      <w:lvlText w:val="•"/>
      <w:lvlJc w:val="left"/>
      <w:pPr>
        <w:ind w:left="7180" w:hanging="579"/>
      </w:pPr>
      <w:rPr>
        <w:rFonts w:hint="default"/>
        <w:lang w:val="en-US" w:eastAsia="zh-CN" w:bidi="ar-SA"/>
      </w:rPr>
    </w:lvl>
  </w:abstractNum>
  <w:abstractNum w:abstractNumId="4">
    <w:nsid w:val="34F90782"/>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5">
    <w:nsid w:val="3A551FE3"/>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6">
    <w:nsid w:val="3D87D239"/>
    <w:multiLevelType w:val="hybridMultilevel"/>
    <w:tmpl w:val="00000000"/>
    <w:lvl w:ilvl="0">
      <w:start w:val="1"/>
      <w:numFmt w:val="decimal"/>
      <w:lvlText w:val="(%1)"/>
      <w:lvlJc w:val="left"/>
      <w:pPr>
        <w:ind w:left="680" w:hanging="56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506" w:hanging="560"/>
      </w:pPr>
      <w:rPr>
        <w:rFonts w:hint="default"/>
        <w:lang w:val="en-US" w:eastAsia="zh-CN" w:bidi="ar-SA"/>
      </w:rPr>
    </w:lvl>
    <w:lvl w:ilvl="2">
      <w:start w:val="0"/>
      <w:numFmt w:val="bullet"/>
      <w:lvlText w:val="•"/>
      <w:lvlJc w:val="left"/>
      <w:pPr>
        <w:ind w:left="2333" w:hanging="560"/>
      </w:pPr>
      <w:rPr>
        <w:rFonts w:hint="default"/>
        <w:lang w:val="en-US" w:eastAsia="zh-CN" w:bidi="ar-SA"/>
      </w:rPr>
    </w:lvl>
    <w:lvl w:ilvl="3">
      <w:start w:val="0"/>
      <w:numFmt w:val="bullet"/>
      <w:lvlText w:val="•"/>
      <w:lvlJc w:val="left"/>
      <w:pPr>
        <w:ind w:left="3159" w:hanging="560"/>
      </w:pPr>
      <w:rPr>
        <w:rFonts w:hint="default"/>
        <w:lang w:val="en-US" w:eastAsia="zh-CN" w:bidi="ar-SA"/>
      </w:rPr>
    </w:lvl>
    <w:lvl w:ilvl="4">
      <w:start w:val="0"/>
      <w:numFmt w:val="bullet"/>
      <w:lvlText w:val="•"/>
      <w:lvlJc w:val="left"/>
      <w:pPr>
        <w:ind w:left="3986" w:hanging="560"/>
      </w:pPr>
      <w:rPr>
        <w:rFonts w:hint="default"/>
        <w:lang w:val="en-US" w:eastAsia="zh-CN" w:bidi="ar-SA"/>
      </w:rPr>
    </w:lvl>
    <w:lvl w:ilvl="5">
      <w:start w:val="0"/>
      <w:numFmt w:val="bullet"/>
      <w:lvlText w:val="•"/>
      <w:lvlJc w:val="left"/>
      <w:pPr>
        <w:ind w:left="4813" w:hanging="560"/>
      </w:pPr>
      <w:rPr>
        <w:rFonts w:hint="default"/>
        <w:lang w:val="en-US" w:eastAsia="zh-CN" w:bidi="ar-SA"/>
      </w:rPr>
    </w:lvl>
    <w:lvl w:ilvl="6">
      <w:start w:val="0"/>
      <w:numFmt w:val="bullet"/>
      <w:lvlText w:val="•"/>
      <w:lvlJc w:val="left"/>
      <w:pPr>
        <w:ind w:left="5639" w:hanging="560"/>
      </w:pPr>
      <w:rPr>
        <w:rFonts w:hint="default"/>
        <w:lang w:val="en-US" w:eastAsia="zh-CN" w:bidi="ar-SA"/>
      </w:rPr>
    </w:lvl>
    <w:lvl w:ilvl="7">
      <w:start w:val="0"/>
      <w:numFmt w:val="bullet"/>
      <w:lvlText w:val="•"/>
      <w:lvlJc w:val="left"/>
      <w:pPr>
        <w:ind w:left="6466" w:hanging="560"/>
      </w:pPr>
      <w:rPr>
        <w:rFonts w:hint="default"/>
        <w:lang w:val="en-US" w:eastAsia="zh-CN" w:bidi="ar-SA"/>
      </w:rPr>
    </w:lvl>
    <w:lvl w:ilvl="8">
      <w:start w:val="0"/>
      <w:numFmt w:val="bullet"/>
      <w:lvlText w:val="•"/>
      <w:lvlJc w:val="left"/>
      <w:pPr>
        <w:ind w:left="7292" w:hanging="560"/>
      </w:pPr>
      <w:rPr>
        <w:rFonts w:hint="default"/>
        <w:lang w:val="en-US" w:eastAsia="zh-CN" w:bidi="ar-SA"/>
      </w:rPr>
    </w:lvl>
  </w:abstractNum>
  <w:abstractNum w:abstractNumId="7">
    <w:nsid w:val="40944F88"/>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2"/>
      </w:pPr>
      <w:rPr>
        <w:rFonts w:hint="default"/>
        <w:lang w:val="en-US" w:eastAsia="zh-CN" w:bidi="ar-SA"/>
      </w:rPr>
    </w:lvl>
    <w:lvl w:ilvl="2">
      <w:start w:val="0"/>
      <w:numFmt w:val="bullet"/>
      <w:lvlText w:val="•"/>
      <w:lvlJc w:val="left"/>
      <w:pPr>
        <w:ind w:left="2221" w:hanging="422"/>
      </w:pPr>
      <w:rPr>
        <w:rFonts w:hint="default"/>
        <w:lang w:val="en-US" w:eastAsia="zh-CN" w:bidi="ar-SA"/>
      </w:rPr>
    </w:lvl>
    <w:lvl w:ilvl="3">
      <w:start w:val="0"/>
      <w:numFmt w:val="bullet"/>
      <w:lvlText w:val="•"/>
      <w:lvlJc w:val="left"/>
      <w:pPr>
        <w:ind w:left="3061" w:hanging="422"/>
      </w:pPr>
      <w:rPr>
        <w:rFonts w:hint="default"/>
        <w:lang w:val="en-US" w:eastAsia="zh-CN" w:bidi="ar-SA"/>
      </w:rPr>
    </w:lvl>
    <w:lvl w:ilvl="4">
      <w:start w:val="0"/>
      <w:numFmt w:val="bullet"/>
      <w:lvlText w:val="•"/>
      <w:lvlJc w:val="left"/>
      <w:pPr>
        <w:ind w:left="3902" w:hanging="422"/>
      </w:pPr>
      <w:rPr>
        <w:rFonts w:hint="default"/>
        <w:lang w:val="en-US" w:eastAsia="zh-CN" w:bidi="ar-SA"/>
      </w:rPr>
    </w:lvl>
    <w:lvl w:ilvl="5">
      <w:start w:val="0"/>
      <w:numFmt w:val="bullet"/>
      <w:lvlText w:val="•"/>
      <w:lvlJc w:val="left"/>
      <w:pPr>
        <w:ind w:left="4743" w:hanging="422"/>
      </w:pPr>
      <w:rPr>
        <w:rFonts w:hint="default"/>
        <w:lang w:val="en-US" w:eastAsia="zh-CN" w:bidi="ar-SA"/>
      </w:rPr>
    </w:lvl>
    <w:lvl w:ilvl="6">
      <w:start w:val="0"/>
      <w:numFmt w:val="bullet"/>
      <w:lvlText w:val="•"/>
      <w:lvlJc w:val="left"/>
      <w:pPr>
        <w:ind w:left="5583" w:hanging="422"/>
      </w:pPr>
      <w:rPr>
        <w:rFonts w:hint="default"/>
        <w:lang w:val="en-US" w:eastAsia="zh-CN" w:bidi="ar-SA"/>
      </w:rPr>
    </w:lvl>
    <w:lvl w:ilvl="7">
      <w:start w:val="0"/>
      <w:numFmt w:val="bullet"/>
      <w:lvlText w:val="•"/>
      <w:lvlJc w:val="left"/>
      <w:pPr>
        <w:ind w:left="6424" w:hanging="422"/>
      </w:pPr>
      <w:rPr>
        <w:rFonts w:hint="default"/>
        <w:lang w:val="en-US" w:eastAsia="zh-CN" w:bidi="ar-SA"/>
      </w:rPr>
    </w:lvl>
    <w:lvl w:ilvl="8">
      <w:start w:val="0"/>
      <w:numFmt w:val="bullet"/>
      <w:lvlText w:val="•"/>
      <w:lvlJc w:val="left"/>
      <w:pPr>
        <w:ind w:left="7264" w:hanging="422"/>
      </w:pPr>
      <w:rPr>
        <w:rFonts w:hint="default"/>
        <w:lang w:val="en-US" w:eastAsia="zh-CN" w:bidi="ar-SA"/>
      </w:rPr>
    </w:lvl>
  </w:abstractNum>
  <w:abstractNum w:abstractNumId="8">
    <w:nsid w:val="42DE9E9A"/>
    <w:multiLevelType w:val="hybridMultilevel"/>
    <w:tmpl w:val="00000000"/>
    <w:lvl w:ilvl="0">
      <w:start w:val="1"/>
      <w:numFmt w:val="decimal"/>
      <w:lvlText w:val="%1."/>
      <w:lvlJc w:val="left"/>
      <w:pPr>
        <w:ind w:left="541"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2"/>
      </w:pPr>
      <w:rPr>
        <w:rFonts w:hint="default"/>
        <w:lang w:val="en-US" w:eastAsia="zh-CN" w:bidi="ar-SA"/>
      </w:rPr>
    </w:lvl>
    <w:lvl w:ilvl="2">
      <w:start w:val="0"/>
      <w:numFmt w:val="bullet"/>
      <w:lvlText w:val="•"/>
      <w:lvlJc w:val="left"/>
      <w:pPr>
        <w:ind w:left="2221" w:hanging="422"/>
      </w:pPr>
      <w:rPr>
        <w:rFonts w:hint="default"/>
        <w:lang w:val="en-US" w:eastAsia="zh-CN" w:bidi="ar-SA"/>
      </w:rPr>
    </w:lvl>
    <w:lvl w:ilvl="3">
      <w:start w:val="0"/>
      <w:numFmt w:val="bullet"/>
      <w:lvlText w:val="•"/>
      <w:lvlJc w:val="left"/>
      <w:pPr>
        <w:ind w:left="3061" w:hanging="422"/>
      </w:pPr>
      <w:rPr>
        <w:rFonts w:hint="default"/>
        <w:lang w:val="en-US" w:eastAsia="zh-CN" w:bidi="ar-SA"/>
      </w:rPr>
    </w:lvl>
    <w:lvl w:ilvl="4">
      <w:start w:val="0"/>
      <w:numFmt w:val="bullet"/>
      <w:lvlText w:val="•"/>
      <w:lvlJc w:val="left"/>
      <w:pPr>
        <w:ind w:left="3902" w:hanging="422"/>
      </w:pPr>
      <w:rPr>
        <w:rFonts w:hint="default"/>
        <w:lang w:val="en-US" w:eastAsia="zh-CN" w:bidi="ar-SA"/>
      </w:rPr>
    </w:lvl>
    <w:lvl w:ilvl="5">
      <w:start w:val="0"/>
      <w:numFmt w:val="bullet"/>
      <w:lvlText w:val="•"/>
      <w:lvlJc w:val="left"/>
      <w:pPr>
        <w:ind w:left="4743" w:hanging="422"/>
      </w:pPr>
      <w:rPr>
        <w:rFonts w:hint="default"/>
        <w:lang w:val="en-US" w:eastAsia="zh-CN" w:bidi="ar-SA"/>
      </w:rPr>
    </w:lvl>
    <w:lvl w:ilvl="6">
      <w:start w:val="0"/>
      <w:numFmt w:val="bullet"/>
      <w:lvlText w:val="•"/>
      <w:lvlJc w:val="left"/>
      <w:pPr>
        <w:ind w:left="5583" w:hanging="422"/>
      </w:pPr>
      <w:rPr>
        <w:rFonts w:hint="default"/>
        <w:lang w:val="en-US" w:eastAsia="zh-CN" w:bidi="ar-SA"/>
      </w:rPr>
    </w:lvl>
    <w:lvl w:ilvl="7">
      <w:start w:val="0"/>
      <w:numFmt w:val="bullet"/>
      <w:lvlText w:val="•"/>
      <w:lvlJc w:val="left"/>
      <w:pPr>
        <w:ind w:left="6424" w:hanging="422"/>
      </w:pPr>
      <w:rPr>
        <w:rFonts w:hint="default"/>
        <w:lang w:val="en-US" w:eastAsia="zh-CN" w:bidi="ar-SA"/>
      </w:rPr>
    </w:lvl>
    <w:lvl w:ilvl="8">
      <w:start w:val="0"/>
      <w:numFmt w:val="bullet"/>
      <w:lvlText w:val="•"/>
      <w:lvlJc w:val="left"/>
      <w:pPr>
        <w:ind w:left="7264" w:hanging="422"/>
      </w:pPr>
      <w:rPr>
        <w:rFonts w:hint="default"/>
        <w:lang w:val="en-US" w:eastAsia="zh-CN" w:bidi="ar-SA"/>
      </w:rPr>
    </w:lvl>
  </w:abstractNum>
  <w:abstractNum w:abstractNumId="9">
    <w:nsid w:val="46D07514"/>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0">
    <w:nsid w:val="49CB57A3"/>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1">
    <w:nsid w:val="4C34C381"/>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2">
    <w:nsid w:val="4F4FCB7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3">
    <w:nsid w:val="516A822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4">
    <w:nsid w:val="557D750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5">
    <w:nsid w:val="61F7DB74"/>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0"/>
      </w:pPr>
      <w:rPr>
        <w:rFonts w:hint="default"/>
        <w:lang w:val="en-US" w:eastAsia="zh-CN" w:bidi="ar-SA"/>
      </w:rPr>
    </w:lvl>
    <w:lvl w:ilvl="2">
      <w:start w:val="0"/>
      <w:numFmt w:val="bullet"/>
      <w:lvlText w:val="•"/>
      <w:lvlJc w:val="left"/>
      <w:pPr>
        <w:ind w:left="1885" w:hanging="420"/>
      </w:pPr>
      <w:rPr>
        <w:rFonts w:hint="default"/>
        <w:lang w:val="en-US" w:eastAsia="zh-CN" w:bidi="ar-SA"/>
      </w:rPr>
    </w:lvl>
    <w:lvl w:ilvl="3">
      <w:start w:val="0"/>
      <w:numFmt w:val="bullet"/>
      <w:lvlText w:val="•"/>
      <w:lvlJc w:val="left"/>
      <w:pPr>
        <w:ind w:left="2767" w:hanging="420"/>
      </w:pPr>
      <w:rPr>
        <w:rFonts w:hint="default"/>
        <w:lang w:val="en-US" w:eastAsia="zh-CN" w:bidi="ar-SA"/>
      </w:rPr>
    </w:lvl>
    <w:lvl w:ilvl="4">
      <w:start w:val="0"/>
      <w:numFmt w:val="bullet"/>
      <w:lvlText w:val="•"/>
      <w:lvlJc w:val="left"/>
      <w:pPr>
        <w:ind w:left="3650" w:hanging="420"/>
      </w:pPr>
      <w:rPr>
        <w:rFonts w:hint="default"/>
        <w:lang w:val="en-US" w:eastAsia="zh-CN" w:bidi="ar-SA"/>
      </w:rPr>
    </w:lvl>
    <w:lvl w:ilvl="5">
      <w:start w:val="0"/>
      <w:numFmt w:val="bullet"/>
      <w:lvlText w:val="•"/>
      <w:lvlJc w:val="left"/>
      <w:pPr>
        <w:ind w:left="4533" w:hanging="420"/>
      </w:pPr>
      <w:rPr>
        <w:rFonts w:hint="default"/>
        <w:lang w:val="en-US" w:eastAsia="zh-CN" w:bidi="ar-SA"/>
      </w:rPr>
    </w:lvl>
    <w:lvl w:ilvl="6">
      <w:start w:val="0"/>
      <w:numFmt w:val="bullet"/>
      <w:lvlText w:val="•"/>
      <w:lvlJc w:val="left"/>
      <w:pPr>
        <w:ind w:left="5415" w:hanging="420"/>
      </w:pPr>
      <w:rPr>
        <w:rFonts w:hint="default"/>
        <w:lang w:val="en-US" w:eastAsia="zh-CN" w:bidi="ar-SA"/>
      </w:rPr>
    </w:lvl>
    <w:lvl w:ilvl="7">
      <w:start w:val="0"/>
      <w:numFmt w:val="bullet"/>
      <w:lvlText w:val="•"/>
      <w:lvlJc w:val="left"/>
      <w:pPr>
        <w:ind w:left="6298" w:hanging="420"/>
      </w:pPr>
      <w:rPr>
        <w:rFonts w:hint="default"/>
        <w:lang w:val="en-US" w:eastAsia="zh-CN" w:bidi="ar-SA"/>
      </w:rPr>
    </w:lvl>
    <w:lvl w:ilvl="8">
      <w:start w:val="0"/>
      <w:numFmt w:val="bullet"/>
      <w:lvlText w:val="•"/>
      <w:lvlJc w:val="left"/>
      <w:pPr>
        <w:ind w:left="7180" w:hanging="420"/>
      </w:pPr>
      <w:rPr>
        <w:rFonts w:hint="default"/>
        <w:lang w:val="en-US" w:eastAsia="zh-CN" w:bidi="ar-SA"/>
      </w:rPr>
    </w:lvl>
  </w:abstractNum>
  <w:abstractNum w:abstractNumId="16">
    <w:nsid w:val="62753E05"/>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7">
    <w:nsid w:val="69A53A46"/>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8">
    <w:nsid w:val="6F88589E"/>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9">
    <w:nsid w:val="71EFE60D"/>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20">
    <w:nsid w:val="7C372D62"/>
    <w:multiLevelType w:val="hybridMultilevel"/>
    <w:tmpl w:val="00000000"/>
    <w:lvl w:ilvl="0">
      <w:start w:val="1"/>
      <w:numFmt w:val="decimal"/>
      <w:lvlText w:val="%1."/>
      <w:lvlJc w:val="left"/>
      <w:pPr>
        <w:ind w:left="12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0"/>
      </w:pPr>
      <w:rPr>
        <w:rFonts w:hint="default"/>
        <w:lang w:val="en-US" w:eastAsia="zh-CN" w:bidi="ar-SA"/>
      </w:rPr>
    </w:lvl>
    <w:lvl w:ilvl="2">
      <w:start w:val="0"/>
      <w:numFmt w:val="bullet"/>
      <w:lvlText w:val="•"/>
      <w:lvlJc w:val="left"/>
      <w:pPr>
        <w:ind w:left="1885" w:hanging="420"/>
      </w:pPr>
      <w:rPr>
        <w:rFonts w:hint="default"/>
        <w:lang w:val="en-US" w:eastAsia="zh-CN" w:bidi="ar-SA"/>
      </w:rPr>
    </w:lvl>
    <w:lvl w:ilvl="3">
      <w:start w:val="0"/>
      <w:numFmt w:val="bullet"/>
      <w:lvlText w:val="•"/>
      <w:lvlJc w:val="left"/>
      <w:pPr>
        <w:ind w:left="2767" w:hanging="420"/>
      </w:pPr>
      <w:rPr>
        <w:rFonts w:hint="default"/>
        <w:lang w:val="en-US" w:eastAsia="zh-CN" w:bidi="ar-SA"/>
      </w:rPr>
    </w:lvl>
    <w:lvl w:ilvl="4">
      <w:start w:val="0"/>
      <w:numFmt w:val="bullet"/>
      <w:lvlText w:val="•"/>
      <w:lvlJc w:val="left"/>
      <w:pPr>
        <w:ind w:left="3650" w:hanging="420"/>
      </w:pPr>
      <w:rPr>
        <w:rFonts w:hint="default"/>
        <w:lang w:val="en-US" w:eastAsia="zh-CN" w:bidi="ar-SA"/>
      </w:rPr>
    </w:lvl>
    <w:lvl w:ilvl="5">
      <w:start w:val="0"/>
      <w:numFmt w:val="bullet"/>
      <w:lvlText w:val="•"/>
      <w:lvlJc w:val="left"/>
      <w:pPr>
        <w:ind w:left="4533" w:hanging="420"/>
      </w:pPr>
      <w:rPr>
        <w:rFonts w:hint="default"/>
        <w:lang w:val="en-US" w:eastAsia="zh-CN" w:bidi="ar-SA"/>
      </w:rPr>
    </w:lvl>
    <w:lvl w:ilvl="6">
      <w:start w:val="0"/>
      <w:numFmt w:val="bullet"/>
      <w:lvlText w:val="•"/>
      <w:lvlJc w:val="left"/>
      <w:pPr>
        <w:ind w:left="5415" w:hanging="420"/>
      </w:pPr>
      <w:rPr>
        <w:rFonts w:hint="default"/>
        <w:lang w:val="en-US" w:eastAsia="zh-CN" w:bidi="ar-SA"/>
      </w:rPr>
    </w:lvl>
    <w:lvl w:ilvl="7">
      <w:start w:val="0"/>
      <w:numFmt w:val="bullet"/>
      <w:lvlText w:val="•"/>
      <w:lvlJc w:val="left"/>
      <w:pPr>
        <w:ind w:left="6298" w:hanging="420"/>
      </w:pPr>
      <w:rPr>
        <w:rFonts w:hint="default"/>
        <w:lang w:val="en-US" w:eastAsia="zh-CN" w:bidi="ar-SA"/>
      </w:rPr>
    </w:lvl>
    <w:lvl w:ilvl="8">
      <w:start w:val="0"/>
      <w:numFmt w:val="bullet"/>
      <w:lvlText w:val="•"/>
      <w:lvlJc w:val="left"/>
      <w:pPr>
        <w:ind w:left="7180" w:hanging="420"/>
      </w:pPr>
      <w:rPr>
        <w:rFonts w:hint="default"/>
        <w:lang w:val="en-US" w:eastAsia="zh-CN" w:bidi="ar-SA"/>
      </w:rPr>
    </w:lvl>
  </w:abstractNum>
  <w:num w:numId="1">
    <w:abstractNumId w:val="13"/>
  </w:num>
  <w:num w:numId="2">
    <w:abstractNumId w:val="6"/>
  </w:num>
  <w:num w:numId="3">
    <w:abstractNumId w:val="14"/>
  </w:num>
  <w:num w:numId="4">
    <w:abstractNumId w:val="7"/>
  </w:num>
  <w:num w:numId="5">
    <w:abstractNumId w:val="3"/>
  </w:num>
  <w:num w:numId="6">
    <w:abstractNumId w:val="1"/>
  </w:num>
  <w:num w:numId="7">
    <w:abstractNumId w:val="8"/>
  </w:num>
  <w:num w:numId="8">
    <w:abstractNumId w:val="18"/>
  </w:num>
  <w:num w:numId="9">
    <w:abstractNumId w:val="19"/>
  </w:num>
  <w:num w:numId="10">
    <w:abstractNumId w:val="16"/>
  </w:num>
  <w:num w:numId="11">
    <w:abstractNumId w:val="17"/>
  </w:num>
  <w:num w:numId="12">
    <w:abstractNumId w:val="11"/>
  </w:num>
  <w:num w:numId="13">
    <w:abstractNumId w:val="5"/>
  </w:num>
  <w:num w:numId="14">
    <w:abstractNumId w:val="10"/>
  </w:num>
  <w:num w:numId="15">
    <w:abstractNumId w:val="12"/>
  </w:num>
  <w:num w:numId="16">
    <w:abstractNumId w:val="9"/>
  </w:num>
  <w:num w:numId="17">
    <w:abstractNumId w:val="0"/>
  </w:num>
  <w:num w:numId="18">
    <w:abstractNumId w:val="20"/>
  </w:num>
  <w:num w:numId="19">
    <w:abstractNumId w:val="15"/>
  </w:num>
  <w:num w:numId="20">
    <w:abstractNumId w:val="4"/>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ind w:left="120"/>
      <w:jc w:val="both"/>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宋体" w:eastAsia="宋体" w:hAnsi="宋体" w:cs="宋体"/>
      <w:sz w:val="21"/>
      <w:szCs w:val="21"/>
      <w:lang w:val="en-US" w:eastAsia="zh-CN" w:bidi="ar-SA"/>
    </w:rPr>
  </w:style>
  <w:style w:type="paragraph" w:styleId="BodyText">
    <w:name w:val="Body Text"/>
    <w:basedOn w:val="Normal"/>
    <w:uiPriority w:val="1"/>
    <w:qFormat/>
    <w:rPr>
      <w:rFonts w:ascii="宋体" w:eastAsia="宋体" w:hAnsi="宋体" w:cs="宋体"/>
      <w:sz w:val="28"/>
      <w:szCs w:val="28"/>
      <w:lang w:val="en-US" w:eastAsia="zh-CN" w:bidi="ar-SA"/>
    </w:rPr>
  </w:style>
  <w:style w:type="paragraph" w:styleId="Title">
    <w:name w:val="Title"/>
    <w:basedOn w:val="Normal"/>
    <w:uiPriority w:val="1"/>
    <w:qFormat/>
    <w:pPr>
      <w:spacing w:line="569" w:lineRule="exact"/>
      <w:ind w:left="2550" w:right="2769"/>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pPr>
    <w:rPr>
      <w:rFonts w:ascii="宋体" w:eastAsia="宋体" w:hAnsi="宋体" w:cs="宋体"/>
      <w:lang w:val="en-US" w:eastAsia="zh-CN" w:bidi="ar-SA"/>
    </w:rPr>
  </w:style>
  <w:style w:type="paragraph" w:customStyle="1" w:styleId="TableParagraph">
    <w:name w:val="Table Paragraph"/>
    <w:basedOn w:val="Normal"/>
    <w:uiPriority w:val="1"/>
    <w:qFormat/>
    <w:rPr>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hyperlink" Target="https://d.book118.com/018025067130006042" TargetMode="External" /><Relationship Id="rId18" Type="http://schemas.openxmlformats.org/officeDocument/2006/relationships/footer" Target="footer1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2024-03-05T05:46:47Z</dcterms:created>
  <dcterms:modified xsi:type="dcterms:W3CDTF">2024-03-05T05:46:47Z</dcterms:modified>
</cp:coreProperties>
</file>