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35" w:lineRule="auto"/>
      </w:pPr>
    </w:p>
    <w:p>
      <w:pPr>
        <w:pStyle w:val="BodyText"/>
        <w:spacing w:before="94" w:line="221" w:lineRule="auto"/>
        <w:ind w:left="3654"/>
        <w:rPr>
          <w:sz w:val="29"/>
          <w:szCs w:val="29"/>
        </w:rPr>
      </w:pPr>
      <w:bookmarkStart w:id="0" w:name="bookmark1"/>
      <w:bookmarkEnd w:id="0"/>
      <w:r>
        <w:rPr>
          <w:b/>
          <w:bCs/>
          <w:spacing w:val="-37"/>
          <w:sz w:val="29"/>
          <w:szCs w:val="29"/>
        </w:rPr>
        <w:t>目</w:t>
      </w:r>
      <w:r>
        <w:rPr>
          <w:spacing w:val="19"/>
          <w:sz w:val="29"/>
          <w:szCs w:val="29"/>
        </w:rPr>
        <w:t xml:space="preserve">     </w:t>
      </w:r>
      <w:r>
        <w:rPr>
          <w:b/>
          <w:bCs/>
          <w:spacing w:val="-37"/>
          <w:sz w:val="29"/>
          <w:szCs w:val="29"/>
        </w:rPr>
        <w:t>录</w:t>
      </w:r>
    </w:p>
    <w:p>
      <w:pPr>
        <w:pStyle w:val="BodyText"/>
        <w:tabs>
          <w:tab w:val="right" w:leader="dot" w:pos="8315"/>
        </w:tabs>
        <w:spacing w:before="229" w:line="220" w:lineRule="auto"/>
        <w:ind w:left="19"/>
        <w:rPr>
          <w:rFonts w:ascii="Times New Roman" w:eastAsia="Times New Roman" w:hAnsi="Times New Roman" w:cs="Times New Roman"/>
        </w:rPr>
      </w:pPr>
      <w:r>
        <w:rPr>
          <w:rFonts w:ascii="Times New Roman" w:eastAsia="Times New Roman" w:hAnsi="Times New Roman" w:cs="Times New Roman"/>
        </w:rPr>
        <w:t xml:space="preserve">1.      </w:t>
      </w:r>
      <w:r>
        <w:t>总则</w:t>
      </w:r>
      <w:r>
        <w:rPr>
          <w:spacing w:val="-81"/>
        </w:rPr>
        <w:t xml:space="preserve"> </w:t>
      </w:r>
      <w:r>
        <w:tab/>
      </w:r>
      <w:hyperlink w:anchor="bookmark1" w:history="1">
        <w:r>
          <w:rPr>
            <w:rFonts w:ascii="Times New Roman" w:eastAsia="Times New Roman" w:hAnsi="Times New Roman" w:cs="Times New Roman"/>
          </w:rPr>
          <w:t>1</w:t>
        </w:r>
      </w:hyperlink>
    </w:p>
    <w:p>
      <w:pPr>
        <w:pStyle w:val="BodyText"/>
        <w:tabs>
          <w:tab w:val="right" w:leader="dot" w:pos="8325"/>
        </w:tabs>
        <w:spacing w:before="229" w:line="218" w:lineRule="auto"/>
        <w:ind w:left="439"/>
        <w:rPr>
          <w:rFonts w:ascii="Times New Roman" w:eastAsia="Times New Roman" w:hAnsi="Times New Roman" w:cs="Times New Roman"/>
        </w:rPr>
      </w:pPr>
      <w:r>
        <w:rPr>
          <w:rFonts w:ascii="Times New Roman" w:eastAsia="Times New Roman" w:hAnsi="Times New Roman" w:cs="Times New Roman"/>
          <w:spacing w:val="7"/>
        </w:rPr>
        <w:t>1.1</w:t>
      </w:r>
      <w:r>
        <w:rPr>
          <w:rFonts w:ascii="Times New Roman" w:eastAsia="Times New Roman" w:hAnsi="Times New Roman" w:cs="Times New Roman"/>
          <w:spacing w:val="17"/>
          <w:w w:val="101"/>
        </w:rPr>
        <w:t xml:space="preserve">   </w:t>
      </w:r>
      <w:r>
        <w:rPr>
          <w:spacing w:val="7"/>
        </w:rPr>
        <w:t>经济评价的内涵及相关要求</w:t>
      </w:r>
      <w:r>
        <w:rPr>
          <w:spacing w:val="-79"/>
        </w:rPr>
        <w:t xml:space="preserve"> </w:t>
      </w:r>
      <w:r>
        <w:tab/>
      </w:r>
      <w:r>
        <w:rPr>
          <w:spacing w:val="-48"/>
        </w:rPr>
        <w:t xml:space="preserve"> </w:t>
      </w:r>
      <w:hyperlink w:anchor="bookmark1" w:history="1">
        <w:r>
          <w:rPr>
            <w:rFonts w:ascii="Times New Roman" w:eastAsia="Times New Roman" w:hAnsi="Times New Roman" w:cs="Times New Roman"/>
          </w:rPr>
          <w:t>1</w:t>
        </w:r>
      </w:hyperlink>
    </w:p>
    <w:p>
      <w:pPr>
        <w:pStyle w:val="BodyText"/>
        <w:tabs>
          <w:tab w:val="right" w:leader="dot" w:pos="8295"/>
        </w:tabs>
        <w:spacing w:before="233" w:line="218" w:lineRule="auto"/>
        <w:ind w:left="439"/>
        <w:rPr>
          <w:rFonts w:ascii="Times New Roman" w:eastAsia="Times New Roman" w:hAnsi="Times New Roman" w:cs="Times New Roman"/>
        </w:rPr>
      </w:pPr>
      <w:r>
        <w:rPr>
          <w:rFonts w:ascii="Times New Roman" w:eastAsia="Times New Roman" w:hAnsi="Times New Roman" w:cs="Times New Roman"/>
          <w:spacing w:val="7"/>
        </w:rPr>
        <w:t xml:space="preserve">1.2   </w:t>
      </w:r>
      <w:r>
        <w:rPr>
          <w:spacing w:val="7"/>
        </w:rPr>
        <w:t>经济评价应遵循的基本原则</w:t>
      </w:r>
      <w:r>
        <w:rPr>
          <w:spacing w:val="-88"/>
        </w:rPr>
        <w:t xml:space="preserve"> </w:t>
      </w:r>
      <w:r>
        <w:tab/>
      </w:r>
      <w:r>
        <w:rPr>
          <w:spacing w:val="-38"/>
        </w:rPr>
        <w:t xml:space="preserve"> </w:t>
      </w:r>
      <w:hyperlink w:anchor="bookmark1" w:history="1">
        <w:r>
          <w:rPr>
            <w:rFonts w:ascii="Times New Roman" w:eastAsia="Times New Roman" w:hAnsi="Times New Roman" w:cs="Times New Roman"/>
          </w:rPr>
          <w:t>1</w:t>
        </w:r>
      </w:hyperlink>
    </w:p>
    <w:p>
      <w:pPr>
        <w:pStyle w:val="BodyText"/>
        <w:tabs>
          <w:tab w:val="right" w:leader="dot" w:pos="8295"/>
        </w:tabs>
        <w:spacing w:before="234" w:line="219" w:lineRule="auto"/>
        <w:ind w:left="439"/>
        <w:rPr>
          <w:rFonts w:ascii="Times New Roman" w:eastAsia="Times New Roman" w:hAnsi="Times New Roman" w:cs="Times New Roman"/>
        </w:rPr>
      </w:pPr>
      <w:r>
        <w:rPr>
          <w:rFonts w:ascii="Times New Roman" w:eastAsia="Times New Roman" w:hAnsi="Times New Roman" w:cs="Times New Roman"/>
          <w:spacing w:val="6"/>
        </w:rPr>
        <w:t>1.3</w:t>
      </w:r>
      <w:r>
        <w:rPr>
          <w:rFonts w:ascii="Times New Roman" w:eastAsia="Times New Roman" w:hAnsi="Times New Roman" w:cs="Times New Roman"/>
          <w:spacing w:val="2"/>
        </w:rPr>
        <w:t xml:space="preserve">    </w:t>
      </w:r>
      <w:r>
        <w:rPr>
          <w:spacing w:val="6"/>
        </w:rPr>
        <w:t>本标准的适用范围</w:t>
      </w:r>
      <w:r>
        <w:rPr>
          <w:spacing w:val="-86"/>
        </w:rPr>
        <w:t xml:space="preserve"> </w:t>
      </w:r>
      <w:r>
        <w:tab/>
      </w:r>
      <w:r>
        <w:rPr>
          <w:spacing w:val="-58"/>
        </w:rPr>
        <w:t xml:space="preserve"> </w:t>
      </w:r>
      <w:hyperlink w:anchor="bookmark2" w:history="1">
        <w:r>
          <w:rPr>
            <w:rFonts w:ascii="Times New Roman" w:eastAsia="Times New Roman" w:hAnsi="Times New Roman" w:cs="Times New Roman"/>
          </w:rPr>
          <w:t>2</w:t>
        </w:r>
      </w:hyperlink>
    </w:p>
    <w:p>
      <w:pPr>
        <w:pStyle w:val="BodyText"/>
        <w:tabs>
          <w:tab w:val="right" w:leader="dot" w:pos="8285"/>
        </w:tabs>
        <w:spacing w:before="225" w:line="219" w:lineRule="auto"/>
        <w:ind w:left="19"/>
        <w:rPr>
          <w:rFonts w:ascii="Times New Roman" w:eastAsia="Times New Roman" w:hAnsi="Times New Roman" w:cs="Times New Roman"/>
        </w:rPr>
      </w:pPr>
      <w:r>
        <w:rPr>
          <w:rFonts w:ascii="Times New Roman" w:eastAsia="Times New Roman" w:hAnsi="Times New Roman" w:cs="Times New Roman"/>
          <w:spacing w:val="9"/>
        </w:rPr>
        <w:t>2.</w:t>
      </w:r>
      <w:r>
        <w:rPr>
          <w:rFonts w:ascii="Times New Roman" w:eastAsia="Times New Roman" w:hAnsi="Times New Roman" w:cs="Times New Roman"/>
          <w:spacing w:val="2"/>
        </w:rPr>
        <w:t xml:space="preserve">     </w:t>
      </w:r>
      <w:r>
        <w:rPr>
          <w:spacing w:val="9"/>
        </w:rPr>
        <w:t>财务分析</w:t>
      </w:r>
      <w:r>
        <w:rPr>
          <w:spacing w:val="-75"/>
        </w:rPr>
        <w:t xml:space="preserve"> </w:t>
      </w:r>
      <w:r>
        <w:tab/>
      </w:r>
      <w:hyperlink w:anchor="bookmark3" w:history="1">
        <w:r>
          <w:rPr>
            <w:rFonts w:ascii="Times New Roman" w:eastAsia="Times New Roman" w:hAnsi="Times New Roman" w:cs="Times New Roman"/>
            <w:spacing w:val="4"/>
          </w:rPr>
          <w:t>2</w:t>
        </w:r>
      </w:hyperlink>
    </w:p>
    <w:p>
      <w:pPr>
        <w:pStyle w:val="BodyText"/>
        <w:tabs>
          <w:tab w:val="right" w:leader="dot" w:pos="8300"/>
        </w:tabs>
        <w:spacing w:before="232" w:line="219" w:lineRule="auto"/>
        <w:ind w:left="439"/>
        <w:rPr>
          <w:rFonts w:ascii="Times New Roman" w:eastAsia="Times New Roman" w:hAnsi="Times New Roman" w:cs="Times New Roman"/>
        </w:rPr>
      </w:pPr>
      <w:r>
        <w:rPr>
          <w:rFonts w:ascii="Times New Roman" w:eastAsia="Times New Roman" w:hAnsi="Times New Roman" w:cs="Times New Roman"/>
          <w:spacing w:val="8"/>
        </w:rPr>
        <w:t>2.1</w:t>
      </w:r>
      <w:r>
        <w:rPr>
          <w:rFonts w:ascii="Times New Roman" w:eastAsia="Times New Roman" w:hAnsi="Times New Roman" w:cs="Times New Roman"/>
          <w:spacing w:val="2"/>
        </w:rPr>
        <w:t xml:space="preserve">    </w:t>
      </w:r>
      <w:r>
        <w:rPr>
          <w:spacing w:val="8"/>
        </w:rPr>
        <w:t>财务分析的指标体系</w:t>
      </w:r>
      <w:r>
        <w:tab/>
      </w:r>
      <w:r>
        <w:rPr>
          <w:spacing w:val="-68"/>
        </w:rPr>
        <w:t xml:space="preserve"> </w:t>
      </w:r>
      <w:hyperlink w:anchor="bookmark4" w:history="1">
        <w:r>
          <w:rPr>
            <w:rFonts w:ascii="Times New Roman" w:eastAsia="Times New Roman" w:hAnsi="Times New Roman" w:cs="Times New Roman"/>
          </w:rPr>
          <w:t>3</w:t>
        </w:r>
      </w:hyperlink>
    </w:p>
    <w:p>
      <w:pPr>
        <w:pStyle w:val="BodyText"/>
        <w:tabs>
          <w:tab w:val="right" w:leader="dot" w:pos="8290"/>
        </w:tabs>
        <w:spacing w:before="233" w:line="219" w:lineRule="auto"/>
        <w:ind w:left="869"/>
        <w:rPr>
          <w:rFonts w:ascii="Times New Roman" w:eastAsia="Times New Roman" w:hAnsi="Times New Roman" w:cs="Times New Roman"/>
        </w:rPr>
      </w:pPr>
      <w:r>
        <w:rPr>
          <w:rFonts w:ascii="Times New Roman" w:eastAsia="Times New Roman" w:hAnsi="Times New Roman" w:cs="Times New Roman"/>
          <w:spacing w:val="8"/>
        </w:rPr>
        <w:t xml:space="preserve">2.1.1   </w:t>
      </w:r>
      <w:r>
        <w:rPr>
          <w:spacing w:val="8"/>
        </w:rPr>
        <w:t>盈利能力分析指标、含义</w:t>
      </w:r>
      <w:r>
        <w:rPr>
          <w:spacing w:val="7"/>
        </w:rPr>
        <w:t>及计算公式</w:t>
      </w:r>
      <w:r>
        <w:rPr>
          <w:spacing w:val="-78"/>
        </w:rPr>
        <w:t xml:space="preserve"> </w:t>
      </w:r>
      <w:r>
        <w:tab/>
      </w:r>
      <w:hyperlink w:anchor="bookmark5" w:history="1">
        <w:r>
          <w:rPr>
            <w:rFonts w:ascii="Times New Roman" w:eastAsia="Times New Roman" w:hAnsi="Times New Roman" w:cs="Times New Roman"/>
          </w:rPr>
          <w:t>3</w:t>
        </w:r>
      </w:hyperlink>
    </w:p>
    <w:p>
      <w:pPr>
        <w:pStyle w:val="BodyText"/>
        <w:tabs>
          <w:tab w:val="right" w:leader="dot" w:pos="8290"/>
        </w:tabs>
        <w:spacing w:before="233" w:line="219" w:lineRule="auto"/>
        <w:ind w:left="869"/>
        <w:rPr>
          <w:rFonts w:ascii="Times New Roman" w:eastAsia="Times New Roman" w:hAnsi="Times New Roman" w:cs="Times New Roman"/>
        </w:rPr>
      </w:pPr>
      <w:r>
        <w:rPr>
          <w:rFonts w:ascii="Times New Roman" w:eastAsia="Times New Roman" w:hAnsi="Times New Roman" w:cs="Times New Roman"/>
          <w:spacing w:val="8"/>
        </w:rPr>
        <w:t xml:space="preserve">2.1.2   </w:t>
      </w:r>
      <w:r>
        <w:rPr>
          <w:spacing w:val="8"/>
        </w:rPr>
        <w:t>财务偿债能力分析指标、含义及计算</w:t>
      </w:r>
      <w:r>
        <w:rPr>
          <w:spacing w:val="7"/>
        </w:rPr>
        <w:t>公式</w:t>
      </w:r>
      <w:r>
        <w:rPr>
          <w:spacing w:val="-77"/>
        </w:rPr>
        <w:t xml:space="preserve"> </w:t>
      </w:r>
      <w:r>
        <w:tab/>
      </w:r>
      <w:hyperlink w:anchor="bookmark6" w:history="1">
        <w:r>
          <w:rPr>
            <w:rFonts w:ascii="Times New Roman" w:eastAsia="Times New Roman" w:hAnsi="Times New Roman" w:cs="Times New Roman"/>
          </w:rPr>
          <w:t>5</w:t>
        </w:r>
      </w:hyperlink>
    </w:p>
    <w:p>
      <w:pPr>
        <w:pStyle w:val="BodyText"/>
        <w:tabs>
          <w:tab w:val="right" w:leader="dot" w:pos="8290"/>
        </w:tabs>
        <w:spacing w:before="233" w:line="219" w:lineRule="auto"/>
        <w:ind w:left="869"/>
        <w:rPr>
          <w:rFonts w:ascii="Times New Roman" w:eastAsia="Times New Roman" w:hAnsi="Times New Roman" w:cs="Times New Roman"/>
        </w:rPr>
      </w:pPr>
      <w:r>
        <w:rPr>
          <w:rFonts w:ascii="Times New Roman" w:eastAsia="Times New Roman" w:hAnsi="Times New Roman" w:cs="Times New Roman"/>
          <w:spacing w:val="7"/>
        </w:rPr>
        <w:t>2.1.3</w:t>
      </w:r>
      <w:r>
        <w:rPr>
          <w:rFonts w:ascii="Times New Roman" w:eastAsia="Times New Roman" w:hAnsi="Times New Roman" w:cs="Times New Roman"/>
          <w:spacing w:val="15"/>
          <w:w w:val="101"/>
        </w:rPr>
        <w:t xml:space="preserve">   </w:t>
      </w:r>
      <w:r>
        <w:rPr>
          <w:spacing w:val="7"/>
        </w:rPr>
        <w:t>财务生存能力分析</w:t>
      </w:r>
      <w:r>
        <w:rPr>
          <w:spacing w:val="-89"/>
        </w:rPr>
        <w:t xml:space="preserve"> </w:t>
      </w:r>
      <w:r>
        <w:tab/>
      </w:r>
      <w:r>
        <w:rPr>
          <w:spacing w:val="-48"/>
        </w:rPr>
        <w:t xml:space="preserve"> </w:t>
      </w:r>
      <w:hyperlink w:anchor="bookmark7" w:history="1">
        <w:r>
          <w:rPr>
            <w:rFonts w:ascii="Times New Roman" w:eastAsia="Times New Roman" w:hAnsi="Times New Roman" w:cs="Times New Roman"/>
          </w:rPr>
          <w:t>6</w:t>
        </w:r>
      </w:hyperlink>
    </w:p>
    <w:p>
      <w:pPr>
        <w:pStyle w:val="BodyText"/>
        <w:tabs>
          <w:tab w:val="right" w:leader="dot" w:pos="8282"/>
        </w:tabs>
        <w:spacing w:before="222" w:line="219" w:lineRule="auto"/>
        <w:ind w:left="869"/>
        <w:rPr>
          <w:rFonts w:ascii="Times New Roman" w:eastAsia="Times New Roman" w:hAnsi="Times New Roman" w:cs="Times New Roman"/>
        </w:rPr>
      </w:pPr>
      <w:r>
        <w:rPr>
          <w:rFonts w:ascii="Times New Roman" w:eastAsia="Times New Roman" w:hAnsi="Times New Roman" w:cs="Times New Roman"/>
          <w:spacing w:val="5"/>
        </w:rPr>
        <w:t xml:space="preserve">2.1.4   </w:t>
      </w:r>
      <w:r>
        <w:rPr>
          <w:spacing w:val="5"/>
        </w:rPr>
        <w:t>财务分析报表</w:t>
      </w:r>
      <w:r>
        <w:rPr>
          <w:spacing w:val="-72"/>
        </w:rPr>
        <w:t xml:space="preserve"> </w:t>
      </w:r>
      <w:r>
        <w:tab/>
      </w:r>
      <w:hyperlink w:anchor="bookmark8" w:history="1">
        <w:r>
          <w:rPr>
            <w:rFonts w:ascii="Times New Roman" w:eastAsia="Times New Roman" w:hAnsi="Times New Roman" w:cs="Times New Roman"/>
            <w:spacing w:val="1"/>
          </w:rPr>
          <w:t>7</w:t>
        </w:r>
      </w:hyperlink>
    </w:p>
    <w:p>
      <w:pPr>
        <w:pStyle w:val="BodyText"/>
        <w:tabs>
          <w:tab w:val="right" w:leader="dot" w:pos="8275"/>
        </w:tabs>
        <w:spacing w:before="221" w:line="218" w:lineRule="auto"/>
        <w:ind w:left="19"/>
        <w:rPr>
          <w:rFonts w:ascii="Times New Roman" w:eastAsia="Times New Roman" w:hAnsi="Times New Roman" w:cs="Times New Roman"/>
        </w:rPr>
      </w:pPr>
      <w:r>
        <w:rPr>
          <w:rFonts w:ascii="Times New Roman" w:eastAsia="Times New Roman" w:hAnsi="Times New Roman" w:cs="Times New Roman"/>
          <w:spacing w:val="8"/>
        </w:rPr>
        <w:t xml:space="preserve">3.     </w:t>
      </w:r>
      <w:r>
        <w:rPr>
          <w:spacing w:val="8"/>
        </w:rPr>
        <w:t>项目收入与成本费用估算</w:t>
      </w:r>
      <w:r>
        <w:rPr>
          <w:spacing w:val="-75"/>
        </w:rPr>
        <w:t xml:space="preserve"> </w:t>
      </w:r>
      <w:r>
        <w:tab/>
      </w:r>
      <w:hyperlink w:anchor="bookmark9" w:history="1">
        <w:r>
          <w:rPr>
            <w:rFonts w:ascii="Times New Roman" w:eastAsia="Times New Roman" w:hAnsi="Times New Roman" w:cs="Times New Roman"/>
            <w:spacing w:val="-4"/>
          </w:rPr>
          <w:t>10</w:t>
        </w:r>
      </w:hyperlink>
    </w:p>
    <w:p>
      <w:pPr>
        <w:pStyle w:val="BodyText"/>
        <w:tabs>
          <w:tab w:val="right" w:leader="dot" w:pos="8285"/>
        </w:tabs>
        <w:spacing w:before="244" w:line="218" w:lineRule="auto"/>
        <w:ind w:left="439"/>
        <w:rPr>
          <w:rFonts w:ascii="Times New Roman" w:eastAsia="Times New Roman" w:hAnsi="Times New Roman" w:cs="Times New Roman"/>
        </w:rPr>
      </w:pPr>
      <w:r>
        <w:rPr>
          <w:rFonts w:ascii="Times New Roman" w:eastAsia="Times New Roman" w:hAnsi="Times New Roman" w:cs="Times New Roman"/>
          <w:spacing w:val="8"/>
        </w:rPr>
        <w:t>3.1</w:t>
      </w:r>
      <w:r>
        <w:rPr>
          <w:rFonts w:ascii="Times New Roman" w:eastAsia="Times New Roman" w:hAnsi="Times New Roman" w:cs="Times New Roman"/>
          <w:spacing w:val="5"/>
        </w:rPr>
        <w:t xml:space="preserve">    </w:t>
      </w:r>
      <w:r>
        <w:rPr>
          <w:spacing w:val="8"/>
        </w:rPr>
        <w:t>项目收入与成本费用估算的原则</w:t>
      </w:r>
      <w:r>
        <w:tab/>
      </w:r>
      <w:r>
        <w:rPr>
          <w:spacing w:val="-18"/>
        </w:rPr>
        <w:t xml:space="preserve"> </w:t>
      </w:r>
      <w:hyperlink w:anchor="bookmark10" w:history="1">
        <w:r>
          <w:rPr>
            <w:rFonts w:ascii="Times New Roman" w:eastAsia="Times New Roman" w:hAnsi="Times New Roman" w:cs="Times New Roman"/>
            <w:spacing w:val="-6"/>
          </w:rPr>
          <w:t>10</w:t>
        </w:r>
      </w:hyperlink>
    </w:p>
    <w:p>
      <w:pPr>
        <w:pStyle w:val="BodyText"/>
        <w:tabs>
          <w:tab w:val="right" w:leader="dot" w:pos="8315"/>
        </w:tabs>
        <w:spacing w:before="234" w:line="218" w:lineRule="auto"/>
        <w:ind w:left="439"/>
        <w:rPr>
          <w:rFonts w:ascii="Times New Roman" w:eastAsia="Times New Roman" w:hAnsi="Times New Roman" w:cs="Times New Roman"/>
        </w:rPr>
      </w:pPr>
      <w:r>
        <w:rPr>
          <w:rFonts w:ascii="Times New Roman" w:eastAsia="Times New Roman" w:hAnsi="Times New Roman" w:cs="Times New Roman"/>
          <w:spacing w:val="7"/>
        </w:rPr>
        <w:t>3.2</w:t>
      </w:r>
      <w:r>
        <w:rPr>
          <w:rFonts w:ascii="Times New Roman" w:eastAsia="Times New Roman" w:hAnsi="Times New Roman" w:cs="Times New Roman"/>
          <w:spacing w:val="18"/>
        </w:rPr>
        <w:t xml:space="preserve">   </w:t>
      </w:r>
      <w:r>
        <w:rPr>
          <w:spacing w:val="7"/>
        </w:rPr>
        <w:t>项目收入估算</w:t>
      </w:r>
      <w:r>
        <w:rPr>
          <w:spacing w:val="-79"/>
        </w:rPr>
        <w:t xml:space="preserve"> </w:t>
      </w:r>
      <w:r>
        <w:tab/>
      </w:r>
      <w:hyperlink w:anchor="bookmark11" w:history="1">
        <w:r>
          <w:rPr>
            <w:rFonts w:ascii="Times New Roman" w:eastAsia="Times New Roman" w:hAnsi="Times New Roman" w:cs="Times New Roman"/>
            <w:spacing w:val="-4"/>
          </w:rPr>
          <w:t>11</w:t>
        </w:r>
      </w:hyperlink>
    </w:p>
    <w:p>
      <w:pPr>
        <w:pStyle w:val="BodyText"/>
        <w:tabs>
          <w:tab w:val="right" w:leader="dot" w:pos="8275"/>
        </w:tabs>
        <w:spacing w:before="234" w:line="218" w:lineRule="auto"/>
        <w:ind w:left="439"/>
        <w:rPr>
          <w:rFonts w:ascii="Times New Roman" w:eastAsia="Times New Roman" w:hAnsi="Times New Roman" w:cs="Times New Roman"/>
        </w:rPr>
      </w:pPr>
      <w:r>
        <w:rPr>
          <w:rFonts w:ascii="Times New Roman" w:eastAsia="Times New Roman" w:hAnsi="Times New Roman" w:cs="Times New Roman"/>
          <w:spacing w:val="6"/>
        </w:rPr>
        <w:t>3.3</w:t>
      </w:r>
      <w:r>
        <w:rPr>
          <w:rFonts w:ascii="Times New Roman" w:eastAsia="Times New Roman" w:hAnsi="Times New Roman" w:cs="Times New Roman"/>
          <w:spacing w:val="10"/>
        </w:rPr>
        <w:t xml:space="preserve">   </w:t>
      </w:r>
      <w:r>
        <w:rPr>
          <w:spacing w:val="6"/>
        </w:rPr>
        <w:t>项目成本费用估算</w:t>
      </w:r>
      <w:r>
        <w:rPr>
          <w:spacing w:val="43"/>
        </w:rPr>
        <w:t xml:space="preserve"> </w:t>
      </w:r>
      <w:r>
        <w:tab/>
      </w:r>
      <w:r>
        <w:rPr>
          <w:spacing w:val="-58"/>
        </w:rPr>
        <w:t xml:space="preserve"> </w:t>
      </w:r>
      <w:hyperlink w:anchor="bookmark12" w:history="1">
        <w:r>
          <w:rPr>
            <w:rFonts w:ascii="Times New Roman" w:eastAsia="Times New Roman" w:hAnsi="Times New Roman" w:cs="Times New Roman"/>
            <w:spacing w:val="-6"/>
          </w:rPr>
          <w:t>12</w:t>
        </w:r>
      </w:hyperlink>
    </w:p>
    <w:p>
      <w:pPr>
        <w:pStyle w:val="BodyText"/>
        <w:tabs>
          <w:tab w:val="right" w:leader="dot" w:pos="8275"/>
        </w:tabs>
        <w:spacing w:before="216" w:line="220" w:lineRule="auto"/>
        <w:ind w:left="869"/>
        <w:rPr>
          <w:rFonts w:ascii="Times New Roman" w:eastAsia="Times New Roman" w:hAnsi="Times New Roman" w:cs="Times New Roman"/>
        </w:rPr>
      </w:pPr>
      <w:r>
        <w:rPr>
          <w:rFonts w:ascii="Times New Roman" w:eastAsia="Times New Roman" w:hAnsi="Times New Roman" w:cs="Times New Roman"/>
          <w:spacing w:val="10"/>
        </w:rPr>
        <w:t xml:space="preserve">3.3.1   </w:t>
      </w:r>
      <w:r>
        <w:rPr>
          <w:spacing w:val="10"/>
        </w:rPr>
        <w:t>建设投资</w:t>
      </w:r>
      <w:r>
        <w:rPr>
          <w:spacing w:val="-81"/>
        </w:rPr>
        <w:t xml:space="preserve"> </w:t>
      </w:r>
      <w:r>
        <w:tab/>
      </w:r>
      <w:hyperlink w:anchor="bookmark13" w:history="1">
        <w:r>
          <w:rPr>
            <w:rFonts w:ascii="Times New Roman" w:eastAsia="Times New Roman" w:hAnsi="Times New Roman" w:cs="Times New Roman"/>
            <w:spacing w:val="-4"/>
          </w:rPr>
          <w:t>12</w:t>
        </w:r>
      </w:hyperlink>
    </w:p>
    <w:p>
      <w:pPr>
        <w:pStyle w:val="BodyText"/>
        <w:tabs>
          <w:tab w:val="right" w:leader="dot" w:pos="8295"/>
        </w:tabs>
        <w:spacing w:before="242" w:line="220" w:lineRule="auto"/>
        <w:ind w:left="869"/>
        <w:rPr>
          <w:rFonts w:ascii="Times New Roman" w:eastAsia="Times New Roman" w:hAnsi="Times New Roman" w:cs="Times New Roman"/>
        </w:rPr>
      </w:pPr>
      <w:r>
        <w:rPr>
          <w:rFonts w:ascii="Times New Roman" w:eastAsia="Times New Roman" w:hAnsi="Times New Roman" w:cs="Times New Roman"/>
          <w:spacing w:val="5"/>
        </w:rPr>
        <w:t>3.3.2</w:t>
      </w:r>
      <w:r>
        <w:rPr>
          <w:rFonts w:ascii="Times New Roman" w:eastAsia="Times New Roman" w:hAnsi="Times New Roman" w:cs="Times New Roman"/>
          <w:spacing w:val="17"/>
          <w:w w:val="101"/>
        </w:rPr>
        <w:t xml:space="preserve">   </w:t>
      </w:r>
      <w:r>
        <w:rPr>
          <w:spacing w:val="5"/>
        </w:rPr>
        <w:t>建设期利息</w:t>
      </w:r>
      <w:r>
        <w:rPr>
          <w:spacing w:val="-84"/>
        </w:rPr>
        <w:t xml:space="preserve"> </w:t>
      </w:r>
      <w:r>
        <w:tab/>
      </w:r>
      <w:hyperlink w:anchor="bookmark14" w:history="1">
        <w:r>
          <w:rPr>
            <w:rFonts w:ascii="Times New Roman" w:eastAsia="Times New Roman" w:hAnsi="Times New Roman" w:cs="Times New Roman"/>
            <w:spacing w:val="-6"/>
          </w:rPr>
          <w:t>13</w:t>
        </w:r>
      </w:hyperlink>
    </w:p>
    <w:p>
      <w:pPr>
        <w:pStyle w:val="BodyText"/>
        <w:tabs>
          <w:tab w:val="right" w:leader="dot" w:pos="8295"/>
        </w:tabs>
        <w:spacing w:before="231" w:line="220" w:lineRule="auto"/>
        <w:ind w:left="869"/>
        <w:rPr>
          <w:rFonts w:ascii="Times New Roman" w:eastAsia="Times New Roman" w:hAnsi="Times New Roman" w:cs="Times New Roman"/>
        </w:rPr>
      </w:pPr>
      <w:r>
        <w:rPr>
          <w:rFonts w:ascii="Times New Roman" w:eastAsia="Times New Roman" w:hAnsi="Times New Roman" w:cs="Times New Roman"/>
          <w:spacing w:val="5"/>
        </w:rPr>
        <w:t>3.3.3</w:t>
      </w:r>
      <w:r>
        <w:rPr>
          <w:rFonts w:ascii="Times New Roman" w:eastAsia="Times New Roman" w:hAnsi="Times New Roman" w:cs="Times New Roman"/>
          <w:spacing w:val="14"/>
        </w:rPr>
        <w:t xml:space="preserve">   </w:t>
      </w:r>
      <w:r>
        <w:rPr>
          <w:spacing w:val="5"/>
        </w:rPr>
        <w:t>流动资金</w:t>
      </w:r>
      <w:r>
        <w:rPr>
          <w:spacing w:val="-78"/>
        </w:rPr>
        <w:t xml:space="preserve"> </w:t>
      </w:r>
      <w:r>
        <w:tab/>
      </w:r>
      <w:hyperlink w:anchor="bookmark15" w:history="1">
        <w:r>
          <w:rPr>
            <w:rFonts w:ascii="Times New Roman" w:eastAsia="Times New Roman" w:hAnsi="Times New Roman" w:cs="Times New Roman"/>
            <w:spacing w:val="-3"/>
          </w:rPr>
          <w:t>13</w:t>
        </w:r>
      </w:hyperlink>
    </w:p>
    <w:p>
      <w:pPr>
        <w:pStyle w:val="BodyText"/>
        <w:tabs>
          <w:tab w:val="right" w:leader="dot" w:pos="8295"/>
        </w:tabs>
        <w:spacing w:before="230" w:line="219" w:lineRule="auto"/>
        <w:ind w:left="869"/>
        <w:rPr>
          <w:rFonts w:ascii="Times New Roman" w:eastAsia="Times New Roman" w:hAnsi="Times New Roman" w:cs="Times New Roman"/>
        </w:rPr>
      </w:pPr>
      <w:r>
        <w:rPr>
          <w:rFonts w:ascii="Times New Roman" w:eastAsia="Times New Roman" w:hAnsi="Times New Roman" w:cs="Times New Roman"/>
          <w:spacing w:val="6"/>
        </w:rPr>
        <w:t>3.3.4</w:t>
      </w:r>
      <w:r>
        <w:rPr>
          <w:rFonts w:ascii="Times New Roman" w:eastAsia="Times New Roman" w:hAnsi="Times New Roman" w:cs="Times New Roman"/>
          <w:spacing w:val="14"/>
        </w:rPr>
        <w:t xml:space="preserve">   </w:t>
      </w:r>
      <w:r>
        <w:rPr>
          <w:spacing w:val="6"/>
        </w:rPr>
        <w:t>总成本费用</w:t>
      </w:r>
      <w:r>
        <w:tab/>
      </w:r>
      <w:hyperlink w:anchor="bookmark16" w:history="1">
        <w:r>
          <w:rPr>
            <w:rFonts w:ascii="Times New Roman" w:eastAsia="Times New Roman" w:hAnsi="Times New Roman" w:cs="Times New Roman"/>
            <w:spacing w:val="-3"/>
          </w:rPr>
          <w:t>13</w:t>
        </w:r>
      </w:hyperlink>
    </w:p>
    <w:p>
      <w:pPr>
        <w:pStyle w:val="BodyText"/>
        <w:tabs>
          <w:tab w:val="right" w:leader="dot" w:pos="8285"/>
        </w:tabs>
        <w:spacing w:before="243" w:line="219" w:lineRule="auto"/>
        <w:ind w:left="869"/>
        <w:rPr>
          <w:rFonts w:ascii="Times New Roman" w:eastAsia="Times New Roman" w:hAnsi="Times New Roman" w:cs="Times New Roman"/>
        </w:rPr>
      </w:pPr>
      <w:r>
        <w:rPr>
          <w:rFonts w:ascii="Times New Roman" w:eastAsia="Times New Roman" w:hAnsi="Times New Roman" w:cs="Times New Roman"/>
          <w:spacing w:val="3"/>
        </w:rPr>
        <w:t>3.3.5</w:t>
      </w:r>
      <w:r>
        <w:rPr>
          <w:rFonts w:ascii="Times New Roman" w:eastAsia="Times New Roman" w:hAnsi="Times New Roman" w:cs="Times New Roman"/>
          <w:spacing w:val="17"/>
        </w:rPr>
        <w:t xml:space="preserve">   </w:t>
      </w:r>
      <w:r>
        <w:rPr>
          <w:spacing w:val="3"/>
        </w:rPr>
        <w:t>经营成本</w:t>
      </w:r>
      <w:r>
        <w:rPr>
          <w:spacing w:val="-79"/>
        </w:rPr>
        <w:t xml:space="preserve"> </w:t>
      </w:r>
      <w:r>
        <w:tab/>
      </w:r>
      <w:hyperlink w:anchor="bookmark17" w:history="1">
        <w:r>
          <w:rPr>
            <w:rFonts w:ascii="Times New Roman" w:eastAsia="Times New Roman" w:hAnsi="Times New Roman" w:cs="Times New Roman"/>
            <w:spacing w:val="-3"/>
          </w:rPr>
          <w:t>16</w:t>
        </w:r>
      </w:hyperlink>
    </w:p>
    <w:p>
      <w:pPr>
        <w:pStyle w:val="BodyText"/>
        <w:tabs>
          <w:tab w:val="right" w:leader="dot" w:pos="8265"/>
        </w:tabs>
        <w:spacing w:before="225" w:line="220" w:lineRule="auto"/>
        <w:ind w:left="869"/>
        <w:rPr>
          <w:rFonts w:ascii="Times New Roman" w:eastAsia="Times New Roman" w:hAnsi="Times New Roman" w:cs="Times New Roman"/>
        </w:rPr>
      </w:pPr>
      <w:r>
        <w:rPr>
          <w:rFonts w:ascii="Times New Roman" w:eastAsia="Times New Roman" w:hAnsi="Times New Roman" w:cs="Times New Roman"/>
          <w:spacing w:val="4"/>
        </w:rPr>
        <w:t>3.3.6</w:t>
      </w:r>
      <w:r>
        <w:rPr>
          <w:rFonts w:ascii="Times New Roman" w:eastAsia="Times New Roman" w:hAnsi="Times New Roman" w:cs="Times New Roman"/>
          <w:spacing w:val="10"/>
        </w:rPr>
        <w:t xml:space="preserve">   </w:t>
      </w:r>
      <w:r>
        <w:rPr>
          <w:spacing w:val="4"/>
        </w:rPr>
        <w:t>相关税金</w:t>
      </w:r>
      <w:r>
        <w:rPr>
          <w:spacing w:val="-77"/>
        </w:rPr>
        <w:t xml:space="preserve"> </w:t>
      </w:r>
      <w:r>
        <w:tab/>
      </w:r>
      <w:hyperlink w:anchor="bookmark18" w:history="1">
        <w:r>
          <w:rPr>
            <w:rFonts w:ascii="Times New Roman" w:eastAsia="Times New Roman" w:hAnsi="Times New Roman" w:cs="Times New Roman"/>
            <w:spacing w:val="-6"/>
          </w:rPr>
          <w:t>16</w:t>
        </w:r>
      </w:hyperlink>
    </w:p>
    <w:p>
      <w:pPr>
        <w:pStyle w:val="BodyText"/>
        <w:tabs>
          <w:tab w:val="right" w:leader="dot" w:pos="8275"/>
        </w:tabs>
        <w:spacing w:before="211" w:line="219" w:lineRule="auto"/>
        <w:ind w:left="869"/>
        <w:rPr>
          <w:rFonts w:ascii="Times New Roman" w:eastAsia="Times New Roman" w:hAnsi="Times New Roman" w:cs="Times New Roman"/>
        </w:rPr>
      </w:pPr>
      <w:r>
        <w:rPr>
          <w:rFonts w:ascii="Times New Roman" w:eastAsia="Times New Roman" w:hAnsi="Times New Roman" w:cs="Times New Roman"/>
          <w:spacing w:val="6"/>
        </w:rPr>
        <w:t xml:space="preserve">3.3.7   </w:t>
      </w:r>
      <w:r>
        <w:rPr>
          <w:spacing w:val="6"/>
        </w:rPr>
        <w:t>相关表格</w:t>
      </w:r>
      <w:r>
        <w:rPr>
          <w:spacing w:val="-73"/>
        </w:rPr>
        <w:t xml:space="preserve"> </w:t>
      </w:r>
      <w:r>
        <w:tab/>
      </w:r>
      <w:hyperlink w:anchor="bookmark19" w:history="1">
        <w:r>
          <w:rPr>
            <w:rFonts w:ascii="Times New Roman" w:eastAsia="Times New Roman" w:hAnsi="Times New Roman" w:cs="Times New Roman"/>
            <w:spacing w:val="-6"/>
          </w:rPr>
          <w:t>17</w:t>
        </w:r>
      </w:hyperlink>
    </w:p>
    <w:p>
      <w:pPr>
        <w:pStyle w:val="BodyText"/>
        <w:tabs>
          <w:tab w:val="right" w:leader="dot" w:pos="8295"/>
        </w:tabs>
        <w:spacing w:before="243" w:line="220" w:lineRule="auto"/>
        <w:ind w:left="19"/>
        <w:rPr>
          <w:rFonts w:ascii="Times New Roman" w:eastAsia="Times New Roman" w:hAnsi="Times New Roman" w:cs="Times New Roman"/>
        </w:rPr>
      </w:pPr>
      <w:r>
        <w:rPr>
          <w:rFonts w:ascii="Times New Roman" w:eastAsia="Times New Roman" w:hAnsi="Times New Roman" w:cs="Times New Roman"/>
          <w:spacing w:val="9"/>
        </w:rPr>
        <w:t xml:space="preserve">4.     </w:t>
      </w:r>
      <w:r>
        <w:rPr>
          <w:spacing w:val="9"/>
        </w:rPr>
        <w:t>不确定性与风险分析</w:t>
      </w:r>
      <w:r>
        <w:rPr>
          <w:spacing w:val="-85"/>
        </w:rPr>
        <w:t xml:space="preserve"> </w:t>
      </w:r>
      <w:r>
        <w:tab/>
      </w:r>
      <w:hyperlink w:anchor="bookmark20" w:history="1">
        <w:r>
          <w:rPr>
            <w:rFonts w:ascii="Times New Roman" w:eastAsia="Times New Roman" w:hAnsi="Times New Roman" w:cs="Times New Roman"/>
            <w:spacing w:val="-4"/>
          </w:rPr>
          <w:t>18</w:t>
        </w:r>
      </w:hyperlink>
    </w:p>
    <w:p>
      <w:pPr>
        <w:pStyle w:val="BodyText"/>
        <w:tabs>
          <w:tab w:val="right" w:leader="dot" w:pos="8265"/>
        </w:tabs>
        <w:spacing w:before="232" w:line="220" w:lineRule="auto"/>
        <w:ind w:left="439"/>
        <w:rPr>
          <w:rFonts w:ascii="Times New Roman" w:eastAsia="Times New Roman" w:hAnsi="Times New Roman" w:cs="Times New Roman"/>
        </w:rPr>
      </w:pPr>
      <w:r>
        <w:rPr>
          <w:rFonts w:ascii="Times New Roman" w:eastAsia="Times New Roman" w:hAnsi="Times New Roman" w:cs="Times New Roman"/>
          <w:spacing w:val="2"/>
        </w:rPr>
        <w:t>4.1</w:t>
      </w:r>
      <w:r>
        <w:rPr>
          <w:rFonts w:ascii="Times New Roman" w:eastAsia="Times New Roman" w:hAnsi="Times New Roman" w:cs="Times New Roman"/>
          <w:spacing w:val="8"/>
        </w:rPr>
        <w:t xml:space="preserve">   </w:t>
      </w:r>
      <w:r>
        <w:rPr>
          <w:spacing w:val="2"/>
        </w:rPr>
        <w:t>不确定性分析</w:t>
      </w:r>
      <w:r>
        <w:rPr>
          <w:spacing w:val="36"/>
        </w:rPr>
        <w:t xml:space="preserve"> </w:t>
      </w:r>
      <w:r>
        <w:tab/>
      </w:r>
      <w:hyperlink w:anchor="bookmark21" w:history="1">
        <w:r>
          <w:rPr>
            <w:rFonts w:ascii="Times New Roman" w:eastAsia="Times New Roman" w:hAnsi="Times New Roman" w:cs="Times New Roman"/>
            <w:spacing w:val="-4"/>
          </w:rPr>
          <w:t>18</w:t>
        </w:r>
      </w:hyperlink>
    </w:p>
    <w:p>
      <w:pPr>
        <w:pStyle w:val="BodyText"/>
        <w:tabs>
          <w:tab w:val="right" w:leader="dot" w:pos="8215"/>
        </w:tabs>
        <w:spacing w:before="231" w:line="220" w:lineRule="auto"/>
        <w:ind w:left="869"/>
        <w:rPr>
          <w:rFonts w:ascii="Times New Roman" w:eastAsia="Times New Roman" w:hAnsi="Times New Roman" w:cs="Times New Roman"/>
        </w:rPr>
      </w:pPr>
      <w:r>
        <w:rPr>
          <w:rFonts w:ascii="Times New Roman" w:eastAsia="Times New Roman" w:hAnsi="Times New Roman" w:cs="Times New Roman"/>
          <w:spacing w:val="5"/>
        </w:rPr>
        <w:t>4.1.1</w:t>
      </w:r>
      <w:r>
        <w:rPr>
          <w:rFonts w:ascii="Times New Roman" w:eastAsia="Times New Roman" w:hAnsi="Times New Roman" w:cs="Times New Roman"/>
        </w:rPr>
        <w:t xml:space="preserve">    </w:t>
      </w:r>
      <w:r>
        <w:rPr>
          <w:spacing w:val="5"/>
        </w:rPr>
        <w:t>盈亏平衡分析</w:t>
      </w:r>
      <w:r>
        <w:rPr>
          <w:spacing w:val="-87"/>
        </w:rPr>
        <w:t xml:space="preserve"> </w:t>
      </w:r>
      <w:r>
        <w:tab/>
      </w:r>
      <w:hyperlink w:anchor="bookmark22" w:history="1">
        <w:r>
          <w:rPr>
            <w:rFonts w:ascii="Times New Roman" w:eastAsia="Times New Roman" w:hAnsi="Times New Roman" w:cs="Times New Roman"/>
            <w:spacing w:val="-4"/>
          </w:rPr>
          <w:t>18</w:t>
        </w:r>
      </w:hyperlink>
    </w:p>
    <w:p>
      <w:pPr>
        <w:pStyle w:val="BodyText"/>
        <w:tabs>
          <w:tab w:val="right" w:leader="dot" w:pos="8205"/>
        </w:tabs>
        <w:spacing w:before="231" w:line="219" w:lineRule="auto"/>
        <w:ind w:left="869"/>
        <w:rPr>
          <w:rFonts w:ascii="Times New Roman" w:eastAsia="Times New Roman" w:hAnsi="Times New Roman" w:cs="Times New Roman"/>
        </w:rPr>
      </w:pPr>
      <w:r>
        <w:rPr>
          <w:rFonts w:ascii="Times New Roman" w:eastAsia="Times New Roman" w:hAnsi="Times New Roman" w:cs="Times New Roman"/>
          <w:spacing w:val="6"/>
        </w:rPr>
        <w:t xml:space="preserve">4.1.2   </w:t>
      </w:r>
      <w:r>
        <w:rPr>
          <w:spacing w:val="6"/>
        </w:rPr>
        <w:t>敏感性分析</w:t>
      </w:r>
      <w:r>
        <w:rPr>
          <w:spacing w:val="-79"/>
        </w:rPr>
        <w:t xml:space="preserve"> </w:t>
      </w:r>
      <w:r>
        <w:tab/>
      </w:r>
      <w:hyperlink w:anchor="bookmark23" w:history="1">
        <w:r>
          <w:rPr>
            <w:rFonts w:ascii="Times New Roman" w:eastAsia="Times New Roman" w:hAnsi="Times New Roman" w:cs="Times New Roman"/>
            <w:spacing w:val="-4"/>
          </w:rPr>
          <w:t>18</w:t>
        </w:r>
      </w:hyperlink>
    </w:p>
    <w:p>
      <w:pPr>
        <w:pStyle w:val="BodyText"/>
        <w:tabs>
          <w:tab w:val="right" w:leader="dot" w:pos="8275"/>
        </w:tabs>
        <w:spacing w:before="233" w:line="219" w:lineRule="auto"/>
        <w:ind w:left="869"/>
        <w:rPr>
          <w:rFonts w:ascii="Times New Roman" w:eastAsia="Times New Roman" w:hAnsi="Times New Roman" w:cs="Times New Roman"/>
        </w:rPr>
      </w:pPr>
      <w:r>
        <w:rPr>
          <w:rFonts w:ascii="Times New Roman" w:eastAsia="Times New Roman" w:hAnsi="Times New Roman" w:cs="Times New Roman"/>
          <w:spacing w:val="7"/>
        </w:rPr>
        <w:t>4.1.3</w:t>
      </w:r>
      <w:r>
        <w:rPr>
          <w:rFonts w:ascii="Times New Roman" w:eastAsia="Times New Roman" w:hAnsi="Times New Roman" w:cs="Times New Roman"/>
          <w:spacing w:val="2"/>
        </w:rPr>
        <w:t xml:space="preserve">   </w:t>
      </w:r>
      <w:r>
        <w:rPr>
          <w:spacing w:val="7"/>
        </w:rPr>
        <w:t>不确定性分析报表</w:t>
      </w:r>
      <w:r>
        <w:rPr>
          <w:spacing w:val="-78"/>
        </w:rPr>
        <w:t xml:space="preserve"> </w:t>
      </w:r>
      <w:r>
        <w:tab/>
      </w:r>
      <w:hyperlink w:anchor="bookmark24" w:history="1">
        <w:r>
          <w:rPr>
            <w:rFonts w:ascii="Times New Roman" w:eastAsia="Times New Roman" w:hAnsi="Times New Roman" w:cs="Times New Roman"/>
            <w:spacing w:val="-4"/>
          </w:rPr>
          <w:t>19</w:t>
        </w:r>
      </w:hyperlink>
    </w:p>
    <w:p>
      <w:pPr>
        <w:pStyle w:val="BodyText"/>
        <w:tabs>
          <w:tab w:val="right" w:leader="dot" w:pos="8295"/>
        </w:tabs>
        <w:spacing w:before="223" w:line="220" w:lineRule="auto"/>
        <w:ind w:left="439"/>
        <w:rPr>
          <w:rFonts w:ascii="Times New Roman" w:eastAsia="Times New Roman" w:hAnsi="Times New Roman" w:cs="Times New Roman"/>
        </w:rPr>
      </w:pPr>
      <w:r>
        <w:rPr>
          <w:rFonts w:ascii="Times New Roman" w:eastAsia="Times New Roman" w:hAnsi="Times New Roman" w:cs="Times New Roman"/>
          <w:spacing w:val="5"/>
        </w:rPr>
        <w:t xml:space="preserve">4.2    </w:t>
      </w:r>
      <w:r>
        <w:rPr>
          <w:spacing w:val="5"/>
        </w:rPr>
        <w:t>风险分析</w:t>
      </w:r>
      <w:r>
        <w:rPr>
          <w:spacing w:val="-77"/>
        </w:rPr>
        <w:t xml:space="preserve"> </w:t>
      </w:r>
      <w:r>
        <w:tab/>
      </w:r>
      <w:hyperlink w:anchor="bookmark25" w:history="1">
        <w:r>
          <w:rPr>
            <w:rFonts w:ascii="Times New Roman" w:eastAsia="Times New Roman" w:hAnsi="Times New Roman" w:cs="Times New Roman"/>
            <w:spacing w:val="1"/>
          </w:rPr>
          <w:t>20</w:t>
        </w:r>
      </w:hyperlink>
    </w:p>
    <w:p>
      <w:pPr>
        <w:pStyle w:val="BodyText"/>
        <w:tabs>
          <w:tab w:val="right" w:leader="dot" w:pos="8295"/>
        </w:tabs>
        <w:spacing w:before="232" w:line="219" w:lineRule="auto"/>
        <w:ind w:left="869"/>
        <w:rPr>
          <w:rFonts w:ascii="Times New Roman" w:eastAsia="Times New Roman" w:hAnsi="Times New Roman" w:cs="Times New Roman"/>
        </w:rPr>
      </w:pPr>
      <w:r>
        <w:rPr>
          <w:rFonts w:ascii="Times New Roman" w:eastAsia="Times New Roman" w:hAnsi="Times New Roman" w:cs="Times New Roman"/>
          <w:spacing w:val="5"/>
        </w:rPr>
        <w:t>4.2.1</w:t>
      </w:r>
      <w:r>
        <w:rPr>
          <w:rFonts w:ascii="Times New Roman" w:eastAsia="Times New Roman" w:hAnsi="Times New Roman" w:cs="Times New Roman"/>
          <w:spacing w:val="1"/>
        </w:rPr>
        <w:t xml:space="preserve">    </w:t>
      </w:r>
      <w:r>
        <w:rPr>
          <w:spacing w:val="5"/>
        </w:rPr>
        <w:t>风险分析内容</w:t>
      </w:r>
      <w:r>
        <w:rPr>
          <w:spacing w:val="-81"/>
        </w:rPr>
        <w:t xml:space="preserve"> </w:t>
      </w:r>
      <w:r>
        <w:tab/>
      </w:r>
      <w:hyperlink w:anchor="bookmark26" w:history="1">
        <w:r>
          <w:rPr>
            <w:rFonts w:ascii="Times New Roman" w:eastAsia="Times New Roman" w:hAnsi="Times New Roman" w:cs="Times New Roman"/>
            <w:spacing w:val="1"/>
          </w:rPr>
          <w:t>20</w:t>
        </w:r>
      </w:hyperlink>
    </w:p>
    <w:p>
      <w:pPr>
        <w:spacing w:line="219" w:lineRule="auto"/>
        <w:rPr>
          <w:rFonts w:ascii="Times New Roman" w:eastAsia="Times New Roman" w:hAnsi="Times New Roman" w:cs="Times New Roman"/>
        </w:rPr>
        <w:sectPr>
          <w:headerReference w:type="default" r:id="rId4"/>
          <w:pgSz w:w="11910" w:h="16840"/>
          <w:pgMar w:top="1190" w:right="1759" w:bottom="0" w:left="1750" w:header="1179" w:footer="0" w:gutter="0"/>
          <w:cols w:space="708"/>
        </w:sectPr>
      </w:pPr>
    </w:p>
    <w:p>
      <w:pPr>
        <w:spacing w:line="331" w:lineRule="auto"/>
      </w:pPr>
    </w:p>
    <w:p>
      <w:pPr>
        <w:pStyle w:val="BodyText"/>
        <w:tabs>
          <w:tab w:val="right" w:leader="dot" w:pos="8315"/>
        </w:tabs>
        <w:spacing w:before="65" w:line="220" w:lineRule="auto"/>
        <w:ind w:left="879"/>
        <w:rPr>
          <w:rFonts w:ascii="Times New Roman" w:eastAsia="Times New Roman" w:hAnsi="Times New Roman" w:cs="Times New Roman"/>
        </w:rPr>
      </w:pPr>
      <w:bookmarkStart w:id="1" w:name="bookmark3"/>
      <w:bookmarkStart w:id="2" w:name="bookmark2"/>
      <w:bookmarkEnd w:id="1"/>
      <w:bookmarkEnd w:id="2"/>
      <w:r>
        <w:rPr>
          <w:rFonts w:ascii="Times New Roman" w:eastAsia="Times New Roman" w:hAnsi="Times New Roman" w:cs="Times New Roman"/>
          <w:spacing w:val="6"/>
        </w:rPr>
        <w:t xml:space="preserve">4.2.2   </w:t>
      </w:r>
      <w:r>
        <w:rPr>
          <w:spacing w:val="6"/>
        </w:rPr>
        <w:t>风险分析方法</w:t>
      </w:r>
      <w:r>
        <w:rPr>
          <w:spacing w:val="-76"/>
        </w:rPr>
        <w:t xml:space="preserve"> </w:t>
      </w:r>
      <w:r>
        <w:tab/>
      </w:r>
      <w:hyperlink w:anchor="bookmark27" w:history="1">
        <w:r>
          <w:rPr>
            <w:rFonts w:ascii="Times New Roman" w:eastAsia="Times New Roman" w:hAnsi="Times New Roman" w:cs="Times New Roman"/>
            <w:spacing w:val="-1"/>
          </w:rPr>
          <w:t>22</w:t>
        </w:r>
      </w:hyperlink>
    </w:p>
    <w:p>
      <w:pPr>
        <w:pStyle w:val="BodyText"/>
        <w:tabs>
          <w:tab w:val="right" w:leader="dot" w:pos="8315"/>
        </w:tabs>
        <w:spacing w:before="231" w:line="219" w:lineRule="auto"/>
        <w:ind w:left="879"/>
        <w:rPr>
          <w:rFonts w:ascii="Times New Roman" w:eastAsia="Times New Roman" w:hAnsi="Times New Roman" w:cs="Times New Roman"/>
        </w:rPr>
      </w:pPr>
      <w:r>
        <w:rPr>
          <w:rFonts w:ascii="Times New Roman" w:eastAsia="Times New Roman" w:hAnsi="Times New Roman" w:cs="Times New Roman"/>
          <w:spacing w:val="7"/>
        </w:rPr>
        <w:t>4.2.3</w:t>
      </w:r>
      <w:r>
        <w:rPr>
          <w:rFonts w:ascii="Times New Roman" w:eastAsia="Times New Roman" w:hAnsi="Times New Roman" w:cs="Times New Roman"/>
          <w:spacing w:val="3"/>
        </w:rPr>
        <w:t xml:space="preserve">   </w:t>
      </w:r>
      <w:r>
        <w:rPr>
          <w:spacing w:val="7"/>
        </w:rPr>
        <w:t>风险分析报表</w:t>
      </w:r>
      <w:r>
        <w:rPr>
          <w:spacing w:val="-78"/>
        </w:rPr>
        <w:t xml:space="preserve"> </w:t>
      </w:r>
      <w:r>
        <w:tab/>
      </w:r>
      <w:hyperlink w:anchor="bookmark28" w:history="1">
        <w:r>
          <w:rPr>
            <w:rFonts w:ascii="Times New Roman" w:eastAsia="Times New Roman" w:hAnsi="Times New Roman" w:cs="Times New Roman"/>
            <w:spacing w:val="-1"/>
          </w:rPr>
          <w:t>22</w:t>
        </w:r>
      </w:hyperlink>
    </w:p>
    <w:p>
      <w:pPr>
        <w:pStyle w:val="BodyText"/>
        <w:tabs>
          <w:tab w:val="right" w:leader="dot" w:pos="8295"/>
        </w:tabs>
        <w:spacing w:before="233" w:line="220" w:lineRule="auto"/>
        <w:ind w:left="29"/>
        <w:rPr>
          <w:rFonts w:ascii="Times New Roman" w:eastAsia="Times New Roman" w:hAnsi="Times New Roman" w:cs="Times New Roman"/>
        </w:rPr>
      </w:pPr>
      <w:r>
        <w:rPr>
          <w:rFonts w:ascii="Times New Roman" w:eastAsia="Times New Roman" w:hAnsi="Times New Roman" w:cs="Times New Roman"/>
          <w:spacing w:val="7"/>
        </w:rPr>
        <w:t>5.</w:t>
      </w:r>
      <w:r>
        <w:rPr>
          <w:rFonts w:ascii="Times New Roman" w:eastAsia="Times New Roman" w:hAnsi="Times New Roman" w:cs="Times New Roman"/>
          <w:spacing w:val="1"/>
        </w:rPr>
        <w:t xml:space="preserve">      </w:t>
      </w:r>
      <w:r>
        <w:rPr>
          <w:spacing w:val="7"/>
        </w:rPr>
        <w:t>费用效果分析</w:t>
      </w:r>
      <w:r>
        <w:rPr>
          <w:spacing w:val="-83"/>
        </w:rPr>
        <w:t xml:space="preserve"> </w:t>
      </w:r>
      <w:r>
        <w:tab/>
      </w:r>
      <w:hyperlink w:anchor="bookmark29" w:history="1">
        <w:r>
          <w:rPr>
            <w:rFonts w:ascii="Times New Roman" w:eastAsia="Times New Roman" w:hAnsi="Times New Roman" w:cs="Times New Roman"/>
            <w:spacing w:val="1"/>
          </w:rPr>
          <w:t>22</w:t>
        </w:r>
      </w:hyperlink>
    </w:p>
    <w:p>
      <w:pPr>
        <w:pStyle w:val="BodyText"/>
        <w:tabs>
          <w:tab w:val="right" w:leader="dot" w:pos="8305"/>
        </w:tabs>
        <w:spacing w:before="221" w:line="220" w:lineRule="auto"/>
        <w:ind w:left="29"/>
        <w:rPr>
          <w:rFonts w:ascii="Times New Roman" w:eastAsia="Times New Roman" w:hAnsi="Times New Roman" w:cs="Times New Roman"/>
        </w:rPr>
      </w:pPr>
      <w:r>
        <w:rPr>
          <w:rFonts w:ascii="Times New Roman" w:eastAsia="Times New Roman" w:hAnsi="Times New Roman" w:cs="Times New Roman"/>
          <w:spacing w:val="7"/>
        </w:rPr>
        <w:t>6.</w:t>
      </w:r>
      <w:r>
        <w:rPr>
          <w:rFonts w:ascii="Times New Roman" w:eastAsia="Times New Roman" w:hAnsi="Times New Roman" w:cs="Times New Roman"/>
          <w:spacing w:val="1"/>
        </w:rPr>
        <w:t xml:space="preserve">      </w:t>
      </w:r>
      <w:r>
        <w:rPr>
          <w:spacing w:val="7"/>
        </w:rPr>
        <w:t>方案经济比选</w:t>
      </w:r>
      <w:r>
        <w:rPr>
          <w:spacing w:val="-83"/>
        </w:rPr>
        <w:t xml:space="preserve"> </w:t>
      </w:r>
      <w:r>
        <w:tab/>
      </w:r>
      <w:hyperlink w:anchor="bookmark30" w:history="1">
        <w:r>
          <w:rPr>
            <w:rFonts w:ascii="Times New Roman" w:eastAsia="Times New Roman" w:hAnsi="Times New Roman" w:cs="Times New Roman"/>
            <w:spacing w:val="1"/>
          </w:rPr>
          <w:t>23</w:t>
        </w:r>
      </w:hyperlink>
    </w:p>
    <w:p>
      <w:pPr>
        <w:pStyle w:val="BodyText"/>
        <w:tabs>
          <w:tab w:val="right" w:leader="dot" w:pos="8295"/>
        </w:tabs>
        <w:spacing w:before="231" w:line="220" w:lineRule="auto"/>
        <w:ind w:left="459"/>
        <w:rPr>
          <w:rFonts w:ascii="Times New Roman" w:eastAsia="Times New Roman" w:hAnsi="Times New Roman" w:cs="Times New Roman"/>
        </w:rPr>
      </w:pPr>
      <w:r>
        <w:rPr>
          <w:rFonts w:ascii="Times New Roman" w:eastAsia="Times New Roman" w:hAnsi="Times New Roman" w:cs="Times New Roman"/>
          <w:spacing w:val="9"/>
        </w:rPr>
        <w:t>6.1</w:t>
      </w:r>
      <w:r>
        <w:rPr>
          <w:rFonts w:ascii="Times New Roman" w:eastAsia="Times New Roman" w:hAnsi="Times New Roman" w:cs="Times New Roman"/>
          <w:spacing w:val="12"/>
          <w:w w:val="101"/>
        </w:rPr>
        <w:t xml:space="preserve">   </w:t>
      </w:r>
      <w:r>
        <w:rPr>
          <w:spacing w:val="9"/>
        </w:rPr>
        <w:t>方案经济比选的意义和作用</w:t>
      </w:r>
      <w:r>
        <w:tab/>
      </w:r>
      <w:r>
        <w:rPr>
          <w:spacing w:val="-17"/>
        </w:rPr>
        <w:t xml:space="preserve"> </w:t>
      </w:r>
      <w:hyperlink w:anchor="bookmark31" w:history="1">
        <w:r>
          <w:rPr>
            <w:rFonts w:ascii="Times New Roman" w:eastAsia="Times New Roman" w:hAnsi="Times New Roman" w:cs="Times New Roman"/>
            <w:spacing w:val="-2"/>
          </w:rPr>
          <w:t>23</w:t>
        </w:r>
      </w:hyperlink>
    </w:p>
    <w:p>
      <w:pPr>
        <w:pStyle w:val="BodyText"/>
        <w:tabs>
          <w:tab w:val="right" w:leader="dot" w:pos="8295"/>
        </w:tabs>
        <w:spacing w:before="231" w:line="219" w:lineRule="auto"/>
        <w:ind w:left="459"/>
        <w:rPr>
          <w:rFonts w:ascii="Times New Roman" w:eastAsia="Times New Roman" w:hAnsi="Times New Roman" w:cs="Times New Roman"/>
        </w:rPr>
      </w:pPr>
      <w:r>
        <w:rPr>
          <w:rFonts w:ascii="Times New Roman" w:eastAsia="Times New Roman" w:hAnsi="Times New Roman" w:cs="Times New Roman"/>
          <w:spacing w:val="8"/>
        </w:rPr>
        <w:t>6.2</w:t>
      </w:r>
      <w:r>
        <w:rPr>
          <w:rFonts w:ascii="Times New Roman" w:eastAsia="Times New Roman" w:hAnsi="Times New Roman" w:cs="Times New Roman"/>
          <w:spacing w:val="17"/>
        </w:rPr>
        <w:t xml:space="preserve">   </w:t>
      </w:r>
      <w:r>
        <w:rPr>
          <w:spacing w:val="8"/>
        </w:rPr>
        <w:t>方案经济比选的条件</w:t>
      </w:r>
      <w:r>
        <w:rPr>
          <w:spacing w:val="-89"/>
        </w:rPr>
        <w:t xml:space="preserve"> </w:t>
      </w:r>
      <w:r>
        <w:tab/>
      </w:r>
      <w:hyperlink w:anchor="bookmark32" w:history="1">
        <w:r>
          <w:rPr>
            <w:rFonts w:ascii="Times New Roman" w:eastAsia="Times New Roman" w:hAnsi="Times New Roman" w:cs="Times New Roman"/>
            <w:spacing w:val="2"/>
          </w:rPr>
          <w:t>24</w:t>
        </w:r>
      </w:hyperlink>
    </w:p>
    <w:p>
      <w:pPr>
        <w:pStyle w:val="BodyText"/>
        <w:tabs>
          <w:tab w:val="right" w:leader="dot" w:pos="8295"/>
        </w:tabs>
        <w:spacing w:before="233" w:line="220" w:lineRule="auto"/>
        <w:ind w:left="459"/>
        <w:rPr>
          <w:rFonts w:ascii="Times New Roman" w:eastAsia="Times New Roman" w:hAnsi="Times New Roman" w:cs="Times New Roman"/>
        </w:rPr>
      </w:pPr>
      <w:r>
        <w:rPr>
          <w:rFonts w:ascii="Times New Roman" w:eastAsia="Times New Roman" w:hAnsi="Times New Roman" w:cs="Times New Roman"/>
          <w:spacing w:val="7"/>
        </w:rPr>
        <w:t>6.3</w:t>
      </w:r>
      <w:r>
        <w:rPr>
          <w:rFonts w:ascii="Times New Roman" w:eastAsia="Times New Roman" w:hAnsi="Times New Roman" w:cs="Times New Roman"/>
          <w:spacing w:val="2"/>
        </w:rPr>
        <w:t xml:space="preserve">    </w:t>
      </w:r>
      <w:r>
        <w:rPr>
          <w:spacing w:val="7"/>
        </w:rPr>
        <w:t>方案经济比选的方法</w:t>
      </w:r>
      <w:r>
        <w:rPr>
          <w:spacing w:val="-84"/>
        </w:rPr>
        <w:t xml:space="preserve"> </w:t>
      </w:r>
      <w:r>
        <w:tab/>
      </w:r>
      <w:hyperlink w:anchor="bookmark33" w:history="1">
        <w:r>
          <w:rPr>
            <w:rFonts w:ascii="Times New Roman" w:eastAsia="Times New Roman" w:hAnsi="Times New Roman" w:cs="Times New Roman"/>
            <w:spacing w:val="2"/>
          </w:rPr>
          <w:t>24</w:t>
        </w:r>
      </w:hyperlink>
    </w:p>
    <w:p>
      <w:pPr>
        <w:pStyle w:val="BodyText"/>
        <w:tabs>
          <w:tab w:val="right" w:leader="dot" w:pos="8305"/>
        </w:tabs>
        <w:spacing w:before="222" w:line="220" w:lineRule="auto"/>
        <w:ind w:left="879"/>
        <w:rPr>
          <w:rFonts w:ascii="Times New Roman" w:eastAsia="Times New Roman" w:hAnsi="Times New Roman" w:cs="Times New Roman"/>
        </w:rPr>
      </w:pPr>
      <w:r>
        <w:rPr>
          <w:rFonts w:ascii="Times New Roman" w:eastAsia="Times New Roman" w:hAnsi="Times New Roman" w:cs="Times New Roman"/>
          <w:spacing w:val="3"/>
        </w:rPr>
        <w:t xml:space="preserve">6.3.1    </w:t>
      </w:r>
      <w:r>
        <w:rPr>
          <w:spacing w:val="3"/>
        </w:rPr>
        <w:t>效益比选法</w:t>
      </w:r>
      <w:r>
        <w:rPr>
          <w:spacing w:val="-83"/>
        </w:rPr>
        <w:t xml:space="preserve"> </w:t>
      </w:r>
      <w:r>
        <w:tab/>
      </w:r>
      <w:hyperlink w:anchor="bookmark34" w:history="1">
        <w:r>
          <w:rPr>
            <w:rFonts w:ascii="Times New Roman" w:eastAsia="Times New Roman" w:hAnsi="Times New Roman" w:cs="Times New Roman"/>
            <w:spacing w:val="-3"/>
          </w:rPr>
          <w:t>24</w:t>
        </w:r>
      </w:hyperlink>
    </w:p>
    <w:p>
      <w:pPr>
        <w:pStyle w:val="BodyText"/>
        <w:tabs>
          <w:tab w:val="right" w:leader="dot" w:pos="8315"/>
        </w:tabs>
        <w:spacing w:before="222" w:line="220" w:lineRule="auto"/>
        <w:ind w:left="879"/>
        <w:rPr>
          <w:rFonts w:ascii="Times New Roman" w:eastAsia="Times New Roman" w:hAnsi="Times New Roman" w:cs="Times New Roman"/>
        </w:rPr>
      </w:pPr>
      <w:r>
        <w:rPr>
          <w:rFonts w:ascii="Times New Roman" w:eastAsia="Times New Roman" w:hAnsi="Times New Roman" w:cs="Times New Roman"/>
          <w:spacing w:val="3"/>
        </w:rPr>
        <w:t>6.3.2</w:t>
      </w:r>
      <w:r>
        <w:rPr>
          <w:rFonts w:ascii="Times New Roman" w:eastAsia="Times New Roman" w:hAnsi="Times New Roman" w:cs="Times New Roman"/>
          <w:spacing w:val="11"/>
        </w:rPr>
        <w:t xml:space="preserve">   </w:t>
      </w:r>
      <w:r>
        <w:rPr>
          <w:spacing w:val="3"/>
        </w:rPr>
        <w:t>费用比选法</w:t>
      </w:r>
      <w:r>
        <w:rPr>
          <w:spacing w:val="-74"/>
        </w:rPr>
        <w:t xml:space="preserve"> </w:t>
      </w:r>
      <w:r>
        <w:tab/>
      </w:r>
      <w:hyperlink w:anchor="bookmark35" w:history="1">
        <w:r>
          <w:rPr>
            <w:rFonts w:ascii="Times New Roman" w:eastAsia="Times New Roman" w:hAnsi="Times New Roman" w:cs="Times New Roman"/>
            <w:spacing w:val="9"/>
          </w:rPr>
          <w:t>25</w:t>
        </w:r>
      </w:hyperlink>
    </w:p>
    <w:p>
      <w:pPr>
        <w:pStyle w:val="BodyText"/>
        <w:tabs>
          <w:tab w:val="right" w:leader="dot" w:pos="8315"/>
        </w:tabs>
        <w:spacing w:before="242" w:line="220" w:lineRule="auto"/>
        <w:ind w:left="459"/>
        <w:rPr>
          <w:rFonts w:ascii="Times New Roman" w:eastAsia="Times New Roman" w:hAnsi="Times New Roman" w:cs="Times New Roman"/>
        </w:rPr>
      </w:pPr>
      <w:r>
        <w:rPr>
          <w:rFonts w:ascii="Times New Roman" w:eastAsia="Times New Roman" w:hAnsi="Times New Roman" w:cs="Times New Roman"/>
          <w:spacing w:val="6"/>
        </w:rPr>
        <w:t xml:space="preserve">6.4    </w:t>
      </w:r>
      <w:r>
        <w:rPr>
          <w:spacing w:val="6"/>
        </w:rPr>
        <w:t>方案经济比选的注意事项</w:t>
      </w:r>
      <w:r>
        <w:rPr>
          <w:spacing w:val="-79"/>
        </w:rPr>
        <w:t xml:space="preserve"> </w:t>
      </w:r>
      <w:r>
        <w:tab/>
      </w:r>
      <w:hyperlink w:anchor="bookmark36" w:history="1">
        <w:r>
          <w:rPr>
            <w:rFonts w:ascii="Times New Roman" w:eastAsia="Times New Roman" w:hAnsi="Times New Roman" w:cs="Times New Roman"/>
            <w:spacing w:val="2"/>
          </w:rPr>
          <w:t>25</w:t>
        </w:r>
      </w:hyperlink>
    </w:p>
    <w:p>
      <w:pPr>
        <w:pStyle w:val="BodyText"/>
        <w:tabs>
          <w:tab w:val="right" w:leader="dot" w:pos="8305"/>
        </w:tabs>
        <w:spacing w:before="239" w:line="218" w:lineRule="auto"/>
        <w:ind w:left="29"/>
        <w:rPr>
          <w:rFonts w:ascii="Times New Roman" w:eastAsia="Times New Roman" w:hAnsi="Times New Roman" w:cs="Times New Roman"/>
        </w:rPr>
      </w:pPr>
      <w:r>
        <w:rPr>
          <w:rFonts w:ascii="Times New Roman" w:eastAsia="Times New Roman" w:hAnsi="Times New Roman" w:cs="Times New Roman"/>
          <w:spacing w:val="9"/>
        </w:rPr>
        <w:t>7.</w:t>
      </w:r>
      <w:r>
        <w:rPr>
          <w:rFonts w:ascii="Times New Roman" w:eastAsia="Times New Roman" w:hAnsi="Times New Roman" w:cs="Times New Roman"/>
          <w:spacing w:val="3"/>
        </w:rPr>
        <w:t xml:space="preserve">      </w:t>
      </w:r>
      <w:r>
        <w:rPr>
          <w:spacing w:val="9"/>
        </w:rPr>
        <w:t>中国移动建设项目经济评价内容选择原则及建议</w:t>
      </w:r>
      <w:r>
        <w:rPr>
          <w:spacing w:val="-76"/>
        </w:rPr>
        <w:t xml:space="preserve"> </w:t>
      </w:r>
      <w:r>
        <w:tab/>
      </w:r>
      <w:hyperlink w:anchor="bookmark37" w:history="1">
        <w:r>
          <w:rPr>
            <w:rFonts w:ascii="Times New Roman" w:eastAsia="Times New Roman" w:hAnsi="Times New Roman" w:cs="Times New Roman"/>
            <w:spacing w:val="-1"/>
          </w:rPr>
          <w:t>26</w:t>
        </w:r>
      </w:hyperlink>
    </w:p>
    <w:p>
      <w:pPr>
        <w:pStyle w:val="BodyText"/>
        <w:tabs>
          <w:tab w:val="right" w:leader="dot" w:pos="8305"/>
        </w:tabs>
        <w:spacing w:before="226" w:line="219" w:lineRule="auto"/>
        <w:ind w:left="459"/>
        <w:rPr>
          <w:rFonts w:ascii="Times New Roman" w:eastAsia="Times New Roman" w:hAnsi="Times New Roman" w:cs="Times New Roman"/>
        </w:rPr>
      </w:pPr>
      <w:r>
        <w:rPr>
          <w:rFonts w:ascii="Times New Roman" w:eastAsia="Times New Roman" w:hAnsi="Times New Roman" w:cs="Times New Roman"/>
          <w:spacing w:val="7"/>
        </w:rPr>
        <w:t>7.1</w:t>
      </w:r>
      <w:r>
        <w:rPr>
          <w:rFonts w:ascii="Times New Roman" w:eastAsia="Times New Roman" w:hAnsi="Times New Roman" w:cs="Times New Roman"/>
          <w:spacing w:val="4"/>
        </w:rPr>
        <w:t xml:space="preserve">    </w:t>
      </w:r>
      <w:r>
        <w:rPr>
          <w:spacing w:val="7"/>
        </w:rPr>
        <w:t>中国移动建设项目的分类</w:t>
      </w:r>
      <w:r>
        <w:rPr>
          <w:spacing w:val="-75"/>
        </w:rPr>
        <w:t xml:space="preserve"> </w:t>
      </w:r>
      <w:r>
        <w:tab/>
      </w:r>
      <w:r>
        <w:rPr>
          <w:spacing w:val="-17"/>
        </w:rPr>
        <w:t xml:space="preserve"> </w:t>
      </w:r>
      <w:hyperlink w:anchor="bookmark38" w:history="1">
        <w:r>
          <w:rPr>
            <w:rFonts w:ascii="Times New Roman" w:eastAsia="Times New Roman" w:hAnsi="Times New Roman" w:cs="Times New Roman"/>
            <w:spacing w:val="-2"/>
          </w:rPr>
          <w:t>26</w:t>
        </w:r>
      </w:hyperlink>
    </w:p>
    <w:p>
      <w:pPr>
        <w:pStyle w:val="BodyText"/>
        <w:tabs>
          <w:tab w:val="right" w:leader="dot" w:pos="8295"/>
        </w:tabs>
        <w:spacing w:before="220" w:line="218" w:lineRule="auto"/>
        <w:ind w:left="459"/>
        <w:rPr>
          <w:rFonts w:ascii="Times New Roman" w:eastAsia="Times New Roman" w:hAnsi="Times New Roman" w:cs="Times New Roman"/>
        </w:rPr>
      </w:pPr>
      <w:r>
        <w:rPr>
          <w:rFonts w:ascii="Times New Roman" w:eastAsia="Times New Roman" w:hAnsi="Times New Roman" w:cs="Times New Roman"/>
          <w:spacing w:val="9"/>
        </w:rPr>
        <w:t xml:space="preserve">7.2   </w:t>
      </w:r>
      <w:r>
        <w:rPr>
          <w:spacing w:val="9"/>
        </w:rPr>
        <w:t>不同类型项目经济评价内容选择的原则</w:t>
      </w:r>
      <w:r>
        <w:rPr>
          <w:spacing w:val="-88"/>
        </w:rPr>
        <w:t xml:space="preserve"> </w:t>
      </w:r>
      <w:r>
        <w:tab/>
      </w:r>
      <w:r>
        <w:rPr>
          <w:spacing w:val="-57"/>
        </w:rPr>
        <w:t xml:space="preserve"> </w:t>
      </w:r>
      <w:hyperlink w:anchor="bookmark39" w:history="1">
        <w:r>
          <w:rPr>
            <w:rFonts w:ascii="Times New Roman" w:eastAsia="Times New Roman" w:hAnsi="Times New Roman" w:cs="Times New Roman"/>
            <w:spacing w:val="-2"/>
          </w:rPr>
          <w:t>26</w:t>
        </w:r>
      </w:hyperlink>
    </w:p>
    <w:p>
      <w:pPr>
        <w:pStyle w:val="BodyText"/>
        <w:tabs>
          <w:tab w:val="right" w:leader="dot" w:pos="8315"/>
        </w:tabs>
        <w:spacing w:before="234" w:line="218" w:lineRule="auto"/>
        <w:ind w:left="29"/>
        <w:rPr>
          <w:rFonts w:ascii="Times New Roman" w:eastAsia="Times New Roman" w:hAnsi="Times New Roman" w:cs="Times New Roman"/>
        </w:rPr>
      </w:pPr>
      <w:r>
        <w:rPr>
          <w:rFonts w:ascii="Times New Roman" w:eastAsia="Times New Roman" w:hAnsi="Times New Roman" w:cs="Times New Roman"/>
          <w:spacing w:val="8"/>
        </w:rPr>
        <w:t>8.</w:t>
      </w:r>
      <w:r>
        <w:rPr>
          <w:rFonts w:ascii="Times New Roman" w:eastAsia="Times New Roman" w:hAnsi="Times New Roman" w:cs="Times New Roman"/>
          <w:spacing w:val="9"/>
        </w:rPr>
        <w:t xml:space="preserve">     </w:t>
      </w:r>
      <w:r>
        <w:rPr>
          <w:spacing w:val="8"/>
        </w:rPr>
        <w:t>主要经济评价参数</w:t>
      </w:r>
      <w:r>
        <w:rPr>
          <w:spacing w:val="-76"/>
        </w:rPr>
        <w:t xml:space="preserve"> </w:t>
      </w:r>
      <w:r>
        <w:tab/>
      </w:r>
      <w:hyperlink w:anchor="bookmark40" w:history="1">
        <w:r>
          <w:rPr>
            <w:rFonts w:ascii="Times New Roman" w:eastAsia="Times New Roman" w:hAnsi="Times New Roman" w:cs="Times New Roman"/>
            <w:spacing w:val="1"/>
          </w:rPr>
          <w:t>27</w:t>
        </w:r>
      </w:hyperlink>
    </w:p>
    <w:p>
      <w:pPr>
        <w:pStyle w:val="BodyText"/>
        <w:tabs>
          <w:tab w:val="right" w:leader="dot" w:pos="8315"/>
        </w:tabs>
        <w:spacing w:before="236" w:line="220" w:lineRule="auto"/>
        <w:ind w:left="459"/>
        <w:rPr>
          <w:rFonts w:ascii="Times New Roman" w:eastAsia="Times New Roman" w:hAnsi="Times New Roman" w:cs="Times New Roman"/>
        </w:rPr>
      </w:pPr>
      <w:r>
        <w:rPr>
          <w:rFonts w:ascii="Times New Roman" w:eastAsia="Times New Roman" w:hAnsi="Times New Roman" w:cs="Times New Roman"/>
          <w:spacing w:val="-8"/>
        </w:rPr>
        <w:t>8.1</w:t>
      </w:r>
      <w:r>
        <w:rPr>
          <w:rFonts w:ascii="Times New Roman" w:eastAsia="Times New Roman" w:hAnsi="Times New Roman" w:cs="Times New Roman"/>
          <w:spacing w:val="7"/>
        </w:rPr>
        <w:t xml:space="preserve">   </w:t>
      </w:r>
      <w:r>
        <w:rPr>
          <w:spacing w:val="-8"/>
        </w:rPr>
        <w:t>总</w:t>
      </w:r>
      <w:r>
        <w:rPr>
          <w:spacing w:val="-24"/>
        </w:rPr>
        <w:t xml:space="preserve"> </w:t>
      </w:r>
      <w:r>
        <w:rPr>
          <w:spacing w:val="-8"/>
        </w:rPr>
        <w:t>则</w:t>
      </w:r>
      <w:r>
        <w:rPr>
          <w:spacing w:val="-88"/>
        </w:rPr>
        <w:t xml:space="preserve"> </w:t>
      </w:r>
      <w:r>
        <w:tab/>
      </w:r>
      <w:hyperlink w:anchor="bookmark41" w:history="1">
        <w:r>
          <w:rPr>
            <w:rFonts w:ascii="Times New Roman" w:eastAsia="Times New Roman" w:hAnsi="Times New Roman" w:cs="Times New Roman"/>
            <w:spacing w:val="4"/>
          </w:rPr>
          <w:t>27</w:t>
        </w:r>
      </w:hyperlink>
    </w:p>
    <w:p>
      <w:pPr>
        <w:pStyle w:val="BodyText"/>
        <w:tabs>
          <w:tab w:val="right" w:leader="dot" w:pos="8315"/>
        </w:tabs>
        <w:spacing w:before="230" w:line="218" w:lineRule="auto"/>
        <w:ind w:left="879"/>
        <w:rPr>
          <w:rFonts w:ascii="Times New Roman" w:eastAsia="Times New Roman" w:hAnsi="Times New Roman" w:cs="Times New Roman"/>
        </w:rPr>
      </w:pPr>
      <w:r>
        <w:rPr>
          <w:rFonts w:ascii="Times New Roman" w:eastAsia="Times New Roman" w:hAnsi="Times New Roman" w:cs="Times New Roman"/>
          <w:spacing w:val="6"/>
        </w:rPr>
        <w:t xml:space="preserve">8.1.1    </w:t>
      </w:r>
      <w:r>
        <w:rPr>
          <w:spacing w:val="6"/>
        </w:rPr>
        <w:t>经济评价参数的定义及其分类</w:t>
      </w:r>
      <w:r>
        <w:rPr>
          <w:spacing w:val="-83"/>
        </w:rPr>
        <w:t xml:space="preserve"> </w:t>
      </w:r>
      <w:r>
        <w:tab/>
      </w:r>
      <w:hyperlink w:anchor="bookmark42" w:history="1">
        <w:r>
          <w:rPr>
            <w:rFonts w:ascii="Times New Roman" w:eastAsia="Times New Roman" w:hAnsi="Times New Roman" w:cs="Times New Roman"/>
            <w:spacing w:val="2"/>
          </w:rPr>
          <w:t>27</w:t>
        </w:r>
      </w:hyperlink>
    </w:p>
    <w:p>
      <w:pPr>
        <w:pStyle w:val="BodyText"/>
        <w:tabs>
          <w:tab w:val="right" w:leader="dot" w:pos="8315"/>
        </w:tabs>
        <w:spacing w:before="234" w:line="218" w:lineRule="auto"/>
        <w:ind w:left="879"/>
        <w:rPr>
          <w:rFonts w:ascii="Times New Roman" w:eastAsia="Times New Roman" w:hAnsi="Times New Roman" w:cs="Times New Roman"/>
        </w:rPr>
      </w:pPr>
      <w:r>
        <w:rPr>
          <w:rFonts w:ascii="Times New Roman" w:eastAsia="Times New Roman" w:hAnsi="Times New Roman" w:cs="Times New Roman"/>
          <w:spacing w:val="6"/>
        </w:rPr>
        <w:t xml:space="preserve">8.1.2    </w:t>
      </w:r>
      <w:r>
        <w:rPr>
          <w:spacing w:val="6"/>
        </w:rPr>
        <w:t>经济评价参数测定与选用的原则</w:t>
      </w:r>
      <w:r>
        <w:tab/>
      </w:r>
      <w:hyperlink w:anchor="bookmark43" w:history="1">
        <w:r>
          <w:rPr>
            <w:rFonts w:ascii="Times New Roman" w:eastAsia="Times New Roman" w:hAnsi="Times New Roman" w:cs="Times New Roman"/>
            <w:spacing w:val="2"/>
          </w:rPr>
          <w:t>27</w:t>
        </w:r>
      </w:hyperlink>
    </w:p>
    <w:p>
      <w:pPr>
        <w:pStyle w:val="BodyText"/>
        <w:tabs>
          <w:tab w:val="right" w:leader="dot" w:pos="8315"/>
        </w:tabs>
        <w:spacing w:before="235" w:line="219" w:lineRule="auto"/>
        <w:ind w:left="879"/>
        <w:rPr>
          <w:rFonts w:ascii="Times New Roman" w:eastAsia="Times New Roman" w:hAnsi="Times New Roman" w:cs="Times New Roman"/>
        </w:rPr>
      </w:pPr>
      <w:r>
        <w:rPr>
          <w:rFonts w:ascii="Times New Roman" w:eastAsia="Times New Roman" w:hAnsi="Times New Roman" w:cs="Times New Roman"/>
          <w:spacing w:val="10"/>
        </w:rPr>
        <w:t>8.1.3</w:t>
      </w:r>
      <w:r>
        <w:rPr>
          <w:rFonts w:ascii="Times New Roman" w:eastAsia="Times New Roman" w:hAnsi="Times New Roman" w:cs="Times New Roman"/>
          <w:spacing w:val="5"/>
        </w:rPr>
        <w:t xml:space="preserve">    </w:t>
      </w:r>
      <w:r>
        <w:rPr>
          <w:spacing w:val="10"/>
        </w:rPr>
        <w:t>关于参数时效性的说明</w:t>
      </w:r>
      <w:r>
        <w:tab/>
      </w:r>
      <w:r>
        <w:rPr>
          <w:spacing w:val="-7"/>
        </w:rPr>
        <w:t xml:space="preserve"> </w:t>
      </w:r>
      <w:hyperlink w:anchor="bookmark44" w:history="1">
        <w:r>
          <w:rPr>
            <w:rFonts w:ascii="Times New Roman" w:eastAsia="Times New Roman" w:hAnsi="Times New Roman" w:cs="Times New Roman"/>
            <w:spacing w:val="-2"/>
          </w:rPr>
          <w:t>28</w:t>
        </w:r>
      </w:hyperlink>
    </w:p>
    <w:p>
      <w:pPr>
        <w:pStyle w:val="BodyText"/>
        <w:tabs>
          <w:tab w:val="right" w:leader="dot" w:pos="8315"/>
        </w:tabs>
        <w:spacing w:before="233" w:line="219" w:lineRule="auto"/>
        <w:ind w:left="459"/>
        <w:rPr>
          <w:rFonts w:ascii="Times New Roman" w:eastAsia="Times New Roman" w:hAnsi="Times New Roman" w:cs="Times New Roman"/>
        </w:rPr>
      </w:pPr>
      <w:r>
        <w:rPr>
          <w:rFonts w:ascii="Times New Roman" w:eastAsia="Times New Roman" w:hAnsi="Times New Roman" w:cs="Times New Roman"/>
          <w:spacing w:val="8"/>
        </w:rPr>
        <w:t>8.2</w:t>
      </w:r>
      <w:r>
        <w:rPr>
          <w:rFonts w:ascii="Times New Roman" w:eastAsia="Times New Roman" w:hAnsi="Times New Roman" w:cs="Times New Roman"/>
          <w:spacing w:val="14"/>
          <w:w w:val="101"/>
        </w:rPr>
        <w:t xml:space="preserve">   </w:t>
      </w:r>
      <w:r>
        <w:rPr>
          <w:spacing w:val="8"/>
        </w:rPr>
        <w:t>计算期</w:t>
      </w:r>
      <w:r>
        <w:rPr>
          <w:spacing w:val="-83"/>
        </w:rPr>
        <w:t xml:space="preserve"> </w:t>
      </w:r>
      <w:r>
        <w:tab/>
      </w:r>
      <w:hyperlink w:anchor="bookmark45" w:history="1">
        <w:r>
          <w:rPr>
            <w:rFonts w:ascii="Times New Roman" w:eastAsia="Times New Roman" w:hAnsi="Times New Roman" w:cs="Times New Roman"/>
            <w:spacing w:val="1"/>
          </w:rPr>
          <w:t>28</w:t>
        </w:r>
      </w:hyperlink>
    </w:p>
    <w:p>
      <w:pPr>
        <w:pStyle w:val="BodyText"/>
        <w:tabs>
          <w:tab w:val="right" w:leader="dot" w:pos="8310"/>
        </w:tabs>
        <w:spacing w:before="221" w:line="219" w:lineRule="auto"/>
        <w:ind w:left="459"/>
        <w:rPr>
          <w:rFonts w:ascii="Times New Roman" w:eastAsia="Times New Roman" w:hAnsi="Times New Roman" w:cs="Times New Roman"/>
        </w:rPr>
      </w:pPr>
      <w:r>
        <w:rPr>
          <w:rFonts w:ascii="Times New Roman" w:eastAsia="Times New Roman" w:hAnsi="Times New Roman" w:cs="Times New Roman"/>
          <w:spacing w:val="7"/>
        </w:rPr>
        <w:t>8.3</w:t>
      </w:r>
      <w:r>
        <w:rPr>
          <w:rFonts w:ascii="Times New Roman" w:eastAsia="Times New Roman" w:hAnsi="Times New Roman" w:cs="Times New Roman"/>
          <w:spacing w:val="13"/>
          <w:w w:val="101"/>
        </w:rPr>
        <w:t xml:space="preserve">   </w:t>
      </w:r>
      <w:r>
        <w:rPr>
          <w:spacing w:val="7"/>
        </w:rPr>
        <w:t>主要成本计算参数</w:t>
      </w:r>
      <w:r>
        <w:rPr>
          <w:spacing w:val="-79"/>
        </w:rPr>
        <w:t xml:space="preserve"> </w:t>
      </w:r>
      <w:r>
        <w:tab/>
      </w:r>
      <w:hyperlink w:anchor="bookmark46" w:history="1">
        <w:r>
          <w:rPr>
            <w:rFonts w:ascii="Times New Roman" w:eastAsia="Times New Roman" w:hAnsi="Times New Roman" w:cs="Times New Roman"/>
            <w:spacing w:val="-1"/>
          </w:rPr>
          <w:t>31</w:t>
        </w:r>
      </w:hyperlink>
    </w:p>
    <w:p>
      <w:pPr>
        <w:pStyle w:val="BodyText"/>
        <w:tabs>
          <w:tab w:val="right" w:leader="dot" w:pos="8320"/>
        </w:tabs>
        <w:spacing w:before="235" w:line="220" w:lineRule="auto"/>
        <w:ind w:left="459"/>
        <w:rPr>
          <w:rFonts w:ascii="Times New Roman" w:eastAsia="Times New Roman" w:hAnsi="Times New Roman" w:cs="Times New Roman"/>
        </w:rPr>
      </w:pPr>
      <w:r>
        <w:rPr>
          <w:rFonts w:ascii="Times New Roman" w:eastAsia="Times New Roman" w:hAnsi="Times New Roman" w:cs="Times New Roman"/>
          <w:spacing w:val="6"/>
        </w:rPr>
        <w:t>8.4</w:t>
      </w:r>
      <w:r>
        <w:rPr>
          <w:rFonts w:ascii="Times New Roman" w:eastAsia="Times New Roman" w:hAnsi="Times New Roman" w:cs="Times New Roman"/>
          <w:spacing w:val="8"/>
        </w:rPr>
        <w:t xml:space="preserve">   </w:t>
      </w:r>
      <w:r>
        <w:rPr>
          <w:spacing w:val="6"/>
        </w:rPr>
        <w:t>流动资金</w:t>
      </w:r>
      <w:r>
        <w:rPr>
          <w:spacing w:val="-78"/>
        </w:rPr>
        <w:t xml:space="preserve"> </w:t>
      </w:r>
      <w:r>
        <w:tab/>
      </w:r>
      <w:hyperlink w:anchor="bookmark47" w:history="1">
        <w:r>
          <w:rPr>
            <w:rFonts w:ascii="Times New Roman" w:eastAsia="Times New Roman" w:hAnsi="Times New Roman" w:cs="Times New Roman"/>
            <w:spacing w:val="-2"/>
          </w:rPr>
          <w:t>31</w:t>
        </w:r>
      </w:hyperlink>
    </w:p>
    <w:p>
      <w:pPr>
        <w:pStyle w:val="BodyText"/>
        <w:tabs>
          <w:tab w:val="right" w:leader="dot" w:pos="8330"/>
        </w:tabs>
        <w:spacing w:before="231" w:line="219" w:lineRule="auto"/>
        <w:ind w:left="459"/>
        <w:rPr>
          <w:rFonts w:ascii="Times New Roman" w:eastAsia="Times New Roman" w:hAnsi="Times New Roman" w:cs="Times New Roman"/>
        </w:rPr>
      </w:pPr>
      <w:r>
        <w:rPr>
          <w:rFonts w:ascii="Times New Roman" w:eastAsia="Times New Roman" w:hAnsi="Times New Roman" w:cs="Times New Roman"/>
          <w:spacing w:val="5"/>
        </w:rPr>
        <w:t xml:space="preserve">8.5    </w:t>
      </w:r>
      <w:r>
        <w:rPr>
          <w:spacing w:val="5"/>
        </w:rPr>
        <w:t>财务基准收益率</w:t>
      </w:r>
      <w:r>
        <w:rPr>
          <w:spacing w:val="-81"/>
        </w:rPr>
        <w:t xml:space="preserve"> </w:t>
      </w:r>
      <w:r>
        <w:tab/>
      </w:r>
      <w:hyperlink w:anchor="bookmark48" w:history="1">
        <w:r>
          <w:rPr>
            <w:rFonts w:ascii="Times New Roman" w:eastAsia="Times New Roman" w:hAnsi="Times New Roman" w:cs="Times New Roman"/>
            <w:spacing w:val="-1"/>
          </w:rPr>
          <w:t>31</w:t>
        </w:r>
      </w:hyperlink>
    </w:p>
    <w:p>
      <w:pPr>
        <w:pStyle w:val="BodyText"/>
        <w:tabs>
          <w:tab w:val="right" w:leader="dot" w:pos="8300"/>
        </w:tabs>
        <w:spacing w:before="233" w:line="219" w:lineRule="auto"/>
        <w:ind w:left="29"/>
        <w:rPr>
          <w:rFonts w:ascii="Times New Roman" w:eastAsia="Times New Roman" w:hAnsi="Times New Roman" w:cs="Times New Roman"/>
        </w:rPr>
      </w:pPr>
      <w:r>
        <w:rPr>
          <w:rFonts w:ascii="Times New Roman" w:eastAsia="Times New Roman" w:hAnsi="Times New Roman" w:cs="Times New Roman"/>
          <w:spacing w:val="6"/>
        </w:rPr>
        <w:t>9.</w:t>
      </w:r>
      <w:r>
        <w:rPr>
          <w:rFonts w:ascii="Times New Roman" w:eastAsia="Times New Roman" w:hAnsi="Times New Roman" w:cs="Times New Roman"/>
          <w:spacing w:val="1"/>
        </w:rPr>
        <w:t xml:space="preserve">      </w:t>
      </w:r>
      <w:r>
        <w:rPr>
          <w:spacing w:val="6"/>
        </w:rPr>
        <w:t>编制历史</w:t>
      </w:r>
      <w:r>
        <w:rPr>
          <w:spacing w:val="-83"/>
        </w:rPr>
        <w:t xml:space="preserve"> </w:t>
      </w:r>
      <w:r>
        <w:tab/>
      </w:r>
      <w:hyperlink w:anchor="bookmark49" w:history="1">
        <w:r>
          <w:rPr>
            <w:rFonts w:ascii="Times New Roman" w:eastAsia="Times New Roman" w:hAnsi="Times New Roman" w:cs="Times New Roman"/>
            <w:spacing w:val="-4"/>
          </w:rPr>
          <w:t>32</w:t>
        </w:r>
      </w:hyperlink>
    </w:p>
    <w:p>
      <w:pPr>
        <w:pStyle w:val="BodyText"/>
        <w:tabs>
          <w:tab w:val="right" w:leader="dot" w:pos="8300"/>
        </w:tabs>
        <w:spacing w:before="221" w:line="218" w:lineRule="auto"/>
        <w:ind w:left="29"/>
        <w:rPr>
          <w:rFonts w:ascii="Times New Roman" w:eastAsia="Times New Roman" w:hAnsi="Times New Roman" w:cs="Times New Roman"/>
        </w:rPr>
      </w:pPr>
      <w:r>
        <w:rPr>
          <w:spacing w:val="9"/>
        </w:rPr>
        <w:t xml:space="preserve">附录 </w:t>
      </w:r>
      <w:r>
        <w:rPr>
          <w:rFonts w:ascii="Times New Roman" w:eastAsia="Times New Roman" w:hAnsi="Times New Roman" w:cs="Times New Roman"/>
          <w:spacing w:val="9"/>
        </w:rPr>
        <w:t>A</w:t>
      </w:r>
      <w:r>
        <w:rPr>
          <w:rFonts w:ascii="Times New Roman" w:eastAsia="Times New Roman" w:hAnsi="Times New Roman" w:cs="Times New Roman"/>
          <w:spacing w:val="25"/>
        </w:rPr>
        <w:t xml:space="preserve">  </w:t>
      </w:r>
      <w:r>
        <w:rPr>
          <w:spacing w:val="9"/>
        </w:rPr>
        <w:t>中国移动建设项目经济评价方法编写</w:t>
      </w:r>
      <w:r>
        <w:rPr>
          <w:spacing w:val="8"/>
        </w:rPr>
        <w:t>说明</w:t>
      </w:r>
      <w:r>
        <w:rPr>
          <w:spacing w:val="-92"/>
        </w:rPr>
        <w:t xml:space="preserve"> </w:t>
      </w:r>
      <w:r>
        <w:tab/>
      </w:r>
      <w:hyperlink w:anchor="bookmark50" w:history="1">
        <w:r>
          <w:rPr>
            <w:rFonts w:ascii="Times New Roman" w:eastAsia="Times New Roman" w:hAnsi="Times New Roman" w:cs="Times New Roman"/>
          </w:rPr>
          <w:t>33</w:t>
        </w:r>
      </w:hyperlink>
    </w:p>
    <w:p>
      <w:pPr>
        <w:pStyle w:val="BodyText"/>
        <w:tabs>
          <w:tab w:val="right" w:leader="dot" w:pos="8310"/>
        </w:tabs>
        <w:spacing w:before="246" w:line="220" w:lineRule="auto"/>
        <w:ind w:left="29"/>
        <w:rPr>
          <w:rFonts w:ascii="Times New Roman" w:eastAsia="Times New Roman" w:hAnsi="Times New Roman" w:cs="Times New Roman"/>
        </w:rPr>
      </w:pPr>
      <w:r>
        <w:rPr>
          <w:rFonts w:ascii="Times New Roman" w:eastAsia="Times New Roman" w:hAnsi="Times New Roman" w:cs="Times New Roman"/>
          <w:spacing w:val="-11"/>
        </w:rPr>
        <w:t>1.</w:t>
      </w:r>
      <w:r>
        <w:rPr>
          <w:rFonts w:ascii="Times New Roman" w:eastAsia="Times New Roman" w:hAnsi="Times New Roman" w:cs="Times New Roman"/>
        </w:rPr>
        <w:t xml:space="preserve">      </w:t>
      </w:r>
      <w:r>
        <w:rPr>
          <w:spacing w:val="-11"/>
        </w:rPr>
        <w:t>综</w:t>
      </w:r>
      <w:r>
        <w:rPr>
          <w:spacing w:val="-40"/>
        </w:rPr>
        <w:t xml:space="preserve"> </w:t>
      </w:r>
      <w:r>
        <w:rPr>
          <w:spacing w:val="-11"/>
        </w:rPr>
        <w:t>述</w:t>
      </w:r>
      <w:r>
        <w:rPr>
          <w:spacing w:val="-87"/>
        </w:rPr>
        <w:t xml:space="preserve"> </w:t>
      </w:r>
      <w:r>
        <w:tab/>
      </w:r>
      <w:r>
        <w:rPr>
          <w:spacing w:val="-67"/>
        </w:rPr>
        <w:t xml:space="preserve"> </w:t>
      </w:r>
      <w:hyperlink w:anchor="bookmark51" w:history="1">
        <w:r>
          <w:rPr>
            <w:rFonts w:ascii="Times New Roman" w:eastAsia="Times New Roman" w:hAnsi="Times New Roman" w:cs="Times New Roman"/>
            <w:spacing w:val="-3"/>
          </w:rPr>
          <w:t>33</w:t>
        </w:r>
      </w:hyperlink>
    </w:p>
    <w:p>
      <w:pPr>
        <w:pStyle w:val="BodyText"/>
        <w:tabs>
          <w:tab w:val="right" w:leader="dot" w:pos="8300"/>
        </w:tabs>
        <w:spacing w:before="220" w:line="219" w:lineRule="auto"/>
        <w:ind w:left="459"/>
        <w:rPr>
          <w:rFonts w:ascii="Times New Roman" w:eastAsia="Times New Roman" w:hAnsi="Times New Roman" w:cs="Times New Roman"/>
        </w:rPr>
      </w:pPr>
      <w:r>
        <w:rPr>
          <w:rFonts w:ascii="Times New Roman" w:eastAsia="Times New Roman" w:hAnsi="Times New Roman" w:cs="Times New Roman"/>
          <w:spacing w:val="7"/>
        </w:rPr>
        <w:t xml:space="preserve">1.1   </w:t>
      </w:r>
      <w:r>
        <w:rPr>
          <w:spacing w:val="7"/>
        </w:rPr>
        <w:t>本标准编制的背景</w:t>
      </w:r>
      <w:r>
        <w:rPr>
          <w:spacing w:val="-70"/>
        </w:rPr>
        <w:t xml:space="preserve"> </w:t>
      </w:r>
      <w:r>
        <w:tab/>
      </w:r>
      <w:hyperlink w:anchor="bookmark52" w:history="1">
        <w:r>
          <w:rPr>
            <w:rFonts w:ascii="Times New Roman" w:eastAsia="Times New Roman" w:hAnsi="Times New Roman" w:cs="Times New Roman"/>
            <w:spacing w:val="-1"/>
          </w:rPr>
          <w:t>33</w:t>
        </w:r>
      </w:hyperlink>
    </w:p>
    <w:p>
      <w:pPr>
        <w:pStyle w:val="BodyText"/>
        <w:tabs>
          <w:tab w:val="right" w:leader="dot" w:pos="8290"/>
        </w:tabs>
        <w:spacing w:before="223" w:line="219" w:lineRule="auto"/>
        <w:ind w:left="459"/>
        <w:rPr>
          <w:rFonts w:ascii="Times New Roman" w:eastAsia="Times New Roman" w:hAnsi="Times New Roman" w:cs="Times New Roman"/>
        </w:rPr>
      </w:pPr>
      <w:r>
        <w:rPr>
          <w:rFonts w:ascii="Times New Roman" w:eastAsia="Times New Roman" w:hAnsi="Times New Roman" w:cs="Times New Roman"/>
          <w:spacing w:val="6"/>
        </w:rPr>
        <w:t>1.2</w:t>
      </w:r>
      <w:r>
        <w:rPr>
          <w:rFonts w:ascii="Times New Roman" w:eastAsia="Times New Roman" w:hAnsi="Times New Roman" w:cs="Times New Roman"/>
          <w:spacing w:val="12"/>
          <w:w w:val="101"/>
        </w:rPr>
        <w:t xml:space="preserve">   </w:t>
      </w:r>
      <w:r>
        <w:rPr>
          <w:spacing w:val="6"/>
        </w:rPr>
        <w:t>如何使用本标准</w:t>
      </w:r>
      <w:r>
        <w:rPr>
          <w:spacing w:val="-79"/>
        </w:rPr>
        <w:t xml:space="preserve"> </w:t>
      </w:r>
      <w:r>
        <w:tab/>
      </w:r>
      <w:hyperlink w:anchor="bookmark53" w:history="1">
        <w:r>
          <w:rPr>
            <w:rFonts w:ascii="Times New Roman" w:eastAsia="Times New Roman" w:hAnsi="Times New Roman" w:cs="Times New Roman"/>
            <w:spacing w:val="-1"/>
          </w:rPr>
          <w:t>34</w:t>
        </w:r>
      </w:hyperlink>
    </w:p>
    <w:p>
      <w:pPr>
        <w:pStyle w:val="BodyText"/>
        <w:tabs>
          <w:tab w:val="right" w:leader="dot" w:pos="8300"/>
        </w:tabs>
        <w:spacing w:before="242" w:line="218" w:lineRule="auto"/>
        <w:ind w:left="29"/>
        <w:rPr>
          <w:rFonts w:ascii="Times New Roman" w:eastAsia="Times New Roman" w:hAnsi="Times New Roman" w:cs="Times New Roman"/>
        </w:rPr>
      </w:pPr>
      <w:r>
        <w:rPr>
          <w:rFonts w:ascii="Times New Roman" w:eastAsia="Times New Roman" w:hAnsi="Times New Roman" w:cs="Times New Roman"/>
          <w:spacing w:val="9"/>
        </w:rPr>
        <w:t>2.</w:t>
      </w:r>
      <w:r>
        <w:rPr>
          <w:rFonts w:ascii="Times New Roman" w:eastAsia="Times New Roman" w:hAnsi="Times New Roman" w:cs="Times New Roman"/>
          <w:spacing w:val="2"/>
        </w:rPr>
        <w:t xml:space="preserve">      </w:t>
      </w:r>
      <w:r>
        <w:rPr>
          <w:spacing w:val="9"/>
        </w:rPr>
        <w:t>中国移动建设项目经济评价内容建议</w:t>
      </w:r>
      <w:r>
        <w:rPr>
          <w:spacing w:val="-75"/>
        </w:rPr>
        <w:t xml:space="preserve"> </w:t>
      </w:r>
      <w:r>
        <w:tab/>
      </w:r>
      <w:r>
        <w:rPr>
          <w:spacing w:val="-47"/>
        </w:rPr>
        <w:t xml:space="preserve"> </w:t>
      </w:r>
      <w:hyperlink w:anchor="bookmark54" w:history="1">
        <w:r>
          <w:rPr>
            <w:rFonts w:ascii="Times New Roman" w:eastAsia="Times New Roman" w:hAnsi="Times New Roman" w:cs="Times New Roman"/>
            <w:spacing w:val="-3"/>
          </w:rPr>
          <w:t>34</w:t>
        </w:r>
      </w:hyperlink>
    </w:p>
    <w:p>
      <w:pPr>
        <w:pStyle w:val="BodyText"/>
        <w:tabs>
          <w:tab w:val="right" w:leader="dot" w:pos="8290"/>
        </w:tabs>
        <w:spacing w:before="224" w:line="218" w:lineRule="auto"/>
        <w:ind w:left="459"/>
        <w:rPr>
          <w:rFonts w:ascii="Times New Roman" w:eastAsia="Times New Roman" w:hAnsi="Times New Roman" w:cs="Times New Roman"/>
        </w:rPr>
      </w:pPr>
      <w:r>
        <w:rPr>
          <w:rFonts w:ascii="Times New Roman" w:eastAsia="Times New Roman" w:hAnsi="Times New Roman" w:cs="Times New Roman"/>
          <w:spacing w:val="8"/>
        </w:rPr>
        <w:t>2.1</w:t>
      </w:r>
      <w:r>
        <w:rPr>
          <w:rFonts w:ascii="Times New Roman" w:eastAsia="Times New Roman" w:hAnsi="Times New Roman" w:cs="Times New Roman"/>
          <w:spacing w:val="13"/>
        </w:rPr>
        <w:t xml:space="preserve">   </w:t>
      </w:r>
      <w:r>
        <w:rPr>
          <w:spacing w:val="8"/>
        </w:rPr>
        <w:t>关于国民经济评价</w:t>
      </w:r>
      <w:r>
        <w:rPr>
          <w:spacing w:val="-79"/>
        </w:rPr>
        <w:t xml:space="preserve"> </w:t>
      </w:r>
      <w:r>
        <w:tab/>
      </w:r>
      <w:hyperlink w:anchor="bookmark55" w:history="1">
        <w:r>
          <w:rPr>
            <w:rFonts w:ascii="Times New Roman" w:eastAsia="Times New Roman" w:hAnsi="Times New Roman" w:cs="Times New Roman"/>
            <w:spacing w:val="-1"/>
          </w:rPr>
          <w:t>34</w:t>
        </w:r>
      </w:hyperlink>
    </w:p>
    <w:p>
      <w:pPr>
        <w:pStyle w:val="BodyText"/>
        <w:tabs>
          <w:tab w:val="right" w:leader="dot" w:pos="8280"/>
        </w:tabs>
        <w:spacing w:before="235" w:line="219" w:lineRule="auto"/>
        <w:ind w:left="459"/>
        <w:rPr>
          <w:rFonts w:ascii="Times New Roman" w:eastAsia="Times New Roman" w:hAnsi="Times New Roman" w:cs="Times New Roman"/>
        </w:rPr>
      </w:pPr>
      <w:r>
        <w:rPr>
          <w:rFonts w:ascii="Times New Roman" w:eastAsia="Times New Roman" w:hAnsi="Times New Roman" w:cs="Times New Roman"/>
          <w:spacing w:val="8"/>
        </w:rPr>
        <w:t xml:space="preserve">2.2   </w:t>
      </w:r>
      <w:r>
        <w:rPr>
          <w:spacing w:val="8"/>
        </w:rPr>
        <w:t>中国移动建设项目分类</w:t>
      </w:r>
      <w:r>
        <w:rPr>
          <w:spacing w:val="-79"/>
        </w:rPr>
        <w:t xml:space="preserve"> </w:t>
      </w:r>
      <w:r>
        <w:tab/>
      </w:r>
      <w:hyperlink w:anchor="bookmark56" w:history="1">
        <w:r>
          <w:rPr>
            <w:rFonts w:ascii="Times New Roman" w:eastAsia="Times New Roman" w:hAnsi="Times New Roman" w:cs="Times New Roman"/>
          </w:rPr>
          <w:t>34</w:t>
        </w:r>
      </w:hyperlink>
    </w:p>
    <w:p>
      <w:pPr>
        <w:spacing w:line="219" w:lineRule="auto"/>
        <w:rPr>
          <w:rFonts w:ascii="Times New Roman" w:eastAsia="Times New Roman" w:hAnsi="Times New Roman" w:cs="Times New Roman"/>
        </w:rPr>
        <w:sectPr>
          <w:headerReference w:type="default" r:id="rId5"/>
          <w:pgSz w:w="11910" w:h="16840"/>
          <w:pgMar w:top="1179" w:right="1759" w:bottom="0" w:left="1740" w:header="1170" w:footer="0" w:gutter="0"/>
          <w:pgNumType w:start="2"/>
          <w:cols w:space="708"/>
        </w:sectPr>
      </w:pPr>
    </w:p>
    <w:p>
      <w:pPr>
        <w:spacing w:line="329" w:lineRule="auto"/>
      </w:pPr>
    </w:p>
    <w:p>
      <w:pPr>
        <w:pStyle w:val="BodyText"/>
        <w:tabs>
          <w:tab w:val="right" w:leader="dot" w:pos="8290"/>
        </w:tabs>
        <w:spacing w:before="65" w:line="218" w:lineRule="auto"/>
        <w:ind w:left="459"/>
        <w:rPr>
          <w:rFonts w:ascii="Times New Roman" w:eastAsia="Times New Roman" w:hAnsi="Times New Roman" w:cs="Times New Roman"/>
        </w:rPr>
      </w:pPr>
      <w:bookmarkStart w:id="3" w:name="bookmark4"/>
      <w:bookmarkStart w:id="4" w:name="bookmark5"/>
      <w:bookmarkEnd w:id="3"/>
      <w:bookmarkEnd w:id="4"/>
      <w:r>
        <w:rPr>
          <w:rFonts w:ascii="Times New Roman" w:eastAsia="Times New Roman" w:hAnsi="Times New Roman" w:cs="Times New Roman"/>
          <w:spacing w:val="8"/>
        </w:rPr>
        <w:t xml:space="preserve">2.3   </w:t>
      </w:r>
      <w:r>
        <w:rPr>
          <w:spacing w:val="8"/>
        </w:rPr>
        <w:t>不同类型项目适用的经济评价内容建议</w:t>
      </w:r>
      <w:r>
        <w:rPr>
          <w:spacing w:val="-66"/>
        </w:rPr>
        <w:t xml:space="preserve"> </w:t>
      </w:r>
      <w:r>
        <w:tab/>
      </w:r>
      <w:r>
        <w:rPr>
          <w:spacing w:val="-57"/>
        </w:rPr>
        <w:t xml:space="preserve"> </w:t>
      </w:r>
      <w:hyperlink w:anchor="bookmark57" w:history="1">
        <w:r>
          <w:rPr>
            <w:rFonts w:ascii="Times New Roman" w:eastAsia="Times New Roman" w:hAnsi="Times New Roman" w:cs="Times New Roman"/>
            <w:spacing w:val="-3"/>
          </w:rPr>
          <w:t>38</w:t>
        </w:r>
      </w:hyperlink>
    </w:p>
    <w:p>
      <w:pPr>
        <w:pStyle w:val="BodyText"/>
        <w:spacing w:before="223" w:line="218" w:lineRule="auto"/>
        <w:ind w:left="909"/>
      </w:pPr>
      <w:r>
        <w:rPr>
          <w:rFonts w:ascii="Times New Roman" w:eastAsia="Times New Roman" w:hAnsi="Times New Roman" w:cs="Times New Roman"/>
          <w:spacing w:val="13"/>
        </w:rPr>
        <w:t xml:space="preserve">2.3.1    </w:t>
      </w:r>
      <w:r>
        <w:rPr>
          <w:spacing w:val="13"/>
        </w:rPr>
        <w:t>《建设项目经济评价方法与参数》(第三版)对经济评价内容选择建议.38</w:t>
      </w:r>
    </w:p>
    <w:p>
      <w:pPr>
        <w:pStyle w:val="BodyText"/>
        <w:tabs>
          <w:tab w:val="right" w:leader="dot" w:pos="8295"/>
        </w:tabs>
        <w:spacing w:before="233" w:line="218" w:lineRule="auto"/>
        <w:ind w:left="879"/>
        <w:rPr>
          <w:rFonts w:ascii="Times New Roman" w:eastAsia="Times New Roman" w:hAnsi="Times New Roman" w:cs="Times New Roman"/>
        </w:rPr>
      </w:pPr>
      <w:r>
        <w:rPr>
          <w:rFonts w:ascii="Times New Roman" w:eastAsia="Times New Roman" w:hAnsi="Times New Roman" w:cs="Times New Roman"/>
          <w:spacing w:val="8"/>
        </w:rPr>
        <w:t xml:space="preserve">2.3.2   </w:t>
      </w:r>
      <w:r>
        <w:rPr>
          <w:spacing w:val="8"/>
        </w:rPr>
        <w:t>中国移动建设项目经济评价内容选择建议</w:t>
      </w:r>
      <w:r>
        <w:rPr>
          <w:spacing w:val="-79"/>
        </w:rPr>
        <w:t xml:space="preserve"> </w:t>
      </w:r>
      <w:r>
        <w:tab/>
      </w:r>
      <w:r>
        <w:rPr>
          <w:spacing w:val="-38"/>
        </w:rPr>
        <w:t xml:space="preserve"> </w:t>
      </w:r>
      <w:hyperlink w:anchor="bookmark58" w:history="1">
        <w:r>
          <w:rPr>
            <w:rFonts w:ascii="Times New Roman" w:eastAsia="Times New Roman" w:hAnsi="Times New Roman" w:cs="Times New Roman"/>
            <w:spacing w:val="-1"/>
          </w:rPr>
          <w:t>40</w:t>
        </w:r>
      </w:hyperlink>
    </w:p>
    <w:p>
      <w:pPr>
        <w:pStyle w:val="BodyText"/>
        <w:tabs>
          <w:tab w:val="right" w:leader="dot" w:pos="8305"/>
        </w:tabs>
        <w:spacing w:before="235" w:line="219" w:lineRule="auto"/>
        <w:ind w:left="29"/>
        <w:rPr>
          <w:rFonts w:ascii="Times New Roman" w:eastAsia="Times New Roman" w:hAnsi="Times New Roman" w:cs="Times New Roman"/>
        </w:rPr>
      </w:pPr>
      <w:r>
        <w:rPr>
          <w:rFonts w:ascii="Times New Roman" w:eastAsia="Times New Roman" w:hAnsi="Times New Roman" w:cs="Times New Roman"/>
          <w:spacing w:val="9"/>
        </w:rPr>
        <w:t xml:space="preserve">3.     </w:t>
      </w:r>
      <w:r>
        <w:rPr>
          <w:spacing w:val="9"/>
        </w:rPr>
        <w:t>通信建设项目的特点及其对财务分析的影响</w:t>
      </w:r>
      <w:r>
        <w:rPr>
          <w:spacing w:val="-75"/>
        </w:rPr>
        <w:t xml:space="preserve"> </w:t>
      </w:r>
      <w:r>
        <w:tab/>
      </w:r>
      <w:r>
        <w:rPr>
          <w:spacing w:val="-58"/>
        </w:rPr>
        <w:t xml:space="preserve"> </w:t>
      </w:r>
      <w:hyperlink w:anchor="bookmark59" w:history="1">
        <w:r>
          <w:rPr>
            <w:rFonts w:ascii="Times New Roman" w:eastAsia="Times New Roman" w:hAnsi="Times New Roman" w:cs="Times New Roman"/>
            <w:spacing w:val="-1"/>
          </w:rPr>
          <w:t>42</w:t>
        </w:r>
      </w:hyperlink>
    </w:p>
    <w:p>
      <w:pPr>
        <w:pStyle w:val="BodyText"/>
        <w:tabs>
          <w:tab w:val="right" w:leader="dot" w:pos="8315"/>
        </w:tabs>
        <w:spacing w:before="234" w:line="220" w:lineRule="auto"/>
        <w:ind w:left="29"/>
        <w:rPr>
          <w:rFonts w:ascii="Times New Roman" w:eastAsia="Times New Roman" w:hAnsi="Times New Roman" w:cs="Times New Roman"/>
        </w:rPr>
      </w:pPr>
      <w:r>
        <w:rPr>
          <w:rFonts w:ascii="Times New Roman" w:eastAsia="Times New Roman" w:hAnsi="Times New Roman" w:cs="Times New Roman"/>
          <w:spacing w:val="8"/>
        </w:rPr>
        <w:t>4.</w:t>
      </w:r>
      <w:r>
        <w:rPr>
          <w:rFonts w:ascii="Times New Roman" w:eastAsia="Times New Roman" w:hAnsi="Times New Roman" w:cs="Times New Roman"/>
          <w:spacing w:val="2"/>
        </w:rPr>
        <w:t xml:space="preserve">      </w:t>
      </w:r>
      <w:r>
        <w:rPr>
          <w:spacing w:val="8"/>
        </w:rPr>
        <w:t>不确定性分析与风险分析</w:t>
      </w:r>
      <w:r>
        <w:rPr>
          <w:spacing w:val="-87"/>
        </w:rPr>
        <w:t xml:space="preserve"> </w:t>
      </w:r>
      <w:r>
        <w:tab/>
      </w:r>
      <w:hyperlink w:anchor="bookmark60" w:history="1">
        <w:r>
          <w:rPr>
            <w:rFonts w:ascii="Times New Roman" w:eastAsia="Times New Roman" w:hAnsi="Times New Roman" w:cs="Times New Roman"/>
            <w:spacing w:val="2"/>
          </w:rPr>
          <w:t>43</w:t>
        </w:r>
      </w:hyperlink>
    </w:p>
    <w:p>
      <w:pPr>
        <w:pStyle w:val="BodyText"/>
        <w:tabs>
          <w:tab w:val="right" w:leader="dot" w:pos="8305"/>
        </w:tabs>
        <w:spacing w:before="231" w:line="220" w:lineRule="auto"/>
        <w:ind w:left="459"/>
        <w:rPr>
          <w:rFonts w:ascii="Times New Roman" w:eastAsia="Times New Roman" w:hAnsi="Times New Roman" w:cs="Times New Roman"/>
        </w:rPr>
      </w:pPr>
      <w:r>
        <w:rPr>
          <w:rFonts w:ascii="Times New Roman" w:eastAsia="Times New Roman" w:hAnsi="Times New Roman" w:cs="Times New Roman"/>
          <w:spacing w:val="9"/>
        </w:rPr>
        <w:t>4.1</w:t>
      </w:r>
      <w:r>
        <w:rPr>
          <w:rFonts w:ascii="Times New Roman" w:eastAsia="Times New Roman" w:hAnsi="Times New Roman" w:cs="Times New Roman"/>
          <w:spacing w:val="12"/>
        </w:rPr>
        <w:t xml:space="preserve">   </w:t>
      </w:r>
      <w:r>
        <w:rPr>
          <w:spacing w:val="9"/>
        </w:rPr>
        <w:t>不确定性分析</w:t>
      </w:r>
      <w:r>
        <w:rPr>
          <w:spacing w:val="-79"/>
        </w:rPr>
        <w:t xml:space="preserve"> </w:t>
      </w:r>
      <w:r>
        <w:tab/>
      </w:r>
      <w:hyperlink w:anchor="bookmark61" w:history="1">
        <w:r>
          <w:rPr>
            <w:rFonts w:ascii="Times New Roman" w:eastAsia="Times New Roman" w:hAnsi="Times New Roman" w:cs="Times New Roman"/>
            <w:spacing w:val="2"/>
          </w:rPr>
          <w:t>43</w:t>
        </w:r>
      </w:hyperlink>
    </w:p>
    <w:p>
      <w:pPr>
        <w:pStyle w:val="BodyText"/>
        <w:tabs>
          <w:tab w:val="right" w:leader="dot" w:pos="8285"/>
        </w:tabs>
        <w:spacing w:before="232" w:line="220" w:lineRule="auto"/>
        <w:ind w:left="879"/>
        <w:rPr>
          <w:rFonts w:ascii="Times New Roman" w:eastAsia="Times New Roman" w:hAnsi="Times New Roman" w:cs="Times New Roman"/>
        </w:rPr>
      </w:pPr>
      <w:r>
        <w:rPr>
          <w:rFonts w:ascii="Times New Roman" w:eastAsia="Times New Roman" w:hAnsi="Times New Roman" w:cs="Times New Roman"/>
          <w:spacing w:val="6"/>
        </w:rPr>
        <w:t xml:space="preserve">4.1.1   </w:t>
      </w:r>
      <w:r>
        <w:rPr>
          <w:spacing w:val="6"/>
        </w:rPr>
        <w:t>盈亏平衡分析</w:t>
      </w:r>
      <w:r>
        <w:rPr>
          <w:spacing w:val="-76"/>
        </w:rPr>
        <w:t xml:space="preserve"> </w:t>
      </w:r>
      <w:r>
        <w:tab/>
      </w:r>
      <w:hyperlink w:anchor="bookmark62" w:history="1">
        <w:r>
          <w:rPr>
            <w:rFonts w:ascii="Times New Roman" w:eastAsia="Times New Roman" w:hAnsi="Times New Roman" w:cs="Times New Roman"/>
            <w:spacing w:val="2"/>
          </w:rPr>
          <w:t>43</w:t>
        </w:r>
      </w:hyperlink>
    </w:p>
    <w:p>
      <w:pPr>
        <w:pStyle w:val="BodyText"/>
        <w:tabs>
          <w:tab w:val="right" w:leader="dot" w:pos="8325"/>
        </w:tabs>
        <w:spacing w:before="241" w:line="219" w:lineRule="auto"/>
        <w:ind w:left="879"/>
        <w:rPr>
          <w:rFonts w:ascii="Times New Roman" w:eastAsia="Times New Roman" w:hAnsi="Times New Roman" w:cs="Times New Roman"/>
        </w:rPr>
      </w:pPr>
      <w:r>
        <w:rPr>
          <w:rFonts w:ascii="Times New Roman" w:eastAsia="Times New Roman" w:hAnsi="Times New Roman" w:cs="Times New Roman"/>
          <w:spacing w:val="5"/>
        </w:rPr>
        <w:t>4.1.2</w:t>
      </w:r>
      <w:r>
        <w:rPr>
          <w:rFonts w:ascii="Times New Roman" w:eastAsia="Times New Roman" w:hAnsi="Times New Roman" w:cs="Times New Roman"/>
          <w:spacing w:val="15"/>
          <w:w w:val="101"/>
        </w:rPr>
        <w:t xml:space="preserve">   </w:t>
      </w:r>
      <w:r>
        <w:rPr>
          <w:spacing w:val="5"/>
        </w:rPr>
        <w:t>敏感性分析</w:t>
      </w:r>
      <w:r>
        <w:rPr>
          <w:spacing w:val="-78"/>
        </w:rPr>
        <w:t xml:space="preserve"> </w:t>
      </w:r>
      <w:r>
        <w:tab/>
      </w:r>
      <w:hyperlink w:anchor="bookmark63" w:history="1">
        <w:r>
          <w:rPr>
            <w:rFonts w:ascii="Times New Roman" w:eastAsia="Times New Roman" w:hAnsi="Times New Roman" w:cs="Times New Roman"/>
            <w:spacing w:val="-1"/>
          </w:rPr>
          <w:t>45</w:t>
        </w:r>
      </w:hyperlink>
    </w:p>
    <w:p>
      <w:pPr>
        <w:pStyle w:val="BodyText"/>
        <w:tabs>
          <w:tab w:val="right" w:leader="dot" w:pos="8305"/>
        </w:tabs>
        <w:spacing w:before="213" w:line="220" w:lineRule="auto"/>
        <w:ind w:left="459"/>
        <w:rPr>
          <w:rFonts w:ascii="Times New Roman" w:eastAsia="Times New Roman" w:hAnsi="Times New Roman" w:cs="Times New Roman"/>
        </w:rPr>
      </w:pPr>
      <w:r>
        <w:rPr>
          <w:rFonts w:ascii="Times New Roman" w:eastAsia="Times New Roman" w:hAnsi="Times New Roman" w:cs="Times New Roman"/>
          <w:spacing w:val="5"/>
        </w:rPr>
        <w:t xml:space="preserve">4.2   </w:t>
      </w:r>
      <w:r>
        <w:rPr>
          <w:spacing w:val="5"/>
        </w:rPr>
        <w:t>风险分析</w:t>
      </w:r>
      <w:r>
        <w:rPr>
          <w:spacing w:val="-72"/>
        </w:rPr>
        <w:t xml:space="preserve"> </w:t>
      </w:r>
      <w:r>
        <w:tab/>
      </w:r>
      <w:hyperlink w:anchor="bookmark64" w:history="1">
        <w:r>
          <w:rPr>
            <w:rFonts w:ascii="Times New Roman" w:eastAsia="Times New Roman" w:hAnsi="Times New Roman" w:cs="Times New Roman"/>
            <w:spacing w:val="-3"/>
          </w:rPr>
          <w:t>47</w:t>
        </w:r>
      </w:hyperlink>
    </w:p>
    <w:p>
      <w:pPr>
        <w:pStyle w:val="BodyText"/>
        <w:tabs>
          <w:tab w:val="right" w:leader="dot" w:pos="8325"/>
        </w:tabs>
        <w:spacing w:before="232" w:line="219" w:lineRule="auto"/>
        <w:ind w:left="879"/>
        <w:rPr>
          <w:rFonts w:ascii="Times New Roman" w:eastAsia="Times New Roman" w:hAnsi="Times New Roman" w:cs="Times New Roman"/>
        </w:rPr>
      </w:pPr>
      <w:r>
        <w:rPr>
          <w:rFonts w:ascii="Times New Roman" w:eastAsia="Times New Roman" w:hAnsi="Times New Roman" w:cs="Times New Roman"/>
          <w:spacing w:val="6"/>
        </w:rPr>
        <w:t>4.2.1</w:t>
      </w:r>
      <w:r>
        <w:rPr>
          <w:rFonts w:ascii="Times New Roman" w:eastAsia="Times New Roman" w:hAnsi="Times New Roman" w:cs="Times New Roman"/>
        </w:rPr>
        <w:t xml:space="preserve">    </w:t>
      </w:r>
      <w:r>
        <w:rPr>
          <w:spacing w:val="6"/>
        </w:rPr>
        <w:t>风险分析内容</w:t>
      </w:r>
      <w:r>
        <w:rPr>
          <w:spacing w:val="-78"/>
        </w:rPr>
        <w:t xml:space="preserve"> </w:t>
      </w:r>
      <w:r>
        <w:tab/>
      </w:r>
      <w:hyperlink w:anchor="bookmark65" w:history="1">
        <w:r>
          <w:rPr>
            <w:rFonts w:ascii="Times New Roman" w:eastAsia="Times New Roman" w:hAnsi="Times New Roman" w:cs="Times New Roman"/>
            <w:spacing w:val="2"/>
          </w:rPr>
          <w:t>48</w:t>
        </w:r>
      </w:hyperlink>
    </w:p>
    <w:p>
      <w:pPr>
        <w:pStyle w:val="BodyText"/>
        <w:tabs>
          <w:tab w:val="right" w:leader="dot" w:pos="8310"/>
        </w:tabs>
        <w:spacing w:before="233" w:line="220" w:lineRule="auto"/>
        <w:ind w:left="879"/>
        <w:rPr>
          <w:rFonts w:ascii="Times New Roman" w:eastAsia="Times New Roman" w:hAnsi="Times New Roman" w:cs="Times New Roman"/>
        </w:rPr>
      </w:pPr>
      <w:r>
        <w:rPr>
          <w:rFonts w:ascii="Times New Roman" w:eastAsia="Times New Roman" w:hAnsi="Times New Roman" w:cs="Times New Roman"/>
          <w:spacing w:val="4"/>
        </w:rPr>
        <w:t>4.2.2</w:t>
      </w:r>
      <w:r>
        <w:rPr>
          <w:rFonts w:ascii="Times New Roman" w:eastAsia="Times New Roman" w:hAnsi="Times New Roman" w:cs="Times New Roman"/>
          <w:spacing w:val="3"/>
        </w:rPr>
        <w:t xml:space="preserve">    </w:t>
      </w:r>
      <w:r>
        <w:rPr>
          <w:spacing w:val="4"/>
        </w:rPr>
        <w:t>风险分析方法</w:t>
      </w:r>
      <w:r>
        <w:rPr>
          <w:spacing w:val="-88"/>
        </w:rPr>
        <w:t xml:space="preserve"> </w:t>
      </w:r>
      <w:r>
        <w:tab/>
      </w:r>
      <w:hyperlink w:anchor="bookmark66" w:history="1">
        <w:r>
          <w:rPr>
            <w:rFonts w:ascii="Times New Roman" w:eastAsia="Times New Roman" w:hAnsi="Times New Roman" w:cs="Times New Roman"/>
            <w:spacing w:val="-5"/>
          </w:rPr>
          <w:t>53</w:t>
        </w:r>
      </w:hyperlink>
    </w:p>
    <w:p>
      <w:pPr>
        <w:pStyle w:val="BodyText"/>
        <w:tabs>
          <w:tab w:val="right" w:leader="dot" w:pos="8310"/>
        </w:tabs>
        <w:spacing w:before="232" w:line="220" w:lineRule="auto"/>
        <w:ind w:left="29"/>
        <w:rPr>
          <w:rFonts w:ascii="Times New Roman" w:eastAsia="Times New Roman" w:hAnsi="Times New Roman" w:cs="Times New Roman"/>
        </w:rPr>
      </w:pPr>
      <w:r>
        <w:rPr>
          <w:rFonts w:ascii="Times New Roman" w:eastAsia="Times New Roman" w:hAnsi="Times New Roman" w:cs="Times New Roman"/>
          <w:spacing w:val="7"/>
        </w:rPr>
        <w:t>5.</w:t>
      </w:r>
      <w:r>
        <w:rPr>
          <w:rFonts w:ascii="Times New Roman" w:eastAsia="Times New Roman" w:hAnsi="Times New Roman" w:cs="Times New Roman"/>
          <w:spacing w:val="1"/>
        </w:rPr>
        <w:t xml:space="preserve">      </w:t>
      </w:r>
      <w:r>
        <w:rPr>
          <w:spacing w:val="7"/>
        </w:rPr>
        <w:t>费用效果分析</w:t>
      </w:r>
      <w:r>
        <w:rPr>
          <w:spacing w:val="-83"/>
        </w:rPr>
        <w:t xml:space="preserve"> </w:t>
      </w:r>
      <w:r>
        <w:tab/>
      </w:r>
      <w:hyperlink w:anchor="bookmark67" w:history="1">
        <w:r>
          <w:rPr>
            <w:rFonts w:ascii="Times New Roman" w:eastAsia="Times New Roman" w:hAnsi="Times New Roman" w:cs="Times New Roman"/>
            <w:spacing w:val="-1"/>
          </w:rPr>
          <w:t>55</w:t>
        </w:r>
      </w:hyperlink>
    </w:p>
    <w:p>
      <w:pPr>
        <w:pStyle w:val="BodyText"/>
        <w:tabs>
          <w:tab w:val="right" w:leader="dot" w:pos="8320"/>
        </w:tabs>
        <w:spacing w:before="221" w:line="219" w:lineRule="auto"/>
        <w:ind w:left="459"/>
        <w:rPr>
          <w:rFonts w:ascii="Times New Roman" w:eastAsia="Times New Roman" w:hAnsi="Times New Roman" w:cs="Times New Roman"/>
        </w:rPr>
      </w:pPr>
      <w:r>
        <w:rPr>
          <w:rFonts w:ascii="Times New Roman" w:eastAsia="Times New Roman" w:hAnsi="Times New Roman" w:cs="Times New Roman"/>
          <w:spacing w:val="9"/>
        </w:rPr>
        <w:t xml:space="preserve">5.1   </w:t>
      </w:r>
      <w:r>
        <w:rPr>
          <w:spacing w:val="9"/>
        </w:rPr>
        <w:t>非生产类项目单一方案下的费用效果分析方法</w:t>
      </w:r>
      <w:r>
        <w:rPr>
          <w:spacing w:val="-75"/>
        </w:rPr>
        <w:t xml:space="preserve"> </w:t>
      </w:r>
      <w:r>
        <w:tab/>
      </w:r>
      <w:r>
        <w:rPr>
          <w:spacing w:val="-67"/>
        </w:rPr>
        <w:t xml:space="preserve"> </w:t>
      </w:r>
      <w:hyperlink w:anchor="bookmark68" w:history="1">
        <w:r>
          <w:rPr>
            <w:rFonts w:ascii="Times New Roman" w:eastAsia="Times New Roman" w:hAnsi="Times New Roman" w:cs="Times New Roman"/>
            <w:spacing w:val="-3"/>
          </w:rPr>
          <w:t>55</w:t>
        </w:r>
      </w:hyperlink>
    </w:p>
    <w:p>
      <w:pPr>
        <w:pStyle w:val="BodyText"/>
        <w:tabs>
          <w:tab w:val="right" w:leader="dot" w:pos="8320"/>
        </w:tabs>
        <w:spacing w:before="233" w:line="220" w:lineRule="auto"/>
        <w:ind w:left="459"/>
        <w:rPr>
          <w:rFonts w:ascii="Times New Roman" w:eastAsia="Times New Roman" w:hAnsi="Times New Roman" w:cs="Times New Roman"/>
        </w:rPr>
      </w:pPr>
      <w:r>
        <w:rPr>
          <w:rFonts w:ascii="Times New Roman" w:eastAsia="Times New Roman" w:hAnsi="Times New Roman" w:cs="Times New Roman"/>
          <w:spacing w:val="11"/>
        </w:rPr>
        <w:t xml:space="preserve">5.2   </w:t>
      </w:r>
      <w:r>
        <w:rPr>
          <w:spacing w:val="11"/>
        </w:rPr>
        <w:t>多方案比选中的费用效果分析方法</w:t>
      </w:r>
      <w:r>
        <w:rPr>
          <w:spacing w:val="-73"/>
        </w:rPr>
        <w:t xml:space="preserve"> </w:t>
      </w:r>
      <w:r>
        <w:tab/>
      </w:r>
      <w:r>
        <w:rPr>
          <w:spacing w:val="-67"/>
        </w:rPr>
        <w:t xml:space="preserve"> </w:t>
      </w:r>
      <w:hyperlink w:anchor="bookmark69" w:history="1">
        <w:r>
          <w:rPr>
            <w:rFonts w:ascii="Times New Roman" w:eastAsia="Times New Roman" w:hAnsi="Times New Roman" w:cs="Times New Roman"/>
            <w:spacing w:val="-3"/>
          </w:rPr>
          <w:t>55</w:t>
        </w:r>
      </w:hyperlink>
    </w:p>
    <w:p>
      <w:pPr>
        <w:pStyle w:val="BodyText"/>
        <w:tabs>
          <w:tab w:val="right" w:leader="dot" w:pos="8320"/>
        </w:tabs>
        <w:spacing w:before="229" w:line="218" w:lineRule="auto"/>
        <w:ind w:left="29"/>
        <w:rPr>
          <w:rFonts w:ascii="Times New Roman" w:eastAsia="Times New Roman" w:hAnsi="Times New Roman" w:cs="Times New Roman"/>
        </w:rPr>
      </w:pPr>
      <w:r>
        <w:rPr>
          <w:spacing w:val="10"/>
        </w:rPr>
        <w:t xml:space="preserve">附录 </w:t>
      </w:r>
      <w:r>
        <w:rPr>
          <w:rFonts w:ascii="Times New Roman" w:eastAsia="Times New Roman" w:hAnsi="Times New Roman" w:cs="Times New Roman"/>
          <w:spacing w:val="10"/>
        </w:rPr>
        <w:t>B</w:t>
      </w:r>
      <w:r>
        <w:rPr>
          <w:rFonts w:ascii="Times New Roman" w:eastAsia="Times New Roman" w:hAnsi="Times New Roman" w:cs="Times New Roman"/>
          <w:spacing w:val="18"/>
          <w:w w:val="101"/>
        </w:rPr>
        <w:t xml:space="preserve">  </w:t>
      </w:r>
      <w:r>
        <w:rPr>
          <w:spacing w:val="10"/>
        </w:rPr>
        <w:t>中国移动建设项目经济评价参数编写说明</w:t>
      </w:r>
      <w:r>
        <w:rPr>
          <w:spacing w:val="-92"/>
        </w:rPr>
        <w:t xml:space="preserve"> </w:t>
      </w:r>
      <w:r>
        <w:tab/>
      </w:r>
      <w:hyperlink w:anchor="bookmark70" w:history="1">
        <w:r>
          <w:rPr>
            <w:rFonts w:ascii="Times New Roman" w:eastAsia="Times New Roman" w:hAnsi="Times New Roman" w:cs="Times New Roman"/>
            <w:spacing w:val="-1"/>
          </w:rPr>
          <w:t>58</w:t>
        </w:r>
      </w:hyperlink>
    </w:p>
    <w:p>
      <w:pPr>
        <w:pStyle w:val="BodyText"/>
        <w:tabs>
          <w:tab w:val="right" w:leader="dot" w:pos="8230"/>
        </w:tabs>
        <w:spacing w:before="226" w:line="219" w:lineRule="auto"/>
        <w:ind w:left="29"/>
        <w:rPr>
          <w:rFonts w:ascii="Times New Roman" w:eastAsia="Times New Roman" w:hAnsi="Times New Roman" w:cs="Times New Roman"/>
        </w:rPr>
      </w:pPr>
      <w:r>
        <w:rPr>
          <w:rFonts w:ascii="Times New Roman" w:eastAsia="Times New Roman" w:hAnsi="Times New Roman" w:cs="Times New Roman"/>
          <w:spacing w:val="5"/>
        </w:rPr>
        <w:t>1.</w:t>
      </w:r>
      <w:r>
        <w:rPr>
          <w:rFonts w:ascii="Times New Roman" w:eastAsia="Times New Roman" w:hAnsi="Times New Roman" w:cs="Times New Roman"/>
          <w:spacing w:val="7"/>
        </w:rPr>
        <w:t xml:space="preserve">     </w:t>
      </w:r>
      <w:r>
        <w:rPr>
          <w:spacing w:val="5"/>
        </w:rPr>
        <w:t>计算期</w:t>
      </w:r>
      <w:r>
        <w:rPr>
          <w:spacing w:val="-82"/>
        </w:rPr>
        <w:t xml:space="preserve"> </w:t>
      </w:r>
      <w:r>
        <w:tab/>
      </w:r>
      <w:hyperlink w:anchor="bookmark71" w:history="1">
        <w:r>
          <w:rPr>
            <w:rFonts w:ascii="Times New Roman" w:eastAsia="Times New Roman" w:hAnsi="Times New Roman" w:cs="Times New Roman"/>
            <w:spacing w:val="-1"/>
          </w:rPr>
          <w:t>58</w:t>
        </w:r>
      </w:hyperlink>
    </w:p>
    <w:p>
      <w:pPr>
        <w:pStyle w:val="BodyText"/>
        <w:tabs>
          <w:tab w:val="right" w:leader="dot" w:pos="8310"/>
        </w:tabs>
        <w:spacing w:before="241" w:line="219" w:lineRule="auto"/>
        <w:ind w:left="459"/>
        <w:rPr>
          <w:rFonts w:ascii="Times New Roman" w:eastAsia="Times New Roman" w:hAnsi="Times New Roman" w:cs="Times New Roman"/>
        </w:rPr>
      </w:pPr>
      <w:r>
        <w:rPr>
          <w:rFonts w:ascii="Times New Roman" w:eastAsia="Times New Roman" w:hAnsi="Times New Roman" w:cs="Times New Roman"/>
          <w:spacing w:val="6"/>
        </w:rPr>
        <w:t>1.1</w:t>
      </w:r>
      <w:r>
        <w:rPr>
          <w:rFonts w:ascii="Times New Roman" w:eastAsia="Times New Roman" w:hAnsi="Times New Roman" w:cs="Times New Roman"/>
          <w:spacing w:val="1"/>
        </w:rPr>
        <w:t xml:space="preserve">    </w:t>
      </w:r>
      <w:r>
        <w:rPr>
          <w:spacing w:val="6"/>
        </w:rPr>
        <w:t>计算期的取定依据</w:t>
      </w:r>
      <w:r>
        <w:rPr>
          <w:spacing w:val="-82"/>
        </w:rPr>
        <w:t xml:space="preserve"> </w:t>
      </w:r>
      <w:r>
        <w:tab/>
      </w:r>
      <w:hyperlink w:anchor="bookmark72" w:history="1">
        <w:r>
          <w:rPr>
            <w:rFonts w:ascii="Times New Roman" w:eastAsia="Times New Roman" w:hAnsi="Times New Roman" w:cs="Times New Roman"/>
            <w:spacing w:val="-1"/>
          </w:rPr>
          <w:t>58</w:t>
        </w:r>
      </w:hyperlink>
    </w:p>
    <w:p>
      <w:pPr>
        <w:pStyle w:val="BodyText"/>
        <w:tabs>
          <w:tab w:val="right" w:leader="dot" w:pos="8310"/>
        </w:tabs>
        <w:spacing w:before="234" w:line="219" w:lineRule="auto"/>
        <w:ind w:left="459"/>
        <w:rPr>
          <w:rFonts w:ascii="Times New Roman" w:eastAsia="Times New Roman" w:hAnsi="Times New Roman" w:cs="Times New Roman"/>
        </w:rPr>
      </w:pPr>
      <w:r>
        <w:rPr>
          <w:rFonts w:ascii="Times New Roman" w:eastAsia="Times New Roman" w:hAnsi="Times New Roman" w:cs="Times New Roman"/>
          <w:spacing w:val="7"/>
        </w:rPr>
        <w:t>1.2</w:t>
      </w:r>
      <w:r>
        <w:rPr>
          <w:rFonts w:ascii="Times New Roman" w:eastAsia="Times New Roman" w:hAnsi="Times New Roman" w:cs="Times New Roman"/>
          <w:spacing w:val="18"/>
          <w:w w:val="101"/>
        </w:rPr>
        <w:t xml:space="preserve">   </w:t>
      </w:r>
      <w:r>
        <w:rPr>
          <w:spacing w:val="7"/>
        </w:rPr>
        <w:t>计算期参数使用的注意事项</w:t>
      </w:r>
      <w:r>
        <w:rPr>
          <w:spacing w:val="-82"/>
        </w:rPr>
        <w:t xml:space="preserve"> </w:t>
      </w:r>
      <w:r>
        <w:tab/>
      </w:r>
      <w:hyperlink w:anchor="bookmark73" w:history="1">
        <w:r>
          <w:rPr>
            <w:rFonts w:ascii="Times New Roman" w:eastAsia="Times New Roman" w:hAnsi="Times New Roman" w:cs="Times New Roman"/>
            <w:spacing w:val="-1"/>
          </w:rPr>
          <w:t>58</w:t>
        </w:r>
      </w:hyperlink>
    </w:p>
    <w:p>
      <w:pPr>
        <w:pStyle w:val="BodyText"/>
        <w:tabs>
          <w:tab w:val="right" w:leader="dot" w:pos="8310"/>
        </w:tabs>
        <w:spacing w:before="232" w:line="219" w:lineRule="auto"/>
        <w:ind w:left="29"/>
        <w:rPr>
          <w:rFonts w:ascii="Times New Roman" w:eastAsia="Times New Roman" w:hAnsi="Times New Roman" w:cs="Times New Roman"/>
        </w:rPr>
      </w:pPr>
      <w:r>
        <w:rPr>
          <w:rFonts w:ascii="Times New Roman" w:eastAsia="Times New Roman" w:hAnsi="Times New Roman" w:cs="Times New Roman"/>
          <w:spacing w:val="9"/>
        </w:rPr>
        <w:t xml:space="preserve">2.     </w:t>
      </w:r>
      <w:r>
        <w:rPr>
          <w:spacing w:val="9"/>
        </w:rPr>
        <w:t>主要成本测算参数</w:t>
      </w:r>
      <w:r>
        <w:rPr>
          <w:spacing w:val="-77"/>
        </w:rPr>
        <w:t xml:space="preserve"> </w:t>
      </w:r>
      <w:r>
        <w:tab/>
      </w:r>
      <w:hyperlink w:anchor="bookmark74" w:history="1">
        <w:r>
          <w:rPr>
            <w:rFonts w:ascii="Times New Roman" w:eastAsia="Times New Roman" w:hAnsi="Times New Roman" w:cs="Times New Roman"/>
            <w:spacing w:val="-1"/>
          </w:rPr>
          <w:t>58</w:t>
        </w:r>
      </w:hyperlink>
    </w:p>
    <w:p>
      <w:pPr>
        <w:pStyle w:val="BodyText"/>
        <w:tabs>
          <w:tab w:val="right" w:leader="dot" w:pos="8310"/>
        </w:tabs>
        <w:spacing w:before="224" w:line="219" w:lineRule="auto"/>
        <w:ind w:left="459"/>
        <w:rPr>
          <w:rFonts w:ascii="Times New Roman" w:eastAsia="Times New Roman" w:hAnsi="Times New Roman" w:cs="Times New Roman"/>
        </w:rPr>
      </w:pPr>
      <w:r>
        <w:rPr>
          <w:rFonts w:ascii="Times New Roman" w:eastAsia="Times New Roman" w:hAnsi="Times New Roman" w:cs="Times New Roman"/>
          <w:spacing w:val="5"/>
        </w:rPr>
        <w:t xml:space="preserve">2.1    </w:t>
      </w:r>
      <w:r>
        <w:rPr>
          <w:spacing w:val="5"/>
        </w:rPr>
        <w:t>固定资产残值率</w:t>
      </w:r>
      <w:r>
        <w:rPr>
          <w:spacing w:val="-71"/>
        </w:rPr>
        <w:t xml:space="preserve"> </w:t>
      </w:r>
      <w:r>
        <w:tab/>
      </w:r>
      <w:hyperlink w:anchor="bookmark75" w:history="1">
        <w:r>
          <w:rPr>
            <w:rFonts w:ascii="Times New Roman" w:eastAsia="Times New Roman" w:hAnsi="Times New Roman" w:cs="Times New Roman"/>
            <w:spacing w:val="-1"/>
          </w:rPr>
          <w:t>58</w:t>
        </w:r>
      </w:hyperlink>
    </w:p>
    <w:p>
      <w:pPr>
        <w:pStyle w:val="BodyText"/>
        <w:tabs>
          <w:tab w:val="right" w:leader="dot" w:pos="8310"/>
        </w:tabs>
        <w:spacing w:before="233" w:line="219" w:lineRule="auto"/>
        <w:ind w:left="459"/>
        <w:rPr>
          <w:rFonts w:ascii="Times New Roman" w:eastAsia="Times New Roman" w:hAnsi="Times New Roman" w:cs="Times New Roman"/>
        </w:rPr>
      </w:pPr>
      <w:r>
        <w:rPr>
          <w:rFonts w:ascii="Times New Roman" w:eastAsia="Times New Roman" w:hAnsi="Times New Roman" w:cs="Times New Roman"/>
          <w:spacing w:val="7"/>
        </w:rPr>
        <w:t>2.2</w:t>
      </w:r>
      <w:r>
        <w:rPr>
          <w:rFonts w:ascii="Times New Roman" w:eastAsia="Times New Roman" w:hAnsi="Times New Roman" w:cs="Times New Roman"/>
          <w:spacing w:val="16"/>
        </w:rPr>
        <w:t xml:space="preserve">   </w:t>
      </w:r>
      <w:r>
        <w:rPr>
          <w:spacing w:val="7"/>
        </w:rPr>
        <w:t>所得税率</w:t>
      </w:r>
      <w:r>
        <w:rPr>
          <w:spacing w:val="-79"/>
        </w:rPr>
        <w:t xml:space="preserve"> </w:t>
      </w:r>
      <w:r>
        <w:tab/>
      </w:r>
      <w:hyperlink w:anchor="bookmark76" w:history="1">
        <w:r>
          <w:rPr>
            <w:rFonts w:ascii="Times New Roman" w:eastAsia="Times New Roman" w:hAnsi="Times New Roman" w:cs="Times New Roman"/>
            <w:spacing w:val="-1"/>
          </w:rPr>
          <w:t>59</w:t>
        </w:r>
      </w:hyperlink>
    </w:p>
    <w:p>
      <w:pPr>
        <w:pStyle w:val="BodyText"/>
        <w:tabs>
          <w:tab w:val="right" w:leader="dot" w:pos="8310"/>
        </w:tabs>
        <w:spacing w:before="242" w:line="219" w:lineRule="auto"/>
        <w:ind w:left="459"/>
        <w:rPr>
          <w:rFonts w:ascii="Times New Roman" w:eastAsia="Times New Roman" w:hAnsi="Times New Roman" w:cs="Times New Roman"/>
        </w:rPr>
      </w:pPr>
      <w:r>
        <w:rPr>
          <w:rFonts w:ascii="Times New Roman" w:eastAsia="Times New Roman" w:hAnsi="Times New Roman" w:cs="Times New Roman"/>
          <w:spacing w:val="6"/>
        </w:rPr>
        <w:t>2.3</w:t>
      </w:r>
      <w:r>
        <w:rPr>
          <w:rFonts w:ascii="Times New Roman" w:eastAsia="Times New Roman" w:hAnsi="Times New Roman" w:cs="Times New Roman"/>
          <w:spacing w:val="1"/>
        </w:rPr>
        <w:t xml:space="preserve">    </w:t>
      </w:r>
      <w:r>
        <w:rPr>
          <w:spacing w:val="6"/>
        </w:rPr>
        <w:t>折旧年限</w:t>
      </w:r>
      <w:r>
        <w:rPr>
          <w:spacing w:val="-78"/>
        </w:rPr>
        <w:t xml:space="preserve"> </w:t>
      </w:r>
      <w:r>
        <w:tab/>
      </w:r>
      <w:hyperlink w:anchor="bookmark77" w:history="1">
        <w:r>
          <w:rPr>
            <w:rFonts w:ascii="Times New Roman" w:eastAsia="Times New Roman" w:hAnsi="Times New Roman" w:cs="Times New Roman"/>
            <w:spacing w:val="-1"/>
          </w:rPr>
          <w:t>59</w:t>
        </w:r>
      </w:hyperlink>
    </w:p>
    <w:p>
      <w:pPr>
        <w:pStyle w:val="BodyText"/>
        <w:tabs>
          <w:tab w:val="right" w:leader="dot" w:pos="8300"/>
        </w:tabs>
        <w:spacing w:before="223" w:line="219" w:lineRule="auto"/>
        <w:ind w:left="459"/>
        <w:rPr>
          <w:rFonts w:ascii="Times New Roman" w:eastAsia="Times New Roman" w:hAnsi="Times New Roman" w:cs="Times New Roman"/>
        </w:rPr>
      </w:pPr>
      <w:r>
        <w:rPr>
          <w:rFonts w:ascii="Times New Roman" w:eastAsia="Times New Roman" w:hAnsi="Times New Roman" w:cs="Times New Roman"/>
          <w:spacing w:val="8"/>
        </w:rPr>
        <w:t>2.4</w:t>
      </w:r>
      <w:r>
        <w:rPr>
          <w:rFonts w:ascii="Times New Roman" w:eastAsia="Times New Roman" w:hAnsi="Times New Roman" w:cs="Times New Roman"/>
          <w:spacing w:val="16"/>
        </w:rPr>
        <w:t xml:space="preserve">   </w:t>
      </w:r>
      <w:r>
        <w:rPr>
          <w:spacing w:val="8"/>
        </w:rPr>
        <w:t>增值税销项税率</w:t>
      </w:r>
      <w:r>
        <w:rPr>
          <w:spacing w:val="-89"/>
        </w:rPr>
        <w:t xml:space="preserve"> </w:t>
      </w:r>
      <w:r>
        <w:tab/>
      </w:r>
      <w:hyperlink w:anchor="bookmark78" w:history="1">
        <w:r>
          <w:rPr>
            <w:rFonts w:ascii="Times New Roman" w:eastAsia="Times New Roman" w:hAnsi="Times New Roman" w:cs="Times New Roman"/>
            <w:spacing w:val="-1"/>
          </w:rPr>
          <w:t>59</w:t>
        </w:r>
      </w:hyperlink>
    </w:p>
    <w:p>
      <w:pPr>
        <w:pStyle w:val="BodyText"/>
        <w:tabs>
          <w:tab w:val="right" w:leader="dot" w:pos="8310"/>
        </w:tabs>
        <w:spacing w:before="232" w:line="219" w:lineRule="auto"/>
        <w:ind w:left="459"/>
        <w:rPr>
          <w:rFonts w:ascii="Times New Roman" w:eastAsia="Times New Roman" w:hAnsi="Times New Roman" w:cs="Times New Roman"/>
        </w:rPr>
      </w:pPr>
      <w:r>
        <w:rPr>
          <w:rFonts w:ascii="Times New Roman" w:eastAsia="Times New Roman" w:hAnsi="Times New Roman" w:cs="Times New Roman"/>
          <w:spacing w:val="8"/>
        </w:rPr>
        <w:t>2.5</w:t>
      </w:r>
      <w:r>
        <w:rPr>
          <w:rFonts w:ascii="Times New Roman" w:eastAsia="Times New Roman" w:hAnsi="Times New Roman" w:cs="Times New Roman"/>
          <w:spacing w:val="1"/>
        </w:rPr>
        <w:t xml:space="preserve">    </w:t>
      </w:r>
      <w:r>
        <w:rPr>
          <w:spacing w:val="8"/>
        </w:rPr>
        <w:t>城市维护建设税及教育费附加</w:t>
      </w:r>
      <w:r>
        <w:rPr>
          <w:spacing w:val="-84"/>
        </w:rPr>
        <w:t xml:space="preserve"> </w:t>
      </w:r>
      <w:r>
        <w:tab/>
      </w:r>
      <w:r>
        <w:rPr>
          <w:spacing w:val="-17"/>
        </w:rPr>
        <w:t xml:space="preserve"> </w:t>
      </w:r>
      <w:hyperlink w:anchor="bookmark79" w:history="1">
        <w:r>
          <w:rPr>
            <w:rFonts w:ascii="Times New Roman" w:eastAsia="Times New Roman" w:hAnsi="Times New Roman" w:cs="Times New Roman"/>
            <w:spacing w:val="-3"/>
          </w:rPr>
          <w:t>60</w:t>
        </w:r>
      </w:hyperlink>
    </w:p>
    <w:p>
      <w:pPr>
        <w:pStyle w:val="BodyText"/>
        <w:tabs>
          <w:tab w:val="right" w:leader="dot" w:pos="8300"/>
        </w:tabs>
        <w:spacing w:before="224" w:line="220" w:lineRule="auto"/>
        <w:ind w:left="29"/>
        <w:rPr>
          <w:rFonts w:ascii="Times New Roman" w:eastAsia="Times New Roman" w:hAnsi="Times New Roman" w:cs="Times New Roman"/>
        </w:rPr>
      </w:pPr>
      <w:r>
        <w:rPr>
          <w:rFonts w:ascii="Times New Roman" w:eastAsia="Times New Roman" w:hAnsi="Times New Roman" w:cs="Times New Roman"/>
          <w:spacing w:val="10"/>
        </w:rPr>
        <w:t>3.</w:t>
      </w:r>
      <w:r>
        <w:rPr>
          <w:rFonts w:ascii="Times New Roman" w:eastAsia="Times New Roman" w:hAnsi="Times New Roman" w:cs="Times New Roman"/>
          <w:spacing w:val="7"/>
        </w:rPr>
        <w:t xml:space="preserve">     </w:t>
      </w:r>
      <w:r>
        <w:rPr>
          <w:spacing w:val="10"/>
        </w:rPr>
        <w:t>流动资金</w:t>
      </w:r>
      <w:r>
        <w:rPr>
          <w:spacing w:val="-76"/>
        </w:rPr>
        <w:t xml:space="preserve"> </w:t>
      </w:r>
      <w:r>
        <w:tab/>
      </w:r>
      <w:hyperlink w:anchor="bookmark80" w:history="1">
        <w:r>
          <w:rPr>
            <w:rFonts w:ascii="Times New Roman" w:eastAsia="Times New Roman" w:hAnsi="Times New Roman" w:cs="Times New Roman"/>
            <w:spacing w:val="-1"/>
          </w:rPr>
          <w:t>60</w:t>
        </w:r>
      </w:hyperlink>
    </w:p>
    <w:p>
      <w:pPr>
        <w:pStyle w:val="BodyText"/>
        <w:tabs>
          <w:tab w:val="right" w:leader="dot" w:pos="8300"/>
        </w:tabs>
        <w:spacing w:before="231" w:line="219" w:lineRule="auto"/>
        <w:ind w:left="459"/>
        <w:rPr>
          <w:rFonts w:ascii="Times New Roman" w:eastAsia="Times New Roman" w:hAnsi="Times New Roman" w:cs="Times New Roman"/>
        </w:rPr>
      </w:pPr>
      <w:r>
        <w:rPr>
          <w:rFonts w:ascii="Times New Roman" w:eastAsia="Times New Roman" w:hAnsi="Times New Roman" w:cs="Times New Roman"/>
          <w:spacing w:val="8"/>
        </w:rPr>
        <w:t xml:space="preserve">3.1   </w:t>
      </w:r>
      <w:r>
        <w:rPr>
          <w:spacing w:val="8"/>
        </w:rPr>
        <w:t>通信企业流动资金分析</w:t>
      </w:r>
      <w:r>
        <w:rPr>
          <w:spacing w:val="-79"/>
        </w:rPr>
        <w:t xml:space="preserve"> </w:t>
      </w:r>
      <w:r>
        <w:tab/>
      </w:r>
      <w:hyperlink w:anchor="bookmark81" w:history="1">
        <w:r>
          <w:rPr>
            <w:rFonts w:ascii="Times New Roman" w:eastAsia="Times New Roman" w:hAnsi="Times New Roman" w:cs="Times New Roman"/>
            <w:spacing w:val="-1"/>
          </w:rPr>
          <w:t>60</w:t>
        </w:r>
      </w:hyperlink>
    </w:p>
    <w:p>
      <w:pPr>
        <w:pStyle w:val="BodyText"/>
        <w:tabs>
          <w:tab w:val="right" w:leader="dot" w:pos="8330"/>
        </w:tabs>
        <w:spacing w:before="223" w:line="219" w:lineRule="auto"/>
        <w:ind w:left="459"/>
        <w:rPr>
          <w:rFonts w:ascii="Times New Roman" w:eastAsia="Times New Roman" w:hAnsi="Times New Roman" w:cs="Times New Roman"/>
        </w:rPr>
      </w:pPr>
      <w:r>
        <w:rPr>
          <w:rFonts w:ascii="Times New Roman" w:eastAsia="Times New Roman" w:hAnsi="Times New Roman" w:cs="Times New Roman"/>
          <w:spacing w:val="7"/>
        </w:rPr>
        <w:t>3.2</w:t>
      </w:r>
      <w:r>
        <w:rPr>
          <w:rFonts w:ascii="Times New Roman" w:eastAsia="Times New Roman" w:hAnsi="Times New Roman" w:cs="Times New Roman"/>
          <w:spacing w:val="16"/>
          <w:w w:val="101"/>
        </w:rPr>
        <w:t xml:space="preserve">   </w:t>
      </w:r>
      <w:r>
        <w:rPr>
          <w:spacing w:val="7"/>
        </w:rPr>
        <w:t>项目流动资金的分项测算</w:t>
      </w:r>
      <w:r>
        <w:rPr>
          <w:spacing w:val="-79"/>
        </w:rPr>
        <w:t xml:space="preserve"> </w:t>
      </w:r>
      <w:r>
        <w:tab/>
      </w:r>
      <w:hyperlink w:anchor="bookmark82" w:history="1">
        <w:r>
          <w:rPr>
            <w:rFonts w:ascii="Times New Roman" w:eastAsia="Times New Roman" w:hAnsi="Times New Roman" w:cs="Times New Roman"/>
            <w:spacing w:val="-1"/>
          </w:rPr>
          <w:t>61</w:t>
        </w:r>
      </w:hyperlink>
    </w:p>
    <w:p>
      <w:pPr>
        <w:pStyle w:val="BodyText"/>
        <w:tabs>
          <w:tab w:val="right" w:leader="dot" w:pos="8320"/>
        </w:tabs>
        <w:spacing w:before="253" w:line="219" w:lineRule="auto"/>
        <w:ind w:left="879"/>
        <w:rPr>
          <w:rFonts w:ascii="Times New Roman" w:eastAsia="Times New Roman" w:hAnsi="Times New Roman" w:cs="Times New Roman"/>
        </w:rPr>
      </w:pPr>
      <w:r>
        <w:rPr>
          <w:rFonts w:ascii="Times New Roman" w:eastAsia="Times New Roman" w:hAnsi="Times New Roman" w:cs="Times New Roman"/>
          <w:spacing w:val="6"/>
        </w:rPr>
        <w:t>3.2.1</w:t>
      </w:r>
      <w:r>
        <w:rPr>
          <w:rFonts w:ascii="Times New Roman" w:eastAsia="Times New Roman" w:hAnsi="Times New Roman" w:cs="Times New Roman"/>
          <w:spacing w:val="16"/>
          <w:w w:val="101"/>
        </w:rPr>
        <w:t xml:space="preserve">   </w:t>
      </w:r>
      <w:r>
        <w:rPr>
          <w:spacing w:val="6"/>
        </w:rPr>
        <w:t>流动资产分项测算</w:t>
      </w:r>
      <w:r>
        <w:rPr>
          <w:spacing w:val="-79"/>
        </w:rPr>
        <w:t xml:space="preserve"> </w:t>
      </w:r>
      <w:r>
        <w:tab/>
      </w:r>
      <w:hyperlink w:anchor="bookmark83" w:history="1">
        <w:r>
          <w:rPr>
            <w:rFonts w:ascii="Times New Roman" w:eastAsia="Times New Roman" w:hAnsi="Times New Roman" w:cs="Times New Roman"/>
            <w:spacing w:val="-1"/>
          </w:rPr>
          <w:t>61</w:t>
        </w:r>
      </w:hyperlink>
    </w:p>
    <w:p>
      <w:pPr>
        <w:pStyle w:val="BodyText"/>
        <w:tabs>
          <w:tab w:val="right" w:leader="dot" w:pos="8310"/>
        </w:tabs>
        <w:spacing w:before="232" w:line="219" w:lineRule="auto"/>
        <w:ind w:left="879"/>
        <w:rPr>
          <w:rFonts w:ascii="Times New Roman" w:eastAsia="Times New Roman" w:hAnsi="Times New Roman" w:cs="Times New Roman"/>
        </w:rPr>
      </w:pPr>
      <w:r>
        <w:rPr>
          <w:rFonts w:ascii="Times New Roman" w:eastAsia="Times New Roman" w:hAnsi="Times New Roman" w:cs="Times New Roman"/>
          <w:spacing w:val="5"/>
        </w:rPr>
        <w:t>3.2.2</w:t>
      </w:r>
      <w:r>
        <w:rPr>
          <w:rFonts w:ascii="Times New Roman" w:eastAsia="Times New Roman" w:hAnsi="Times New Roman" w:cs="Times New Roman"/>
          <w:spacing w:val="17"/>
          <w:w w:val="101"/>
        </w:rPr>
        <w:t xml:space="preserve">   </w:t>
      </w:r>
      <w:r>
        <w:rPr>
          <w:spacing w:val="5"/>
        </w:rPr>
        <w:t>流动负债分项测算</w:t>
      </w:r>
      <w:r>
        <w:rPr>
          <w:spacing w:val="-79"/>
        </w:rPr>
        <w:t xml:space="preserve"> </w:t>
      </w:r>
      <w:r>
        <w:tab/>
      </w:r>
      <w:hyperlink w:anchor="bookmark84" w:history="1">
        <w:r>
          <w:rPr>
            <w:rFonts w:ascii="Times New Roman" w:eastAsia="Times New Roman" w:hAnsi="Times New Roman" w:cs="Times New Roman"/>
            <w:spacing w:val="-1"/>
          </w:rPr>
          <w:t>62</w:t>
        </w:r>
      </w:hyperlink>
    </w:p>
    <w:p>
      <w:pPr>
        <w:pStyle w:val="BodyText"/>
        <w:tabs>
          <w:tab w:val="right" w:leader="dot" w:pos="8310"/>
        </w:tabs>
        <w:spacing w:before="213" w:line="219" w:lineRule="auto"/>
        <w:ind w:left="879"/>
        <w:rPr>
          <w:rFonts w:ascii="Times New Roman" w:eastAsia="Times New Roman" w:hAnsi="Times New Roman" w:cs="Times New Roman"/>
        </w:rPr>
      </w:pPr>
      <w:r>
        <w:rPr>
          <w:rFonts w:ascii="Times New Roman" w:eastAsia="Times New Roman" w:hAnsi="Times New Roman" w:cs="Times New Roman"/>
          <w:spacing w:val="7"/>
        </w:rPr>
        <w:t xml:space="preserve">3.2.3   </w:t>
      </w:r>
      <w:r>
        <w:rPr>
          <w:spacing w:val="7"/>
        </w:rPr>
        <w:t>流动资金测算及参数取定</w:t>
      </w:r>
      <w:r>
        <w:rPr>
          <w:spacing w:val="-74"/>
        </w:rPr>
        <w:t xml:space="preserve"> </w:t>
      </w:r>
      <w:r>
        <w:tab/>
      </w:r>
      <w:hyperlink w:anchor="bookmark85" w:history="1">
        <w:r>
          <w:rPr>
            <w:rFonts w:ascii="Times New Roman" w:eastAsia="Times New Roman" w:hAnsi="Times New Roman" w:cs="Times New Roman"/>
            <w:spacing w:val="-1"/>
          </w:rPr>
          <w:t>62</w:t>
        </w:r>
      </w:hyperlink>
    </w:p>
    <w:p>
      <w:pPr>
        <w:spacing w:line="219" w:lineRule="auto"/>
        <w:rPr>
          <w:rFonts w:ascii="Times New Roman" w:eastAsia="Times New Roman" w:hAnsi="Times New Roman" w:cs="Times New Roman"/>
        </w:rPr>
        <w:sectPr>
          <w:headerReference w:type="default" r:id="rId6"/>
          <w:pgSz w:w="11910" w:h="16840"/>
          <w:pgMar w:top="1179" w:right="1759" w:bottom="0" w:left="1740" w:header="1170" w:footer="0" w:gutter="0"/>
          <w:pgNumType w:start="3"/>
          <w:cols w:space="708"/>
        </w:sectPr>
      </w:pPr>
    </w:p>
    <w:p>
      <w:pPr>
        <w:spacing w:line="321" w:lineRule="auto"/>
      </w:pPr>
    </w:p>
    <w:p>
      <w:pPr>
        <w:pStyle w:val="BodyText"/>
        <w:tabs>
          <w:tab w:val="right" w:leader="dot" w:pos="8280"/>
        </w:tabs>
        <w:spacing w:before="65" w:line="219" w:lineRule="auto"/>
        <w:ind w:left="30"/>
        <w:rPr>
          <w:rFonts w:ascii="Times New Roman" w:eastAsia="Times New Roman" w:hAnsi="Times New Roman" w:cs="Times New Roman"/>
        </w:rPr>
      </w:pPr>
      <w:r>
        <w:rPr>
          <w:rFonts w:ascii="Times New Roman" w:eastAsia="Times New Roman" w:hAnsi="Times New Roman" w:cs="Times New Roman"/>
          <w:spacing w:val="6"/>
        </w:rPr>
        <w:t xml:space="preserve">4.     </w:t>
      </w:r>
      <w:r>
        <w:rPr>
          <w:spacing w:val="6"/>
        </w:rPr>
        <w:t>财务基准收益率</w:t>
      </w:r>
      <w:r>
        <w:rPr>
          <w:spacing w:val="-75"/>
        </w:rPr>
        <w:t xml:space="preserve"> </w:t>
      </w:r>
      <w:r>
        <w:tab/>
      </w:r>
      <w:hyperlink w:anchor="bookmark86" w:history="1">
        <w:r>
          <w:rPr>
            <w:rFonts w:ascii="Times New Roman" w:eastAsia="Times New Roman" w:hAnsi="Times New Roman" w:cs="Times New Roman"/>
            <w:spacing w:val="-1"/>
          </w:rPr>
          <w:t>62</w:t>
        </w:r>
      </w:hyperlink>
    </w:p>
    <w:p>
      <w:pPr>
        <w:pStyle w:val="BodyText"/>
        <w:tabs>
          <w:tab w:val="right" w:leader="dot" w:pos="8280"/>
        </w:tabs>
        <w:spacing w:before="232" w:line="219" w:lineRule="auto"/>
        <w:ind w:left="450"/>
        <w:rPr>
          <w:rFonts w:ascii="Times New Roman" w:eastAsia="Times New Roman" w:hAnsi="Times New Roman" w:cs="Times New Roman"/>
        </w:rPr>
      </w:pPr>
      <w:r>
        <w:rPr>
          <w:rFonts w:ascii="Times New Roman" w:eastAsia="Times New Roman" w:hAnsi="Times New Roman" w:cs="Times New Roman"/>
          <w:spacing w:val="8"/>
        </w:rPr>
        <w:t xml:space="preserve">4.1   </w:t>
      </w:r>
      <w:r>
        <w:rPr>
          <w:spacing w:val="8"/>
        </w:rPr>
        <w:t>财务基准收益率的测定原则</w:t>
      </w:r>
      <w:r>
        <w:rPr>
          <w:spacing w:val="-76"/>
        </w:rPr>
        <w:t xml:space="preserve"> </w:t>
      </w:r>
      <w:r>
        <w:tab/>
      </w:r>
      <w:hyperlink w:anchor="bookmark87" w:history="1">
        <w:r>
          <w:rPr>
            <w:rFonts w:ascii="Times New Roman" w:eastAsia="Times New Roman" w:hAnsi="Times New Roman" w:cs="Times New Roman"/>
          </w:rPr>
          <w:t>62</w:t>
        </w:r>
      </w:hyperlink>
    </w:p>
    <w:p>
      <w:pPr>
        <w:pStyle w:val="BodyText"/>
        <w:tabs>
          <w:tab w:val="right" w:leader="dot" w:pos="8300"/>
        </w:tabs>
        <w:spacing w:before="232" w:line="219" w:lineRule="auto"/>
        <w:ind w:left="450"/>
        <w:rPr>
          <w:rFonts w:ascii="Times New Roman" w:eastAsia="Times New Roman" w:hAnsi="Times New Roman" w:cs="Times New Roman"/>
        </w:rPr>
      </w:pPr>
      <w:r>
        <w:rPr>
          <w:rFonts w:ascii="Times New Roman" w:eastAsia="Times New Roman" w:hAnsi="Times New Roman" w:cs="Times New Roman"/>
          <w:spacing w:val="8"/>
        </w:rPr>
        <w:t xml:space="preserve">4.2   </w:t>
      </w:r>
      <w:r>
        <w:rPr>
          <w:spacing w:val="8"/>
        </w:rPr>
        <w:t>财务基准收益率的测算方法</w:t>
      </w:r>
      <w:r>
        <w:rPr>
          <w:spacing w:val="-65"/>
        </w:rPr>
        <w:t xml:space="preserve"> </w:t>
      </w:r>
      <w:r>
        <w:tab/>
      </w:r>
      <w:hyperlink w:anchor="bookmark88" w:history="1">
        <w:r>
          <w:rPr>
            <w:rFonts w:ascii="Times New Roman" w:eastAsia="Times New Roman" w:hAnsi="Times New Roman" w:cs="Times New Roman"/>
            <w:spacing w:val="-1"/>
          </w:rPr>
          <w:t>63</w:t>
        </w:r>
      </w:hyperlink>
    </w:p>
    <w:p>
      <w:pPr>
        <w:pStyle w:val="BodyText"/>
        <w:tabs>
          <w:tab w:val="right" w:leader="dot" w:pos="8290"/>
        </w:tabs>
        <w:spacing w:before="221" w:line="219" w:lineRule="auto"/>
        <w:ind w:left="870"/>
        <w:rPr>
          <w:rFonts w:ascii="Times New Roman" w:eastAsia="Times New Roman" w:hAnsi="Times New Roman" w:cs="Times New Roman"/>
        </w:rPr>
      </w:pPr>
      <w:r>
        <w:rPr>
          <w:rFonts w:ascii="Times New Roman" w:eastAsia="Times New Roman" w:hAnsi="Times New Roman" w:cs="Times New Roman"/>
          <w:spacing w:val="7"/>
        </w:rPr>
        <w:t xml:space="preserve">4.2.1   </w:t>
      </w:r>
      <w:r>
        <w:rPr>
          <w:spacing w:val="7"/>
        </w:rPr>
        <w:t>加权平均资本成本法</w:t>
      </w:r>
      <w:r>
        <w:rPr>
          <w:spacing w:val="-70"/>
        </w:rPr>
        <w:t xml:space="preserve"> </w:t>
      </w:r>
      <w:r>
        <w:tab/>
      </w:r>
      <w:hyperlink w:anchor="bookmark89" w:history="1">
        <w:r>
          <w:rPr>
            <w:rFonts w:ascii="Times New Roman" w:eastAsia="Times New Roman" w:hAnsi="Times New Roman" w:cs="Times New Roman"/>
            <w:spacing w:val="-1"/>
          </w:rPr>
          <w:t>63</w:t>
        </w:r>
      </w:hyperlink>
    </w:p>
    <w:p>
      <w:pPr>
        <w:pStyle w:val="BodyText"/>
        <w:tabs>
          <w:tab w:val="right" w:leader="dot" w:pos="8290"/>
        </w:tabs>
        <w:spacing w:before="234" w:line="219" w:lineRule="auto"/>
        <w:ind w:left="870"/>
        <w:rPr>
          <w:rFonts w:ascii="Times New Roman" w:eastAsia="Times New Roman" w:hAnsi="Times New Roman" w:cs="Times New Roman"/>
        </w:rPr>
      </w:pPr>
      <w:r>
        <w:rPr>
          <w:rFonts w:ascii="Times New Roman" w:eastAsia="Times New Roman" w:hAnsi="Times New Roman" w:cs="Times New Roman"/>
          <w:spacing w:val="6"/>
        </w:rPr>
        <w:t>4.2.2</w:t>
      </w:r>
      <w:r>
        <w:rPr>
          <w:rFonts w:ascii="Times New Roman" w:eastAsia="Times New Roman" w:hAnsi="Times New Roman" w:cs="Times New Roman"/>
          <w:spacing w:val="14"/>
        </w:rPr>
        <w:t xml:space="preserve">   </w:t>
      </w:r>
      <w:r>
        <w:rPr>
          <w:spacing w:val="6"/>
        </w:rPr>
        <w:t>典型项目实际测算法</w:t>
      </w:r>
      <w:r>
        <w:rPr>
          <w:spacing w:val="-77"/>
        </w:rPr>
        <w:t xml:space="preserve"> </w:t>
      </w:r>
      <w:r>
        <w:tab/>
      </w:r>
      <w:hyperlink w:anchor="bookmark90" w:history="1">
        <w:r>
          <w:rPr>
            <w:rFonts w:ascii="Times New Roman" w:eastAsia="Times New Roman" w:hAnsi="Times New Roman" w:cs="Times New Roman"/>
            <w:spacing w:val="-1"/>
          </w:rPr>
          <w:t>64</w:t>
        </w:r>
      </w:hyperlink>
    </w:p>
    <w:p>
      <w:pPr>
        <w:pStyle w:val="BodyText"/>
        <w:tabs>
          <w:tab w:val="right" w:leader="dot" w:pos="8230"/>
        </w:tabs>
        <w:spacing w:before="233" w:line="219" w:lineRule="auto"/>
        <w:ind w:left="870"/>
        <w:rPr>
          <w:rFonts w:ascii="Times New Roman" w:eastAsia="Times New Roman" w:hAnsi="Times New Roman" w:cs="Times New Roman"/>
        </w:rPr>
      </w:pPr>
      <w:r>
        <w:rPr>
          <w:rFonts w:ascii="Times New Roman" w:eastAsia="Times New Roman" w:hAnsi="Times New Roman" w:cs="Times New Roman"/>
          <w:spacing w:val="5"/>
        </w:rPr>
        <w:t xml:space="preserve">4.2.3   </w:t>
      </w:r>
      <w:r>
        <w:rPr>
          <w:spacing w:val="5"/>
        </w:rPr>
        <w:t>专家意见法</w:t>
      </w:r>
      <w:r>
        <w:rPr>
          <w:spacing w:val="-66"/>
        </w:rPr>
        <w:t xml:space="preserve"> </w:t>
      </w:r>
      <w:r>
        <w:tab/>
      </w:r>
      <w:hyperlink w:anchor="bookmark91" w:history="1">
        <w:r>
          <w:rPr>
            <w:rFonts w:ascii="Times New Roman" w:eastAsia="Times New Roman" w:hAnsi="Times New Roman" w:cs="Times New Roman"/>
            <w:spacing w:val="-1"/>
          </w:rPr>
          <w:t>65</w:t>
        </w:r>
      </w:hyperlink>
    </w:p>
    <w:p>
      <w:pPr>
        <w:pStyle w:val="BodyText"/>
        <w:tabs>
          <w:tab w:val="right" w:leader="dot" w:pos="8230"/>
        </w:tabs>
        <w:spacing w:before="232" w:line="219" w:lineRule="auto"/>
        <w:ind w:left="870"/>
        <w:rPr>
          <w:rFonts w:ascii="Times New Roman" w:eastAsia="Times New Roman" w:hAnsi="Times New Roman" w:cs="Times New Roman"/>
        </w:rPr>
      </w:pPr>
      <w:r>
        <w:rPr>
          <w:rFonts w:ascii="Times New Roman" w:eastAsia="Times New Roman" w:hAnsi="Times New Roman" w:cs="Times New Roman"/>
          <w:spacing w:val="7"/>
        </w:rPr>
        <w:t xml:space="preserve">4.2.4   </w:t>
      </w:r>
      <w:r>
        <w:rPr>
          <w:spacing w:val="7"/>
        </w:rPr>
        <w:t>财务基准收益率的确定</w:t>
      </w:r>
      <w:r>
        <w:rPr>
          <w:spacing w:val="-78"/>
        </w:rPr>
        <w:t xml:space="preserve"> </w:t>
      </w:r>
      <w:r>
        <w:tab/>
      </w:r>
      <w:r>
        <w:rPr>
          <w:spacing w:val="-7"/>
        </w:rPr>
        <w:t xml:space="preserve"> </w:t>
      </w:r>
      <w:hyperlink w:anchor="bookmark92" w:history="1">
        <w:r>
          <w:rPr>
            <w:rFonts w:ascii="Times New Roman" w:eastAsia="Times New Roman" w:hAnsi="Times New Roman" w:cs="Times New Roman"/>
            <w:spacing w:val="-3"/>
          </w:rPr>
          <w:t>65</w:t>
        </w:r>
      </w:hyperlink>
    </w:p>
    <w:p>
      <w:pPr>
        <w:pStyle w:val="BodyText"/>
        <w:tabs>
          <w:tab w:val="right" w:leader="dot" w:pos="8300"/>
        </w:tabs>
        <w:spacing w:before="232" w:line="219" w:lineRule="auto"/>
        <w:ind w:left="30"/>
        <w:rPr>
          <w:rFonts w:ascii="Times New Roman" w:eastAsia="Times New Roman" w:hAnsi="Times New Roman" w:cs="Times New Roman"/>
        </w:rPr>
      </w:pPr>
      <w:r>
        <w:rPr>
          <w:spacing w:val="3"/>
        </w:rPr>
        <w:t xml:space="preserve">附录 </w:t>
      </w:r>
      <w:r>
        <w:rPr>
          <w:rFonts w:ascii="Times New Roman" w:eastAsia="Times New Roman" w:hAnsi="Times New Roman" w:cs="Times New Roman"/>
          <w:spacing w:val="3"/>
        </w:rPr>
        <w:t xml:space="preserve">C      </w:t>
      </w:r>
      <w:r>
        <w:rPr>
          <w:spacing w:val="3"/>
        </w:rPr>
        <w:t>参考文献</w:t>
      </w:r>
      <w:r>
        <w:rPr>
          <w:spacing w:val="-67"/>
        </w:rPr>
        <w:t xml:space="preserve"> </w:t>
      </w:r>
      <w:r>
        <w:tab/>
      </w:r>
      <w:hyperlink w:anchor="bookmark93" w:history="1">
        <w:r>
          <w:rPr>
            <w:rFonts w:ascii="Times New Roman" w:eastAsia="Times New Roman" w:hAnsi="Times New Roman" w:cs="Times New Roman"/>
            <w:spacing w:val="-1"/>
          </w:rPr>
          <w:t>65</w:t>
        </w:r>
      </w:hyperlink>
    </w:p>
    <w:p>
      <w:pPr>
        <w:spacing w:line="219" w:lineRule="auto"/>
        <w:rPr>
          <w:rFonts w:ascii="Times New Roman" w:eastAsia="Times New Roman" w:hAnsi="Times New Roman" w:cs="Times New Roman"/>
        </w:rPr>
        <w:sectPr>
          <w:headerReference w:type="default" r:id="rId7"/>
          <w:pgSz w:w="11910" w:h="16840"/>
          <w:pgMar w:top="1190" w:right="1750" w:bottom="0" w:left="1759" w:header="1179" w:footer="0" w:gutter="0"/>
          <w:pgNumType w:start="4"/>
          <w:cols w:space="708"/>
        </w:sectPr>
      </w:pPr>
    </w:p>
    <w:p>
      <w:pPr>
        <w:spacing w:before="193"/>
      </w:pPr>
    </w:p>
    <w:tbl>
      <w:tblPr>
        <w:tblStyle w:val="TableNormal0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80"/>
        <w:gridCol w:w="271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spacing w:before="51" w:line="215" w:lineRule="auto"/>
              <w:ind w:left="123"/>
              <w:rPr>
                <w:rFonts w:ascii="宋体" w:eastAsia="宋体" w:hAnsi="宋体" w:cs="宋体"/>
                <w:sz w:val="24"/>
                <w:szCs w:val="24"/>
              </w:rPr>
            </w:pPr>
            <w:bookmarkStart w:id="5" w:name="bookmark6"/>
            <w:bookmarkEnd w:id="5"/>
            <w:r>
              <w:rPr>
                <w:rFonts w:ascii="宋体" w:eastAsia="宋体" w:hAnsi="宋体" w:cs="宋体"/>
                <w:b/>
                <w:bCs/>
                <w:spacing w:val="-5"/>
                <w:sz w:val="24"/>
                <w:szCs w:val="24"/>
              </w:rPr>
              <w:t>编号：</w:t>
            </w:r>
          </w:p>
          <w:p>
            <w:pPr>
              <w:spacing w:line="219" w:lineRule="auto"/>
              <w:ind w:left="143"/>
              <w:rPr>
                <w:rFonts w:ascii="宋体" w:eastAsia="宋体" w:hAnsi="宋体" w:cs="宋体"/>
                <w:sz w:val="24"/>
                <w:szCs w:val="24"/>
              </w:rPr>
            </w:pPr>
            <w:r>
              <w:rPr>
                <w:rFonts w:ascii="宋体" w:eastAsia="宋体" w:hAnsi="宋体" w:cs="宋体"/>
                <w:b/>
                <w:bCs/>
                <w:sz w:val="24"/>
                <w:szCs w:val="24"/>
              </w:rPr>
              <w:t>时间：2021年x月x日</w:t>
            </w:r>
          </w:p>
        </w:tc>
        <w:tc>
          <w:tcPr>
            <w:tcW w:w="4680" w:type="dxa"/>
          </w:tcPr>
          <w:p>
            <w:pPr>
              <w:spacing w:line="250" w:lineRule="auto"/>
            </w:pPr>
          </w:p>
          <w:p>
            <w:pPr>
              <w:spacing w:before="78" w:line="219" w:lineRule="auto"/>
              <w:ind w:left="268"/>
              <w:rPr>
                <w:rFonts w:ascii="宋体" w:eastAsia="宋体" w:hAnsi="宋体" w:cs="宋体"/>
                <w:sz w:val="24"/>
                <w:szCs w:val="24"/>
              </w:rPr>
            </w:pPr>
            <w:r>
              <w:rPr>
                <w:rFonts w:ascii="宋体" w:eastAsia="宋体" w:hAnsi="宋体" w:cs="宋体"/>
                <w:b/>
                <w:bCs/>
                <w:color w:val="F30000"/>
                <w:spacing w:val="-4"/>
                <w:sz w:val="24"/>
                <w:szCs w:val="24"/>
              </w:rPr>
              <w:t>书山有路勤为径，学海无涯苦作舟</w:t>
            </w:r>
          </w:p>
        </w:tc>
        <w:tc>
          <w:tcPr>
            <w:tcW w:w="271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页码：第1页共70页</w:t>
            </w:r>
          </w:p>
        </w:tc>
      </w:tr>
    </w:tbl>
    <w:p>
      <w:pPr>
        <w:spacing w:line="293" w:lineRule="auto"/>
      </w:pPr>
    </w:p>
    <w:p>
      <w:pPr>
        <w:spacing w:line="294" w:lineRule="auto"/>
      </w:pPr>
    </w:p>
    <w:p>
      <w:pPr>
        <w:spacing w:before="68" w:line="222" w:lineRule="auto"/>
        <w:ind w:left="802"/>
        <w:outlineLvl w:val="0"/>
        <w:rPr>
          <w:rFonts w:ascii="黑体" w:eastAsia="黑体" w:hAnsi="黑体" w:cs="黑体"/>
        </w:rPr>
      </w:pPr>
      <w:r>
        <w:rPr>
          <w:rFonts w:ascii="黑体" w:eastAsia="黑体" w:hAnsi="黑体" w:cs="黑体"/>
          <w:b/>
          <w:bCs/>
          <w:spacing w:val="-3"/>
          <w:sz w:val="21"/>
          <w:szCs w:val="21"/>
        </w:rPr>
        <w:t>1.</w:t>
      </w:r>
      <w:r>
        <w:rPr>
          <w:rFonts w:ascii="黑体" w:eastAsia="黑体" w:hAnsi="黑体" w:cs="黑体"/>
          <w:spacing w:val="-3"/>
          <w:sz w:val="21"/>
          <w:szCs w:val="21"/>
        </w:rPr>
        <w:t xml:space="preserve">  </w:t>
      </w:r>
      <w:r>
        <w:rPr>
          <w:rFonts w:ascii="黑体" w:eastAsia="黑体" w:hAnsi="黑体" w:cs="黑体"/>
          <w:b/>
          <w:bCs/>
          <w:spacing w:val="-3"/>
          <w:sz w:val="21"/>
          <w:szCs w:val="21"/>
        </w:rPr>
        <w:t>总则</w:t>
      </w:r>
    </w:p>
    <w:p>
      <w:pPr>
        <w:spacing w:before="217" w:line="222" w:lineRule="auto"/>
        <w:ind w:left="1383"/>
        <w:outlineLvl w:val="6"/>
        <w:rPr>
          <w:rFonts w:ascii="黑体" w:eastAsia="黑体" w:hAnsi="黑体" w:cs="黑体"/>
        </w:rPr>
      </w:pPr>
      <w:r>
        <w:rPr>
          <w:rFonts w:ascii="黑体" w:eastAsia="黑体" w:hAnsi="黑体" w:cs="黑体"/>
          <w:b/>
          <w:bCs/>
          <w:spacing w:val="-5"/>
          <w:sz w:val="21"/>
          <w:szCs w:val="21"/>
        </w:rPr>
        <w:t>1.1</w:t>
      </w:r>
      <w:r>
        <w:rPr>
          <w:rFonts w:ascii="黑体" w:eastAsia="黑体" w:hAnsi="黑体" w:cs="黑体"/>
          <w:spacing w:val="23"/>
          <w:sz w:val="21"/>
          <w:szCs w:val="21"/>
        </w:rPr>
        <w:t xml:space="preserve">   </w:t>
      </w:r>
      <w:r>
        <w:rPr>
          <w:rFonts w:ascii="黑体" w:eastAsia="黑体" w:hAnsi="黑体" w:cs="黑体"/>
          <w:b/>
          <w:bCs/>
          <w:spacing w:val="-5"/>
          <w:sz w:val="21"/>
          <w:szCs w:val="21"/>
        </w:rPr>
        <w:t>经济评价的内涵及相关要求</w:t>
      </w:r>
    </w:p>
    <w:p>
      <w:pPr>
        <w:spacing w:line="426" w:lineRule="auto"/>
      </w:pPr>
    </w:p>
    <w:p>
      <w:pPr>
        <w:pStyle w:val="BodyText"/>
        <w:spacing w:before="68" w:line="405" w:lineRule="auto"/>
        <w:ind w:left="799" w:right="821" w:firstLine="430"/>
        <w:rPr>
          <w:sz w:val="21"/>
          <w:szCs w:val="21"/>
        </w:rPr>
      </w:pPr>
      <w:r>
        <w:rPr>
          <w:spacing w:val="-3"/>
          <w:sz w:val="21"/>
          <w:szCs w:val="21"/>
        </w:rPr>
        <w:t>中国移动建设项目经济评价是可行性研究的有机组成部分和重要内容，是在项目技术方</w:t>
      </w:r>
      <w:r>
        <w:rPr>
          <w:spacing w:val="1"/>
          <w:sz w:val="21"/>
          <w:szCs w:val="21"/>
        </w:rPr>
        <w:t xml:space="preserve"> </w:t>
      </w:r>
      <w:r>
        <w:rPr>
          <w:spacing w:val="-8"/>
          <w:sz w:val="21"/>
          <w:szCs w:val="21"/>
        </w:rPr>
        <w:t>案的基础上，通过多方案比选、运用定量和定性分析</w:t>
      </w:r>
      <w:r>
        <w:rPr>
          <w:spacing w:val="-9"/>
          <w:sz w:val="21"/>
          <w:szCs w:val="21"/>
        </w:rPr>
        <w:t>相结合、动态和静态分析相结合的方法，</w:t>
      </w:r>
      <w:r>
        <w:rPr>
          <w:sz w:val="21"/>
          <w:szCs w:val="21"/>
        </w:rPr>
        <w:t xml:space="preserve"> </w:t>
      </w:r>
      <w:r>
        <w:rPr>
          <w:spacing w:val="-3"/>
          <w:sz w:val="21"/>
          <w:szCs w:val="21"/>
        </w:rPr>
        <w:t>对拟建项目的财务可行性进行分析论证，为项目在经济上是否</w:t>
      </w:r>
      <w:r>
        <w:rPr>
          <w:spacing w:val="-4"/>
          <w:sz w:val="21"/>
          <w:szCs w:val="21"/>
        </w:rPr>
        <w:t>可行提供可靠的决策依据。对</w:t>
      </w:r>
      <w:r>
        <w:rPr>
          <w:sz w:val="21"/>
          <w:szCs w:val="21"/>
        </w:rPr>
        <w:t xml:space="preserve"> </w:t>
      </w:r>
      <w:r>
        <w:rPr>
          <w:spacing w:val="-3"/>
          <w:sz w:val="21"/>
          <w:szCs w:val="21"/>
        </w:rPr>
        <w:t>于经济评价结论可行的项目可予以通过，反之应予以否定。但</w:t>
      </w:r>
      <w:r>
        <w:rPr>
          <w:spacing w:val="-4"/>
          <w:sz w:val="21"/>
          <w:szCs w:val="21"/>
        </w:rPr>
        <w:t>经济评价结论可行并非项目可</w:t>
      </w:r>
      <w:r>
        <w:rPr>
          <w:sz w:val="21"/>
          <w:szCs w:val="21"/>
        </w:rPr>
        <w:t xml:space="preserve"> </w:t>
      </w:r>
      <w:r>
        <w:rPr>
          <w:spacing w:val="-3"/>
          <w:sz w:val="21"/>
          <w:szCs w:val="21"/>
        </w:rPr>
        <w:t>行的充分条件，决策者应充分权衡技术方案的可行性、经济、社会与环境等</w:t>
      </w:r>
      <w:r>
        <w:rPr>
          <w:spacing w:val="-4"/>
          <w:sz w:val="21"/>
          <w:szCs w:val="21"/>
        </w:rPr>
        <w:t>方面的影响以及</w:t>
      </w:r>
    </w:p>
    <w:p>
      <w:pPr>
        <w:pStyle w:val="BodyText"/>
        <w:spacing w:before="1" w:line="218" w:lineRule="auto"/>
        <w:ind w:left="799"/>
        <w:rPr>
          <w:sz w:val="21"/>
          <w:szCs w:val="21"/>
        </w:rPr>
      </w:pPr>
      <w:r>
        <w:rPr>
          <w:spacing w:val="-3"/>
          <w:sz w:val="21"/>
          <w:szCs w:val="21"/>
        </w:rPr>
        <w:t>投资风险等因素，进行科学的投资决策。</w:t>
      </w:r>
    </w:p>
    <w:p>
      <w:pPr>
        <w:pStyle w:val="BodyText"/>
        <w:spacing w:before="264" w:line="404" w:lineRule="auto"/>
        <w:ind w:left="799" w:right="754" w:firstLine="430"/>
        <w:rPr>
          <w:sz w:val="21"/>
          <w:szCs w:val="21"/>
        </w:rPr>
      </w:pPr>
      <w:r>
        <w:rPr>
          <w:spacing w:val="3"/>
          <w:sz w:val="21"/>
          <w:szCs w:val="21"/>
        </w:rPr>
        <w:t>根据国家发展改革委和建设部2006年联合发布(发改投资[2006]1325号</w:t>
      </w:r>
      <w:r>
        <w:rPr>
          <w:spacing w:val="2"/>
          <w:sz w:val="21"/>
          <w:szCs w:val="21"/>
        </w:rPr>
        <w:t>)的《建设项目</w:t>
      </w:r>
      <w:r>
        <w:rPr>
          <w:sz w:val="21"/>
          <w:szCs w:val="21"/>
        </w:rPr>
        <w:t xml:space="preserve"> </w:t>
      </w:r>
      <w:r>
        <w:rPr>
          <w:spacing w:val="8"/>
          <w:sz w:val="21"/>
          <w:szCs w:val="21"/>
        </w:rPr>
        <w:t>经济评价方法与参数》(第三版)(以下简称第三版),建设项目经济评价分</w:t>
      </w:r>
      <w:r>
        <w:rPr>
          <w:spacing w:val="7"/>
          <w:sz w:val="21"/>
          <w:szCs w:val="21"/>
        </w:rPr>
        <w:t>为财务评价(也</w:t>
      </w:r>
      <w:r>
        <w:rPr>
          <w:sz w:val="21"/>
          <w:szCs w:val="21"/>
        </w:rPr>
        <w:t xml:space="preserve"> </w:t>
      </w:r>
      <w:r>
        <w:rPr>
          <w:spacing w:val="-1"/>
          <w:sz w:val="21"/>
          <w:szCs w:val="21"/>
        </w:rPr>
        <w:t>称财务分析)和国民经济评价(也称经济分析)两个层次。财务评价是从企业或项目的角度，</w:t>
      </w:r>
      <w:r>
        <w:rPr>
          <w:spacing w:val="4"/>
          <w:sz w:val="21"/>
          <w:szCs w:val="21"/>
        </w:rPr>
        <w:t xml:space="preserve">  </w:t>
      </w:r>
      <w:r>
        <w:rPr>
          <w:spacing w:val="-3"/>
          <w:sz w:val="21"/>
          <w:szCs w:val="21"/>
        </w:rPr>
        <w:t>计算项目范围内的财务效益和费用，分析项目的盈利能力、财务生存能力和清偿能力，评价</w:t>
      </w:r>
      <w:r>
        <w:rPr>
          <w:spacing w:val="17"/>
          <w:sz w:val="21"/>
          <w:szCs w:val="21"/>
        </w:rPr>
        <w:t xml:space="preserve"> </w:t>
      </w:r>
      <w:r>
        <w:rPr>
          <w:spacing w:val="-3"/>
          <w:sz w:val="21"/>
          <w:szCs w:val="21"/>
        </w:rPr>
        <w:t>项目在财务上的可行性。国民经济评价是从国家经济整体利益角度出发，计算项目对国民经</w:t>
      </w:r>
      <w:r>
        <w:rPr>
          <w:spacing w:val="18"/>
          <w:sz w:val="21"/>
          <w:szCs w:val="21"/>
        </w:rPr>
        <w:t xml:space="preserve"> </w:t>
      </w:r>
      <w:r>
        <w:rPr>
          <w:spacing w:val="-1"/>
          <w:sz w:val="21"/>
          <w:szCs w:val="21"/>
        </w:rPr>
        <w:t>济的贡献，分析项目的经济效率、效果和对社会的影响，评价项目在宏观经济上的合理性，</w:t>
      </w:r>
    </w:p>
    <w:p>
      <w:pPr>
        <w:pStyle w:val="BodyText"/>
        <w:spacing w:before="1" w:line="219" w:lineRule="auto"/>
        <w:ind w:left="799"/>
        <w:rPr>
          <w:sz w:val="21"/>
          <w:szCs w:val="21"/>
        </w:rPr>
      </w:pPr>
      <w:r>
        <w:rPr>
          <w:spacing w:val="-1"/>
          <w:sz w:val="21"/>
          <w:szCs w:val="21"/>
        </w:rPr>
        <w:t>其主要分析内容与方法有经济费用效益分析、区域经济与宏观经济影</w:t>
      </w:r>
      <w:r>
        <w:rPr>
          <w:spacing w:val="-2"/>
          <w:sz w:val="21"/>
          <w:szCs w:val="21"/>
        </w:rPr>
        <w:t>响分析等。</w:t>
      </w:r>
    </w:p>
    <w:p>
      <w:pPr>
        <w:pStyle w:val="BodyText"/>
        <w:spacing w:before="249" w:line="413" w:lineRule="auto"/>
        <w:ind w:left="799" w:right="615" w:firstLine="430"/>
        <w:rPr>
          <w:sz w:val="21"/>
          <w:szCs w:val="21"/>
        </w:rPr>
      </w:pPr>
      <w:r>
        <w:rPr>
          <w:spacing w:val="-3"/>
          <w:sz w:val="21"/>
          <w:szCs w:val="21"/>
        </w:rPr>
        <w:t>中国移动的建设项目是否需要进行国民经济评价根据审批需求、决策者的需要进行选择。</w:t>
      </w:r>
      <w:r>
        <w:rPr>
          <w:sz w:val="21"/>
          <w:szCs w:val="21"/>
        </w:rPr>
        <w:t xml:space="preserve"> </w:t>
      </w:r>
      <w:r>
        <w:rPr>
          <w:spacing w:val="-3"/>
          <w:sz w:val="21"/>
          <w:szCs w:val="21"/>
        </w:rPr>
        <w:t>一般来说，中国移动建设项目财务评价结论能够满足投资决策需要，可以不进行国民经济评</w:t>
      </w:r>
      <w:r>
        <w:rPr>
          <w:spacing w:val="5"/>
          <w:sz w:val="21"/>
          <w:szCs w:val="21"/>
        </w:rPr>
        <w:t xml:space="preserve">   </w:t>
      </w:r>
      <w:r>
        <w:rPr>
          <w:spacing w:val="-3"/>
          <w:sz w:val="21"/>
          <w:szCs w:val="21"/>
        </w:rPr>
        <w:t>价。但对于政府有要求的项目，也可以进行国民经济评价，参照《建设项目经济评价方法与</w:t>
      </w:r>
    </w:p>
    <w:p>
      <w:pPr>
        <w:pStyle w:val="BodyText"/>
        <w:spacing w:before="1" w:line="217" w:lineRule="auto"/>
        <w:ind w:left="799"/>
        <w:rPr>
          <w:sz w:val="21"/>
          <w:szCs w:val="21"/>
        </w:rPr>
      </w:pPr>
      <w:r>
        <w:rPr>
          <w:sz w:val="21"/>
          <w:szCs w:val="21"/>
        </w:rPr>
        <w:t>参数》</w:t>
      </w:r>
      <w:r>
        <w:rPr>
          <w:spacing w:val="69"/>
          <w:sz w:val="21"/>
          <w:szCs w:val="21"/>
        </w:rPr>
        <w:t xml:space="preserve"> </w:t>
      </w:r>
      <w:r>
        <w:rPr>
          <w:sz w:val="21"/>
          <w:szCs w:val="21"/>
        </w:rPr>
        <w:t>(第三版)的要求进行。本标准的方法与参数主要针对财务评价。</w:t>
      </w:r>
    </w:p>
    <w:p>
      <w:pPr>
        <w:spacing w:line="428" w:lineRule="auto"/>
      </w:pPr>
    </w:p>
    <w:p>
      <w:pPr>
        <w:spacing w:before="69" w:line="222" w:lineRule="auto"/>
        <w:ind w:left="1402"/>
        <w:outlineLvl w:val="6"/>
        <w:rPr>
          <w:rFonts w:ascii="黑体" w:eastAsia="黑体" w:hAnsi="黑体" w:cs="黑体"/>
        </w:rPr>
      </w:pPr>
      <w:r>
        <w:rPr>
          <w:rFonts w:ascii="黑体" w:eastAsia="黑体" w:hAnsi="黑体" w:cs="黑体"/>
          <w:b/>
          <w:bCs/>
          <w:spacing w:val="-7"/>
          <w:sz w:val="21"/>
          <w:szCs w:val="21"/>
        </w:rPr>
        <w:t>1.2</w:t>
      </w:r>
      <w:r>
        <w:rPr>
          <w:rFonts w:ascii="黑体" w:eastAsia="黑体" w:hAnsi="黑体" w:cs="黑体"/>
          <w:spacing w:val="27"/>
          <w:sz w:val="21"/>
          <w:szCs w:val="21"/>
        </w:rPr>
        <w:t xml:space="preserve">   </w:t>
      </w:r>
      <w:r>
        <w:rPr>
          <w:rFonts w:ascii="黑体" w:eastAsia="黑体" w:hAnsi="黑体" w:cs="黑体"/>
          <w:b/>
          <w:bCs/>
          <w:spacing w:val="-7"/>
          <w:sz w:val="21"/>
          <w:szCs w:val="21"/>
        </w:rPr>
        <w:t>经济评价应遵循的基本原则</w:t>
      </w:r>
    </w:p>
    <w:p>
      <w:pPr>
        <w:spacing w:line="418" w:lineRule="auto"/>
      </w:pPr>
    </w:p>
    <w:p>
      <w:pPr>
        <w:pStyle w:val="BodyText"/>
        <w:spacing w:before="69" w:line="414" w:lineRule="auto"/>
        <w:ind w:left="799" w:right="804" w:firstLine="430"/>
        <w:jc w:val="both"/>
        <w:rPr>
          <w:sz w:val="21"/>
          <w:szCs w:val="21"/>
        </w:rPr>
      </w:pPr>
      <w:r>
        <w:rPr>
          <w:spacing w:val="-3"/>
          <w:sz w:val="21"/>
          <w:szCs w:val="21"/>
        </w:rPr>
        <w:t>经济评价应保证评价的客观性、科学性、公正性，坚持“有无对比”原则、效益与费用</w:t>
      </w:r>
      <w:r>
        <w:rPr>
          <w:spacing w:val="18"/>
          <w:sz w:val="21"/>
          <w:szCs w:val="21"/>
        </w:rPr>
        <w:t xml:space="preserve"> </w:t>
      </w:r>
      <w:r>
        <w:rPr>
          <w:spacing w:val="-2"/>
          <w:sz w:val="21"/>
          <w:szCs w:val="21"/>
        </w:rPr>
        <w:t>计算范围一致的原则、收益与风险权衡的原则、</w:t>
      </w:r>
      <w:r>
        <w:rPr>
          <w:spacing w:val="-3"/>
          <w:sz w:val="21"/>
          <w:szCs w:val="21"/>
        </w:rPr>
        <w:t>定量分析与定性分析相结合，以定量分析为</w:t>
      </w:r>
    </w:p>
    <w:p>
      <w:pPr>
        <w:pStyle w:val="BodyText"/>
        <w:spacing w:before="1" w:line="218" w:lineRule="auto"/>
        <w:ind w:left="799"/>
        <w:rPr>
          <w:sz w:val="21"/>
          <w:szCs w:val="21"/>
        </w:rPr>
      </w:pPr>
      <w:r>
        <w:rPr>
          <w:spacing w:val="-2"/>
          <w:sz w:val="21"/>
          <w:szCs w:val="21"/>
        </w:rPr>
        <w:t>主的原则、动态分析与静态分析相结合以动态分析为主的原则、收益与风险权衡的原则。</w:t>
      </w:r>
    </w:p>
    <w:p>
      <w:pPr>
        <w:pStyle w:val="BodyText"/>
        <w:spacing w:before="229" w:line="220" w:lineRule="auto"/>
        <w:ind w:left="1232"/>
        <w:rPr>
          <w:sz w:val="21"/>
          <w:szCs w:val="21"/>
        </w:rPr>
      </w:pPr>
      <w:r>
        <w:rPr>
          <w:b/>
          <w:bCs/>
          <w:spacing w:val="-12"/>
          <w:sz w:val="21"/>
          <w:szCs w:val="21"/>
        </w:rPr>
        <w:t>●</w:t>
      </w:r>
      <w:r>
        <w:rPr>
          <w:spacing w:val="-12"/>
          <w:sz w:val="21"/>
          <w:szCs w:val="21"/>
        </w:rPr>
        <w:t xml:space="preserve">   </w:t>
      </w:r>
      <w:r>
        <w:rPr>
          <w:b/>
          <w:bCs/>
          <w:spacing w:val="-12"/>
          <w:sz w:val="21"/>
          <w:szCs w:val="21"/>
        </w:rPr>
        <w:t>“有无对比”原则</w:t>
      </w:r>
    </w:p>
    <w:p>
      <w:pPr>
        <w:pStyle w:val="BodyText"/>
        <w:spacing w:before="202" w:line="480" w:lineRule="exact"/>
        <w:ind w:left="1224"/>
        <w:rPr>
          <w:sz w:val="21"/>
          <w:szCs w:val="21"/>
        </w:rPr>
      </w:pPr>
      <w:r>
        <w:rPr>
          <w:spacing w:val="-2"/>
          <w:position w:val="20"/>
          <w:sz w:val="21"/>
          <w:szCs w:val="21"/>
        </w:rPr>
        <w:t>“有无对比”是指“有项目”相对于“无项目”的对比分析。“无项</w:t>
      </w:r>
      <w:r>
        <w:rPr>
          <w:spacing w:val="-3"/>
          <w:position w:val="20"/>
          <w:sz w:val="21"/>
          <w:szCs w:val="21"/>
        </w:rPr>
        <w:t>目”状态指不对该</w:t>
      </w:r>
    </w:p>
    <w:p>
      <w:pPr>
        <w:pStyle w:val="BodyText"/>
        <w:spacing w:before="1" w:line="219" w:lineRule="auto"/>
        <w:ind w:left="799"/>
        <w:rPr>
          <w:sz w:val="21"/>
          <w:szCs w:val="21"/>
        </w:rPr>
      </w:pPr>
      <w:r>
        <w:rPr>
          <w:spacing w:val="-5"/>
          <w:sz w:val="21"/>
          <w:szCs w:val="21"/>
        </w:rPr>
        <w:t>项目进行投资时，在计算期内，与项目有关的资产、费用、收入的预计发展情况；“有项目”</w:t>
      </w:r>
    </w:p>
    <w:p>
      <w:pPr>
        <w:spacing w:line="219" w:lineRule="auto"/>
        <w:sectPr>
          <w:headerReference w:type="default" r:id="rId8"/>
          <w:footerReference w:type="default" r:id="rId9"/>
          <w:pgSz w:w="11910" w:h="16840"/>
          <w:pgMar w:top="400" w:right="999" w:bottom="1173" w:left="989" w:header="0" w:footer="971" w:gutter="0"/>
          <w:pgNumType w:start="5"/>
          <w:cols w:space="708"/>
        </w:sectPr>
      </w:pPr>
    </w:p>
    <w:p>
      <w:pPr>
        <w:spacing w:before="193"/>
      </w:pPr>
    </w:p>
    <w:tbl>
      <w:tblPr>
        <w:tblStyle w:val="TableNorm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69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20" w:type="dxa"/>
            <w:tcBorders>
              <w:left w:val="nil"/>
            </w:tcBorders>
          </w:tcPr>
          <w:p>
            <w:pPr>
              <w:spacing w:before="51" w:line="215" w:lineRule="auto"/>
              <w:ind w:left="123"/>
              <w:rPr>
                <w:rFonts w:ascii="宋体" w:eastAsia="宋体" w:hAnsi="宋体" w:cs="宋体"/>
                <w:sz w:val="24"/>
                <w:szCs w:val="24"/>
              </w:rPr>
            </w:pPr>
            <w:bookmarkStart w:id="6" w:name="bookmark7"/>
            <w:bookmarkEnd w:id="6"/>
            <w:r>
              <w:rPr>
                <w:rFonts w:ascii="宋体" w:eastAsia="宋体" w:hAnsi="宋体" w:cs="宋体"/>
                <w:b/>
                <w:bCs/>
                <w:spacing w:val="-5"/>
                <w:sz w:val="24"/>
                <w:szCs w:val="24"/>
              </w:rPr>
              <w:t>编号：</w:t>
            </w:r>
          </w:p>
          <w:p>
            <w:pPr>
              <w:spacing w:line="219" w:lineRule="auto"/>
              <w:ind w:left="14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F30000"/>
                <w:spacing w:val="-4"/>
                <w:sz w:val="24"/>
                <w:szCs w:val="24"/>
              </w:rPr>
              <w:t>书山有路勤为径，学海无涯苦作舟</w:t>
            </w:r>
          </w:p>
        </w:tc>
        <w:tc>
          <w:tcPr>
            <w:tcW w:w="269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页码：第2页共70页</w:t>
            </w:r>
          </w:p>
        </w:tc>
      </w:tr>
    </w:tbl>
    <w:p>
      <w:pPr>
        <w:spacing w:line="303" w:lineRule="auto"/>
      </w:pPr>
    </w:p>
    <w:p>
      <w:pPr>
        <w:pStyle w:val="BodyText"/>
        <w:spacing w:before="68" w:line="471" w:lineRule="exact"/>
        <w:ind w:left="789"/>
        <w:rPr>
          <w:sz w:val="21"/>
          <w:szCs w:val="21"/>
        </w:rPr>
      </w:pPr>
      <w:r>
        <w:rPr>
          <w:spacing w:val="-2"/>
          <w:position w:val="20"/>
          <w:sz w:val="21"/>
          <w:szCs w:val="21"/>
        </w:rPr>
        <w:t>状态是指对该项目进行投资后，在计算期内，资产、费用、收入的预计情况。</w:t>
      </w:r>
      <w:r>
        <w:rPr>
          <w:spacing w:val="-3"/>
          <w:position w:val="20"/>
          <w:sz w:val="21"/>
          <w:szCs w:val="21"/>
        </w:rPr>
        <w:t>通过有无对比</w:t>
      </w:r>
    </w:p>
    <w:p>
      <w:pPr>
        <w:pStyle w:val="BodyText"/>
        <w:spacing w:line="220" w:lineRule="auto"/>
        <w:ind w:left="789"/>
        <w:rPr>
          <w:sz w:val="21"/>
          <w:szCs w:val="21"/>
        </w:rPr>
      </w:pPr>
      <w:r>
        <w:rPr>
          <w:spacing w:val="-2"/>
          <w:sz w:val="21"/>
          <w:szCs w:val="21"/>
        </w:rPr>
        <w:t>求出项目的增量效益，突出项目活动的效果。</w:t>
      </w:r>
    </w:p>
    <w:p>
      <w:pPr>
        <w:pStyle w:val="BodyText"/>
        <w:spacing w:before="216" w:line="219" w:lineRule="auto"/>
        <w:ind w:left="1220"/>
        <w:rPr>
          <w:sz w:val="21"/>
          <w:szCs w:val="21"/>
        </w:rPr>
      </w:pPr>
      <w:r>
        <w:rPr>
          <w:spacing w:val="-3"/>
          <w:sz w:val="21"/>
          <w:szCs w:val="21"/>
        </w:rPr>
        <w:t xml:space="preserve">●  </w:t>
      </w:r>
      <w:r>
        <w:rPr>
          <w:b/>
          <w:bCs/>
          <w:spacing w:val="-3"/>
          <w:sz w:val="21"/>
          <w:szCs w:val="21"/>
        </w:rPr>
        <w:t>体现通信行业全程全网的特点</w:t>
      </w:r>
    </w:p>
    <w:p>
      <w:pPr>
        <w:pStyle w:val="BodyText"/>
        <w:spacing w:before="231" w:line="466" w:lineRule="exact"/>
        <w:ind w:left="1220"/>
        <w:rPr>
          <w:sz w:val="21"/>
          <w:szCs w:val="21"/>
        </w:rPr>
      </w:pPr>
      <w:r>
        <w:rPr>
          <w:spacing w:val="-3"/>
          <w:position w:val="19"/>
          <w:sz w:val="21"/>
          <w:szCs w:val="21"/>
        </w:rPr>
        <w:t>全程全网是通信行业的显著特点，应充分考虑该特点对中国移动建设项目经济评价的影</w:t>
      </w:r>
    </w:p>
    <w:p>
      <w:pPr>
        <w:pStyle w:val="BodyText"/>
        <w:spacing w:before="1" w:line="222" w:lineRule="auto"/>
        <w:ind w:left="789"/>
        <w:rPr>
          <w:sz w:val="21"/>
          <w:szCs w:val="21"/>
        </w:rPr>
      </w:pPr>
      <w:r>
        <w:rPr>
          <w:spacing w:val="-4"/>
          <w:sz w:val="21"/>
          <w:szCs w:val="21"/>
        </w:rPr>
        <w:t>响。</w:t>
      </w:r>
    </w:p>
    <w:p>
      <w:pPr>
        <w:pStyle w:val="BodyText"/>
        <w:spacing w:before="219" w:line="219" w:lineRule="auto"/>
        <w:ind w:left="1220"/>
        <w:rPr>
          <w:sz w:val="21"/>
          <w:szCs w:val="21"/>
        </w:rPr>
      </w:pPr>
      <w:r>
        <w:rPr>
          <w:spacing w:val="-6"/>
          <w:sz w:val="21"/>
          <w:szCs w:val="21"/>
        </w:rPr>
        <w:t>●</w:t>
      </w:r>
      <w:r>
        <w:rPr>
          <w:spacing w:val="22"/>
          <w:sz w:val="21"/>
          <w:szCs w:val="21"/>
        </w:rPr>
        <w:t xml:space="preserve">  </w:t>
      </w:r>
      <w:r>
        <w:rPr>
          <w:b/>
          <w:bCs/>
          <w:spacing w:val="-6"/>
          <w:sz w:val="21"/>
          <w:szCs w:val="21"/>
        </w:rPr>
        <w:t>收入与费用计算范围一致的原则</w:t>
      </w:r>
    </w:p>
    <w:p>
      <w:pPr>
        <w:pStyle w:val="BodyText"/>
        <w:spacing w:before="213" w:line="413" w:lineRule="auto"/>
        <w:ind w:left="789" w:right="793" w:firstLine="430"/>
        <w:rPr>
          <w:sz w:val="21"/>
          <w:szCs w:val="21"/>
        </w:rPr>
      </w:pPr>
      <w:r>
        <w:rPr>
          <w:spacing w:val="-2"/>
          <w:sz w:val="21"/>
          <w:szCs w:val="21"/>
        </w:rPr>
        <w:t>将项目的收入与费用限定在同一个范围内，</w:t>
      </w:r>
      <w:r>
        <w:rPr>
          <w:spacing w:val="-3"/>
          <w:sz w:val="21"/>
          <w:szCs w:val="21"/>
        </w:rPr>
        <w:t>凡属于本项目带来的收入才确认为本项目的</w:t>
      </w:r>
      <w:r>
        <w:rPr>
          <w:sz w:val="21"/>
          <w:szCs w:val="21"/>
        </w:rPr>
        <w:t xml:space="preserve"> </w:t>
      </w:r>
      <w:r>
        <w:rPr>
          <w:spacing w:val="-2"/>
          <w:sz w:val="21"/>
          <w:szCs w:val="21"/>
        </w:rPr>
        <w:t>收入，因本项目增加的费用才确认为本项目的费用。增加的费用中仅用于</w:t>
      </w:r>
      <w:r>
        <w:rPr>
          <w:spacing w:val="-3"/>
          <w:sz w:val="21"/>
          <w:szCs w:val="21"/>
        </w:rPr>
        <w:t>本项目的费用全部</w:t>
      </w:r>
    </w:p>
    <w:p>
      <w:pPr>
        <w:pStyle w:val="BodyText"/>
        <w:spacing w:before="1" w:line="218" w:lineRule="auto"/>
        <w:ind w:left="789"/>
        <w:rPr>
          <w:sz w:val="21"/>
          <w:szCs w:val="21"/>
        </w:rPr>
      </w:pPr>
      <w:r>
        <w:rPr>
          <w:spacing w:val="-2"/>
          <w:sz w:val="21"/>
          <w:szCs w:val="21"/>
        </w:rPr>
        <w:t>纳入，不限于用于本项目的按照一定的原则分摊纳入。</w:t>
      </w:r>
    </w:p>
    <w:p>
      <w:pPr>
        <w:pStyle w:val="BodyText"/>
        <w:spacing w:before="210" w:line="220" w:lineRule="auto"/>
        <w:ind w:left="1220"/>
        <w:rPr>
          <w:sz w:val="21"/>
          <w:szCs w:val="21"/>
        </w:rPr>
      </w:pPr>
      <w:r>
        <w:rPr>
          <w:spacing w:val="-5"/>
          <w:sz w:val="21"/>
          <w:szCs w:val="21"/>
        </w:rPr>
        <w:t>●</w:t>
      </w:r>
      <w:r>
        <w:rPr>
          <w:spacing w:val="20"/>
          <w:sz w:val="21"/>
          <w:szCs w:val="21"/>
        </w:rPr>
        <w:t xml:space="preserve">  </w:t>
      </w:r>
      <w:r>
        <w:rPr>
          <w:b/>
          <w:bCs/>
          <w:spacing w:val="-5"/>
          <w:sz w:val="21"/>
          <w:szCs w:val="21"/>
        </w:rPr>
        <w:t>定量分析与定性分析相结合的原则</w:t>
      </w:r>
    </w:p>
    <w:p>
      <w:pPr>
        <w:pStyle w:val="BodyText"/>
        <w:spacing w:before="210" w:line="472" w:lineRule="exact"/>
        <w:ind w:left="1220"/>
        <w:rPr>
          <w:sz w:val="21"/>
          <w:szCs w:val="21"/>
        </w:rPr>
      </w:pPr>
      <w:r>
        <w:rPr>
          <w:spacing w:val="-3"/>
          <w:position w:val="20"/>
          <w:sz w:val="21"/>
          <w:szCs w:val="21"/>
        </w:rPr>
        <w:t>一般来说，项目经济评价要尽量采用定量指标，对一些不能量化的经济</w:t>
      </w:r>
      <w:r>
        <w:rPr>
          <w:spacing w:val="-4"/>
          <w:position w:val="20"/>
          <w:sz w:val="21"/>
          <w:szCs w:val="21"/>
        </w:rPr>
        <w:t>因素，不能直接</w:t>
      </w:r>
    </w:p>
    <w:p>
      <w:pPr>
        <w:pStyle w:val="BodyText"/>
        <w:spacing w:line="219" w:lineRule="auto"/>
        <w:ind w:left="789"/>
        <w:rPr>
          <w:sz w:val="21"/>
          <w:szCs w:val="21"/>
        </w:rPr>
      </w:pPr>
      <w:r>
        <w:rPr>
          <w:spacing w:val="-1"/>
          <w:sz w:val="21"/>
          <w:szCs w:val="21"/>
        </w:rPr>
        <w:t>进行数量分析，要进行定性分析，并与定量</w:t>
      </w:r>
      <w:r>
        <w:rPr>
          <w:spacing w:val="-2"/>
          <w:sz w:val="21"/>
          <w:szCs w:val="21"/>
        </w:rPr>
        <w:t>分析结合起来进行。</w:t>
      </w:r>
    </w:p>
    <w:p>
      <w:pPr>
        <w:pStyle w:val="BodyText"/>
        <w:spacing w:before="217" w:line="219" w:lineRule="auto"/>
        <w:ind w:left="1220"/>
        <w:rPr>
          <w:sz w:val="21"/>
          <w:szCs w:val="21"/>
        </w:rPr>
      </w:pPr>
      <w:r>
        <w:rPr>
          <w:spacing w:val="-5"/>
          <w:sz w:val="21"/>
          <w:szCs w:val="21"/>
        </w:rPr>
        <w:t>●</w:t>
      </w:r>
      <w:r>
        <w:rPr>
          <w:spacing w:val="20"/>
          <w:sz w:val="21"/>
          <w:szCs w:val="21"/>
        </w:rPr>
        <w:t xml:space="preserve">  </w:t>
      </w:r>
      <w:r>
        <w:rPr>
          <w:b/>
          <w:bCs/>
          <w:spacing w:val="-5"/>
          <w:sz w:val="21"/>
          <w:szCs w:val="21"/>
        </w:rPr>
        <w:t>动态分析与静态分析相结合的原则</w:t>
      </w:r>
    </w:p>
    <w:p>
      <w:pPr>
        <w:pStyle w:val="BodyText"/>
        <w:spacing w:before="213" w:line="414" w:lineRule="auto"/>
        <w:ind w:left="789" w:right="798" w:firstLine="430"/>
        <w:rPr>
          <w:sz w:val="21"/>
          <w:szCs w:val="21"/>
        </w:rPr>
      </w:pPr>
      <w:r>
        <w:rPr>
          <w:spacing w:val="-3"/>
          <w:sz w:val="21"/>
          <w:szCs w:val="21"/>
        </w:rPr>
        <w:t>动态分析是指利用资金时间价值的原理对现金流量进行折现分析。静态分析是指不对现</w:t>
      </w:r>
      <w:r>
        <w:rPr>
          <w:spacing w:val="11"/>
          <w:sz w:val="21"/>
          <w:szCs w:val="21"/>
        </w:rPr>
        <w:t xml:space="preserve"> </w:t>
      </w:r>
      <w:r>
        <w:rPr>
          <w:spacing w:val="3"/>
          <w:sz w:val="21"/>
          <w:szCs w:val="21"/>
        </w:rPr>
        <w:t>金流量进行折现分析。项目经济评价的核心是折现，所以分析评价要以折现(动态)指标为</w:t>
      </w:r>
      <w:r>
        <w:rPr>
          <w:sz w:val="21"/>
          <w:szCs w:val="21"/>
        </w:rPr>
        <w:t xml:space="preserve"> </w:t>
      </w:r>
      <w:r>
        <w:rPr>
          <w:spacing w:val="3"/>
          <w:sz w:val="21"/>
          <w:szCs w:val="21"/>
        </w:rPr>
        <w:t>主，非折现(静态)指标与一般的财务和经济指标内涵基本相同，比较直观，但只能作为辅</w:t>
      </w:r>
    </w:p>
    <w:p>
      <w:pPr>
        <w:pStyle w:val="BodyText"/>
        <w:spacing w:line="220" w:lineRule="auto"/>
        <w:ind w:left="789"/>
        <w:rPr>
          <w:sz w:val="21"/>
          <w:szCs w:val="21"/>
        </w:rPr>
      </w:pPr>
      <w:r>
        <w:rPr>
          <w:spacing w:val="-8"/>
          <w:sz w:val="21"/>
          <w:szCs w:val="21"/>
        </w:rPr>
        <w:t>助指标。</w:t>
      </w:r>
    </w:p>
    <w:p>
      <w:pPr>
        <w:pStyle w:val="BodyText"/>
        <w:spacing w:before="216" w:line="219" w:lineRule="auto"/>
        <w:ind w:left="1220"/>
        <w:rPr>
          <w:sz w:val="21"/>
          <w:szCs w:val="21"/>
        </w:rPr>
      </w:pPr>
      <w:r>
        <w:rPr>
          <w:spacing w:val="-9"/>
          <w:sz w:val="21"/>
          <w:szCs w:val="21"/>
        </w:rPr>
        <w:t>●</w:t>
      </w:r>
      <w:r>
        <w:rPr>
          <w:spacing w:val="17"/>
          <w:sz w:val="21"/>
          <w:szCs w:val="21"/>
        </w:rPr>
        <w:t xml:space="preserve">  </w:t>
      </w:r>
      <w:r>
        <w:rPr>
          <w:b/>
          <w:bCs/>
          <w:spacing w:val="-9"/>
          <w:sz w:val="21"/>
          <w:szCs w:val="21"/>
        </w:rPr>
        <w:t>收益与风险权衡的原则</w:t>
      </w:r>
    </w:p>
    <w:p>
      <w:pPr>
        <w:pStyle w:val="BodyText"/>
        <w:spacing w:before="222" w:line="218" w:lineRule="auto"/>
        <w:ind w:left="1220"/>
        <w:rPr>
          <w:sz w:val="21"/>
          <w:szCs w:val="21"/>
        </w:rPr>
      </w:pPr>
      <w:r>
        <w:rPr>
          <w:spacing w:val="-1"/>
          <w:sz w:val="21"/>
          <w:szCs w:val="21"/>
        </w:rPr>
        <w:t>经济评价过程中既要对投资效益充分分析，也应对项目带来的风险进行全面</w:t>
      </w:r>
      <w:r>
        <w:rPr>
          <w:spacing w:val="-2"/>
          <w:sz w:val="21"/>
          <w:szCs w:val="21"/>
        </w:rPr>
        <w:t>的衡量。</w:t>
      </w:r>
    </w:p>
    <w:p>
      <w:pPr>
        <w:spacing w:line="299" w:lineRule="auto"/>
      </w:pPr>
    </w:p>
    <w:p>
      <w:pPr>
        <w:spacing w:line="299" w:lineRule="auto"/>
      </w:pPr>
    </w:p>
    <w:p>
      <w:pPr>
        <w:spacing w:line="299" w:lineRule="auto"/>
      </w:pPr>
    </w:p>
    <w:p>
      <w:pPr>
        <w:spacing w:before="69" w:line="223" w:lineRule="auto"/>
        <w:ind w:left="1402"/>
        <w:outlineLvl w:val="6"/>
        <w:rPr>
          <w:rFonts w:ascii="黑体" w:eastAsia="黑体" w:hAnsi="黑体" w:cs="黑体"/>
        </w:rPr>
      </w:pPr>
      <w:r>
        <w:rPr>
          <w:rFonts w:ascii="黑体" w:eastAsia="黑体" w:hAnsi="黑体" w:cs="黑体"/>
          <w:b/>
          <w:bCs/>
          <w:spacing w:val="-6"/>
          <w:sz w:val="21"/>
          <w:szCs w:val="21"/>
        </w:rPr>
        <w:t>1.3</w:t>
      </w:r>
      <w:r>
        <w:rPr>
          <w:rFonts w:ascii="黑体" w:eastAsia="黑体" w:hAnsi="黑体" w:cs="黑体"/>
          <w:spacing w:val="25"/>
          <w:sz w:val="21"/>
          <w:szCs w:val="21"/>
        </w:rPr>
        <w:t xml:space="preserve">   </w:t>
      </w:r>
      <w:r>
        <w:rPr>
          <w:rFonts w:ascii="黑体" w:eastAsia="黑体" w:hAnsi="黑体" w:cs="黑体"/>
          <w:b/>
          <w:bCs/>
          <w:spacing w:val="-6"/>
          <w:sz w:val="21"/>
          <w:szCs w:val="21"/>
        </w:rPr>
        <w:t>本标准的适用范围</w:t>
      </w:r>
    </w:p>
    <w:p>
      <w:pPr>
        <w:spacing w:line="436" w:lineRule="auto"/>
      </w:pPr>
    </w:p>
    <w:p>
      <w:pPr>
        <w:pStyle w:val="BodyText"/>
        <w:spacing w:before="68" w:line="219" w:lineRule="auto"/>
        <w:ind w:left="1220"/>
        <w:rPr>
          <w:sz w:val="21"/>
          <w:szCs w:val="21"/>
        </w:rPr>
      </w:pPr>
      <w:r>
        <w:rPr>
          <w:spacing w:val="-2"/>
          <w:sz w:val="21"/>
          <w:szCs w:val="21"/>
        </w:rPr>
        <w:t>本标准适用于中国移动总部及各省公司固定资产投资建设项目可行性研究阶段。</w:t>
      </w:r>
    </w:p>
    <w:p>
      <w:pPr>
        <w:spacing w:line="406" w:lineRule="auto"/>
      </w:pPr>
    </w:p>
    <w:p>
      <w:pPr>
        <w:spacing w:before="69" w:line="221" w:lineRule="auto"/>
        <w:ind w:left="792"/>
        <w:outlineLvl w:val="0"/>
        <w:rPr>
          <w:rFonts w:ascii="黑体" w:eastAsia="黑体" w:hAnsi="黑体" w:cs="黑体"/>
        </w:rPr>
      </w:pPr>
      <w:r>
        <w:rPr>
          <w:rFonts w:ascii="黑体" w:eastAsia="黑体" w:hAnsi="黑体" w:cs="黑体"/>
          <w:b/>
          <w:bCs/>
          <w:spacing w:val="-3"/>
          <w:sz w:val="21"/>
          <w:szCs w:val="21"/>
        </w:rPr>
        <w:t>2.</w:t>
      </w:r>
      <w:r>
        <w:rPr>
          <w:rFonts w:ascii="黑体" w:eastAsia="黑体" w:hAnsi="黑体" w:cs="黑体"/>
          <w:spacing w:val="-3"/>
          <w:sz w:val="21"/>
          <w:szCs w:val="21"/>
        </w:rPr>
        <w:t xml:space="preserve">  </w:t>
      </w:r>
      <w:r>
        <w:rPr>
          <w:rFonts w:ascii="黑体" w:eastAsia="黑体" w:hAnsi="黑体" w:cs="黑体"/>
          <w:b/>
          <w:bCs/>
          <w:spacing w:val="-3"/>
          <w:sz w:val="21"/>
          <w:szCs w:val="21"/>
        </w:rPr>
        <w:t>财务分析</w:t>
      </w:r>
    </w:p>
    <w:p>
      <w:pPr>
        <w:spacing w:line="421" w:lineRule="auto"/>
      </w:pPr>
    </w:p>
    <w:p>
      <w:pPr>
        <w:pStyle w:val="BodyText"/>
        <w:spacing w:before="69" w:line="413" w:lineRule="auto"/>
        <w:ind w:left="789" w:right="792" w:firstLine="430"/>
        <w:jc w:val="both"/>
        <w:rPr>
          <w:sz w:val="21"/>
          <w:szCs w:val="21"/>
        </w:rPr>
      </w:pPr>
      <w:r>
        <w:rPr>
          <w:spacing w:val="-3"/>
          <w:sz w:val="21"/>
          <w:szCs w:val="21"/>
        </w:rPr>
        <w:t>财务分析是项目经济评价的重要组成部分，在财务效益与费用的估算以及编</w:t>
      </w:r>
      <w:r>
        <w:rPr>
          <w:spacing w:val="-4"/>
          <w:sz w:val="21"/>
          <w:szCs w:val="21"/>
        </w:rPr>
        <w:t>制财务辅助</w:t>
      </w:r>
      <w:r>
        <w:rPr>
          <w:sz w:val="21"/>
          <w:szCs w:val="21"/>
        </w:rPr>
        <w:t xml:space="preserve"> </w:t>
      </w:r>
      <w:r>
        <w:rPr>
          <w:spacing w:val="-2"/>
          <w:sz w:val="21"/>
          <w:szCs w:val="21"/>
        </w:rPr>
        <w:t>报表的基础上，编制财务报表，计算财务分析指标，考察和分析项目的盈利能力、</w:t>
      </w:r>
      <w:r>
        <w:rPr>
          <w:spacing w:val="-3"/>
          <w:sz w:val="21"/>
          <w:szCs w:val="21"/>
        </w:rPr>
        <w:t>偿债能力</w:t>
      </w:r>
    </w:p>
    <w:p>
      <w:pPr>
        <w:pStyle w:val="BodyText"/>
        <w:spacing w:before="1" w:line="217" w:lineRule="auto"/>
        <w:ind w:left="789"/>
        <w:rPr>
          <w:sz w:val="21"/>
          <w:szCs w:val="21"/>
        </w:rPr>
      </w:pPr>
      <w:r>
        <w:rPr>
          <w:spacing w:val="-5"/>
          <w:sz w:val="21"/>
          <w:szCs w:val="21"/>
        </w:rPr>
        <w:t>和财务生存能力，判断项目的财务可行性，明确项目对财</w:t>
      </w:r>
      <w:r>
        <w:rPr>
          <w:spacing w:val="-6"/>
          <w:sz w:val="21"/>
          <w:szCs w:val="21"/>
        </w:rPr>
        <w:t>务主体的价值以及对投资者的贡献，</w:t>
      </w:r>
    </w:p>
    <w:p>
      <w:pPr>
        <w:spacing w:line="217" w:lineRule="auto"/>
        <w:sectPr>
          <w:headerReference w:type="default" r:id="rId10"/>
          <w:footerReference w:type="default" r:id="rId11"/>
          <w:pgSz w:w="11910" w:h="16840"/>
          <w:pgMar w:top="400" w:right="1019" w:bottom="1182" w:left="989" w:header="0" w:footer="969" w:gutter="0"/>
          <w:pgNumType w:start="6"/>
          <w:cols w:space="708"/>
        </w:sectPr>
      </w:pPr>
    </w:p>
    <w:p>
      <w:pPr>
        <w:spacing w:before="193"/>
      </w:pPr>
    </w:p>
    <w:tbl>
      <w:tblPr>
        <w:tblStyle w:val="TableNormal2"/>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70"/>
        <w:gridCol w:w="273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20" w:type="dxa"/>
            <w:tcBorders>
              <w:left w:val="nil"/>
            </w:tcBorders>
          </w:tcPr>
          <w:p>
            <w:pPr>
              <w:spacing w:before="51" w:line="215" w:lineRule="auto"/>
              <w:ind w:left="113"/>
              <w:rPr>
                <w:rFonts w:ascii="宋体" w:eastAsia="宋体" w:hAnsi="宋体" w:cs="宋体"/>
                <w:sz w:val="24"/>
                <w:szCs w:val="24"/>
              </w:rPr>
            </w:pPr>
            <w:bookmarkStart w:id="7" w:name="bookmark8"/>
            <w:bookmarkEnd w:id="7"/>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7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F30000"/>
                <w:spacing w:val="-4"/>
                <w:sz w:val="24"/>
                <w:szCs w:val="24"/>
              </w:rPr>
              <w:t>书山有路勤为径，学海无涯苦作舟</w:t>
            </w:r>
          </w:p>
        </w:tc>
        <w:tc>
          <w:tcPr>
            <w:tcW w:w="2730" w:type="dxa"/>
            <w:tcBorders>
              <w:right w:val="nil"/>
            </w:tcBorders>
          </w:tcPr>
          <w:p>
            <w:pPr>
              <w:spacing w:line="252" w:lineRule="auto"/>
            </w:pPr>
          </w:p>
          <w:p>
            <w:pPr>
              <w:spacing w:before="78" w:line="219" w:lineRule="auto"/>
              <w:ind w:left="138"/>
              <w:rPr>
                <w:rFonts w:ascii="宋体" w:eastAsia="宋体" w:hAnsi="宋体" w:cs="宋体"/>
                <w:sz w:val="24"/>
                <w:szCs w:val="24"/>
              </w:rPr>
            </w:pPr>
            <w:r>
              <w:rPr>
                <w:rFonts w:ascii="宋体" w:eastAsia="宋体" w:hAnsi="宋体" w:cs="宋体"/>
                <w:b/>
                <w:bCs/>
                <w:spacing w:val="-2"/>
                <w:sz w:val="24"/>
                <w:szCs w:val="24"/>
              </w:rPr>
              <w:t>页码：第3页共70页</w:t>
            </w:r>
          </w:p>
        </w:tc>
      </w:tr>
    </w:tbl>
    <w:p>
      <w:pPr>
        <w:spacing w:line="322" w:lineRule="auto"/>
      </w:pPr>
    </w:p>
    <w:p>
      <w:pPr>
        <w:pStyle w:val="BodyText"/>
        <w:spacing w:before="68" w:line="219" w:lineRule="auto"/>
        <w:ind w:left="799"/>
        <w:rPr>
          <w:sz w:val="21"/>
          <w:szCs w:val="21"/>
        </w:rPr>
      </w:pPr>
      <w:r>
        <w:rPr>
          <w:spacing w:val="-3"/>
          <w:sz w:val="21"/>
          <w:szCs w:val="21"/>
        </w:rPr>
        <w:t>为投资决策、融资决策等提供重要依据。</w:t>
      </w:r>
    </w:p>
    <w:p>
      <w:pPr>
        <w:pStyle w:val="BodyText"/>
        <w:spacing w:before="214" w:line="410" w:lineRule="auto"/>
        <w:ind w:left="799" w:right="744" w:firstLine="420"/>
        <w:jc w:val="both"/>
        <w:rPr>
          <w:sz w:val="21"/>
          <w:szCs w:val="21"/>
        </w:rPr>
      </w:pPr>
      <w:r>
        <w:rPr>
          <w:spacing w:val="-7"/>
          <w:sz w:val="21"/>
          <w:szCs w:val="21"/>
        </w:rPr>
        <w:t>根据不同决策的需求，财务分析分为融资前分析和融资后分析，</w:t>
      </w:r>
      <w:r>
        <w:rPr>
          <w:spacing w:val="57"/>
          <w:sz w:val="21"/>
          <w:szCs w:val="21"/>
        </w:rPr>
        <w:t xml:space="preserve"> </w:t>
      </w:r>
      <w:r>
        <w:rPr>
          <w:spacing w:val="-7"/>
          <w:sz w:val="21"/>
          <w:szCs w:val="21"/>
        </w:rPr>
        <w:t xml:space="preserve">一般宜先进行融资前分 </w:t>
      </w:r>
      <w:r>
        <w:rPr>
          <w:spacing w:val="-3"/>
          <w:sz w:val="21"/>
          <w:szCs w:val="21"/>
        </w:rPr>
        <w:t xml:space="preserve">析，在融资前分析结论满足要求的情况下，初步设定融资方案，再进行融资后分析。融资前 </w:t>
      </w:r>
      <w:r>
        <w:rPr>
          <w:spacing w:val="-1"/>
          <w:sz w:val="21"/>
          <w:szCs w:val="21"/>
        </w:rPr>
        <w:t>分析重在投资决策，考察项目净现金流的价值是否大于其投资成本，以盈利能力分析为主，</w:t>
      </w:r>
      <w:r>
        <w:rPr>
          <w:spacing w:val="14"/>
          <w:sz w:val="21"/>
          <w:szCs w:val="21"/>
        </w:rPr>
        <w:t xml:space="preserve"> </w:t>
      </w:r>
      <w:r>
        <w:rPr>
          <w:spacing w:val="-3"/>
          <w:sz w:val="21"/>
          <w:szCs w:val="21"/>
        </w:rPr>
        <w:t>主要分析项目投资内部收益率、财务净现值、投资回收期等指标。融资后分析主要是针对项</w:t>
      </w:r>
      <w:r>
        <w:rPr>
          <w:sz w:val="21"/>
          <w:szCs w:val="21"/>
        </w:rPr>
        <w:t xml:space="preserve">  </w:t>
      </w:r>
      <w:r>
        <w:rPr>
          <w:spacing w:val="-3"/>
          <w:sz w:val="21"/>
          <w:szCs w:val="21"/>
        </w:rPr>
        <w:t xml:space="preserve">目资本金折现现金流量和投资各方折现现金流量进行分析，应包括盈利能力分析、偿债能力 </w:t>
      </w:r>
      <w:r>
        <w:rPr>
          <w:spacing w:val="-2"/>
          <w:sz w:val="21"/>
          <w:szCs w:val="21"/>
        </w:rPr>
        <w:t>分析和财务生存能力分析。鉴于目前中国移动</w:t>
      </w:r>
      <w:r>
        <w:rPr>
          <w:spacing w:val="-3"/>
          <w:sz w:val="21"/>
          <w:szCs w:val="21"/>
        </w:rPr>
        <w:t>建设项目资金来源一般都是企业自有资金，故</w:t>
      </w:r>
    </w:p>
    <w:p>
      <w:pPr>
        <w:pStyle w:val="BodyText"/>
        <w:spacing w:line="220" w:lineRule="auto"/>
        <w:ind w:left="809"/>
        <w:rPr>
          <w:sz w:val="21"/>
          <w:szCs w:val="21"/>
        </w:rPr>
      </w:pPr>
      <w:r>
        <w:rPr>
          <w:spacing w:val="-3"/>
          <w:sz w:val="21"/>
          <w:szCs w:val="21"/>
        </w:rPr>
        <w:t>中国移动建设项目一般只进行融资后分析。</w:t>
      </w:r>
    </w:p>
    <w:p>
      <w:pPr>
        <w:pStyle w:val="BodyText"/>
        <w:spacing w:before="229" w:line="219" w:lineRule="auto"/>
        <w:ind w:left="1230"/>
        <w:rPr>
          <w:sz w:val="21"/>
          <w:szCs w:val="21"/>
        </w:rPr>
      </w:pPr>
      <w:r>
        <w:rPr>
          <w:spacing w:val="-1"/>
          <w:sz w:val="21"/>
          <w:szCs w:val="21"/>
        </w:rPr>
        <w:t>计算财务分析各项指标后，还应结合不确定性分析的结果，作出项目财务分析结</w:t>
      </w:r>
      <w:r>
        <w:rPr>
          <w:spacing w:val="-2"/>
          <w:sz w:val="21"/>
          <w:szCs w:val="21"/>
        </w:rPr>
        <w:t>论。</w:t>
      </w:r>
    </w:p>
    <w:p>
      <w:pPr>
        <w:spacing w:line="417" w:lineRule="auto"/>
      </w:pPr>
    </w:p>
    <w:p>
      <w:pPr>
        <w:spacing w:before="69" w:line="221" w:lineRule="auto"/>
        <w:ind w:left="1370"/>
        <w:rPr>
          <w:rFonts w:ascii="黑体" w:eastAsia="黑体" w:hAnsi="黑体" w:cs="黑体"/>
        </w:rPr>
      </w:pPr>
      <w:r>
        <w:rPr>
          <w:rFonts w:ascii="黑体" w:eastAsia="黑体" w:hAnsi="黑体" w:cs="黑体"/>
          <w:spacing w:val="1"/>
          <w:sz w:val="21"/>
          <w:szCs w:val="21"/>
        </w:rPr>
        <w:t>2.1</w:t>
      </w:r>
      <w:r>
        <w:rPr>
          <w:rFonts w:ascii="黑体" w:eastAsia="黑体" w:hAnsi="黑体" w:cs="黑体"/>
          <w:spacing w:val="15"/>
          <w:sz w:val="21"/>
          <w:szCs w:val="21"/>
        </w:rPr>
        <w:t xml:space="preserve">   </w:t>
      </w:r>
      <w:r>
        <w:rPr>
          <w:rFonts w:ascii="黑体" w:eastAsia="黑体" w:hAnsi="黑体" w:cs="黑体"/>
          <w:spacing w:val="1"/>
          <w:sz w:val="21"/>
          <w:szCs w:val="21"/>
        </w:rPr>
        <w:t>财务分析的指标体系</w:t>
      </w:r>
    </w:p>
    <w:p>
      <w:pPr>
        <w:spacing w:before="229" w:line="222" w:lineRule="auto"/>
        <w:ind w:left="2490"/>
        <w:rPr>
          <w:rFonts w:ascii="黑体" w:eastAsia="黑体" w:hAnsi="黑体" w:cs="黑体"/>
        </w:rPr>
      </w:pPr>
      <w:r>
        <w:rPr>
          <w:rFonts w:ascii="黑体" w:eastAsia="黑体" w:hAnsi="黑体" w:cs="黑体"/>
          <w:spacing w:val="-2"/>
          <w:sz w:val="21"/>
          <w:szCs w:val="21"/>
        </w:rPr>
        <w:t>2.1.1</w:t>
      </w:r>
      <w:r>
        <w:rPr>
          <w:rFonts w:ascii="黑体" w:eastAsia="黑体" w:hAnsi="黑体" w:cs="黑体"/>
          <w:spacing w:val="57"/>
          <w:sz w:val="21"/>
          <w:szCs w:val="21"/>
        </w:rPr>
        <w:t xml:space="preserve">  </w:t>
      </w:r>
      <w:r>
        <w:rPr>
          <w:rFonts w:ascii="黑体" w:eastAsia="黑体" w:hAnsi="黑体" w:cs="黑体"/>
          <w:spacing w:val="-2"/>
          <w:sz w:val="21"/>
          <w:szCs w:val="21"/>
        </w:rPr>
        <w:t>盈利能力分析指标、含义及计算公式</w:t>
      </w:r>
    </w:p>
    <w:p>
      <w:pPr>
        <w:spacing w:line="426" w:lineRule="auto"/>
      </w:pPr>
    </w:p>
    <w:p>
      <w:pPr>
        <w:pStyle w:val="BodyText"/>
        <w:spacing w:before="68" w:line="219" w:lineRule="auto"/>
        <w:ind w:left="1240"/>
        <w:rPr>
          <w:sz w:val="21"/>
          <w:szCs w:val="21"/>
        </w:rPr>
      </w:pPr>
      <w:r>
        <w:rPr>
          <w:spacing w:val="-2"/>
          <w:sz w:val="21"/>
          <w:szCs w:val="21"/>
        </w:rPr>
        <w:t>盈利能力分析一般包括动态分析和静态分析两种。</w:t>
      </w:r>
    </w:p>
    <w:p>
      <w:pPr>
        <w:pStyle w:val="BodyText"/>
        <w:spacing w:before="201" w:line="414" w:lineRule="auto"/>
        <w:ind w:left="809" w:right="625" w:firstLine="410"/>
        <w:rPr>
          <w:sz w:val="21"/>
          <w:szCs w:val="21"/>
        </w:rPr>
      </w:pPr>
      <w:r>
        <w:rPr>
          <w:spacing w:val="-2"/>
          <w:sz w:val="21"/>
          <w:szCs w:val="21"/>
        </w:rPr>
        <w:t>动态分析主要采用现金流贴现法。所谓现金流贴现法</w:t>
      </w:r>
      <w:r>
        <w:rPr>
          <w:spacing w:val="-3"/>
          <w:sz w:val="21"/>
          <w:szCs w:val="21"/>
        </w:rPr>
        <w:t>是指利用资金时间价值的原理，对  各个时点上的资金按一定的贴现率进行贴现。通过项目投资现金流量表计算财务内部</w:t>
      </w:r>
      <w:r>
        <w:rPr>
          <w:spacing w:val="-4"/>
          <w:sz w:val="21"/>
          <w:szCs w:val="21"/>
        </w:rPr>
        <w:t>收益率、</w:t>
      </w:r>
    </w:p>
    <w:p>
      <w:pPr>
        <w:pStyle w:val="BodyText"/>
        <w:spacing w:line="219" w:lineRule="auto"/>
        <w:ind w:left="799"/>
        <w:rPr>
          <w:sz w:val="21"/>
          <w:szCs w:val="21"/>
        </w:rPr>
      </w:pPr>
      <w:r>
        <w:rPr>
          <w:spacing w:val="-3"/>
          <w:sz w:val="21"/>
          <w:szCs w:val="21"/>
        </w:rPr>
        <w:t>财务净现值等主要动态指标。</w:t>
      </w:r>
    </w:p>
    <w:p>
      <w:pPr>
        <w:pStyle w:val="BodyText"/>
        <w:spacing w:before="207" w:line="212" w:lineRule="auto"/>
        <w:ind w:left="1329"/>
        <w:rPr>
          <w:rFonts w:ascii="Times New Roman" w:eastAsia="Times New Roman" w:hAnsi="Times New Roman" w:cs="Times New Roman"/>
          <w:sz w:val="21"/>
          <w:szCs w:val="21"/>
        </w:rPr>
      </w:pPr>
      <w:r>
        <w:rPr>
          <w:sz w:val="21"/>
          <w:szCs w:val="21"/>
        </w:rPr>
        <w:t>(1)    财务内部收益率</w:t>
      </w:r>
      <w:r>
        <w:rPr>
          <w:spacing w:val="-30"/>
          <w:sz w:val="21"/>
          <w:szCs w:val="21"/>
        </w:rPr>
        <w:t xml:space="preserve"> </w:t>
      </w:r>
      <w:r>
        <w:rPr>
          <w:rFonts w:ascii="Times New Roman" w:eastAsia="Times New Roman" w:hAnsi="Times New Roman" w:cs="Times New Roman"/>
          <w:sz w:val="21"/>
          <w:szCs w:val="21"/>
        </w:rPr>
        <w:t>(FIRR)</w:t>
      </w:r>
    </w:p>
    <w:p>
      <w:pPr>
        <w:pStyle w:val="BodyText"/>
        <w:spacing w:before="229" w:line="483" w:lineRule="exact"/>
        <w:ind w:left="1220"/>
        <w:rPr>
          <w:sz w:val="21"/>
          <w:szCs w:val="21"/>
        </w:rPr>
      </w:pPr>
      <w:r>
        <w:rPr>
          <w:spacing w:val="2"/>
          <w:position w:val="21"/>
          <w:sz w:val="21"/>
          <w:szCs w:val="21"/>
        </w:rPr>
        <w:t xml:space="preserve">财务内部收益率 </w:t>
      </w:r>
      <w:r>
        <w:rPr>
          <w:rFonts w:ascii="Times New Roman" w:eastAsia="Times New Roman" w:hAnsi="Times New Roman" w:cs="Times New Roman"/>
          <w:spacing w:val="2"/>
          <w:position w:val="21"/>
          <w:sz w:val="21"/>
          <w:szCs w:val="21"/>
        </w:rPr>
        <w:t>(</w:t>
      </w:r>
      <w:r>
        <w:rPr>
          <w:rFonts w:ascii="Times New Roman" w:eastAsia="Times New Roman" w:hAnsi="Times New Roman" w:cs="Times New Roman"/>
          <w:position w:val="21"/>
          <w:sz w:val="21"/>
          <w:szCs w:val="21"/>
        </w:rPr>
        <w:t>FIRR</w:t>
      </w:r>
      <w:r>
        <w:rPr>
          <w:rFonts w:ascii="Times New Roman" w:eastAsia="Times New Roman" w:hAnsi="Times New Roman" w:cs="Times New Roman"/>
          <w:spacing w:val="2"/>
          <w:position w:val="21"/>
          <w:sz w:val="21"/>
          <w:szCs w:val="21"/>
        </w:rPr>
        <w:t xml:space="preserve">)   </w:t>
      </w:r>
      <w:r>
        <w:rPr>
          <w:spacing w:val="2"/>
          <w:position w:val="21"/>
          <w:sz w:val="21"/>
          <w:szCs w:val="21"/>
        </w:rPr>
        <w:t>是指能使项目计算期内净现金流量现</w:t>
      </w:r>
      <w:r>
        <w:rPr>
          <w:spacing w:val="1"/>
          <w:position w:val="21"/>
          <w:sz w:val="21"/>
          <w:szCs w:val="21"/>
        </w:rPr>
        <w:t>值累计等于零时的折现</w:t>
      </w:r>
    </w:p>
    <w:p>
      <w:pPr>
        <w:pStyle w:val="BodyText"/>
        <w:spacing w:before="1" w:line="219" w:lineRule="auto"/>
        <w:ind w:left="809"/>
        <w:rPr>
          <w:sz w:val="21"/>
          <w:szCs w:val="21"/>
        </w:rPr>
      </w:pPr>
      <w:r>
        <w:rPr>
          <w:spacing w:val="-4"/>
          <w:sz w:val="21"/>
          <w:szCs w:val="21"/>
        </w:rPr>
        <w:t>率，即</w:t>
      </w:r>
      <w:r>
        <w:rPr>
          <w:rFonts w:ascii="Times New Roman" w:eastAsia="Times New Roman" w:hAnsi="Times New Roman" w:cs="Times New Roman"/>
          <w:spacing w:val="-4"/>
          <w:sz w:val="21"/>
          <w:szCs w:val="21"/>
        </w:rPr>
        <w:t>FIRR</w:t>
      </w:r>
      <w:r>
        <w:rPr>
          <w:spacing w:val="-4"/>
          <w:sz w:val="21"/>
          <w:szCs w:val="21"/>
        </w:rPr>
        <w:t>作为折现率使下式成立：</w:t>
      </w:r>
    </w:p>
    <w:p>
      <w:pPr>
        <w:spacing w:before="232" w:line="660" w:lineRule="exact"/>
        <w:ind w:firstLine="3720"/>
      </w:pPr>
      <w:r>
        <w:rPr>
          <w:position w:val="-1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i1025" type="#_x0000_t75" style="width:143.46pt;height:32.96pt;mso-wrap-distance-left:0;mso-wrap-distance-right:0" o:preferrelative="t" filled="f" stroked="f">
            <v:fill o:detectmouseclick="t"/>
            <v:imagedata r:id="rId12" o:title=""/>
            <v:path o:extrusionok="f"/>
            <o:lock v:ext="edit" aspectratio="f"/>
          </v:shape>
        </w:pict>
      </w:r>
    </w:p>
    <w:p>
      <w:pPr>
        <w:pStyle w:val="BodyText"/>
        <w:spacing w:before="269" w:line="450" w:lineRule="exact"/>
        <w:ind w:left="1230"/>
        <w:rPr>
          <w:sz w:val="21"/>
          <w:szCs w:val="21"/>
        </w:rPr>
      </w:pPr>
      <w:r>
        <w:rPr>
          <w:spacing w:val="-6"/>
          <w:position w:val="18"/>
          <w:sz w:val="21"/>
          <w:szCs w:val="21"/>
        </w:rPr>
        <w:t>式中</w:t>
      </w:r>
      <w:r>
        <w:rPr>
          <w:rFonts w:ascii="Times New Roman" w:eastAsia="Times New Roman" w:hAnsi="Times New Roman" w:cs="Times New Roman"/>
          <w:spacing w:val="-6"/>
          <w:position w:val="18"/>
          <w:sz w:val="21"/>
          <w:szCs w:val="21"/>
        </w:rPr>
        <w:t>CI:</w:t>
      </w:r>
      <w:r>
        <w:rPr>
          <w:rFonts w:ascii="Times New Roman" w:eastAsia="Times New Roman" w:hAnsi="Times New Roman" w:cs="Times New Roman"/>
          <w:spacing w:val="26"/>
          <w:position w:val="18"/>
          <w:sz w:val="21"/>
          <w:szCs w:val="21"/>
        </w:rPr>
        <w:t xml:space="preserve">  </w:t>
      </w:r>
      <w:r>
        <w:rPr>
          <w:spacing w:val="-6"/>
          <w:position w:val="18"/>
          <w:sz w:val="21"/>
          <w:szCs w:val="21"/>
        </w:rPr>
        <w:t>现金流入量；</w:t>
      </w:r>
    </w:p>
    <w:p>
      <w:pPr>
        <w:pStyle w:val="BodyText"/>
        <w:spacing w:line="220" w:lineRule="auto"/>
        <w:ind w:left="1720"/>
        <w:rPr>
          <w:sz w:val="21"/>
          <w:szCs w:val="21"/>
        </w:rPr>
      </w:pPr>
      <w:r>
        <w:rPr>
          <w:rFonts w:ascii="Times New Roman" w:eastAsia="Times New Roman" w:hAnsi="Times New Roman" w:cs="Times New Roman"/>
          <w:spacing w:val="-5"/>
          <w:sz w:val="21"/>
          <w:szCs w:val="21"/>
        </w:rPr>
        <w:t>CO:</w:t>
      </w:r>
      <w:r>
        <w:rPr>
          <w:rFonts w:ascii="Times New Roman" w:eastAsia="Times New Roman" w:hAnsi="Times New Roman" w:cs="Times New Roman"/>
          <w:spacing w:val="24"/>
          <w:w w:val="101"/>
          <w:sz w:val="21"/>
          <w:szCs w:val="21"/>
        </w:rPr>
        <w:t xml:space="preserve">  </w:t>
      </w:r>
      <w:r>
        <w:rPr>
          <w:spacing w:val="-5"/>
          <w:sz w:val="21"/>
          <w:szCs w:val="21"/>
        </w:rPr>
        <w:t>现金流出量；</w:t>
      </w:r>
    </w:p>
    <w:p>
      <w:pPr>
        <w:pStyle w:val="BodyText"/>
        <w:spacing w:before="239" w:line="450" w:lineRule="exact"/>
        <w:ind w:left="1760"/>
        <w:rPr>
          <w:sz w:val="21"/>
          <w:szCs w:val="21"/>
        </w:rPr>
      </w:pPr>
      <w:r>
        <w:rPr>
          <w:spacing w:val="-7"/>
          <w:position w:val="18"/>
          <w:sz w:val="21"/>
          <w:szCs w:val="21"/>
        </w:rPr>
        <w:t>(CI-CO)t:</w:t>
      </w:r>
      <w:r>
        <w:rPr>
          <w:spacing w:val="12"/>
          <w:position w:val="18"/>
          <w:sz w:val="21"/>
          <w:szCs w:val="21"/>
        </w:rPr>
        <w:t xml:space="preserve">   </w:t>
      </w:r>
      <w:r>
        <w:rPr>
          <w:spacing w:val="-7"/>
          <w:position w:val="18"/>
          <w:sz w:val="21"/>
          <w:szCs w:val="21"/>
        </w:rPr>
        <w:t>第t期的净现金流量；</w:t>
      </w:r>
    </w:p>
    <w:p>
      <w:pPr>
        <w:pStyle w:val="BodyText"/>
        <w:spacing w:line="219" w:lineRule="auto"/>
        <w:ind w:left="1720"/>
        <w:rPr>
          <w:sz w:val="21"/>
          <w:szCs w:val="21"/>
        </w:rPr>
      </w:pPr>
      <w:r>
        <w:rPr>
          <w:spacing w:val="-5"/>
          <w:sz w:val="21"/>
          <w:szCs w:val="21"/>
        </w:rPr>
        <w:t>n: 项目计算期。</w:t>
      </w:r>
    </w:p>
    <w:p>
      <w:pPr>
        <w:pStyle w:val="BodyText"/>
        <w:spacing w:before="220" w:line="418" w:lineRule="auto"/>
        <w:ind w:left="799" w:right="810" w:firstLine="420"/>
        <w:jc w:val="both"/>
        <w:rPr>
          <w:sz w:val="21"/>
          <w:szCs w:val="21"/>
        </w:rPr>
      </w:pPr>
      <w:r>
        <w:rPr>
          <w:spacing w:val="-3"/>
          <w:sz w:val="21"/>
          <w:szCs w:val="21"/>
        </w:rPr>
        <w:t>项目投资财务内部收益率、项目资本金财务内部收益率和投资各方财务内部</w:t>
      </w:r>
      <w:r>
        <w:rPr>
          <w:spacing w:val="-4"/>
          <w:sz w:val="21"/>
          <w:szCs w:val="21"/>
        </w:rPr>
        <w:t>收益率都依</w:t>
      </w:r>
      <w:r>
        <w:rPr>
          <w:sz w:val="21"/>
          <w:szCs w:val="21"/>
        </w:rPr>
        <w:t xml:space="preserve"> </w:t>
      </w:r>
      <w:r>
        <w:rPr>
          <w:spacing w:val="-2"/>
          <w:sz w:val="21"/>
          <w:szCs w:val="21"/>
        </w:rPr>
        <w:t>据上式计算，但所用的现金流入和现金流出不同。该指标可通过</w:t>
      </w:r>
      <w:r>
        <w:rPr>
          <w:spacing w:val="-3"/>
          <w:sz w:val="21"/>
          <w:szCs w:val="21"/>
        </w:rPr>
        <w:t>相应的项目投资现金流量表</w:t>
      </w:r>
    </w:p>
    <w:p>
      <w:pPr>
        <w:pStyle w:val="BodyText"/>
        <w:spacing w:line="219" w:lineRule="auto"/>
        <w:ind w:left="820"/>
        <w:rPr>
          <w:sz w:val="21"/>
          <w:szCs w:val="21"/>
        </w:rPr>
      </w:pPr>
      <w:r>
        <w:rPr>
          <w:spacing w:val="-8"/>
          <w:sz w:val="21"/>
          <w:szCs w:val="21"/>
        </w:rPr>
        <w:t>计算表计算得到。</w:t>
      </w:r>
    </w:p>
    <w:p>
      <w:pPr>
        <w:spacing w:line="219" w:lineRule="auto"/>
        <w:sectPr>
          <w:headerReference w:type="default" r:id="rId13"/>
          <w:footerReference w:type="default" r:id="rId14"/>
          <w:pgSz w:w="11910" w:h="16840"/>
          <w:pgMar w:top="400" w:right="989" w:bottom="1211" w:left="999" w:header="0" w:footer="962" w:gutter="0"/>
          <w:pgNumType w:start="7"/>
          <w:cols w:space="708"/>
        </w:sectPr>
      </w:pPr>
    </w:p>
    <w:p>
      <w:pPr>
        <w:spacing w:before="193"/>
      </w:pPr>
    </w:p>
    <w:tbl>
      <w:tblPr>
        <w:tblStyle w:val="TableNormal3"/>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69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20" w:type="dxa"/>
            <w:tcBorders>
              <w:left w:val="nil"/>
            </w:tcBorders>
          </w:tcPr>
          <w:p>
            <w:pPr>
              <w:pStyle w:val="TableText"/>
              <w:spacing w:before="51" w:line="215" w:lineRule="auto"/>
              <w:ind w:left="123"/>
            </w:pPr>
            <w:r>
              <w:rPr>
                <w:b/>
                <w:bCs/>
                <w:spacing w:val="-5"/>
              </w:rPr>
              <w:t>编号：</w:t>
            </w:r>
          </w:p>
          <w:p>
            <w:pPr>
              <w:pStyle w:val="TableText"/>
              <w:spacing w:line="219" w:lineRule="auto"/>
              <w:ind w:left="133"/>
            </w:pPr>
            <w:r>
              <w:rPr>
                <w:b/>
                <w:bCs/>
              </w:rPr>
              <w:t>时间：2021年x月x日</w:t>
            </w:r>
          </w:p>
        </w:tc>
        <w:tc>
          <w:tcPr>
            <w:tcW w:w="4690" w:type="dxa"/>
          </w:tcPr>
          <w:p>
            <w:pPr>
              <w:spacing w:line="250" w:lineRule="auto"/>
            </w:pPr>
          </w:p>
          <w:p>
            <w:pPr>
              <w:pStyle w:val="TableText"/>
              <w:spacing w:before="78" w:line="219" w:lineRule="auto"/>
              <w:ind w:left="278"/>
            </w:pPr>
            <w:r>
              <w:rPr>
                <w:b/>
                <w:bCs/>
                <w:color w:val="F30000"/>
                <w:spacing w:val="-4"/>
              </w:rPr>
              <w:t>书山有路勤为径，学海无涯苦作舟</w:t>
            </w:r>
          </w:p>
        </w:tc>
        <w:tc>
          <w:tcPr>
            <w:tcW w:w="2690" w:type="dxa"/>
            <w:tcBorders>
              <w:right w:val="nil"/>
            </w:tcBorders>
          </w:tcPr>
          <w:p>
            <w:pPr>
              <w:spacing w:line="252" w:lineRule="auto"/>
            </w:pPr>
          </w:p>
          <w:p>
            <w:pPr>
              <w:pStyle w:val="TableText"/>
              <w:spacing w:before="78" w:line="219" w:lineRule="auto"/>
              <w:ind w:left="128"/>
            </w:pPr>
            <w:r>
              <w:rPr>
                <w:b/>
                <w:bCs/>
                <w:spacing w:val="-2"/>
              </w:rPr>
              <w:t>页码：第4页共70页</w:t>
            </w:r>
          </w:p>
        </w:tc>
      </w:tr>
    </w:tbl>
    <w:p>
      <w:pPr>
        <w:spacing w:line="335" w:lineRule="auto"/>
      </w:pPr>
    </w:p>
    <w:p>
      <w:pPr>
        <w:pStyle w:val="BodyText"/>
        <w:spacing w:before="65" w:line="460" w:lineRule="exact"/>
        <w:ind w:left="1230"/>
      </w:pPr>
      <w:r>
        <w:rPr>
          <w:spacing w:val="8"/>
          <w:position w:val="20"/>
        </w:rPr>
        <w:t>一般来说，项目现金流入包括生产期各年度</w:t>
      </w:r>
      <w:r>
        <w:rPr>
          <w:spacing w:val="7"/>
          <w:position w:val="20"/>
        </w:rPr>
        <w:t>项目产生的收入、计算期末回收流动资金和</w:t>
      </w:r>
    </w:p>
    <w:p>
      <w:pPr>
        <w:pStyle w:val="BodyText"/>
        <w:spacing w:line="218" w:lineRule="auto"/>
        <w:ind w:left="820"/>
      </w:pPr>
      <w:r>
        <w:rPr>
          <w:spacing w:val="9"/>
        </w:rPr>
        <w:t>固定资产余值；现金流出包括固定资产投资、流动</w:t>
      </w:r>
      <w:r>
        <w:rPr>
          <w:spacing w:val="8"/>
        </w:rPr>
        <w:t>资金、各年度经营成本、税金等。</w:t>
      </w:r>
    </w:p>
    <w:p>
      <w:pPr>
        <w:pStyle w:val="BodyText"/>
        <w:spacing w:before="201" w:line="212" w:lineRule="auto"/>
        <w:ind w:left="1329"/>
        <w:rPr>
          <w:rFonts w:ascii="Times New Roman" w:eastAsia="Times New Roman" w:hAnsi="Times New Roman" w:cs="Times New Roman"/>
        </w:rPr>
      </w:pPr>
      <w:r>
        <w:rPr>
          <w:spacing w:val="2"/>
        </w:rPr>
        <w:t>(2)</w:t>
      </w:r>
      <w:r>
        <w:rPr>
          <w:spacing w:val="14"/>
        </w:rPr>
        <w:t xml:space="preserve">    </w:t>
      </w:r>
      <w:r>
        <w:rPr>
          <w:spacing w:val="2"/>
        </w:rPr>
        <w:t>财务净现值</w:t>
      </w:r>
      <w:r>
        <w:rPr>
          <w:spacing w:val="-16"/>
        </w:rPr>
        <w:t xml:space="preserve"> </w:t>
      </w:r>
      <w:r>
        <w:rPr>
          <w:rFonts w:ascii="Times New Roman" w:eastAsia="Times New Roman" w:hAnsi="Times New Roman" w:cs="Times New Roman"/>
          <w:spacing w:val="2"/>
        </w:rPr>
        <w:t>(</w:t>
      </w:r>
      <w:r>
        <w:rPr>
          <w:rFonts w:ascii="Times New Roman" w:eastAsia="Times New Roman" w:hAnsi="Times New Roman" w:cs="Times New Roman"/>
        </w:rPr>
        <w:t>FNPV</w:t>
      </w:r>
      <w:r>
        <w:rPr>
          <w:rFonts w:ascii="Times New Roman" w:eastAsia="Times New Roman" w:hAnsi="Times New Roman" w:cs="Times New Roman"/>
          <w:spacing w:val="2"/>
        </w:rPr>
        <w:t>)</w:t>
      </w:r>
    </w:p>
    <w:p>
      <w:pPr>
        <w:pStyle w:val="BodyText"/>
        <w:spacing w:before="250" w:line="482" w:lineRule="exact"/>
        <w:ind w:left="1220"/>
      </w:pPr>
      <w:r>
        <w:rPr>
          <w:spacing w:val="13"/>
          <w:position w:val="22"/>
        </w:rPr>
        <w:t>财务净现值是指按设定的折现率(一般采用基准收益率</w:t>
      </w:r>
      <w:r>
        <w:rPr>
          <w:rFonts w:ascii="Times New Roman" w:eastAsia="Times New Roman" w:hAnsi="Times New Roman" w:cs="Times New Roman"/>
          <w:position w:val="22"/>
        </w:rPr>
        <w:t>ic</w:t>
      </w:r>
      <w:r>
        <w:rPr>
          <w:rFonts w:ascii="Times New Roman" w:eastAsia="Times New Roman" w:hAnsi="Times New Roman" w:cs="Times New Roman"/>
          <w:spacing w:val="13"/>
          <w:position w:val="22"/>
        </w:rPr>
        <w:t>)</w:t>
      </w:r>
      <w:r>
        <w:rPr>
          <w:rFonts w:ascii="Times New Roman" w:eastAsia="Times New Roman" w:hAnsi="Times New Roman" w:cs="Times New Roman"/>
          <w:spacing w:val="2"/>
          <w:position w:val="22"/>
        </w:rPr>
        <w:t xml:space="preserve">  </w:t>
      </w:r>
      <w:r>
        <w:rPr>
          <w:spacing w:val="13"/>
          <w:position w:val="22"/>
        </w:rPr>
        <w:t>计算</w:t>
      </w:r>
      <w:r>
        <w:rPr>
          <w:spacing w:val="12"/>
          <w:position w:val="22"/>
        </w:rPr>
        <w:t>的项目计算期内净现金</w:t>
      </w:r>
    </w:p>
    <w:p>
      <w:pPr>
        <w:pStyle w:val="BodyText"/>
        <w:spacing w:line="219" w:lineRule="auto"/>
        <w:ind w:left="809"/>
      </w:pPr>
      <w:r>
        <w:rPr>
          <w:spacing w:val="4"/>
        </w:rPr>
        <w:t>流量的现值之和。计算公式为：</w:t>
      </w:r>
    </w:p>
    <w:p>
      <w:pPr>
        <w:spacing w:line="282" w:lineRule="auto"/>
      </w:pPr>
    </w:p>
    <w:p>
      <w:pPr>
        <w:spacing w:before="1" w:line="570" w:lineRule="exact"/>
        <w:ind w:firstLine="3440"/>
      </w:pPr>
      <w:r>
        <w:rPr>
          <w:position w:val="-11"/>
        </w:rPr>
        <w:pict>
          <v:shape id="IM 4" o:spid="_x0000_i1026" type="#_x0000_t75" style="width:150pt;height:28.44pt;mso-wrap-distance-left:0;mso-wrap-distance-right:0" o:preferrelative="t" filled="f" stroked="f">
            <v:fill o:detectmouseclick="t"/>
            <v:imagedata r:id="rId15" o:title=""/>
            <v:path o:extrusionok="f"/>
            <o:lock v:ext="edit" aspectratio="f"/>
          </v:shape>
        </w:pict>
      </w:r>
    </w:p>
    <w:p>
      <w:pPr>
        <w:spacing w:line="242" w:lineRule="auto"/>
      </w:pPr>
    </w:p>
    <w:p>
      <w:pPr>
        <w:pStyle w:val="BodyText"/>
        <w:spacing w:before="65" w:line="219" w:lineRule="auto"/>
        <w:ind w:left="1240"/>
      </w:pPr>
      <w:r>
        <w:rPr>
          <w:spacing w:val="14"/>
        </w:rPr>
        <w:t>式中</w:t>
      </w:r>
      <w:r>
        <w:rPr>
          <w:rFonts w:ascii="Times New Roman" w:eastAsia="Times New Roman" w:hAnsi="Times New Roman" w:cs="Times New Roman"/>
          <w:spacing w:val="14"/>
        </w:rPr>
        <w:t xml:space="preserve">i:    </w:t>
      </w:r>
      <w:r>
        <w:rPr>
          <w:spacing w:val="14"/>
        </w:rPr>
        <w:t>设定的折现率(同基准收益率)。</w:t>
      </w:r>
    </w:p>
    <w:p>
      <w:pPr>
        <w:pStyle w:val="BodyText"/>
        <w:spacing w:before="242" w:line="470" w:lineRule="exact"/>
        <w:ind w:left="1240"/>
      </w:pPr>
      <w:r>
        <w:rPr>
          <w:spacing w:val="9"/>
          <w:position w:val="20"/>
        </w:rPr>
        <w:t>按照设定的折现率计算的财务净现值大于或等于零时，项目方案在财务上可考</w:t>
      </w:r>
      <w:r>
        <w:rPr>
          <w:spacing w:val="8"/>
          <w:position w:val="20"/>
        </w:rPr>
        <w:t>虑接受。</w:t>
      </w:r>
    </w:p>
    <w:p>
      <w:pPr>
        <w:pStyle w:val="BodyText"/>
        <w:spacing w:before="1" w:line="219" w:lineRule="auto"/>
        <w:ind w:left="809"/>
      </w:pPr>
      <w:r>
        <w:rPr>
          <w:spacing w:val="8"/>
        </w:rPr>
        <w:t>该指标可以通过相应的项目投资现金流量表计算得到。</w:t>
      </w:r>
    </w:p>
    <w:p>
      <w:pPr>
        <w:pStyle w:val="BodyText"/>
        <w:spacing w:before="221" w:line="481" w:lineRule="exact"/>
        <w:ind w:left="1250"/>
      </w:pPr>
      <w:r>
        <w:rPr>
          <w:spacing w:val="6"/>
          <w:position w:val="21"/>
        </w:rPr>
        <w:t>静态分析指不采取折现方式处理数据，主要根据利润与利润分配表、项目投资现金流量</w:t>
      </w:r>
    </w:p>
    <w:p>
      <w:pPr>
        <w:pStyle w:val="BodyText"/>
        <w:spacing w:line="218" w:lineRule="auto"/>
        <w:ind w:left="830"/>
      </w:pPr>
      <w:r>
        <w:rPr>
          <w:spacing w:val="8"/>
        </w:rPr>
        <w:t>表计算项目投资回收期、项目资本金净利润率和总投资收益率等静态分析指标。</w:t>
      </w:r>
    </w:p>
    <w:p>
      <w:pPr>
        <w:pStyle w:val="BodyText"/>
        <w:spacing w:before="214" w:line="219" w:lineRule="auto"/>
        <w:ind w:left="1339"/>
      </w:pPr>
      <w:r>
        <w:rPr>
          <w:spacing w:val="1"/>
        </w:rPr>
        <w:t>(1)</w:t>
      </w:r>
      <w:r>
        <w:rPr>
          <w:spacing w:val="10"/>
        </w:rPr>
        <w:t xml:space="preserve">    </w:t>
      </w:r>
      <w:r>
        <w:rPr>
          <w:spacing w:val="1"/>
        </w:rPr>
        <w:t>项目投资回收期 (</w:t>
      </w:r>
      <w:r>
        <w:t>Pt</w:t>
      </w:r>
      <w:r>
        <w:rPr>
          <w:spacing w:val="1"/>
        </w:rPr>
        <w:t>)</w:t>
      </w:r>
    </w:p>
    <w:p>
      <w:pPr>
        <w:pStyle w:val="BodyText"/>
        <w:spacing w:before="234" w:line="438" w:lineRule="auto"/>
        <w:ind w:left="809" w:right="781" w:firstLine="430"/>
      </w:pPr>
      <w:r>
        <w:rPr>
          <w:spacing w:val="5"/>
        </w:rPr>
        <w:t>项目投资回收期(P)</w:t>
      </w:r>
      <w:r>
        <w:rPr>
          <w:spacing w:val="10"/>
        </w:rPr>
        <w:t xml:space="preserve">  </w:t>
      </w:r>
      <w:r>
        <w:rPr>
          <w:spacing w:val="5"/>
        </w:rPr>
        <w:t>系指以项目的净收益回收项目投资所需要的时间，</w:t>
      </w:r>
      <w:r>
        <w:rPr>
          <w:spacing w:val="67"/>
        </w:rPr>
        <w:t xml:space="preserve"> </w:t>
      </w:r>
      <w:r>
        <w:rPr>
          <w:spacing w:val="5"/>
        </w:rPr>
        <w:t>一般以年为单</w:t>
      </w:r>
      <w:r>
        <w:t xml:space="preserve"> </w:t>
      </w:r>
      <w:r>
        <w:rPr>
          <w:spacing w:val="2"/>
        </w:rPr>
        <w:t>位。项目投资回收期宜从项目建设开始年算起，若从项目投产开</w:t>
      </w:r>
      <w:r>
        <w:rPr>
          <w:spacing w:val="1"/>
        </w:rPr>
        <w:t>始年计算，应予以特别注明。</w:t>
      </w:r>
    </w:p>
    <w:p>
      <w:pPr>
        <w:pStyle w:val="BodyText"/>
        <w:spacing w:line="219" w:lineRule="auto"/>
        <w:ind w:left="820"/>
      </w:pPr>
      <w:r>
        <w:t>计算公式为：</w:t>
      </w:r>
    </w:p>
    <w:p>
      <w:pPr>
        <w:spacing w:before="234" w:line="620" w:lineRule="exact"/>
        <w:ind w:firstLine="4080"/>
      </w:pPr>
      <w:r>
        <w:rPr>
          <w:position w:val="-12"/>
        </w:rPr>
        <w:pict>
          <v:shape id="IM 6" o:spid="_x0000_i1027" type="#_x0000_t75" style="width:89pt;height:31.01pt;mso-wrap-distance-left:0;mso-wrap-distance-right:0" o:preferrelative="t" filled="f" stroked="f">
            <v:fill o:detectmouseclick="t"/>
            <v:imagedata r:id="rId16" o:title=""/>
            <v:path o:extrusionok="f"/>
            <o:lock v:ext="edit" aspectratio="f"/>
          </v:shape>
        </w:pict>
      </w:r>
    </w:p>
    <w:p>
      <w:pPr>
        <w:pStyle w:val="BodyText"/>
        <w:spacing w:before="298" w:line="480" w:lineRule="exact"/>
        <w:ind w:left="1240"/>
      </w:pPr>
      <w:r>
        <w:rPr>
          <w:spacing w:val="9"/>
          <w:position w:val="21"/>
        </w:rPr>
        <w:t>项目投资现金流量表中累计净现金流量由负值变为零的时点，即为项目的投资回</w:t>
      </w:r>
      <w:r>
        <w:rPr>
          <w:spacing w:val="8"/>
          <w:position w:val="21"/>
        </w:rPr>
        <w:t>收期。</w:t>
      </w:r>
    </w:p>
    <w:p>
      <w:pPr>
        <w:pStyle w:val="BodyText"/>
        <w:spacing w:before="1" w:line="219" w:lineRule="auto"/>
        <w:ind w:left="840"/>
      </w:pPr>
      <w:r>
        <w:rPr>
          <w:spacing w:val="-3"/>
        </w:rPr>
        <w:t>计算公式为：</w:t>
      </w:r>
    </w:p>
    <w:p>
      <w:pPr>
        <w:spacing w:before="174" w:line="1040" w:lineRule="exact"/>
        <w:ind w:firstLine="3620"/>
      </w:pPr>
      <w:r>
        <w:rPr>
          <w:position w:val="-20"/>
        </w:rPr>
        <w:pict>
          <v:shape id="IM 8" o:spid="_x0000_i1028" type="#_x0000_t75" style="width:133.47pt;height:52.01pt;mso-wrap-distance-left:0;mso-wrap-distance-right:0" o:preferrelative="t" filled="f" stroked="f">
            <v:fill o:detectmouseclick="t"/>
            <v:imagedata r:id="rId17" o:title=""/>
            <v:path o:extrusionok="f"/>
            <o:lock v:ext="edit" aspectratio="f"/>
          </v:shape>
        </w:pict>
      </w:r>
    </w:p>
    <w:p>
      <w:pPr>
        <w:pStyle w:val="BodyText"/>
        <w:spacing w:before="269" w:line="219" w:lineRule="auto"/>
        <w:ind w:left="1250"/>
      </w:pPr>
      <w:r>
        <w:rPr>
          <w:spacing w:val="6"/>
        </w:rPr>
        <w:t>式中</w:t>
      </w:r>
      <w:r>
        <w:rPr>
          <w:rFonts w:ascii="Times New Roman" w:eastAsia="Times New Roman" w:hAnsi="Times New Roman" w:cs="Times New Roman"/>
          <w:spacing w:val="6"/>
        </w:rPr>
        <w:t xml:space="preserve">T:   </w:t>
      </w:r>
      <w:r>
        <w:rPr>
          <w:spacing w:val="6"/>
        </w:rPr>
        <w:t>各年累计净现金流量首次为正值或零的年数。</w:t>
      </w:r>
    </w:p>
    <w:p>
      <w:pPr>
        <w:pStyle w:val="BodyText"/>
        <w:spacing w:before="222" w:line="470" w:lineRule="exact"/>
        <w:ind w:left="1230"/>
      </w:pPr>
      <w:r>
        <w:rPr>
          <w:spacing w:val="7"/>
          <w:position w:val="20"/>
        </w:rPr>
        <w:t>投资回收期短，表明项目投资回收快，抗风险能力强。该指标可以通过</w:t>
      </w:r>
      <w:r>
        <w:rPr>
          <w:spacing w:val="6"/>
          <w:position w:val="20"/>
        </w:rPr>
        <w:t>财务现金流量及</w:t>
      </w:r>
    </w:p>
    <w:p>
      <w:pPr>
        <w:pStyle w:val="BodyText"/>
        <w:spacing w:line="219" w:lineRule="auto"/>
        <w:ind w:left="830"/>
      </w:pPr>
      <w:r>
        <w:rPr>
          <w:spacing w:val="5"/>
        </w:rPr>
        <w:t>净现值计算表计算得到。</w:t>
      </w:r>
    </w:p>
    <w:p>
      <w:pPr>
        <w:pStyle w:val="BodyText"/>
        <w:spacing w:before="210" w:line="212" w:lineRule="auto"/>
        <w:ind w:left="1310"/>
        <w:rPr>
          <w:rFonts w:ascii="Times New Roman" w:eastAsia="Times New Roman" w:hAnsi="Times New Roman" w:cs="Times New Roman"/>
        </w:rPr>
      </w:pPr>
      <w:r>
        <w:rPr>
          <w:spacing w:val="3"/>
        </w:rPr>
        <w:t>(2)</w:t>
      </w:r>
      <w:r>
        <w:rPr>
          <w:spacing w:val="22"/>
        </w:rPr>
        <w:t xml:space="preserve">    </w:t>
      </w:r>
      <w:r>
        <w:rPr>
          <w:spacing w:val="3"/>
        </w:rPr>
        <w:t>总投资收益率</w:t>
      </w:r>
      <w:r>
        <w:rPr>
          <w:spacing w:val="-30"/>
        </w:rPr>
        <w:t xml:space="preserve"> </w:t>
      </w:r>
      <w:r>
        <w:rPr>
          <w:rFonts w:ascii="Times New Roman" w:eastAsia="Times New Roman" w:hAnsi="Times New Roman" w:cs="Times New Roman"/>
          <w:spacing w:val="3"/>
        </w:rPr>
        <w:t>(</w:t>
      </w:r>
      <w:r>
        <w:rPr>
          <w:rFonts w:ascii="Times New Roman" w:eastAsia="Times New Roman" w:hAnsi="Times New Roman" w:cs="Times New Roman"/>
        </w:rPr>
        <w:t>ROI</w:t>
      </w:r>
      <w:r>
        <w:rPr>
          <w:rFonts w:ascii="Times New Roman" w:eastAsia="Times New Roman" w:hAnsi="Times New Roman" w:cs="Times New Roman"/>
          <w:spacing w:val="3"/>
        </w:rPr>
        <w:t>)</w:t>
      </w:r>
    </w:p>
    <w:p>
      <w:pPr>
        <w:pStyle w:val="BodyText"/>
        <w:spacing w:before="231" w:line="492" w:lineRule="exact"/>
        <w:ind w:left="1230"/>
      </w:pPr>
      <w:r>
        <w:rPr>
          <w:spacing w:val="10"/>
          <w:position w:val="23"/>
        </w:rPr>
        <w:t>总投资收益率</w:t>
      </w:r>
      <w:r>
        <w:rPr>
          <w:spacing w:val="-19"/>
          <w:position w:val="23"/>
        </w:rPr>
        <w:t xml:space="preserve"> </w:t>
      </w:r>
      <w:r>
        <w:rPr>
          <w:rFonts w:ascii="Times New Roman" w:eastAsia="Times New Roman" w:hAnsi="Times New Roman" w:cs="Times New Roman"/>
          <w:spacing w:val="10"/>
          <w:position w:val="23"/>
        </w:rPr>
        <w:t>(</w:t>
      </w:r>
      <w:r>
        <w:rPr>
          <w:rFonts w:ascii="Times New Roman" w:eastAsia="Times New Roman" w:hAnsi="Times New Roman" w:cs="Times New Roman"/>
          <w:position w:val="23"/>
        </w:rPr>
        <w:t>ROI</w:t>
      </w:r>
      <w:r>
        <w:rPr>
          <w:rFonts w:ascii="Times New Roman" w:eastAsia="Times New Roman" w:hAnsi="Times New Roman" w:cs="Times New Roman"/>
          <w:spacing w:val="10"/>
          <w:position w:val="23"/>
        </w:rPr>
        <w:t xml:space="preserve">)   </w:t>
      </w:r>
      <w:r>
        <w:rPr>
          <w:spacing w:val="10"/>
          <w:position w:val="23"/>
        </w:rPr>
        <w:t>表示总投资的盈利水平，系指项目达到</w:t>
      </w:r>
      <w:r>
        <w:rPr>
          <w:spacing w:val="9"/>
          <w:position w:val="23"/>
        </w:rPr>
        <w:t>设计能力后正常年份的年</w:t>
      </w:r>
    </w:p>
    <w:p>
      <w:pPr>
        <w:pStyle w:val="BodyText"/>
        <w:spacing w:line="219" w:lineRule="auto"/>
        <w:ind w:left="809"/>
      </w:pPr>
      <w:r>
        <w:rPr>
          <w:spacing w:val="10"/>
        </w:rPr>
        <w:t>息税前利润或运营期内年平均息税前利润</w:t>
      </w:r>
      <w:r>
        <w:rPr>
          <w:spacing w:val="-22"/>
        </w:rPr>
        <w:t xml:space="preserve"> </w:t>
      </w:r>
      <w:r>
        <w:rPr>
          <w:spacing w:val="10"/>
        </w:rPr>
        <w:t>(</w:t>
      </w:r>
      <w:r>
        <w:t>EBIT</w:t>
      </w:r>
      <w:r>
        <w:rPr>
          <w:spacing w:val="10"/>
        </w:rPr>
        <w:t>)  与项目总投资</w:t>
      </w:r>
      <w:r>
        <w:rPr>
          <w:spacing w:val="-15"/>
        </w:rPr>
        <w:t xml:space="preserve"> </w:t>
      </w:r>
      <w:r>
        <w:rPr>
          <w:spacing w:val="10"/>
        </w:rPr>
        <w:t>(</w:t>
      </w:r>
      <w:r>
        <w:t>TI</w:t>
      </w:r>
      <w:r>
        <w:rPr>
          <w:spacing w:val="10"/>
        </w:rPr>
        <w:t>)</w:t>
      </w:r>
      <w:r>
        <w:rPr>
          <w:spacing w:val="73"/>
        </w:rPr>
        <w:t xml:space="preserve"> </w:t>
      </w:r>
      <w:r>
        <w:rPr>
          <w:spacing w:val="10"/>
        </w:rPr>
        <w:t>的比率。计算公式</w:t>
      </w:r>
    </w:p>
    <w:p>
      <w:pPr>
        <w:spacing w:line="219" w:lineRule="auto"/>
        <w:sectPr>
          <w:headerReference w:type="default" r:id="rId18"/>
          <w:footerReference w:type="default" r:id="rId19"/>
          <w:pgSz w:w="11910" w:h="16840"/>
          <w:pgMar w:top="400" w:right="1019" w:bottom="1202" w:left="989" w:header="0" w:footer="964" w:gutter="0"/>
          <w:pgNumType w:start="8"/>
          <w:cols w:space="708"/>
        </w:sectPr>
      </w:pPr>
    </w:p>
    <w:p>
      <w:pPr>
        <w:spacing w:before="193"/>
      </w:pPr>
    </w:p>
    <w:tbl>
      <w:tblPr>
        <w:tblStyle w:val="TableNormal4"/>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80"/>
        <w:gridCol w:w="271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51" w:line="215" w:lineRule="auto"/>
              <w:ind w:left="123"/>
            </w:pPr>
            <w:r>
              <w:rPr>
                <w:b/>
                <w:bCs/>
                <w:spacing w:val="-5"/>
              </w:rPr>
              <w:t>编号：</w:t>
            </w:r>
          </w:p>
          <w:p>
            <w:pPr>
              <w:pStyle w:val="TableText"/>
              <w:spacing w:line="219" w:lineRule="auto"/>
              <w:ind w:left="133"/>
            </w:pPr>
            <w:r>
              <w:rPr>
                <w:b/>
                <w:bCs/>
              </w:rPr>
              <w:t>时间：2021年x月x日</w:t>
            </w:r>
          </w:p>
        </w:tc>
        <w:tc>
          <w:tcPr>
            <w:tcW w:w="4680" w:type="dxa"/>
          </w:tcPr>
          <w:p>
            <w:pPr>
              <w:spacing w:line="250" w:lineRule="auto"/>
            </w:pPr>
          </w:p>
          <w:p>
            <w:pPr>
              <w:pStyle w:val="TableText"/>
              <w:spacing w:before="78" w:line="219" w:lineRule="auto"/>
              <w:ind w:left="268"/>
            </w:pPr>
            <w:r>
              <w:rPr>
                <w:b/>
                <w:bCs/>
                <w:color w:val="F40000"/>
                <w:spacing w:val="-4"/>
              </w:rPr>
              <w:t>书山有路勤为径，学海无涯苦作舟</w:t>
            </w:r>
          </w:p>
        </w:tc>
        <w:tc>
          <w:tcPr>
            <w:tcW w:w="2710" w:type="dxa"/>
            <w:tcBorders>
              <w:right w:val="nil"/>
            </w:tcBorders>
          </w:tcPr>
          <w:p>
            <w:pPr>
              <w:spacing w:line="252" w:lineRule="auto"/>
            </w:pPr>
          </w:p>
          <w:p>
            <w:pPr>
              <w:pStyle w:val="TableText"/>
              <w:spacing w:before="78" w:line="219" w:lineRule="auto"/>
              <w:ind w:left="128"/>
            </w:pPr>
            <w:r>
              <w:rPr>
                <w:b/>
                <w:bCs/>
                <w:spacing w:val="-2"/>
              </w:rPr>
              <w:t>页码：第5页共70页</w:t>
            </w:r>
          </w:p>
        </w:tc>
      </w:tr>
    </w:tbl>
    <w:p>
      <w:pPr>
        <w:spacing w:line="314" w:lineRule="auto"/>
      </w:pPr>
    </w:p>
    <w:p>
      <w:pPr>
        <w:pStyle w:val="BodyText"/>
        <w:spacing w:before="68" w:line="221" w:lineRule="auto"/>
        <w:ind w:left="799"/>
        <w:rPr>
          <w:sz w:val="21"/>
          <w:szCs w:val="21"/>
        </w:rPr>
      </w:pPr>
      <w:r>
        <w:rPr>
          <w:spacing w:val="-9"/>
          <w:sz w:val="21"/>
          <w:szCs w:val="21"/>
        </w:rPr>
        <w:t>为：</w:t>
      </w:r>
    </w:p>
    <w:p>
      <w:pPr>
        <w:spacing w:line="267" w:lineRule="auto"/>
      </w:pPr>
    </w:p>
    <w:p>
      <w:pPr>
        <w:spacing w:line="570" w:lineRule="exact"/>
        <w:ind w:firstLine="3940"/>
      </w:pPr>
      <w:r>
        <w:rPr>
          <w:position w:val="-11"/>
        </w:rPr>
        <w:pict>
          <v:shape id="IM 10" o:spid="_x0000_i1029" type="#_x0000_t75" style="width:102.46pt;height:28.5pt;mso-wrap-distance-left:0;mso-wrap-distance-right:0" o:preferrelative="t" filled="f" stroked="f">
            <v:fill o:detectmouseclick="t"/>
            <v:imagedata r:id="rId20" o:title=""/>
            <v:path o:extrusionok="f"/>
            <o:lock v:ext="edit" aspectratio="f"/>
          </v:shape>
        </w:pict>
      </w:r>
    </w:p>
    <w:p>
      <w:pPr>
        <w:pStyle w:val="BodyText"/>
        <w:spacing w:before="308" w:line="471" w:lineRule="exact"/>
        <w:ind w:left="1250"/>
        <w:rPr>
          <w:sz w:val="21"/>
          <w:szCs w:val="21"/>
        </w:rPr>
      </w:pPr>
      <w:r>
        <w:rPr>
          <w:spacing w:val="-3"/>
          <w:position w:val="20"/>
          <w:sz w:val="21"/>
          <w:szCs w:val="21"/>
        </w:rPr>
        <w:t>式中</w:t>
      </w:r>
      <w:r>
        <w:rPr>
          <w:rFonts w:ascii="Times New Roman" w:eastAsia="Times New Roman" w:hAnsi="Times New Roman" w:cs="Times New Roman"/>
          <w:spacing w:val="-3"/>
          <w:position w:val="20"/>
          <w:sz w:val="21"/>
          <w:szCs w:val="21"/>
        </w:rPr>
        <w:t xml:space="preserve">EBIT:   </w:t>
      </w:r>
      <w:r>
        <w:rPr>
          <w:spacing w:val="-3"/>
          <w:position w:val="20"/>
          <w:sz w:val="21"/>
          <w:szCs w:val="21"/>
        </w:rPr>
        <w:t>项目正常年份的年息税前利润或运营期内年平均息税前利润；</w:t>
      </w:r>
    </w:p>
    <w:p>
      <w:pPr>
        <w:pStyle w:val="BodyText"/>
        <w:spacing w:line="220" w:lineRule="auto"/>
        <w:ind w:left="1740"/>
        <w:rPr>
          <w:sz w:val="21"/>
          <w:szCs w:val="21"/>
        </w:rPr>
      </w:pPr>
      <w:r>
        <w:rPr>
          <w:spacing w:val="-6"/>
          <w:sz w:val="21"/>
          <w:szCs w:val="21"/>
        </w:rPr>
        <w:t>TI: 项目总投资。</w:t>
      </w:r>
    </w:p>
    <w:p>
      <w:pPr>
        <w:pStyle w:val="BodyText"/>
        <w:spacing w:before="228" w:line="460" w:lineRule="exact"/>
        <w:ind w:left="1250"/>
        <w:rPr>
          <w:sz w:val="21"/>
          <w:szCs w:val="21"/>
        </w:rPr>
      </w:pPr>
      <w:r>
        <w:rPr>
          <w:spacing w:val="-3"/>
          <w:position w:val="19"/>
          <w:sz w:val="21"/>
          <w:szCs w:val="21"/>
        </w:rPr>
        <w:t>总投资收益率高于同行业的收益率参考值，表明用总投</w:t>
      </w:r>
      <w:r>
        <w:rPr>
          <w:spacing w:val="-4"/>
          <w:position w:val="19"/>
          <w:sz w:val="21"/>
          <w:szCs w:val="21"/>
        </w:rPr>
        <w:t>资收益率表示的盈利能力满足要</w:t>
      </w:r>
    </w:p>
    <w:p>
      <w:pPr>
        <w:pStyle w:val="BodyText"/>
        <w:spacing w:before="1" w:line="219" w:lineRule="auto"/>
        <w:ind w:left="820"/>
        <w:rPr>
          <w:sz w:val="21"/>
          <w:szCs w:val="21"/>
        </w:rPr>
      </w:pPr>
      <w:r>
        <w:rPr>
          <w:spacing w:val="-2"/>
          <w:sz w:val="21"/>
          <w:szCs w:val="21"/>
        </w:rPr>
        <w:t>求。该指标可以通过利润及利润分配表计算得到。</w:t>
      </w:r>
    </w:p>
    <w:p>
      <w:pPr>
        <w:pStyle w:val="BodyText"/>
        <w:spacing w:before="187" w:line="212" w:lineRule="auto"/>
        <w:ind w:left="1339"/>
        <w:rPr>
          <w:rFonts w:ascii="Times New Roman" w:eastAsia="Times New Roman" w:hAnsi="Times New Roman" w:cs="Times New Roman"/>
          <w:sz w:val="21"/>
          <w:szCs w:val="21"/>
        </w:rPr>
      </w:pPr>
      <w:r>
        <w:rPr>
          <w:spacing w:val="-1"/>
          <w:sz w:val="21"/>
          <w:szCs w:val="21"/>
        </w:rPr>
        <w:t xml:space="preserve">(3)    项目资本金净利润率 </w:t>
      </w:r>
      <w:r>
        <w:rPr>
          <w:rFonts w:ascii="Times New Roman" w:eastAsia="Times New Roman" w:hAnsi="Times New Roman" w:cs="Times New Roman"/>
          <w:spacing w:val="-1"/>
          <w:sz w:val="21"/>
          <w:szCs w:val="21"/>
        </w:rPr>
        <w:t>(ROE)</w:t>
      </w:r>
    </w:p>
    <w:p>
      <w:pPr>
        <w:pStyle w:val="BodyText"/>
        <w:spacing w:before="238" w:line="470" w:lineRule="exact"/>
        <w:ind w:left="1240"/>
        <w:rPr>
          <w:sz w:val="21"/>
          <w:szCs w:val="21"/>
        </w:rPr>
      </w:pPr>
      <w:r>
        <w:rPr>
          <w:spacing w:val="-1"/>
          <w:position w:val="20"/>
          <w:sz w:val="21"/>
          <w:szCs w:val="21"/>
        </w:rPr>
        <w:t>项目资本金净利润率</w:t>
      </w:r>
      <w:r>
        <w:rPr>
          <w:spacing w:val="-24"/>
          <w:position w:val="20"/>
          <w:sz w:val="21"/>
          <w:szCs w:val="21"/>
        </w:rPr>
        <w:t xml:space="preserve"> </w:t>
      </w:r>
      <w:r>
        <w:rPr>
          <w:rFonts w:ascii="Times New Roman" w:eastAsia="Times New Roman" w:hAnsi="Times New Roman" w:cs="Times New Roman"/>
          <w:spacing w:val="-1"/>
          <w:position w:val="20"/>
          <w:sz w:val="21"/>
          <w:szCs w:val="21"/>
        </w:rPr>
        <w:t>(ROE)</w:t>
      </w:r>
      <w:r>
        <w:rPr>
          <w:rFonts w:ascii="Times New Roman" w:eastAsia="Times New Roman" w:hAnsi="Times New Roman" w:cs="Times New Roman"/>
          <w:spacing w:val="22"/>
          <w:w w:val="101"/>
          <w:position w:val="20"/>
          <w:sz w:val="21"/>
          <w:szCs w:val="21"/>
        </w:rPr>
        <w:t xml:space="preserve">  </w:t>
      </w:r>
      <w:r>
        <w:rPr>
          <w:spacing w:val="-1"/>
          <w:position w:val="20"/>
          <w:sz w:val="21"/>
          <w:szCs w:val="21"/>
        </w:rPr>
        <w:t>表示项目资本金的盈利水平，指项目达到设计能力后正常</w:t>
      </w:r>
    </w:p>
    <w:p>
      <w:pPr>
        <w:pStyle w:val="BodyText"/>
        <w:spacing w:line="212" w:lineRule="auto"/>
        <w:ind w:left="820"/>
        <w:rPr>
          <w:sz w:val="21"/>
          <w:szCs w:val="21"/>
        </w:rPr>
      </w:pPr>
      <w:r>
        <w:rPr>
          <w:spacing w:val="-1"/>
          <w:sz w:val="21"/>
          <w:szCs w:val="21"/>
        </w:rPr>
        <w:t>年份的年净利润或运营期内年平均净利润</w:t>
      </w:r>
      <w:r>
        <w:rPr>
          <w:rFonts w:ascii="Times New Roman" w:eastAsia="Times New Roman" w:hAnsi="Times New Roman" w:cs="Times New Roman"/>
          <w:spacing w:val="-1"/>
          <w:sz w:val="21"/>
          <w:szCs w:val="21"/>
        </w:rPr>
        <w:t>(NP)</w:t>
      </w:r>
      <w:r>
        <w:rPr>
          <w:rFonts w:ascii="Times New Roman" w:eastAsia="Times New Roman" w:hAnsi="Times New Roman" w:cs="Times New Roman"/>
          <w:spacing w:val="25"/>
          <w:w w:val="101"/>
          <w:sz w:val="21"/>
          <w:szCs w:val="21"/>
        </w:rPr>
        <w:t xml:space="preserve">  </w:t>
      </w:r>
      <w:r>
        <w:rPr>
          <w:spacing w:val="-1"/>
          <w:sz w:val="21"/>
          <w:szCs w:val="21"/>
        </w:rPr>
        <w:t>与项目资本金</w:t>
      </w:r>
      <w:r>
        <w:rPr>
          <w:spacing w:val="-44"/>
          <w:sz w:val="21"/>
          <w:szCs w:val="21"/>
        </w:rPr>
        <w:t xml:space="preserve"> </w:t>
      </w:r>
      <w:r>
        <w:rPr>
          <w:rFonts w:ascii="Times New Roman" w:eastAsia="Times New Roman" w:hAnsi="Times New Roman" w:cs="Times New Roman"/>
          <w:spacing w:val="-1"/>
          <w:sz w:val="21"/>
          <w:szCs w:val="21"/>
        </w:rPr>
        <w:t>(EC)</w:t>
      </w:r>
      <w:r>
        <w:rPr>
          <w:rFonts w:ascii="Times New Roman" w:eastAsia="Times New Roman" w:hAnsi="Times New Roman" w:cs="Times New Roman"/>
          <w:spacing w:val="18"/>
          <w:sz w:val="21"/>
          <w:szCs w:val="21"/>
        </w:rPr>
        <w:t xml:space="preserve">  </w:t>
      </w:r>
      <w:r>
        <w:rPr>
          <w:spacing w:val="-1"/>
          <w:sz w:val="21"/>
          <w:szCs w:val="21"/>
        </w:rPr>
        <w:t>的比率。计算公式为：</w:t>
      </w:r>
    </w:p>
    <w:p>
      <w:pPr>
        <w:spacing w:line="301" w:lineRule="auto"/>
      </w:pPr>
    </w:p>
    <w:p>
      <w:pPr>
        <w:spacing w:before="1" w:line="561" w:lineRule="exact"/>
        <w:ind w:firstLine="4029"/>
      </w:pPr>
      <w:r>
        <w:rPr>
          <w:position w:val="-11"/>
        </w:rPr>
        <w:pict>
          <v:shape id="IM 12" o:spid="_x0000_i1030" type="#_x0000_t75" style="width:93.98pt;height:28.01pt;mso-wrap-distance-left:0;mso-wrap-distance-right:0" o:preferrelative="t" filled="f" stroked="f">
            <v:fill o:detectmouseclick="t"/>
            <v:imagedata r:id="rId21" o:title=""/>
            <v:path o:extrusionok="f"/>
            <o:lock v:ext="edit" aspectratio="f"/>
          </v:shape>
        </w:pict>
      </w:r>
    </w:p>
    <w:p>
      <w:pPr>
        <w:pStyle w:val="BodyText"/>
        <w:spacing w:before="308" w:line="469" w:lineRule="exact"/>
        <w:ind w:left="1250"/>
        <w:rPr>
          <w:sz w:val="21"/>
          <w:szCs w:val="21"/>
        </w:rPr>
      </w:pPr>
      <w:r>
        <w:rPr>
          <w:spacing w:val="-3"/>
          <w:position w:val="19"/>
          <w:sz w:val="21"/>
          <w:szCs w:val="21"/>
        </w:rPr>
        <w:t>式中</w:t>
      </w:r>
      <w:r>
        <w:rPr>
          <w:rFonts w:ascii="Times New Roman" w:eastAsia="Times New Roman" w:hAnsi="Times New Roman" w:cs="Times New Roman"/>
          <w:spacing w:val="-3"/>
          <w:position w:val="19"/>
          <w:sz w:val="21"/>
          <w:szCs w:val="21"/>
        </w:rPr>
        <w:t xml:space="preserve">NP:   </w:t>
      </w:r>
      <w:r>
        <w:rPr>
          <w:spacing w:val="-3"/>
          <w:position w:val="19"/>
          <w:sz w:val="21"/>
          <w:szCs w:val="21"/>
        </w:rPr>
        <w:t>项目正常年份的年净利润或运营期内年平均净利润；</w:t>
      </w:r>
    </w:p>
    <w:p>
      <w:pPr>
        <w:pStyle w:val="BodyText"/>
        <w:spacing w:before="1" w:line="218" w:lineRule="auto"/>
        <w:ind w:left="1760"/>
        <w:rPr>
          <w:sz w:val="21"/>
          <w:szCs w:val="21"/>
        </w:rPr>
      </w:pPr>
      <w:r>
        <w:rPr>
          <w:spacing w:val="-3"/>
          <w:sz w:val="21"/>
          <w:szCs w:val="21"/>
        </w:rPr>
        <w:t>EC:</w:t>
      </w:r>
      <w:r>
        <w:rPr>
          <w:spacing w:val="53"/>
          <w:sz w:val="21"/>
          <w:szCs w:val="21"/>
        </w:rPr>
        <w:t xml:space="preserve"> </w:t>
      </w:r>
      <w:r>
        <w:rPr>
          <w:spacing w:val="-3"/>
          <w:sz w:val="21"/>
          <w:szCs w:val="21"/>
        </w:rPr>
        <w:t>项目资本金。</w:t>
      </w:r>
    </w:p>
    <w:p>
      <w:pPr>
        <w:pStyle w:val="BodyText"/>
        <w:spacing w:before="221" w:line="481" w:lineRule="exact"/>
        <w:ind w:left="1230"/>
        <w:rPr>
          <w:sz w:val="21"/>
          <w:szCs w:val="21"/>
        </w:rPr>
      </w:pPr>
      <w:r>
        <w:rPr>
          <w:spacing w:val="-2"/>
          <w:position w:val="20"/>
          <w:sz w:val="21"/>
          <w:szCs w:val="21"/>
        </w:rPr>
        <w:t>项目资本金净利润率高于同行业的净利润率参考</w:t>
      </w:r>
      <w:r>
        <w:rPr>
          <w:spacing w:val="-3"/>
          <w:position w:val="20"/>
          <w:sz w:val="21"/>
          <w:szCs w:val="21"/>
        </w:rPr>
        <w:t>值，表明用项目资本金净利润率表示的</w:t>
      </w:r>
    </w:p>
    <w:p>
      <w:pPr>
        <w:pStyle w:val="BodyText"/>
        <w:spacing w:line="219" w:lineRule="auto"/>
        <w:ind w:left="830"/>
        <w:rPr>
          <w:sz w:val="21"/>
          <w:szCs w:val="21"/>
        </w:rPr>
      </w:pPr>
      <w:r>
        <w:rPr>
          <w:spacing w:val="-2"/>
          <w:sz w:val="21"/>
          <w:szCs w:val="21"/>
        </w:rPr>
        <w:t>盈利能力满足要求。该指标可以通过利润及利润分配</w:t>
      </w:r>
      <w:r>
        <w:rPr>
          <w:spacing w:val="-3"/>
          <w:sz w:val="21"/>
          <w:szCs w:val="21"/>
        </w:rPr>
        <w:t>表计算得到。</w:t>
      </w:r>
    </w:p>
    <w:p>
      <w:pPr>
        <w:spacing w:line="295" w:lineRule="auto"/>
      </w:pPr>
    </w:p>
    <w:p>
      <w:pPr>
        <w:spacing w:line="295" w:lineRule="auto"/>
      </w:pPr>
    </w:p>
    <w:p>
      <w:pPr>
        <w:spacing w:line="295" w:lineRule="auto"/>
      </w:pPr>
    </w:p>
    <w:p>
      <w:pPr>
        <w:spacing w:before="69" w:line="221" w:lineRule="auto"/>
        <w:ind w:left="2520"/>
        <w:rPr>
          <w:rFonts w:ascii="黑体" w:eastAsia="黑体" w:hAnsi="黑体" w:cs="黑体"/>
        </w:rPr>
      </w:pPr>
      <w:r>
        <w:rPr>
          <w:rFonts w:ascii="黑体" w:eastAsia="黑体" w:hAnsi="黑体" w:cs="黑体"/>
          <w:spacing w:val="-2"/>
          <w:sz w:val="21"/>
          <w:szCs w:val="21"/>
        </w:rPr>
        <w:t>2.1.2   财务偿债能力分析指标、含义及计算公式</w:t>
      </w:r>
    </w:p>
    <w:p>
      <w:pPr>
        <w:spacing w:line="419" w:lineRule="auto"/>
      </w:pPr>
    </w:p>
    <w:p>
      <w:pPr>
        <w:pStyle w:val="BodyText"/>
        <w:spacing w:before="68" w:line="480" w:lineRule="exact"/>
        <w:ind w:left="1250"/>
        <w:rPr>
          <w:sz w:val="21"/>
          <w:szCs w:val="21"/>
        </w:rPr>
      </w:pPr>
      <w:r>
        <w:rPr>
          <w:spacing w:val="-3"/>
          <w:position w:val="20"/>
          <w:sz w:val="21"/>
          <w:szCs w:val="21"/>
        </w:rPr>
        <w:t>偿债能力分析应通过计算利息备付率、偿债备付率和资</w:t>
      </w:r>
      <w:r>
        <w:rPr>
          <w:spacing w:val="-4"/>
          <w:position w:val="20"/>
          <w:sz w:val="21"/>
          <w:szCs w:val="21"/>
        </w:rPr>
        <w:t>产负债率等指标，分析判断财务</w:t>
      </w:r>
    </w:p>
    <w:p>
      <w:pPr>
        <w:pStyle w:val="BodyText"/>
        <w:spacing w:before="1" w:line="219" w:lineRule="auto"/>
        <w:ind w:left="830"/>
        <w:rPr>
          <w:sz w:val="21"/>
          <w:szCs w:val="21"/>
        </w:rPr>
      </w:pPr>
      <w:r>
        <w:rPr>
          <w:spacing w:val="-5"/>
          <w:sz w:val="21"/>
          <w:szCs w:val="21"/>
        </w:rPr>
        <w:t>主体的偿债能力。</w:t>
      </w:r>
    </w:p>
    <w:p>
      <w:pPr>
        <w:pStyle w:val="BodyText"/>
        <w:spacing w:before="221" w:line="219" w:lineRule="auto"/>
        <w:ind w:left="1329"/>
        <w:rPr>
          <w:sz w:val="21"/>
          <w:szCs w:val="21"/>
        </w:rPr>
      </w:pPr>
      <w:r>
        <w:rPr>
          <w:spacing w:val="-6"/>
          <w:sz w:val="21"/>
          <w:szCs w:val="21"/>
        </w:rPr>
        <w:t>(1)</w:t>
      </w:r>
      <w:r>
        <w:rPr>
          <w:spacing w:val="6"/>
          <w:sz w:val="21"/>
          <w:szCs w:val="21"/>
        </w:rPr>
        <w:t xml:space="preserve">    </w:t>
      </w:r>
      <w:r>
        <w:rPr>
          <w:spacing w:val="-6"/>
          <w:sz w:val="21"/>
          <w:szCs w:val="21"/>
        </w:rPr>
        <w:t>利息备付率 (ICR)</w:t>
      </w:r>
    </w:p>
    <w:p>
      <w:pPr>
        <w:pStyle w:val="BodyText"/>
        <w:spacing w:before="197" w:line="493" w:lineRule="exact"/>
        <w:ind w:left="1220"/>
        <w:rPr>
          <w:sz w:val="21"/>
          <w:szCs w:val="21"/>
        </w:rPr>
      </w:pPr>
      <w:r>
        <w:rPr>
          <w:spacing w:val="1"/>
          <w:position w:val="22"/>
          <w:sz w:val="21"/>
          <w:szCs w:val="21"/>
        </w:rPr>
        <w:t xml:space="preserve">利息备付率指在借款偿还期内的息税前利润 </w:t>
      </w:r>
      <w:r>
        <w:rPr>
          <w:rFonts w:ascii="Times New Roman" w:eastAsia="Times New Roman" w:hAnsi="Times New Roman" w:cs="Times New Roman"/>
          <w:spacing w:val="1"/>
          <w:position w:val="22"/>
          <w:sz w:val="21"/>
          <w:szCs w:val="21"/>
        </w:rPr>
        <w:t>(</w:t>
      </w:r>
      <w:r>
        <w:rPr>
          <w:rFonts w:ascii="Times New Roman" w:eastAsia="Times New Roman" w:hAnsi="Times New Roman" w:cs="Times New Roman"/>
          <w:position w:val="22"/>
          <w:sz w:val="21"/>
          <w:szCs w:val="21"/>
        </w:rPr>
        <w:t>EBIT</w:t>
      </w:r>
      <w:r>
        <w:rPr>
          <w:rFonts w:ascii="Times New Roman" w:eastAsia="Times New Roman" w:hAnsi="Times New Roman" w:cs="Times New Roman"/>
          <w:spacing w:val="1"/>
          <w:position w:val="22"/>
          <w:sz w:val="21"/>
          <w:szCs w:val="21"/>
        </w:rPr>
        <w:t>)</w:t>
      </w:r>
      <w:r>
        <w:rPr>
          <w:rFonts w:ascii="Times New Roman" w:eastAsia="Times New Roman" w:hAnsi="Times New Roman" w:cs="Times New Roman"/>
          <w:spacing w:val="19"/>
          <w:w w:val="101"/>
          <w:position w:val="22"/>
          <w:sz w:val="21"/>
          <w:szCs w:val="21"/>
        </w:rPr>
        <w:t xml:space="preserve">   </w:t>
      </w:r>
      <w:r>
        <w:rPr>
          <w:spacing w:val="1"/>
          <w:position w:val="22"/>
          <w:sz w:val="21"/>
          <w:szCs w:val="21"/>
        </w:rPr>
        <w:t xml:space="preserve">与应付利息 </w:t>
      </w:r>
      <w:r>
        <w:rPr>
          <w:rFonts w:ascii="Times New Roman" w:eastAsia="Times New Roman" w:hAnsi="Times New Roman" w:cs="Times New Roman"/>
          <w:spacing w:val="1"/>
          <w:position w:val="22"/>
          <w:sz w:val="21"/>
          <w:szCs w:val="21"/>
        </w:rPr>
        <w:t>(</w:t>
      </w:r>
      <w:r>
        <w:rPr>
          <w:rFonts w:ascii="Times New Roman" w:eastAsia="Times New Roman" w:hAnsi="Times New Roman" w:cs="Times New Roman"/>
          <w:position w:val="22"/>
          <w:sz w:val="21"/>
          <w:szCs w:val="21"/>
        </w:rPr>
        <w:t>PI</w:t>
      </w:r>
      <w:r>
        <w:rPr>
          <w:rFonts w:ascii="Times New Roman" w:eastAsia="Times New Roman" w:hAnsi="Times New Roman" w:cs="Times New Roman"/>
          <w:spacing w:val="1"/>
          <w:position w:val="22"/>
          <w:sz w:val="21"/>
          <w:szCs w:val="21"/>
        </w:rPr>
        <w:t>)</w:t>
      </w:r>
      <w:r>
        <w:rPr>
          <w:rFonts w:ascii="Times New Roman" w:eastAsia="Times New Roman" w:hAnsi="Times New Roman" w:cs="Times New Roman"/>
          <w:spacing w:val="14"/>
          <w:w w:val="101"/>
          <w:position w:val="22"/>
          <w:sz w:val="21"/>
          <w:szCs w:val="21"/>
        </w:rPr>
        <w:t xml:space="preserve">   </w:t>
      </w:r>
      <w:r>
        <w:rPr>
          <w:spacing w:val="1"/>
          <w:position w:val="22"/>
          <w:sz w:val="21"/>
          <w:szCs w:val="21"/>
        </w:rPr>
        <w:t>的比值，从付</w:t>
      </w:r>
    </w:p>
    <w:p>
      <w:pPr>
        <w:pStyle w:val="BodyText"/>
        <w:spacing w:line="218" w:lineRule="auto"/>
        <w:ind w:left="830"/>
        <w:rPr>
          <w:sz w:val="21"/>
          <w:szCs w:val="21"/>
        </w:rPr>
      </w:pPr>
      <w:r>
        <w:rPr>
          <w:spacing w:val="-3"/>
          <w:sz w:val="21"/>
          <w:szCs w:val="21"/>
        </w:rPr>
        <w:t>息资金来源的充裕性角度反映项目偿付债务利息的保障程度。利息备付率</w:t>
      </w:r>
      <w:r>
        <w:rPr>
          <w:spacing w:val="-4"/>
          <w:sz w:val="21"/>
          <w:szCs w:val="21"/>
        </w:rPr>
        <w:t>应分年计算，计算</w:t>
      </w:r>
    </w:p>
    <w:p>
      <w:pPr>
        <w:pStyle w:val="BodyText"/>
        <w:spacing w:before="214" w:line="221" w:lineRule="auto"/>
        <w:ind w:left="809"/>
        <w:rPr>
          <w:sz w:val="21"/>
          <w:szCs w:val="21"/>
        </w:rPr>
      </w:pPr>
      <w:r>
        <w:rPr>
          <w:spacing w:val="-12"/>
          <w:sz w:val="21"/>
          <w:szCs w:val="21"/>
        </w:rPr>
        <w:t>公式为：</w:t>
      </w:r>
    </w:p>
    <w:p>
      <w:pPr>
        <w:spacing w:line="247" w:lineRule="auto"/>
      </w:pPr>
    </w:p>
    <w:p>
      <w:pPr>
        <w:spacing w:line="580" w:lineRule="exact"/>
        <w:ind w:firstLine="4340"/>
      </w:pPr>
      <w:r>
        <w:rPr>
          <w:position w:val="-11"/>
        </w:rPr>
        <w:pict>
          <v:shape id="IM 14" o:spid="_x0000_i1031" type="#_x0000_t75" style="width:63.5pt;height:28.95pt;mso-wrap-distance-left:0;mso-wrap-distance-right:0" o:preferrelative="t" filled="f" stroked="f">
            <v:fill o:detectmouseclick="t"/>
            <v:imagedata r:id="rId22" o:title=""/>
            <v:path o:extrusionok="f"/>
            <o:lock v:ext="edit" aspectratio="f"/>
          </v:shape>
        </w:pict>
      </w:r>
    </w:p>
    <w:p>
      <w:pPr>
        <w:spacing w:line="259" w:lineRule="auto"/>
      </w:pPr>
    </w:p>
    <w:p>
      <w:pPr>
        <w:pStyle w:val="BodyText"/>
        <w:spacing w:before="69" w:line="220" w:lineRule="auto"/>
        <w:ind w:left="1240"/>
        <w:rPr>
          <w:sz w:val="21"/>
          <w:szCs w:val="21"/>
        </w:rPr>
      </w:pPr>
      <w:r>
        <w:rPr>
          <w:spacing w:val="-5"/>
          <w:sz w:val="21"/>
          <w:szCs w:val="21"/>
        </w:rPr>
        <w:t>式中</w:t>
      </w:r>
      <w:r>
        <w:rPr>
          <w:rFonts w:ascii="Times New Roman" w:eastAsia="Times New Roman" w:hAnsi="Times New Roman" w:cs="Times New Roman"/>
          <w:spacing w:val="-5"/>
          <w:sz w:val="21"/>
          <w:szCs w:val="21"/>
        </w:rPr>
        <w:t xml:space="preserve">EBIT:   </w:t>
      </w:r>
      <w:r>
        <w:rPr>
          <w:spacing w:val="-5"/>
          <w:sz w:val="21"/>
          <w:szCs w:val="21"/>
        </w:rPr>
        <w:t>息税前利润；</w:t>
      </w:r>
    </w:p>
    <w:p>
      <w:pPr>
        <w:spacing w:line="220" w:lineRule="auto"/>
        <w:sectPr>
          <w:headerReference w:type="default" r:id="rId23"/>
          <w:footerReference w:type="default" r:id="rId24"/>
          <w:pgSz w:w="11910" w:h="16840"/>
          <w:pgMar w:top="400" w:right="999" w:bottom="1211" w:left="989" w:header="0" w:footer="962" w:gutter="0"/>
          <w:pgNumType w:start="9"/>
          <w:cols w:space="708"/>
        </w:sectPr>
      </w:pPr>
    </w:p>
    <w:p>
      <w:pPr>
        <w:spacing w:before="193"/>
      </w:pPr>
    </w:p>
    <w:tbl>
      <w:tblPr>
        <w:tblStyle w:val="TableNormal5"/>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80"/>
        <w:gridCol w:w="271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51" w:line="215" w:lineRule="auto"/>
              <w:ind w:left="123"/>
            </w:pPr>
            <w:bookmarkStart w:id="8" w:name="bookmark10"/>
            <w:bookmarkStart w:id="9" w:name="bookmark9"/>
            <w:bookmarkEnd w:id="8"/>
            <w:bookmarkEnd w:id="9"/>
            <w:r>
              <w:rPr>
                <w:b/>
                <w:bCs/>
                <w:spacing w:val="-5"/>
              </w:rPr>
              <w:t>编号：</w:t>
            </w:r>
          </w:p>
          <w:p>
            <w:pPr>
              <w:pStyle w:val="TableText"/>
              <w:spacing w:line="219" w:lineRule="auto"/>
              <w:ind w:left="143"/>
            </w:pPr>
            <w:r>
              <w:rPr>
                <w:b/>
                <w:bCs/>
              </w:rPr>
              <w:t>时间：2021年x月x日</w:t>
            </w:r>
          </w:p>
        </w:tc>
        <w:tc>
          <w:tcPr>
            <w:tcW w:w="4680" w:type="dxa"/>
          </w:tcPr>
          <w:p>
            <w:pPr>
              <w:spacing w:line="250" w:lineRule="auto"/>
            </w:pPr>
          </w:p>
          <w:p>
            <w:pPr>
              <w:pStyle w:val="TableText"/>
              <w:spacing w:before="78" w:line="219" w:lineRule="auto"/>
              <w:ind w:left="268"/>
            </w:pPr>
            <w:r>
              <w:rPr>
                <w:b/>
                <w:bCs/>
                <w:color w:val="F40000"/>
                <w:spacing w:val="-4"/>
              </w:rPr>
              <w:t>书山有路勤为径，学海无涯苦作舟</w:t>
            </w:r>
          </w:p>
        </w:tc>
        <w:tc>
          <w:tcPr>
            <w:tcW w:w="2710" w:type="dxa"/>
            <w:tcBorders>
              <w:right w:val="nil"/>
            </w:tcBorders>
          </w:tcPr>
          <w:p>
            <w:pPr>
              <w:spacing w:line="252" w:lineRule="auto"/>
            </w:pPr>
          </w:p>
          <w:p>
            <w:pPr>
              <w:pStyle w:val="TableText"/>
              <w:spacing w:before="78" w:line="219" w:lineRule="auto"/>
              <w:ind w:left="128"/>
            </w:pPr>
            <w:r>
              <w:rPr>
                <w:b/>
                <w:bCs/>
                <w:spacing w:val="-2"/>
              </w:rPr>
              <w:t>页码：第6页共70页</w:t>
            </w:r>
          </w:p>
        </w:tc>
      </w:tr>
    </w:tbl>
    <w:p>
      <w:pPr>
        <w:spacing w:line="334" w:lineRule="auto"/>
      </w:pPr>
    </w:p>
    <w:p>
      <w:pPr>
        <w:pStyle w:val="BodyText"/>
        <w:spacing w:before="65" w:line="219" w:lineRule="auto"/>
        <w:ind w:left="1750"/>
      </w:pPr>
      <w:r>
        <w:rPr>
          <w:rFonts w:ascii="Times New Roman" w:eastAsia="Times New Roman" w:hAnsi="Times New Roman" w:cs="Times New Roman"/>
        </w:rPr>
        <w:t>PI</w:t>
      </w:r>
      <w:r>
        <w:rPr>
          <w:rFonts w:ascii="Times New Roman" w:eastAsia="Times New Roman" w:hAnsi="Times New Roman" w:cs="Times New Roman"/>
          <w:spacing w:val="5"/>
        </w:rPr>
        <w:t>:</w:t>
      </w:r>
      <w:r>
        <w:rPr>
          <w:rFonts w:ascii="Times New Roman" w:eastAsia="Times New Roman" w:hAnsi="Times New Roman" w:cs="Times New Roman"/>
          <w:spacing w:val="17"/>
          <w:w w:val="101"/>
        </w:rPr>
        <w:t xml:space="preserve">  </w:t>
      </w:r>
      <w:r>
        <w:rPr>
          <w:spacing w:val="5"/>
        </w:rPr>
        <w:t>总成本费用的应付利息。</w:t>
      </w:r>
    </w:p>
    <w:p>
      <w:pPr>
        <w:pStyle w:val="BodyText"/>
        <w:spacing w:before="213" w:line="448" w:lineRule="exact"/>
        <w:ind w:left="1250"/>
      </w:pPr>
      <w:r>
        <w:rPr>
          <w:spacing w:val="5"/>
          <w:position w:val="19"/>
        </w:rPr>
        <w:t>该指标可以通过借款还本付息表计算。</w:t>
      </w:r>
    </w:p>
    <w:p>
      <w:pPr>
        <w:pStyle w:val="BodyText"/>
        <w:spacing w:line="212" w:lineRule="auto"/>
        <w:ind w:left="1329"/>
        <w:rPr>
          <w:rFonts w:ascii="Times New Roman" w:eastAsia="Times New Roman" w:hAnsi="Times New Roman" w:cs="Times New Roman"/>
        </w:rPr>
      </w:pPr>
      <w:r>
        <w:rPr>
          <w:spacing w:val="1"/>
        </w:rPr>
        <w:t>(2)</w:t>
      </w:r>
      <w:r>
        <w:rPr>
          <w:spacing w:val="14"/>
        </w:rPr>
        <w:t xml:space="preserve">    </w:t>
      </w:r>
      <w:r>
        <w:rPr>
          <w:spacing w:val="1"/>
        </w:rPr>
        <w:t xml:space="preserve">偿债备付率 </w:t>
      </w:r>
      <w:r>
        <w:rPr>
          <w:rFonts w:ascii="Times New Roman" w:eastAsia="Times New Roman" w:hAnsi="Times New Roman" w:cs="Times New Roman"/>
          <w:spacing w:val="1"/>
        </w:rPr>
        <w:t>(</w:t>
      </w:r>
      <w:r>
        <w:rPr>
          <w:rFonts w:ascii="Times New Roman" w:eastAsia="Times New Roman" w:hAnsi="Times New Roman" w:cs="Times New Roman"/>
        </w:rPr>
        <w:t>DSCR</w:t>
      </w:r>
      <w:r>
        <w:rPr>
          <w:rFonts w:ascii="Times New Roman" w:eastAsia="Times New Roman" w:hAnsi="Times New Roman" w:cs="Times New Roman"/>
          <w:spacing w:val="1"/>
        </w:rPr>
        <w:t>)</w:t>
      </w:r>
    </w:p>
    <w:p>
      <w:pPr>
        <w:pStyle w:val="BodyText"/>
        <w:spacing w:before="250" w:line="444" w:lineRule="auto"/>
        <w:ind w:left="830" w:right="800" w:firstLine="400"/>
        <w:jc w:val="both"/>
      </w:pPr>
      <w:r>
        <w:rPr>
          <w:spacing w:val="10"/>
        </w:rPr>
        <w:t xml:space="preserve">偿债备付率指在借款偿还期内，用于计算还本付息的资金 </w:t>
      </w:r>
      <w:r>
        <w:rPr>
          <w:rFonts w:ascii="Times New Roman" w:eastAsia="Times New Roman" w:hAnsi="Times New Roman" w:cs="Times New Roman"/>
          <w:spacing w:val="10"/>
        </w:rPr>
        <w:t>(</w:t>
      </w:r>
      <w:r>
        <w:rPr>
          <w:rFonts w:ascii="Times New Roman" w:eastAsia="Times New Roman" w:hAnsi="Times New Roman" w:cs="Times New Roman"/>
        </w:rPr>
        <w:t>EBITDA</w:t>
      </w:r>
      <w:r>
        <w:rPr>
          <w:rFonts w:ascii="Times New Roman" w:eastAsia="Times New Roman" w:hAnsi="Times New Roman" w:cs="Times New Roman"/>
          <w:spacing w:val="10"/>
        </w:rPr>
        <w:t>-</w:t>
      </w:r>
      <w:r>
        <w:rPr>
          <w:rFonts w:ascii="Times New Roman" w:eastAsia="Times New Roman" w:hAnsi="Times New Roman" w:cs="Times New Roman"/>
        </w:rPr>
        <w:t>TAx</w:t>
      </w:r>
      <w:r>
        <w:rPr>
          <w:rFonts w:ascii="Times New Roman" w:eastAsia="Times New Roman" w:hAnsi="Times New Roman" w:cs="Times New Roman"/>
          <w:spacing w:val="10"/>
        </w:rPr>
        <w:t xml:space="preserve">)      </w:t>
      </w:r>
      <w:r>
        <w:rPr>
          <w:spacing w:val="10"/>
        </w:rPr>
        <w:t>与应</w:t>
      </w:r>
      <w:r>
        <w:rPr>
          <w:spacing w:val="9"/>
        </w:rPr>
        <w:t>还本</w:t>
      </w:r>
      <w:r>
        <w:t xml:space="preserve"> </w:t>
      </w:r>
      <w:r>
        <w:rPr>
          <w:spacing w:val="9"/>
        </w:rPr>
        <w:t>付息金额</w:t>
      </w:r>
      <w:r>
        <w:t xml:space="preserve"> </w:t>
      </w:r>
      <w:r>
        <w:rPr>
          <w:rFonts w:ascii="Times New Roman" w:eastAsia="Times New Roman" w:hAnsi="Times New Roman" w:cs="Times New Roman"/>
          <w:spacing w:val="9"/>
        </w:rPr>
        <w:t>(</w:t>
      </w:r>
      <w:r>
        <w:rPr>
          <w:rFonts w:ascii="Times New Roman" w:eastAsia="Times New Roman" w:hAnsi="Times New Roman" w:cs="Times New Roman"/>
        </w:rPr>
        <w:t>PD</w:t>
      </w:r>
      <w:r>
        <w:rPr>
          <w:rFonts w:ascii="Times New Roman" w:eastAsia="Times New Roman" w:hAnsi="Times New Roman" w:cs="Times New Roman"/>
          <w:spacing w:val="9"/>
        </w:rPr>
        <w:t xml:space="preserve">)    </w:t>
      </w:r>
      <w:r>
        <w:rPr>
          <w:spacing w:val="9"/>
        </w:rPr>
        <w:t>的比值，表示可用于还本付息的资金偿还借款本息的保障程度。偿债备付</w:t>
      </w:r>
    </w:p>
    <w:p>
      <w:pPr>
        <w:pStyle w:val="BodyText"/>
        <w:spacing w:line="219" w:lineRule="auto"/>
        <w:ind w:left="820"/>
      </w:pPr>
      <w:r>
        <w:rPr>
          <w:spacing w:val="3"/>
        </w:rPr>
        <w:t>率应分年计算，计算公式为：</w:t>
      </w:r>
    </w:p>
    <w:p>
      <w:pPr>
        <w:spacing w:line="262" w:lineRule="auto"/>
      </w:pPr>
    </w:p>
    <w:p>
      <w:pPr>
        <w:spacing w:before="1" w:line="560" w:lineRule="exact"/>
        <w:ind w:firstLine="3800"/>
      </w:pPr>
      <w:r>
        <w:rPr>
          <w:position w:val="-11"/>
        </w:rPr>
        <w:pict>
          <v:shape id="IM 16" o:spid="_x0000_i1032" type="#_x0000_t75" style="width:116.01pt;height:28.01pt;mso-wrap-distance-left:0;mso-wrap-distance-right:0" o:preferrelative="t" filled="f" stroked="f">
            <v:fill o:detectmouseclick="t"/>
            <v:imagedata r:id="rId25" o:title=""/>
            <v:path o:extrusionok="f"/>
            <o:lock v:ext="edit" aspectratio="f"/>
          </v:shape>
        </w:pict>
      </w:r>
    </w:p>
    <w:p>
      <w:pPr>
        <w:spacing w:line="261" w:lineRule="auto"/>
      </w:pPr>
    </w:p>
    <w:p>
      <w:pPr>
        <w:pStyle w:val="BodyText"/>
        <w:spacing w:before="66" w:line="469" w:lineRule="exact"/>
        <w:ind w:left="1250"/>
      </w:pPr>
      <w:r>
        <w:rPr>
          <w:spacing w:val="5"/>
          <w:position w:val="20"/>
        </w:rPr>
        <w:t>式中</w:t>
      </w:r>
      <w:r>
        <w:rPr>
          <w:rFonts w:ascii="Times New Roman" w:eastAsia="Times New Roman" w:hAnsi="Times New Roman" w:cs="Times New Roman"/>
          <w:position w:val="20"/>
        </w:rPr>
        <w:t>EBITDA</w:t>
      </w:r>
      <w:r>
        <w:rPr>
          <w:rFonts w:ascii="Times New Roman" w:eastAsia="Times New Roman" w:hAnsi="Times New Roman" w:cs="Times New Roman"/>
          <w:spacing w:val="5"/>
          <w:position w:val="20"/>
        </w:rPr>
        <w:t>:</w:t>
      </w:r>
      <w:r>
        <w:rPr>
          <w:rFonts w:ascii="Times New Roman" w:eastAsia="Times New Roman" w:hAnsi="Times New Roman" w:cs="Times New Roman"/>
          <w:spacing w:val="15"/>
          <w:position w:val="20"/>
        </w:rPr>
        <w:t xml:space="preserve">   </w:t>
      </w:r>
      <w:r>
        <w:rPr>
          <w:spacing w:val="5"/>
          <w:position w:val="20"/>
        </w:rPr>
        <w:t>息税折旧摊销前利润</w:t>
      </w:r>
    </w:p>
    <w:p>
      <w:pPr>
        <w:pStyle w:val="BodyText"/>
        <w:spacing w:before="1" w:line="219" w:lineRule="auto"/>
        <w:ind w:left="1740"/>
      </w:pPr>
      <w:r>
        <w:rPr>
          <w:spacing w:val="-2"/>
        </w:rPr>
        <w:t>TAx:</w:t>
      </w:r>
      <w:r>
        <w:rPr>
          <w:spacing w:val="50"/>
        </w:rPr>
        <w:t xml:space="preserve"> </w:t>
      </w:r>
      <w:r>
        <w:rPr>
          <w:spacing w:val="-2"/>
        </w:rPr>
        <w:t>企业所得税；</w:t>
      </w:r>
    </w:p>
    <w:p>
      <w:pPr>
        <w:pStyle w:val="BodyText"/>
        <w:spacing w:before="242" w:line="470" w:lineRule="exact"/>
        <w:ind w:left="1760"/>
      </w:pPr>
      <w:r>
        <w:rPr>
          <w:rFonts w:ascii="Times New Roman" w:eastAsia="Times New Roman" w:hAnsi="Times New Roman" w:cs="Times New Roman"/>
          <w:position w:val="20"/>
        </w:rPr>
        <w:t>PD</w:t>
      </w:r>
      <w:r>
        <w:rPr>
          <w:rFonts w:ascii="Times New Roman" w:eastAsia="Times New Roman" w:hAnsi="Times New Roman" w:cs="Times New Roman"/>
          <w:spacing w:val="9"/>
          <w:position w:val="20"/>
        </w:rPr>
        <w:t xml:space="preserve">:  </w:t>
      </w:r>
      <w:r>
        <w:rPr>
          <w:spacing w:val="9"/>
          <w:position w:val="20"/>
        </w:rPr>
        <w:t>应还本付息金额，包括还本金额和计入总成本费用的全部利息。融</w:t>
      </w:r>
      <w:r>
        <w:rPr>
          <w:spacing w:val="8"/>
          <w:position w:val="20"/>
        </w:rPr>
        <w:t>资租赁费</w:t>
      </w:r>
    </w:p>
    <w:p>
      <w:pPr>
        <w:pStyle w:val="BodyText"/>
        <w:spacing w:line="218" w:lineRule="auto"/>
        <w:ind w:left="2180"/>
      </w:pPr>
      <w:r>
        <w:rPr>
          <w:spacing w:val="8"/>
        </w:rPr>
        <w:t>用可视同借款偿还。运营期内的短期借款本息</w:t>
      </w:r>
      <w:r>
        <w:rPr>
          <w:spacing w:val="7"/>
        </w:rPr>
        <w:t>也应纳入计算。</w:t>
      </w:r>
    </w:p>
    <w:p>
      <w:pPr>
        <w:pStyle w:val="BodyText"/>
        <w:spacing w:before="213" w:line="434" w:lineRule="auto"/>
        <w:ind w:left="809" w:right="619" w:firstLine="420"/>
      </w:pPr>
      <w:r>
        <w:rPr>
          <w:spacing w:val="7"/>
        </w:rPr>
        <w:t>如果项目在运行期内有维持运营的投资，可用于还本付息的资金应扣除维持运营</w:t>
      </w:r>
      <w:r>
        <w:rPr>
          <w:spacing w:val="6"/>
        </w:rPr>
        <w:t>的投资。</w:t>
      </w:r>
      <w:r>
        <w:t xml:space="preserve"> </w:t>
      </w:r>
      <w:r>
        <w:rPr>
          <w:spacing w:val="10"/>
        </w:rPr>
        <w:t>偿债备付率高，表明可用于还本付息的资金保障程度高，偿债备付率应大于1。该指标可以</w:t>
      </w:r>
    </w:p>
    <w:p>
      <w:pPr>
        <w:pStyle w:val="BodyText"/>
        <w:spacing w:before="1" w:line="218" w:lineRule="auto"/>
        <w:ind w:left="820"/>
      </w:pPr>
      <w:r>
        <w:rPr>
          <w:spacing w:val="6"/>
        </w:rPr>
        <w:t>通过借款还本付息表计算。</w:t>
      </w:r>
    </w:p>
    <w:p>
      <w:pPr>
        <w:pStyle w:val="BodyText"/>
        <w:spacing w:before="221" w:line="212" w:lineRule="auto"/>
        <w:ind w:left="1329"/>
        <w:rPr>
          <w:rFonts w:ascii="Times New Roman" w:eastAsia="Times New Roman" w:hAnsi="Times New Roman" w:cs="Times New Roman"/>
        </w:rPr>
      </w:pPr>
      <w:r>
        <w:rPr>
          <w:spacing w:val="1"/>
        </w:rPr>
        <w:t>(3)</w:t>
      </w:r>
      <w:r>
        <w:rPr>
          <w:spacing w:val="20"/>
        </w:rPr>
        <w:t xml:space="preserve">    </w:t>
      </w:r>
      <w:r>
        <w:rPr>
          <w:spacing w:val="1"/>
        </w:rPr>
        <w:t>资产负债率</w:t>
      </w:r>
      <w:r>
        <w:rPr>
          <w:spacing w:val="-29"/>
        </w:rPr>
        <w:t xml:space="preserve"> </w:t>
      </w:r>
      <w:r>
        <w:rPr>
          <w:rFonts w:ascii="Times New Roman" w:eastAsia="Times New Roman" w:hAnsi="Times New Roman" w:cs="Times New Roman"/>
          <w:spacing w:val="1"/>
        </w:rPr>
        <w:t>(</w:t>
      </w:r>
      <w:r>
        <w:rPr>
          <w:rFonts w:ascii="Times New Roman" w:eastAsia="Times New Roman" w:hAnsi="Times New Roman" w:cs="Times New Roman"/>
        </w:rPr>
        <w:t>LOAR</w:t>
      </w:r>
      <w:r>
        <w:rPr>
          <w:rFonts w:ascii="Times New Roman" w:eastAsia="Times New Roman" w:hAnsi="Times New Roman" w:cs="Times New Roman"/>
          <w:spacing w:val="1"/>
        </w:rPr>
        <w:t>)</w:t>
      </w:r>
    </w:p>
    <w:p>
      <w:pPr>
        <w:pStyle w:val="BodyText"/>
        <w:spacing w:before="221" w:line="494" w:lineRule="exact"/>
        <w:ind w:left="1250"/>
      </w:pPr>
      <w:r>
        <w:rPr>
          <w:spacing w:val="7"/>
          <w:position w:val="23"/>
        </w:rPr>
        <w:t>资产负债率</w:t>
      </w:r>
      <w:r>
        <w:rPr>
          <w:spacing w:val="-28"/>
          <w:position w:val="23"/>
        </w:rPr>
        <w:t xml:space="preserve"> </w:t>
      </w:r>
      <w:r>
        <w:rPr>
          <w:rFonts w:ascii="Times New Roman" w:eastAsia="Times New Roman" w:hAnsi="Times New Roman" w:cs="Times New Roman"/>
          <w:spacing w:val="7"/>
          <w:position w:val="23"/>
        </w:rPr>
        <w:t>(</w:t>
      </w:r>
      <w:r>
        <w:rPr>
          <w:rFonts w:ascii="Times New Roman" w:eastAsia="Times New Roman" w:hAnsi="Times New Roman" w:cs="Times New Roman"/>
          <w:position w:val="23"/>
        </w:rPr>
        <w:t>LOAR</w:t>
      </w:r>
      <w:r>
        <w:rPr>
          <w:rFonts w:ascii="Times New Roman" w:eastAsia="Times New Roman" w:hAnsi="Times New Roman" w:cs="Times New Roman"/>
          <w:spacing w:val="7"/>
          <w:position w:val="23"/>
        </w:rPr>
        <w:t xml:space="preserve">)    </w:t>
      </w:r>
      <w:r>
        <w:rPr>
          <w:spacing w:val="7"/>
          <w:position w:val="23"/>
        </w:rPr>
        <w:t>指各期末负债总额</w:t>
      </w:r>
      <w:r>
        <w:rPr>
          <w:spacing w:val="-18"/>
          <w:position w:val="23"/>
        </w:rPr>
        <w:t xml:space="preserve"> </w:t>
      </w:r>
      <w:r>
        <w:rPr>
          <w:rFonts w:ascii="Times New Roman" w:eastAsia="Times New Roman" w:hAnsi="Times New Roman" w:cs="Times New Roman"/>
          <w:spacing w:val="7"/>
          <w:position w:val="23"/>
        </w:rPr>
        <w:t>(</w:t>
      </w:r>
      <w:r>
        <w:rPr>
          <w:rFonts w:ascii="Times New Roman" w:eastAsia="Times New Roman" w:hAnsi="Times New Roman" w:cs="Times New Roman"/>
          <w:position w:val="23"/>
        </w:rPr>
        <w:t>TL</w:t>
      </w:r>
      <w:r>
        <w:rPr>
          <w:rFonts w:ascii="Times New Roman" w:eastAsia="Times New Roman" w:hAnsi="Times New Roman" w:cs="Times New Roman"/>
          <w:spacing w:val="7"/>
          <w:position w:val="23"/>
        </w:rPr>
        <w:t xml:space="preserve">)    </w:t>
      </w:r>
      <w:r>
        <w:rPr>
          <w:spacing w:val="7"/>
          <w:position w:val="23"/>
        </w:rPr>
        <w:t>同资产总额</w:t>
      </w:r>
      <w:r>
        <w:rPr>
          <w:spacing w:val="-18"/>
          <w:position w:val="23"/>
        </w:rPr>
        <w:t xml:space="preserve"> </w:t>
      </w:r>
      <w:r>
        <w:rPr>
          <w:rFonts w:ascii="Times New Roman" w:eastAsia="Times New Roman" w:hAnsi="Times New Roman" w:cs="Times New Roman"/>
          <w:spacing w:val="7"/>
          <w:position w:val="23"/>
        </w:rPr>
        <w:t>(</w:t>
      </w:r>
      <w:r>
        <w:rPr>
          <w:rFonts w:ascii="Times New Roman" w:eastAsia="Times New Roman" w:hAnsi="Times New Roman" w:cs="Times New Roman"/>
          <w:position w:val="23"/>
        </w:rPr>
        <w:t>TA</w:t>
      </w:r>
      <w:r>
        <w:rPr>
          <w:rFonts w:ascii="Times New Roman" w:eastAsia="Times New Roman" w:hAnsi="Times New Roman" w:cs="Times New Roman"/>
          <w:spacing w:val="7"/>
          <w:position w:val="23"/>
        </w:rPr>
        <w:t xml:space="preserve">)     </w:t>
      </w:r>
      <w:r>
        <w:rPr>
          <w:spacing w:val="7"/>
          <w:position w:val="23"/>
        </w:rPr>
        <w:t>的比率。计算公式</w:t>
      </w:r>
    </w:p>
    <w:p>
      <w:pPr>
        <w:pStyle w:val="BodyText"/>
        <w:spacing w:line="220" w:lineRule="auto"/>
        <w:ind w:left="799"/>
      </w:pPr>
      <w:r>
        <w:rPr>
          <w:spacing w:val="-5"/>
        </w:rPr>
        <w:t>为：</w:t>
      </w:r>
    </w:p>
    <w:p>
      <w:pPr>
        <w:spacing w:line="279" w:lineRule="auto"/>
      </w:pPr>
    </w:p>
    <w:p>
      <w:pPr>
        <w:spacing w:before="1" w:line="570" w:lineRule="exact"/>
        <w:ind w:firstLine="4000"/>
      </w:pPr>
      <w:r>
        <w:rPr>
          <w:position w:val="-11"/>
        </w:rPr>
        <w:pict>
          <v:shape id="IM 18" o:spid="_x0000_i1033" type="#_x0000_t75" style="width:97.44pt;height:28.51pt;mso-wrap-distance-left:0;mso-wrap-distance-right:0" o:preferrelative="t" filled="f" stroked="f">
            <v:fill o:detectmouseclick="t"/>
            <v:imagedata r:id="rId26" o:title=""/>
            <v:path o:extrusionok="f"/>
            <o:lock v:ext="edit" aspectratio="f"/>
          </v:shape>
        </w:pict>
      </w:r>
    </w:p>
    <w:p>
      <w:pPr>
        <w:spacing w:line="261" w:lineRule="auto"/>
      </w:pPr>
    </w:p>
    <w:p>
      <w:pPr>
        <w:pStyle w:val="BodyText"/>
        <w:spacing w:before="65" w:line="450" w:lineRule="exact"/>
        <w:ind w:left="1240"/>
      </w:pPr>
      <w:r>
        <w:rPr>
          <w:spacing w:val="1"/>
          <w:position w:val="19"/>
        </w:rPr>
        <w:t xml:space="preserve">式中 </w:t>
      </w:r>
      <w:r>
        <w:rPr>
          <w:rFonts w:ascii="Times New Roman" w:eastAsia="Times New Roman" w:hAnsi="Times New Roman" w:cs="Times New Roman"/>
          <w:position w:val="19"/>
        </w:rPr>
        <w:t>TL</w:t>
      </w:r>
      <w:r>
        <w:rPr>
          <w:rFonts w:ascii="Times New Roman" w:eastAsia="Times New Roman" w:hAnsi="Times New Roman" w:cs="Times New Roman"/>
          <w:spacing w:val="1"/>
          <w:position w:val="19"/>
        </w:rPr>
        <w:t>:</w:t>
      </w:r>
      <w:r>
        <w:rPr>
          <w:rFonts w:ascii="Times New Roman" w:eastAsia="Times New Roman" w:hAnsi="Times New Roman" w:cs="Times New Roman"/>
          <w:spacing w:val="9"/>
          <w:position w:val="19"/>
        </w:rPr>
        <w:t xml:space="preserve">   </w:t>
      </w:r>
      <w:r>
        <w:rPr>
          <w:spacing w:val="1"/>
          <w:position w:val="19"/>
        </w:rPr>
        <w:t>期末负债总额；</w:t>
      </w:r>
    </w:p>
    <w:p>
      <w:pPr>
        <w:pStyle w:val="BodyText"/>
        <w:spacing w:before="1" w:line="219" w:lineRule="auto"/>
        <w:ind w:left="1740"/>
      </w:pPr>
      <w:r>
        <w:rPr>
          <w:rFonts w:ascii="Times New Roman" w:eastAsia="Times New Roman" w:hAnsi="Times New Roman" w:cs="Times New Roman"/>
        </w:rPr>
        <w:t>TA</w:t>
      </w:r>
      <w:r>
        <w:rPr>
          <w:rFonts w:ascii="Times New Roman" w:eastAsia="Times New Roman" w:hAnsi="Times New Roman" w:cs="Times New Roman"/>
          <w:spacing w:val="5"/>
        </w:rPr>
        <w:t xml:space="preserve">:   </w:t>
      </w:r>
      <w:r>
        <w:rPr>
          <w:spacing w:val="5"/>
        </w:rPr>
        <w:t>期末资产总额。</w:t>
      </w:r>
    </w:p>
    <w:p>
      <w:pPr>
        <w:pStyle w:val="BodyText"/>
        <w:spacing w:before="232" w:line="470" w:lineRule="exact"/>
        <w:ind w:left="1230"/>
      </w:pPr>
      <w:r>
        <w:rPr>
          <w:spacing w:val="7"/>
          <w:position w:val="20"/>
        </w:rPr>
        <w:t>适度的资产负债率，表明企业经营安全、稳健，具有较强的筹资能力，</w:t>
      </w:r>
      <w:r>
        <w:rPr>
          <w:spacing w:val="6"/>
          <w:position w:val="20"/>
        </w:rPr>
        <w:t>也表明企业和债</w:t>
      </w:r>
    </w:p>
    <w:p>
      <w:pPr>
        <w:pStyle w:val="BodyText"/>
        <w:spacing w:line="219" w:lineRule="auto"/>
        <w:ind w:left="789"/>
      </w:pPr>
      <w:r>
        <w:rPr>
          <w:spacing w:val="1"/>
        </w:rPr>
        <w:t>权人的风险较小。</w:t>
      </w:r>
    </w:p>
    <w:p>
      <w:pPr>
        <w:spacing w:line="443" w:lineRule="auto"/>
      </w:pPr>
    </w:p>
    <w:p>
      <w:pPr>
        <w:spacing w:before="66" w:line="221" w:lineRule="auto"/>
        <w:ind w:left="2520"/>
        <w:rPr>
          <w:rFonts w:ascii="黑体" w:eastAsia="黑体" w:hAnsi="黑体" w:cs="黑体"/>
          <w:sz w:val="20"/>
          <w:szCs w:val="20"/>
        </w:rPr>
      </w:pPr>
      <w:r>
        <w:rPr>
          <w:rFonts w:ascii="黑体" w:eastAsia="黑体" w:hAnsi="黑体" w:cs="黑体"/>
          <w:spacing w:val="2"/>
          <w:sz w:val="20"/>
          <w:szCs w:val="20"/>
        </w:rPr>
        <w:t>2.1.3</w:t>
      </w:r>
      <w:r>
        <w:rPr>
          <w:rFonts w:ascii="黑体" w:eastAsia="黑体" w:hAnsi="黑体" w:cs="黑体"/>
          <w:spacing w:val="16"/>
          <w:sz w:val="20"/>
          <w:szCs w:val="20"/>
        </w:rPr>
        <w:t xml:space="preserve">   </w:t>
      </w:r>
      <w:r>
        <w:rPr>
          <w:rFonts w:ascii="黑体" w:eastAsia="黑体" w:hAnsi="黑体" w:cs="黑体"/>
          <w:spacing w:val="2"/>
          <w:sz w:val="20"/>
          <w:szCs w:val="20"/>
        </w:rPr>
        <w:t>财务生存能力分析</w:t>
      </w:r>
    </w:p>
    <w:p>
      <w:pPr>
        <w:spacing w:line="444" w:lineRule="auto"/>
      </w:pPr>
    </w:p>
    <w:p>
      <w:pPr>
        <w:pStyle w:val="BodyText"/>
        <w:spacing w:before="65" w:line="470" w:lineRule="exact"/>
        <w:ind w:left="1230"/>
      </w:pPr>
      <w:r>
        <w:rPr>
          <w:spacing w:val="8"/>
          <w:position w:val="20"/>
        </w:rPr>
        <w:t>财务生存能力分析，是指在利润与利润分配表的</w:t>
      </w:r>
      <w:r>
        <w:rPr>
          <w:spacing w:val="7"/>
          <w:position w:val="20"/>
        </w:rPr>
        <w:t>基础上编制财务计划现金流量表，通过</w:t>
      </w:r>
    </w:p>
    <w:p>
      <w:pPr>
        <w:pStyle w:val="BodyText"/>
        <w:spacing w:line="219" w:lineRule="auto"/>
        <w:ind w:left="809"/>
      </w:pPr>
      <w:r>
        <w:rPr>
          <w:spacing w:val="7"/>
        </w:rPr>
        <w:t>考察项目计算期内的投资、融资和经营活动所产生的各项现金流入和流出，计算净现金流量</w:t>
      </w:r>
    </w:p>
    <w:p>
      <w:pPr>
        <w:spacing w:line="219" w:lineRule="auto"/>
        <w:sectPr>
          <w:headerReference w:type="default" r:id="rId27"/>
          <w:footerReference w:type="default" r:id="rId28"/>
          <w:pgSz w:w="11910" w:h="16840"/>
          <w:pgMar w:top="400" w:right="999" w:bottom="1202" w:left="989" w:header="0" w:footer="964" w:gutter="0"/>
          <w:pgNumType w:start="10"/>
          <w:cols w:space="708"/>
        </w:sectPr>
      </w:pPr>
    </w:p>
    <w:p>
      <w:pPr>
        <w:spacing w:before="193"/>
      </w:pPr>
    </w:p>
    <w:tbl>
      <w:tblPr>
        <w:tblStyle w:val="TableNormal6"/>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69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20" w:type="dxa"/>
            <w:tcBorders>
              <w:left w:val="nil"/>
            </w:tcBorders>
          </w:tcPr>
          <w:p>
            <w:pPr>
              <w:pStyle w:val="TableText"/>
              <w:spacing w:before="51" w:line="215" w:lineRule="auto"/>
              <w:ind w:left="123"/>
            </w:pPr>
            <w:bookmarkStart w:id="10" w:name="bookmark11"/>
            <w:bookmarkEnd w:id="10"/>
            <w:r>
              <w:rPr>
                <w:b/>
                <w:bCs/>
                <w:spacing w:val="-5"/>
              </w:rPr>
              <w:t>编号：</w:t>
            </w:r>
          </w:p>
          <w:p>
            <w:pPr>
              <w:pStyle w:val="TableText"/>
              <w:spacing w:line="219" w:lineRule="auto"/>
              <w:ind w:left="143"/>
            </w:pPr>
            <w:r>
              <w:rPr>
                <w:b/>
                <w:bCs/>
              </w:rPr>
              <w:t>时间：2021年x月x日</w:t>
            </w:r>
          </w:p>
        </w:tc>
        <w:tc>
          <w:tcPr>
            <w:tcW w:w="4690" w:type="dxa"/>
          </w:tcPr>
          <w:p>
            <w:pPr>
              <w:spacing w:line="250" w:lineRule="auto"/>
            </w:pPr>
          </w:p>
          <w:p>
            <w:pPr>
              <w:pStyle w:val="TableText"/>
              <w:spacing w:before="78" w:line="219" w:lineRule="auto"/>
              <w:ind w:left="298"/>
            </w:pPr>
            <w:r>
              <w:rPr>
                <w:b/>
                <w:bCs/>
                <w:color w:val="F30000"/>
                <w:spacing w:val="-4"/>
              </w:rPr>
              <w:t>书山有路勤为径，学海无涯苦作舟</w:t>
            </w:r>
          </w:p>
        </w:tc>
        <w:tc>
          <w:tcPr>
            <w:tcW w:w="2690" w:type="dxa"/>
            <w:tcBorders>
              <w:right w:val="nil"/>
            </w:tcBorders>
          </w:tcPr>
          <w:p>
            <w:pPr>
              <w:spacing w:line="252" w:lineRule="auto"/>
            </w:pPr>
          </w:p>
          <w:p>
            <w:pPr>
              <w:pStyle w:val="TableText"/>
              <w:spacing w:before="78" w:line="219" w:lineRule="auto"/>
              <w:ind w:left="128"/>
            </w:pPr>
            <w:r>
              <w:rPr>
                <w:b/>
                <w:bCs/>
                <w:spacing w:val="-2"/>
              </w:rPr>
              <w:t>页码：第7页共70页</w:t>
            </w:r>
          </w:p>
        </w:tc>
      </w:tr>
    </w:tbl>
    <w:p>
      <w:pPr>
        <w:spacing w:line="313" w:lineRule="auto"/>
      </w:pPr>
    </w:p>
    <w:p>
      <w:pPr>
        <w:pStyle w:val="BodyText"/>
        <w:spacing w:before="68" w:line="219" w:lineRule="auto"/>
        <w:ind w:left="799"/>
        <w:rPr>
          <w:sz w:val="21"/>
          <w:szCs w:val="21"/>
        </w:rPr>
      </w:pPr>
      <w:r>
        <w:rPr>
          <w:spacing w:val="-1"/>
          <w:sz w:val="21"/>
          <w:szCs w:val="21"/>
        </w:rPr>
        <w:t>和累计盈余资金，分析项目是否有足够的净现金流量维持正常运营，以实现财务可持续性。</w:t>
      </w:r>
    </w:p>
    <w:p>
      <w:pPr>
        <w:pStyle w:val="BodyText"/>
        <w:spacing w:before="221" w:line="404" w:lineRule="auto"/>
        <w:ind w:left="799" w:right="724" w:firstLine="430"/>
        <w:jc w:val="both"/>
        <w:rPr>
          <w:sz w:val="21"/>
          <w:szCs w:val="21"/>
        </w:rPr>
      </w:pPr>
      <w:r>
        <w:rPr>
          <w:spacing w:val="-2"/>
          <w:sz w:val="21"/>
          <w:szCs w:val="21"/>
        </w:rPr>
        <w:t>财务可持续性应首先体现在有足够大的经营活动净现金</w:t>
      </w:r>
      <w:r>
        <w:rPr>
          <w:spacing w:val="-3"/>
          <w:sz w:val="21"/>
          <w:szCs w:val="21"/>
        </w:rPr>
        <w:t>流量，其次各年累计盈余资金不</w:t>
      </w:r>
      <w:r>
        <w:rPr>
          <w:sz w:val="21"/>
          <w:szCs w:val="21"/>
        </w:rPr>
        <w:t xml:space="preserve"> </w:t>
      </w:r>
      <w:r>
        <w:rPr>
          <w:spacing w:val="-1"/>
          <w:sz w:val="21"/>
          <w:szCs w:val="21"/>
        </w:rPr>
        <w:t>应出现负值。若出现负值，应进行短期借款，同时分析该短期借款的年份长短和数额大小，</w:t>
      </w:r>
      <w:r>
        <w:rPr>
          <w:spacing w:val="14"/>
          <w:sz w:val="21"/>
          <w:szCs w:val="21"/>
        </w:rPr>
        <w:t xml:space="preserve"> </w:t>
      </w:r>
      <w:r>
        <w:rPr>
          <w:spacing w:val="-3"/>
          <w:sz w:val="21"/>
          <w:szCs w:val="21"/>
        </w:rPr>
        <w:t>进一步判断项目的财务生存能力。短期借款应体现在财务计划现金流量表中，其利息应计入</w:t>
      </w:r>
    </w:p>
    <w:p>
      <w:pPr>
        <w:pStyle w:val="BodyText"/>
        <w:spacing w:line="218" w:lineRule="auto"/>
        <w:ind w:left="799"/>
        <w:rPr>
          <w:sz w:val="21"/>
          <w:szCs w:val="21"/>
        </w:rPr>
      </w:pPr>
      <w:r>
        <w:rPr>
          <w:spacing w:val="-2"/>
          <w:sz w:val="21"/>
          <w:szCs w:val="21"/>
        </w:rPr>
        <w:t>财务费用。为维持项目正常运营，还应分析短期借款的可靠性。</w:t>
      </w:r>
    </w:p>
    <w:p>
      <w:pPr>
        <w:spacing w:line="307" w:lineRule="auto"/>
      </w:pPr>
    </w:p>
    <w:p>
      <w:pPr>
        <w:spacing w:line="308" w:lineRule="auto"/>
      </w:pPr>
    </w:p>
    <w:p>
      <w:pPr>
        <w:spacing w:line="308" w:lineRule="auto"/>
      </w:pPr>
    </w:p>
    <w:p>
      <w:pPr>
        <w:spacing w:before="68" w:line="221" w:lineRule="auto"/>
        <w:ind w:left="2522"/>
        <w:outlineLvl w:val="1"/>
        <w:rPr>
          <w:rFonts w:ascii="黑体" w:eastAsia="黑体" w:hAnsi="黑体" w:cs="黑体"/>
        </w:rPr>
      </w:pPr>
      <w:r>
        <w:rPr>
          <w:rFonts w:ascii="黑体" w:eastAsia="黑体" w:hAnsi="黑体" w:cs="黑体"/>
          <w:b/>
          <w:bCs/>
          <w:spacing w:val="-10"/>
          <w:sz w:val="21"/>
          <w:szCs w:val="21"/>
        </w:rPr>
        <w:t>2.1.4</w:t>
      </w:r>
      <w:r>
        <w:rPr>
          <w:rFonts w:ascii="黑体" w:eastAsia="黑体" w:hAnsi="黑体" w:cs="黑体"/>
          <w:spacing w:val="15"/>
          <w:sz w:val="21"/>
          <w:szCs w:val="21"/>
        </w:rPr>
        <w:t xml:space="preserve">   </w:t>
      </w:r>
      <w:r>
        <w:rPr>
          <w:rFonts w:ascii="黑体" w:eastAsia="黑体" w:hAnsi="黑体" w:cs="黑体"/>
          <w:b/>
          <w:bCs/>
          <w:spacing w:val="-10"/>
          <w:sz w:val="21"/>
          <w:szCs w:val="21"/>
        </w:rPr>
        <w:t>财务分析报表</w:t>
      </w:r>
    </w:p>
    <w:p>
      <w:pPr>
        <w:spacing w:line="412" w:lineRule="auto"/>
      </w:pPr>
    </w:p>
    <w:p>
      <w:pPr>
        <w:pStyle w:val="BodyText"/>
        <w:spacing w:before="69" w:line="219" w:lineRule="auto"/>
        <w:ind w:left="1240"/>
        <w:rPr>
          <w:sz w:val="21"/>
          <w:szCs w:val="21"/>
        </w:rPr>
      </w:pPr>
      <w:r>
        <w:rPr>
          <w:spacing w:val="-5"/>
          <w:sz w:val="21"/>
          <w:szCs w:val="21"/>
        </w:rPr>
        <w:t>财务分析应编制以下报表：</w:t>
      </w:r>
    </w:p>
    <w:p>
      <w:pPr>
        <w:spacing w:line="288" w:lineRule="auto"/>
      </w:pPr>
    </w:p>
    <w:p>
      <w:pPr>
        <w:spacing w:line="288" w:lineRule="auto"/>
      </w:pPr>
    </w:p>
    <w:p>
      <w:pPr>
        <w:spacing w:line="288" w:lineRule="auto"/>
      </w:pPr>
    </w:p>
    <w:p>
      <w:pPr>
        <w:spacing w:line="289" w:lineRule="auto"/>
      </w:pPr>
    </w:p>
    <w:p>
      <w:pPr>
        <w:pStyle w:val="BodyText"/>
        <w:spacing w:before="69" w:line="222" w:lineRule="auto"/>
        <w:ind w:left="2993"/>
        <w:rPr>
          <w:sz w:val="21"/>
          <w:szCs w:val="21"/>
        </w:rPr>
      </w:pPr>
      <w:r>
        <w:rPr>
          <w:rFonts w:ascii="黑体" w:eastAsia="黑体" w:hAnsi="黑体" w:cs="黑体"/>
          <w:b/>
          <w:bCs/>
          <w:spacing w:val="8"/>
          <w:sz w:val="21"/>
          <w:szCs w:val="21"/>
        </w:rPr>
        <w:t>表2.1-1</w:t>
      </w:r>
      <w:r>
        <w:rPr>
          <w:spacing w:val="8"/>
          <w:sz w:val="21"/>
          <w:szCs w:val="21"/>
        </w:rPr>
        <w:t>项目投资现金流量表(所得税后)</w:t>
      </w:r>
    </w:p>
    <w:p>
      <w:pPr>
        <w:spacing w:line="176" w:lineRule="exact"/>
      </w:pPr>
    </w:p>
    <w:tbl>
      <w:tblPr>
        <w:tblStyle w:val="TableNormal6"/>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34"/>
        <w:gridCol w:w="3136"/>
        <w:gridCol w:w="929"/>
        <w:gridCol w:w="826"/>
        <w:gridCol w:w="103"/>
        <w:gridCol w:w="929"/>
        <w:gridCol w:w="929"/>
        <w:gridCol w:w="933"/>
      </w:tblGrid>
      <w:tr>
        <w:tblPrEx>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15"/>
        </w:trPr>
        <w:tc>
          <w:tcPr>
            <w:tcW w:w="734" w:type="dxa"/>
            <w:vMerge w:val="restart"/>
            <w:tcBorders>
              <w:bottom w:val="nil"/>
            </w:tcBorders>
          </w:tcPr>
          <w:p>
            <w:pPr>
              <w:pStyle w:val="TableText"/>
              <w:spacing w:before="224" w:line="221" w:lineRule="auto"/>
              <w:ind w:left="144"/>
              <w:rPr>
                <w:sz w:val="21"/>
                <w:szCs w:val="21"/>
              </w:rPr>
            </w:pPr>
            <w:r>
              <w:rPr>
                <w:spacing w:val="6"/>
                <w:sz w:val="21"/>
                <w:szCs w:val="21"/>
              </w:rPr>
              <w:t>序号</w:t>
            </w:r>
          </w:p>
        </w:tc>
        <w:tc>
          <w:tcPr>
            <w:tcW w:w="3136" w:type="dxa"/>
            <w:vMerge w:val="restart"/>
            <w:tcBorders>
              <w:bottom w:val="nil"/>
            </w:tcBorders>
          </w:tcPr>
          <w:p>
            <w:pPr>
              <w:pStyle w:val="TableText"/>
              <w:spacing w:before="224" w:line="220" w:lineRule="auto"/>
              <w:ind w:left="1340"/>
              <w:rPr>
                <w:sz w:val="21"/>
                <w:szCs w:val="21"/>
              </w:rPr>
            </w:pPr>
            <w:r>
              <w:rPr>
                <w:spacing w:val="-6"/>
                <w:sz w:val="21"/>
                <w:szCs w:val="21"/>
              </w:rPr>
              <w:t>项 目</w:t>
            </w:r>
          </w:p>
        </w:tc>
        <w:tc>
          <w:tcPr>
            <w:tcW w:w="929" w:type="dxa"/>
            <w:vMerge w:val="restart"/>
            <w:tcBorders>
              <w:bottom w:val="nil"/>
            </w:tcBorders>
          </w:tcPr>
          <w:p>
            <w:pPr>
              <w:pStyle w:val="TableText"/>
              <w:spacing w:before="224" w:line="221" w:lineRule="auto"/>
              <w:ind w:left="255"/>
              <w:rPr>
                <w:sz w:val="21"/>
                <w:szCs w:val="21"/>
              </w:rPr>
            </w:pPr>
            <w:r>
              <w:rPr>
                <w:spacing w:val="-3"/>
                <w:sz w:val="21"/>
                <w:szCs w:val="21"/>
              </w:rPr>
              <w:t>合计</w:t>
            </w:r>
          </w:p>
        </w:tc>
        <w:tc>
          <w:tcPr>
            <w:tcW w:w="929" w:type="dxa"/>
            <w:gridSpan w:val="2"/>
          </w:tcPr>
          <w:p>
            <w:pPr>
              <w:pStyle w:val="TableText"/>
              <w:spacing w:before="54" w:line="220" w:lineRule="auto"/>
              <w:ind w:left="146"/>
              <w:rPr>
                <w:sz w:val="21"/>
                <w:szCs w:val="21"/>
              </w:rPr>
            </w:pPr>
            <w:r>
              <w:rPr>
                <w:spacing w:val="4"/>
                <w:sz w:val="21"/>
                <w:szCs w:val="21"/>
              </w:rPr>
              <w:t>建设期</w:t>
            </w:r>
          </w:p>
        </w:tc>
        <w:tc>
          <w:tcPr>
            <w:tcW w:w="2791" w:type="dxa"/>
            <w:gridSpan w:val="3"/>
          </w:tcPr>
          <w:p>
            <w:pPr>
              <w:pStyle w:val="TableText"/>
              <w:spacing w:before="53" w:line="219" w:lineRule="auto"/>
              <w:ind w:left="1077"/>
              <w:rPr>
                <w:sz w:val="21"/>
                <w:szCs w:val="21"/>
              </w:rPr>
            </w:pPr>
            <w:r>
              <w:rPr>
                <w:spacing w:val="4"/>
                <w:sz w:val="21"/>
                <w:szCs w:val="21"/>
              </w:rPr>
              <w:t>生产期</w:t>
            </w:r>
          </w:p>
        </w:tc>
      </w:tr>
      <w:tr>
        <w:tblPrEx>
          <w:tblInd w:w="690" w:type="dxa"/>
          <w:tblLayout w:type="fixed"/>
          <w:tblCellMar>
            <w:top w:w="0" w:type="dxa"/>
            <w:left w:w="0" w:type="dxa"/>
            <w:bottom w:w="0" w:type="dxa"/>
            <w:right w:w="0" w:type="dxa"/>
          </w:tblCellMar>
          <w:tblLook w:val="0000"/>
        </w:tblPrEx>
        <w:trPr>
          <w:trHeight w:val="319"/>
        </w:trPr>
        <w:tc>
          <w:tcPr>
            <w:tcW w:w="734" w:type="dxa"/>
            <w:vMerge/>
            <w:tcBorders>
              <w:top w:val="nil"/>
            </w:tcBorders>
          </w:tcPr>
          <w:p/>
        </w:tc>
        <w:tc>
          <w:tcPr>
            <w:tcW w:w="3136" w:type="dxa"/>
            <w:vMerge/>
            <w:tcBorders>
              <w:top w:val="nil"/>
            </w:tcBorders>
          </w:tcPr>
          <w:p/>
        </w:tc>
        <w:tc>
          <w:tcPr>
            <w:tcW w:w="929" w:type="dxa"/>
            <w:vMerge/>
            <w:tcBorders>
              <w:top w:val="nil"/>
            </w:tcBorders>
          </w:tcPr>
          <w:p/>
        </w:tc>
        <w:tc>
          <w:tcPr>
            <w:tcW w:w="929" w:type="dxa"/>
            <w:gridSpan w:val="2"/>
          </w:tcPr>
          <w:p>
            <w:pPr>
              <w:pStyle w:val="TableText"/>
              <w:spacing w:before="112" w:line="173" w:lineRule="auto"/>
              <w:ind w:left="406"/>
              <w:rPr>
                <w:sz w:val="21"/>
                <w:szCs w:val="21"/>
              </w:rPr>
            </w:pPr>
            <w:r>
              <w:rPr>
                <w:sz w:val="21"/>
                <w:szCs w:val="21"/>
              </w:rPr>
              <w:t>1</w:t>
            </w:r>
          </w:p>
        </w:tc>
        <w:tc>
          <w:tcPr>
            <w:tcW w:w="929" w:type="dxa"/>
          </w:tcPr>
          <w:p>
            <w:pPr>
              <w:pStyle w:val="TableText"/>
              <w:spacing w:before="113" w:line="172" w:lineRule="auto"/>
              <w:ind w:left="386"/>
              <w:rPr>
                <w:sz w:val="21"/>
                <w:szCs w:val="21"/>
              </w:rPr>
            </w:pPr>
            <w:r>
              <w:rPr>
                <w:sz w:val="21"/>
                <w:szCs w:val="21"/>
              </w:rPr>
              <w:t>2</w:t>
            </w:r>
          </w:p>
        </w:tc>
        <w:tc>
          <w:tcPr>
            <w:tcW w:w="929" w:type="dxa"/>
          </w:tcPr>
          <w:p>
            <w:pPr>
              <w:pStyle w:val="TableText"/>
              <w:spacing w:before="113" w:line="172" w:lineRule="auto"/>
              <w:ind w:left="388"/>
              <w:rPr>
                <w:sz w:val="21"/>
                <w:szCs w:val="21"/>
              </w:rPr>
            </w:pPr>
            <w:r>
              <w:rPr>
                <w:sz w:val="21"/>
                <w:szCs w:val="21"/>
              </w:rPr>
              <w:t>3</w:t>
            </w:r>
          </w:p>
        </w:tc>
        <w:tc>
          <w:tcPr>
            <w:tcW w:w="933" w:type="dxa"/>
          </w:tcPr>
          <w:p>
            <w:pPr>
              <w:pStyle w:val="TableText"/>
              <w:spacing w:before="128" w:line="95" w:lineRule="exact"/>
              <w:ind w:left="468"/>
              <w:rPr>
                <w:sz w:val="6"/>
                <w:szCs w:val="6"/>
              </w:rPr>
            </w:pPr>
            <w:r>
              <w:rPr>
                <w:position w:val="1"/>
                <w:sz w:val="6"/>
                <w:szCs w:val="6"/>
              </w:rPr>
              <w:t>…</w:t>
            </w:r>
          </w:p>
        </w:tc>
      </w:tr>
      <w:tr>
        <w:tblPrEx>
          <w:tblInd w:w="690" w:type="dxa"/>
          <w:tblLayout w:type="fixed"/>
          <w:tblCellMar>
            <w:top w:w="0" w:type="dxa"/>
            <w:left w:w="0" w:type="dxa"/>
            <w:bottom w:w="0" w:type="dxa"/>
            <w:right w:w="0" w:type="dxa"/>
          </w:tblCellMar>
          <w:tblLook w:val="0000"/>
        </w:tblPrEx>
        <w:trPr>
          <w:trHeight w:val="300"/>
        </w:trPr>
        <w:tc>
          <w:tcPr>
            <w:tcW w:w="734" w:type="dxa"/>
          </w:tcPr>
          <w:p>
            <w:pPr>
              <w:pStyle w:val="TableText"/>
              <w:spacing w:before="103" w:line="164" w:lineRule="auto"/>
              <w:ind w:left="305"/>
              <w:rPr>
                <w:sz w:val="21"/>
                <w:szCs w:val="21"/>
              </w:rPr>
            </w:pPr>
            <w:r>
              <w:rPr>
                <w:sz w:val="21"/>
                <w:szCs w:val="21"/>
              </w:rPr>
              <w:t>1</w:t>
            </w:r>
          </w:p>
        </w:tc>
        <w:tc>
          <w:tcPr>
            <w:tcW w:w="3136" w:type="dxa"/>
          </w:tcPr>
          <w:p>
            <w:pPr>
              <w:pStyle w:val="TableText"/>
              <w:spacing w:before="49" w:line="211" w:lineRule="auto"/>
              <w:ind w:left="210"/>
              <w:rPr>
                <w:sz w:val="21"/>
                <w:szCs w:val="21"/>
              </w:rPr>
            </w:pPr>
            <w:r>
              <w:rPr>
                <w:spacing w:val="-2"/>
                <w:sz w:val="21"/>
                <w:szCs w:val="21"/>
              </w:rPr>
              <w:t>现金流入</w:t>
            </w:r>
          </w:p>
        </w:tc>
        <w:tc>
          <w:tcPr>
            <w:tcW w:w="929" w:type="dxa"/>
          </w:tcPr>
          <w:p/>
        </w:tc>
        <w:tc>
          <w:tcPr>
            <w:tcW w:w="929" w:type="dxa"/>
            <w:gridSpan w:val="2"/>
          </w:tcPr>
          <w:p/>
        </w:tc>
        <w:tc>
          <w:tcPr>
            <w:tcW w:w="929" w:type="dxa"/>
          </w:tcPr>
          <w:p/>
        </w:tc>
        <w:tc>
          <w:tcPr>
            <w:tcW w:w="929" w:type="dxa"/>
          </w:tcPr>
          <w:p/>
        </w:tc>
        <w:tc>
          <w:tcPr>
            <w:tcW w:w="933" w:type="dxa"/>
          </w:tcPr>
          <w:p/>
        </w:tc>
      </w:tr>
      <w:tr>
        <w:tblPrEx>
          <w:tblInd w:w="690" w:type="dxa"/>
          <w:tblLayout w:type="fixed"/>
          <w:tblCellMar>
            <w:top w:w="0" w:type="dxa"/>
            <w:left w:w="0" w:type="dxa"/>
            <w:bottom w:w="0" w:type="dxa"/>
            <w:right w:w="0" w:type="dxa"/>
          </w:tblCellMar>
          <w:tblLook w:val="0000"/>
        </w:tblPrEx>
        <w:trPr>
          <w:trHeight w:val="320"/>
        </w:trPr>
        <w:tc>
          <w:tcPr>
            <w:tcW w:w="734" w:type="dxa"/>
          </w:tcPr>
          <w:p>
            <w:pPr>
              <w:pStyle w:val="TableText"/>
              <w:spacing w:before="113" w:line="173" w:lineRule="auto"/>
              <w:ind w:left="194"/>
              <w:rPr>
                <w:sz w:val="21"/>
                <w:szCs w:val="21"/>
              </w:rPr>
            </w:pPr>
            <w:r>
              <w:rPr>
                <w:spacing w:val="-6"/>
                <w:sz w:val="21"/>
                <w:szCs w:val="21"/>
              </w:rPr>
              <w:t>1.1</w:t>
            </w:r>
          </w:p>
        </w:tc>
        <w:tc>
          <w:tcPr>
            <w:tcW w:w="3136" w:type="dxa"/>
          </w:tcPr>
          <w:p>
            <w:pPr>
              <w:pStyle w:val="TableText"/>
              <w:spacing w:before="59" w:line="219" w:lineRule="auto"/>
              <w:ind w:left="210"/>
              <w:rPr>
                <w:sz w:val="21"/>
                <w:szCs w:val="21"/>
              </w:rPr>
            </w:pPr>
            <w:r>
              <w:rPr>
                <w:spacing w:val="4"/>
                <w:sz w:val="21"/>
                <w:szCs w:val="21"/>
              </w:rPr>
              <w:t>收入</w:t>
            </w:r>
          </w:p>
        </w:tc>
        <w:tc>
          <w:tcPr>
            <w:tcW w:w="929" w:type="dxa"/>
          </w:tcPr>
          <w:p/>
        </w:tc>
        <w:tc>
          <w:tcPr>
            <w:tcW w:w="929" w:type="dxa"/>
            <w:gridSpan w:val="2"/>
          </w:tcPr>
          <w:p/>
        </w:tc>
        <w:tc>
          <w:tcPr>
            <w:tcW w:w="929" w:type="dxa"/>
          </w:tcPr>
          <w:p/>
        </w:tc>
        <w:tc>
          <w:tcPr>
            <w:tcW w:w="929" w:type="dxa"/>
          </w:tcPr>
          <w:p/>
        </w:tc>
        <w:tc>
          <w:tcPr>
            <w:tcW w:w="933" w:type="dxa"/>
          </w:tcPr>
          <w:p/>
        </w:tc>
      </w:tr>
      <w:tr>
        <w:tblPrEx>
          <w:tblInd w:w="690" w:type="dxa"/>
          <w:tblLayout w:type="fixed"/>
          <w:tblCellMar>
            <w:top w:w="0" w:type="dxa"/>
            <w:left w:w="0" w:type="dxa"/>
            <w:bottom w:w="0" w:type="dxa"/>
            <w:right w:w="0" w:type="dxa"/>
          </w:tblCellMar>
          <w:tblLook w:val="0000"/>
        </w:tblPrEx>
        <w:trPr>
          <w:trHeight w:val="299"/>
        </w:trPr>
        <w:tc>
          <w:tcPr>
            <w:tcW w:w="734" w:type="dxa"/>
          </w:tcPr>
          <w:p>
            <w:pPr>
              <w:pStyle w:val="TableText"/>
              <w:spacing w:before="103" w:line="163" w:lineRule="auto"/>
              <w:ind w:left="194"/>
              <w:rPr>
                <w:sz w:val="21"/>
                <w:szCs w:val="21"/>
              </w:rPr>
            </w:pPr>
            <w:r>
              <w:rPr>
                <w:spacing w:val="-6"/>
                <w:sz w:val="21"/>
                <w:szCs w:val="21"/>
              </w:rPr>
              <w:t>1.2</w:t>
            </w:r>
          </w:p>
        </w:tc>
        <w:tc>
          <w:tcPr>
            <w:tcW w:w="3136" w:type="dxa"/>
          </w:tcPr>
          <w:p>
            <w:pPr>
              <w:pStyle w:val="TableText"/>
              <w:spacing w:before="48" w:line="211" w:lineRule="auto"/>
              <w:ind w:left="210"/>
              <w:rPr>
                <w:sz w:val="21"/>
                <w:szCs w:val="21"/>
              </w:rPr>
            </w:pPr>
            <w:r>
              <w:rPr>
                <w:spacing w:val="1"/>
                <w:sz w:val="21"/>
                <w:szCs w:val="21"/>
              </w:rPr>
              <w:t>回收固定资产余值</w:t>
            </w:r>
          </w:p>
        </w:tc>
        <w:tc>
          <w:tcPr>
            <w:tcW w:w="929" w:type="dxa"/>
          </w:tcPr>
          <w:p/>
        </w:tc>
        <w:tc>
          <w:tcPr>
            <w:tcW w:w="929" w:type="dxa"/>
            <w:gridSpan w:val="2"/>
          </w:tcPr>
          <w:p/>
        </w:tc>
        <w:tc>
          <w:tcPr>
            <w:tcW w:w="929" w:type="dxa"/>
          </w:tcPr>
          <w:p/>
        </w:tc>
        <w:tc>
          <w:tcPr>
            <w:tcW w:w="929" w:type="dxa"/>
          </w:tcPr>
          <w:p/>
        </w:tc>
        <w:tc>
          <w:tcPr>
            <w:tcW w:w="933" w:type="dxa"/>
          </w:tcPr>
          <w:p/>
        </w:tc>
      </w:tr>
      <w:tr>
        <w:tblPrEx>
          <w:tblInd w:w="690" w:type="dxa"/>
          <w:tblLayout w:type="fixed"/>
          <w:tblCellMar>
            <w:top w:w="0" w:type="dxa"/>
            <w:left w:w="0" w:type="dxa"/>
            <w:bottom w:w="0" w:type="dxa"/>
            <w:right w:w="0" w:type="dxa"/>
          </w:tblCellMar>
          <w:tblLook w:val="0000"/>
        </w:tblPrEx>
        <w:trPr>
          <w:trHeight w:val="319"/>
        </w:trPr>
        <w:tc>
          <w:tcPr>
            <w:tcW w:w="734" w:type="dxa"/>
          </w:tcPr>
          <w:p>
            <w:pPr>
              <w:pStyle w:val="TableText"/>
              <w:spacing w:before="114" w:line="171" w:lineRule="auto"/>
              <w:ind w:left="194"/>
              <w:rPr>
                <w:sz w:val="21"/>
                <w:szCs w:val="21"/>
              </w:rPr>
            </w:pPr>
            <w:r>
              <w:rPr>
                <w:spacing w:val="-6"/>
                <w:sz w:val="21"/>
                <w:szCs w:val="21"/>
              </w:rPr>
              <w:t>1.3</w:t>
            </w:r>
          </w:p>
        </w:tc>
        <w:tc>
          <w:tcPr>
            <w:tcW w:w="3136" w:type="dxa"/>
          </w:tcPr>
          <w:p>
            <w:pPr>
              <w:pStyle w:val="TableText"/>
              <w:spacing w:before="61" w:line="218" w:lineRule="auto"/>
              <w:ind w:left="210"/>
              <w:rPr>
                <w:sz w:val="21"/>
                <w:szCs w:val="21"/>
              </w:rPr>
            </w:pPr>
            <w:r>
              <w:rPr>
                <w:spacing w:val="1"/>
                <w:sz w:val="21"/>
                <w:szCs w:val="21"/>
              </w:rPr>
              <w:t>回收流动资金</w:t>
            </w:r>
          </w:p>
        </w:tc>
        <w:tc>
          <w:tcPr>
            <w:tcW w:w="929" w:type="dxa"/>
          </w:tcPr>
          <w:p/>
        </w:tc>
        <w:tc>
          <w:tcPr>
            <w:tcW w:w="929" w:type="dxa"/>
            <w:gridSpan w:val="2"/>
          </w:tcPr>
          <w:p/>
        </w:tc>
        <w:tc>
          <w:tcPr>
            <w:tcW w:w="929" w:type="dxa"/>
          </w:tcPr>
          <w:p/>
        </w:tc>
        <w:tc>
          <w:tcPr>
            <w:tcW w:w="929" w:type="dxa"/>
          </w:tcPr>
          <w:p/>
        </w:tc>
        <w:tc>
          <w:tcPr>
            <w:tcW w:w="933" w:type="dxa"/>
          </w:tcPr>
          <w:p/>
        </w:tc>
      </w:tr>
      <w:tr>
        <w:tblPrEx>
          <w:tblInd w:w="690" w:type="dxa"/>
          <w:tblLayout w:type="fixed"/>
          <w:tblCellMar>
            <w:top w:w="0" w:type="dxa"/>
            <w:left w:w="0" w:type="dxa"/>
            <w:bottom w:w="0" w:type="dxa"/>
            <w:right w:w="0" w:type="dxa"/>
          </w:tblCellMar>
          <w:tblLook w:val="0000"/>
        </w:tblPrEx>
        <w:trPr>
          <w:trHeight w:val="320"/>
        </w:trPr>
        <w:tc>
          <w:tcPr>
            <w:tcW w:w="734" w:type="dxa"/>
          </w:tcPr>
          <w:p>
            <w:pPr>
              <w:pStyle w:val="TableText"/>
              <w:spacing w:before="115" w:line="171" w:lineRule="auto"/>
              <w:ind w:left="305"/>
              <w:rPr>
                <w:sz w:val="21"/>
                <w:szCs w:val="21"/>
              </w:rPr>
            </w:pPr>
            <w:r>
              <w:rPr>
                <w:sz w:val="21"/>
                <w:szCs w:val="21"/>
              </w:rPr>
              <w:t>2</w:t>
            </w:r>
          </w:p>
        </w:tc>
        <w:tc>
          <w:tcPr>
            <w:tcW w:w="3136" w:type="dxa"/>
          </w:tcPr>
          <w:p>
            <w:pPr>
              <w:pStyle w:val="TableText"/>
              <w:spacing w:before="62" w:line="218" w:lineRule="auto"/>
              <w:ind w:left="210"/>
              <w:rPr>
                <w:sz w:val="21"/>
                <w:szCs w:val="21"/>
              </w:rPr>
            </w:pPr>
            <w:r>
              <w:rPr>
                <w:spacing w:val="6"/>
                <w:sz w:val="21"/>
                <w:szCs w:val="21"/>
              </w:rPr>
              <w:t>现金流出</w:t>
            </w:r>
          </w:p>
        </w:tc>
        <w:tc>
          <w:tcPr>
            <w:tcW w:w="929" w:type="dxa"/>
          </w:tcPr>
          <w:p/>
        </w:tc>
        <w:tc>
          <w:tcPr>
            <w:tcW w:w="929" w:type="dxa"/>
            <w:gridSpan w:val="2"/>
          </w:tcPr>
          <w:p/>
        </w:tc>
        <w:tc>
          <w:tcPr>
            <w:tcW w:w="929" w:type="dxa"/>
          </w:tcPr>
          <w:p/>
        </w:tc>
        <w:tc>
          <w:tcPr>
            <w:tcW w:w="929" w:type="dxa"/>
          </w:tcPr>
          <w:p/>
        </w:tc>
        <w:tc>
          <w:tcPr>
            <w:tcW w:w="933" w:type="dxa"/>
          </w:tcPr>
          <w:p/>
        </w:tc>
      </w:tr>
      <w:tr>
        <w:tblPrEx>
          <w:tblInd w:w="690" w:type="dxa"/>
          <w:tblLayout w:type="fixed"/>
          <w:tblCellMar>
            <w:top w:w="0" w:type="dxa"/>
            <w:left w:w="0" w:type="dxa"/>
            <w:bottom w:w="0" w:type="dxa"/>
            <w:right w:w="0" w:type="dxa"/>
          </w:tblCellMar>
          <w:tblLook w:val="0000"/>
        </w:tblPrEx>
        <w:trPr>
          <w:trHeight w:val="300"/>
        </w:trPr>
        <w:tc>
          <w:tcPr>
            <w:tcW w:w="734" w:type="dxa"/>
          </w:tcPr>
          <w:p>
            <w:pPr>
              <w:pStyle w:val="TableText"/>
              <w:spacing w:before="104" w:line="163" w:lineRule="auto"/>
              <w:ind w:left="194"/>
              <w:rPr>
                <w:sz w:val="21"/>
                <w:szCs w:val="21"/>
              </w:rPr>
            </w:pPr>
            <w:r>
              <w:rPr>
                <w:spacing w:val="-3"/>
                <w:sz w:val="21"/>
                <w:szCs w:val="21"/>
              </w:rPr>
              <w:t>2.1</w:t>
            </w:r>
          </w:p>
        </w:tc>
        <w:tc>
          <w:tcPr>
            <w:tcW w:w="3136" w:type="dxa"/>
          </w:tcPr>
          <w:p>
            <w:pPr>
              <w:pStyle w:val="TableText"/>
              <w:spacing w:before="51" w:line="210" w:lineRule="auto"/>
              <w:ind w:left="210"/>
              <w:rPr>
                <w:sz w:val="21"/>
                <w:szCs w:val="21"/>
              </w:rPr>
            </w:pPr>
            <w:r>
              <w:rPr>
                <w:spacing w:val="2"/>
                <w:sz w:val="21"/>
                <w:szCs w:val="21"/>
              </w:rPr>
              <w:t>固定资产投资</w:t>
            </w:r>
          </w:p>
        </w:tc>
        <w:tc>
          <w:tcPr>
            <w:tcW w:w="929" w:type="dxa"/>
          </w:tcPr>
          <w:p/>
        </w:tc>
        <w:tc>
          <w:tcPr>
            <w:tcW w:w="929" w:type="dxa"/>
            <w:gridSpan w:val="2"/>
          </w:tcPr>
          <w:p/>
        </w:tc>
        <w:tc>
          <w:tcPr>
            <w:tcW w:w="929" w:type="dxa"/>
          </w:tcPr>
          <w:p/>
        </w:tc>
        <w:tc>
          <w:tcPr>
            <w:tcW w:w="929" w:type="dxa"/>
          </w:tcPr>
          <w:p/>
        </w:tc>
        <w:tc>
          <w:tcPr>
            <w:tcW w:w="933" w:type="dxa"/>
          </w:tcPr>
          <w:p/>
        </w:tc>
      </w:tr>
      <w:tr>
        <w:tblPrEx>
          <w:tblInd w:w="690" w:type="dxa"/>
          <w:tblLayout w:type="fixed"/>
          <w:tblCellMar>
            <w:top w:w="0" w:type="dxa"/>
            <w:left w:w="0" w:type="dxa"/>
            <w:bottom w:w="0" w:type="dxa"/>
            <w:right w:w="0" w:type="dxa"/>
          </w:tblCellMar>
          <w:tblLook w:val="0000"/>
        </w:tblPrEx>
        <w:trPr>
          <w:trHeight w:val="319"/>
        </w:trPr>
        <w:tc>
          <w:tcPr>
            <w:tcW w:w="734" w:type="dxa"/>
          </w:tcPr>
          <w:p>
            <w:pPr>
              <w:pStyle w:val="TableText"/>
              <w:spacing w:before="115" w:line="170" w:lineRule="auto"/>
              <w:ind w:left="194"/>
              <w:rPr>
                <w:sz w:val="21"/>
                <w:szCs w:val="21"/>
              </w:rPr>
            </w:pPr>
            <w:r>
              <w:rPr>
                <w:spacing w:val="-3"/>
                <w:sz w:val="21"/>
                <w:szCs w:val="21"/>
              </w:rPr>
              <w:t>2.2</w:t>
            </w:r>
          </w:p>
        </w:tc>
        <w:tc>
          <w:tcPr>
            <w:tcW w:w="3136" w:type="dxa"/>
          </w:tcPr>
          <w:p>
            <w:pPr>
              <w:pStyle w:val="TableText"/>
              <w:spacing w:before="62" w:line="217" w:lineRule="auto"/>
              <w:ind w:left="210"/>
              <w:rPr>
                <w:sz w:val="21"/>
                <w:szCs w:val="21"/>
              </w:rPr>
            </w:pPr>
            <w:r>
              <w:rPr>
                <w:spacing w:val="-2"/>
                <w:sz w:val="21"/>
                <w:szCs w:val="21"/>
              </w:rPr>
              <w:t>流动资金</w:t>
            </w:r>
          </w:p>
        </w:tc>
        <w:tc>
          <w:tcPr>
            <w:tcW w:w="929" w:type="dxa"/>
          </w:tcPr>
          <w:p/>
        </w:tc>
        <w:tc>
          <w:tcPr>
            <w:tcW w:w="929" w:type="dxa"/>
            <w:gridSpan w:val="2"/>
          </w:tcPr>
          <w:p/>
        </w:tc>
        <w:tc>
          <w:tcPr>
            <w:tcW w:w="929" w:type="dxa"/>
          </w:tcPr>
          <w:p/>
        </w:tc>
        <w:tc>
          <w:tcPr>
            <w:tcW w:w="929" w:type="dxa"/>
          </w:tcPr>
          <w:p/>
        </w:tc>
        <w:tc>
          <w:tcPr>
            <w:tcW w:w="933" w:type="dxa"/>
          </w:tcPr>
          <w:p/>
        </w:tc>
      </w:tr>
      <w:tr>
        <w:tblPrEx>
          <w:tblInd w:w="690" w:type="dxa"/>
          <w:tblLayout w:type="fixed"/>
          <w:tblCellMar>
            <w:top w:w="0" w:type="dxa"/>
            <w:left w:w="0" w:type="dxa"/>
            <w:bottom w:w="0" w:type="dxa"/>
            <w:right w:w="0" w:type="dxa"/>
          </w:tblCellMar>
          <w:tblLook w:val="0000"/>
        </w:tblPrEx>
        <w:trPr>
          <w:trHeight w:val="309"/>
        </w:trPr>
        <w:tc>
          <w:tcPr>
            <w:tcW w:w="734" w:type="dxa"/>
          </w:tcPr>
          <w:p>
            <w:pPr>
              <w:pStyle w:val="TableText"/>
              <w:spacing w:before="106" w:line="169" w:lineRule="auto"/>
              <w:ind w:left="194"/>
              <w:rPr>
                <w:sz w:val="21"/>
                <w:szCs w:val="21"/>
              </w:rPr>
            </w:pPr>
            <w:r>
              <w:rPr>
                <w:spacing w:val="-3"/>
                <w:sz w:val="21"/>
                <w:szCs w:val="21"/>
              </w:rPr>
              <w:t>2.3</w:t>
            </w:r>
          </w:p>
        </w:tc>
        <w:tc>
          <w:tcPr>
            <w:tcW w:w="3136" w:type="dxa"/>
          </w:tcPr>
          <w:p>
            <w:pPr>
              <w:pStyle w:val="TableText"/>
              <w:spacing w:before="52" w:line="217" w:lineRule="auto"/>
              <w:ind w:left="210"/>
              <w:rPr>
                <w:sz w:val="21"/>
                <w:szCs w:val="21"/>
              </w:rPr>
            </w:pPr>
            <w:r>
              <w:rPr>
                <w:spacing w:val="-2"/>
                <w:sz w:val="21"/>
                <w:szCs w:val="21"/>
              </w:rPr>
              <w:t>经营成本</w:t>
            </w:r>
          </w:p>
        </w:tc>
        <w:tc>
          <w:tcPr>
            <w:tcW w:w="929" w:type="dxa"/>
          </w:tcPr>
          <w:p/>
        </w:tc>
        <w:tc>
          <w:tcPr>
            <w:tcW w:w="929" w:type="dxa"/>
            <w:gridSpan w:val="2"/>
          </w:tcPr>
          <w:p/>
        </w:tc>
        <w:tc>
          <w:tcPr>
            <w:tcW w:w="929" w:type="dxa"/>
          </w:tcPr>
          <w:p/>
        </w:tc>
        <w:tc>
          <w:tcPr>
            <w:tcW w:w="929" w:type="dxa"/>
          </w:tcPr>
          <w:p/>
        </w:tc>
        <w:tc>
          <w:tcPr>
            <w:tcW w:w="933" w:type="dxa"/>
          </w:tcPr>
          <w:p/>
        </w:tc>
      </w:tr>
      <w:tr>
        <w:tblPrEx>
          <w:tblInd w:w="690" w:type="dxa"/>
          <w:tblLayout w:type="fixed"/>
          <w:tblCellMar>
            <w:top w:w="0" w:type="dxa"/>
            <w:left w:w="0" w:type="dxa"/>
            <w:bottom w:w="0" w:type="dxa"/>
            <w:right w:w="0" w:type="dxa"/>
          </w:tblCellMar>
          <w:tblLook w:val="0000"/>
        </w:tblPrEx>
        <w:trPr>
          <w:trHeight w:val="310"/>
        </w:trPr>
        <w:tc>
          <w:tcPr>
            <w:tcW w:w="734" w:type="dxa"/>
          </w:tcPr>
          <w:p>
            <w:pPr>
              <w:pStyle w:val="TableText"/>
              <w:spacing w:before="107" w:line="169" w:lineRule="auto"/>
              <w:ind w:left="194"/>
              <w:rPr>
                <w:sz w:val="21"/>
                <w:szCs w:val="21"/>
              </w:rPr>
            </w:pPr>
            <w:r>
              <w:rPr>
                <w:spacing w:val="-3"/>
                <w:sz w:val="21"/>
                <w:szCs w:val="21"/>
              </w:rPr>
              <w:t>2.4</w:t>
            </w:r>
          </w:p>
        </w:tc>
        <w:tc>
          <w:tcPr>
            <w:tcW w:w="3136" w:type="dxa"/>
          </w:tcPr>
          <w:p>
            <w:pPr>
              <w:pStyle w:val="TableText"/>
              <w:spacing w:before="53" w:line="217" w:lineRule="auto"/>
              <w:ind w:left="210"/>
              <w:rPr>
                <w:sz w:val="21"/>
                <w:szCs w:val="21"/>
              </w:rPr>
            </w:pPr>
            <w:r>
              <w:rPr>
                <w:spacing w:val="-2"/>
                <w:sz w:val="21"/>
                <w:szCs w:val="21"/>
              </w:rPr>
              <w:t>调整所得税</w:t>
            </w:r>
          </w:p>
        </w:tc>
        <w:tc>
          <w:tcPr>
            <w:tcW w:w="929" w:type="dxa"/>
          </w:tcPr>
          <w:p/>
        </w:tc>
        <w:tc>
          <w:tcPr>
            <w:tcW w:w="929" w:type="dxa"/>
            <w:gridSpan w:val="2"/>
          </w:tcPr>
          <w:p/>
        </w:tc>
        <w:tc>
          <w:tcPr>
            <w:tcW w:w="929" w:type="dxa"/>
          </w:tcPr>
          <w:p/>
        </w:tc>
        <w:tc>
          <w:tcPr>
            <w:tcW w:w="929" w:type="dxa"/>
          </w:tcPr>
          <w:p/>
        </w:tc>
        <w:tc>
          <w:tcPr>
            <w:tcW w:w="933" w:type="dxa"/>
          </w:tcPr>
          <w:p/>
        </w:tc>
      </w:tr>
      <w:tr>
        <w:tblPrEx>
          <w:tblInd w:w="690" w:type="dxa"/>
          <w:tblLayout w:type="fixed"/>
          <w:tblCellMar>
            <w:top w:w="0" w:type="dxa"/>
            <w:left w:w="0" w:type="dxa"/>
            <w:bottom w:w="0" w:type="dxa"/>
            <w:right w:w="0" w:type="dxa"/>
          </w:tblCellMar>
          <w:tblLook w:val="0000"/>
        </w:tblPrEx>
        <w:trPr>
          <w:trHeight w:val="309"/>
        </w:trPr>
        <w:tc>
          <w:tcPr>
            <w:tcW w:w="734" w:type="dxa"/>
          </w:tcPr>
          <w:p>
            <w:pPr>
              <w:pStyle w:val="TableText"/>
              <w:spacing w:before="107" w:line="168" w:lineRule="auto"/>
              <w:ind w:left="305"/>
              <w:rPr>
                <w:sz w:val="21"/>
                <w:szCs w:val="21"/>
              </w:rPr>
            </w:pPr>
            <w:r>
              <w:rPr>
                <w:sz w:val="21"/>
                <w:szCs w:val="21"/>
              </w:rPr>
              <w:t>3</w:t>
            </w:r>
          </w:p>
        </w:tc>
        <w:tc>
          <w:tcPr>
            <w:tcW w:w="3136" w:type="dxa"/>
          </w:tcPr>
          <w:p>
            <w:pPr>
              <w:pStyle w:val="TableText"/>
              <w:spacing w:before="53" w:line="216" w:lineRule="auto"/>
              <w:ind w:left="210"/>
              <w:rPr>
                <w:sz w:val="21"/>
                <w:szCs w:val="21"/>
              </w:rPr>
            </w:pPr>
            <w:r>
              <w:rPr>
                <w:spacing w:val="-1"/>
                <w:sz w:val="21"/>
                <w:szCs w:val="21"/>
              </w:rPr>
              <w:t>所得税后净现金流量</w:t>
            </w:r>
          </w:p>
        </w:tc>
        <w:tc>
          <w:tcPr>
            <w:tcW w:w="929" w:type="dxa"/>
          </w:tcPr>
          <w:p/>
        </w:tc>
        <w:tc>
          <w:tcPr>
            <w:tcW w:w="929" w:type="dxa"/>
            <w:gridSpan w:val="2"/>
          </w:tcPr>
          <w:p/>
        </w:tc>
        <w:tc>
          <w:tcPr>
            <w:tcW w:w="929" w:type="dxa"/>
          </w:tcPr>
          <w:p/>
        </w:tc>
        <w:tc>
          <w:tcPr>
            <w:tcW w:w="929" w:type="dxa"/>
          </w:tcPr>
          <w:p/>
        </w:tc>
        <w:tc>
          <w:tcPr>
            <w:tcW w:w="933" w:type="dxa"/>
          </w:tcPr>
          <w:p/>
        </w:tc>
      </w:tr>
      <w:tr>
        <w:tblPrEx>
          <w:tblInd w:w="690" w:type="dxa"/>
          <w:tblLayout w:type="fixed"/>
          <w:tblCellMar>
            <w:top w:w="0" w:type="dxa"/>
            <w:left w:w="0" w:type="dxa"/>
            <w:bottom w:w="0" w:type="dxa"/>
            <w:right w:w="0" w:type="dxa"/>
          </w:tblCellMar>
          <w:tblLook w:val="0000"/>
        </w:tblPrEx>
        <w:trPr>
          <w:trHeight w:val="320"/>
        </w:trPr>
        <w:tc>
          <w:tcPr>
            <w:tcW w:w="734" w:type="dxa"/>
          </w:tcPr>
          <w:p>
            <w:pPr>
              <w:pStyle w:val="TableText"/>
              <w:spacing w:before="118" w:line="168" w:lineRule="auto"/>
              <w:ind w:left="305"/>
              <w:rPr>
                <w:sz w:val="21"/>
                <w:szCs w:val="21"/>
              </w:rPr>
            </w:pPr>
            <w:r>
              <w:rPr>
                <w:sz w:val="21"/>
                <w:szCs w:val="21"/>
              </w:rPr>
              <w:t>4</w:t>
            </w:r>
          </w:p>
        </w:tc>
        <w:tc>
          <w:tcPr>
            <w:tcW w:w="3136" w:type="dxa"/>
          </w:tcPr>
          <w:p>
            <w:pPr>
              <w:pStyle w:val="TableText"/>
              <w:spacing w:before="64" w:line="216" w:lineRule="auto"/>
              <w:ind w:left="210"/>
              <w:rPr>
                <w:sz w:val="21"/>
                <w:szCs w:val="21"/>
              </w:rPr>
            </w:pPr>
            <w:r>
              <w:rPr>
                <w:sz w:val="21"/>
                <w:szCs w:val="21"/>
              </w:rPr>
              <w:t>累计所得税后净现金流量</w:t>
            </w:r>
          </w:p>
        </w:tc>
        <w:tc>
          <w:tcPr>
            <w:tcW w:w="929" w:type="dxa"/>
          </w:tcPr>
          <w:p/>
        </w:tc>
        <w:tc>
          <w:tcPr>
            <w:tcW w:w="929" w:type="dxa"/>
            <w:gridSpan w:val="2"/>
          </w:tcPr>
          <w:p/>
        </w:tc>
        <w:tc>
          <w:tcPr>
            <w:tcW w:w="929" w:type="dxa"/>
          </w:tcPr>
          <w:p/>
        </w:tc>
        <w:tc>
          <w:tcPr>
            <w:tcW w:w="929" w:type="dxa"/>
          </w:tcPr>
          <w:p/>
        </w:tc>
        <w:tc>
          <w:tcPr>
            <w:tcW w:w="933" w:type="dxa"/>
          </w:tcPr>
          <w:p/>
        </w:tc>
      </w:tr>
      <w:tr>
        <w:tblPrEx>
          <w:tblInd w:w="690" w:type="dxa"/>
          <w:tblLayout w:type="fixed"/>
          <w:tblCellMar>
            <w:top w:w="0" w:type="dxa"/>
            <w:left w:w="0" w:type="dxa"/>
            <w:bottom w:w="0" w:type="dxa"/>
            <w:right w:w="0" w:type="dxa"/>
          </w:tblCellMar>
          <w:tblLook w:val="0000"/>
        </w:tblPrEx>
        <w:trPr>
          <w:trHeight w:val="299"/>
        </w:trPr>
        <w:tc>
          <w:tcPr>
            <w:tcW w:w="734" w:type="dxa"/>
          </w:tcPr>
          <w:p>
            <w:pPr>
              <w:pStyle w:val="TableText"/>
              <w:spacing w:before="110" w:line="157" w:lineRule="auto"/>
              <w:ind w:left="305"/>
              <w:rPr>
                <w:sz w:val="21"/>
                <w:szCs w:val="21"/>
              </w:rPr>
            </w:pPr>
            <w:r>
              <w:rPr>
                <w:sz w:val="21"/>
                <w:szCs w:val="21"/>
              </w:rPr>
              <w:t>5</w:t>
            </w:r>
          </w:p>
        </w:tc>
        <w:tc>
          <w:tcPr>
            <w:tcW w:w="3136" w:type="dxa"/>
          </w:tcPr>
          <w:p>
            <w:pPr>
              <w:pStyle w:val="TableText"/>
              <w:spacing w:before="54" w:line="206" w:lineRule="auto"/>
              <w:ind w:left="210"/>
              <w:rPr>
                <w:sz w:val="21"/>
                <w:szCs w:val="21"/>
              </w:rPr>
            </w:pPr>
            <w:r>
              <w:rPr>
                <w:sz w:val="21"/>
                <w:szCs w:val="21"/>
              </w:rPr>
              <w:t>i=xx%的贴现系数</w:t>
            </w:r>
          </w:p>
        </w:tc>
        <w:tc>
          <w:tcPr>
            <w:tcW w:w="929" w:type="dxa"/>
          </w:tcPr>
          <w:p/>
        </w:tc>
        <w:tc>
          <w:tcPr>
            <w:tcW w:w="929" w:type="dxa"/>
            <w:gridSpan w:val="2"/>
          </w:tcPr>
          <w:p/>
        </w:tc>
        <w:tc>
          <w:tcPr>
            <w:tcW w:w="929" w:type="dxa"/>
          </w:tcPr>
          <w:p/>
        </w:tc>
        <w:tc>
          <w:tcPr>
            <w:tcW w:w="929" w:type="dxa"/>
          </w:tcPr>
          <w:p/>
        </w:tc>
        <w:tc>
          <w:tcPr>
            <w:tcW w:w="933" w:type="dxa"/>
          </w:tcPr>
          <w:p/>
        </w:tc>
      </w:tr>
      <w:tr>
        <w:tblPrEx>
          <w:tblInd w:w="690" w:type="dxa"/>
          <w:tblLayout w:type="fixed"/>
          <w:tblCellMar>
            <w:top w:w="0" w:type="dxa"/>
            <w:left w:w="0" w:type="dxa"/>
            <w:bottom w:w="0" w:type="dxa"/>
            <w:right w:w="0" w:type="dxa"/>
          </w:tblCellMar>
          <w:tblLook w:val="0000"/>
        </w:tblPrEx>
        <w:trPr>
          <w:trHeight w:val="320"/>
        </w:trPr>
        <w:tc>
          <w:tcPr>
            <w:tcW w:w="734" w:type="dxa"/>
          </w:tcPr>
          <w:p>
            <w:pPr>
              <w:pStyle w:val="TableText"/>
              <w:spacing w:before="120" w:line="167" w:lineRule="auto"/>
              <w:ind w:left="305"/>
              <w:rPr>
                <w:sz w:val="21"/>
                <w:szCs w:val="21"/>
              </w:rPr>
            </w:pPr>
            <w:r>
              <w:rPr>
                <w:sz w:val="21"/>
                <w:szCs w:val="21"/>
              </w:rPr>
              <w:t>6</w:t>
            </w:r>
          </w:p>
        </w:tc>
        <w:tc>
          <w:tcPr>
            <w:tcW w:w="3136" w:type="dxa"/>
          </w:tcPr>
          <w:p>
            <w:pPr>
              <w:pStyle w:val="TableText"/>
              <w:spacing w:before="65" w:line="215" w:lineRule="auto"/>
              <w:ind w:left="210"/>
              <w:rPr>
                <w:sz w:val="21"/>
                <w:szCs w:val="21"/>
              </w:rPr>
            </w:pPr>
            <w:r>
              <w:rPr>
                <w:spacing w:val="-2"/>
                <w:sz w:val="21"/>
                <w:szCs w:val="21"/>
              </w:rPr>
              <w:t>所得税后净现值</w:t>
            </w:r>
          </w:p>
        </w:tc>
        <w:tc>
          <w:tcPr>
            <w:tcW w:w="929" w:type="dxa"/>
          </w:tcPr>
          <w:p/>
        </w:tc>
        <w:tc>
          <w:tcPr>
            <w:tcW w:w="929" w:type="dxa"/>
            <w:gridSpan w:val="2"/>
          </w:tcPr>
          <w:p/>
        </w:tc>
        <w:tc>
          <w:tcPr>
            <w:tcW w:w="929" w:type="dxa"/>
          </w:tcPr>
          <w:p/>
        </w:tc>
        <w:tc>
          <w:tcPr>
            <w:tcW w:w="929" w:type="dxa"/>
          </w:tcPr>
          <w:p/>
        </w:tc>
        <w:tc>
          <w:tcPr>
            <w:tcW w:w="933" w:type="dxa"/>
          </w:tcPr>
          <w:p/>
        </w:tc>
      </w:tr>
      <w:tr>
        <w:tblPrEx>
          <w:tblInd w:w="690" w:type="dxa"/>
          <w:tblLayout w:type="fixed"/>
          <w:tblCellMar>
            <w:top w:w="0" w:type="dxa"/>
            <w:left w:w="0" w:type="dxa"/>
            <w:bottom w:w="0" w:type="dxa"/>
            <w:right w:w="0" w:type="dxa"/>
          </w:tblCellMar>
          <w:tblLook w:val="0000"/>
        </w:tblPrEx>
        <w:trPr>
          <w:trHeight w:val="309"/>
        </w:trPr>
        <w:tc>
          <w:tcPr>
            <w:tcW w:w="734" w:type="dxa"/>
          </w:tcPr>
          <w:p/>
        </w:tc>
        <w:tc>
          <w:tcPr>
            <w:tcW w:w="3136" w:type="dxa"/>
          </w:tcPr>
          <w:p>
            <w:pPr>
              <w:pStyle w:val="TableText"/>
              <w:spacing w:before="55" w:line="214" w:lineRule="auto"/>
              <w:ind w:left="210"/>
              <w:rPr>
                <w:sz w:val="21"/>
                <w:szCs w:val="21"/>
              </w:rPr>
            </w:pPr>
            <w:r>
              <w:rPr>
                <w:sz w:val="21"/>
                <w:szCs w:val="21"/>
              </w:rPr>
              <w:t>累计所得税后净现值</w:t>
            </w:r>
          </w:p>
        </w:tc>
        <w:tc>
          <w:tcPr>
            <w:tcW w:w="929" w:type="dxa"/>
          </w:tcPr>
          <w:p/>
        </w:tc>
        <w:tc>
          <w:tcPr>
            <w:tcW w:w="929" w:type="dxa"/>
            <w:gridSpan w:val="2"/>
          </w:tcPr>
          <w:p/>
        </w:tc>
        <w:tc>
          <w:tcPr>
            <w:tcW w:w="929" w:type="dxa"/>
          </w:tcPr>
          <w:p/>
        </w:tc>
        <w:tc>
          <w:tcPr>
            <w:tcW w:w="929" w:type="dxa"/>
          </w:tcPr>
          <w:p/>
        </w:tc>
        <w:tc>
          <w:tcPr>
            <w:tcW w:w="933" w:type="dxa"/>
          </w:tcPr>
          <w:p/>
        </w:tc>
      </w:tr>
      <w:tr>
        <w:tblPrEx>
          <w:tblInd w:w="690" w:type="dxa"/>
          <w:tblLayout w:type="fixed"/>
          <w:tblCellMar>
            <w:top w:w="0" w:type="dxa"/>
            <w:left w:w="0" w:type="dxa"/>
            <w:bottom w:w="0" w:type="dxa"/>
            <w:right w:w="0" w:type="dxa"/>
          </w:tblCellMar>
          <w:tblLook w:val="0000"/>
        </w:tblPrEx>
        <w:trPr>
          <w:trHeight w:val="1243"/>
        </w:trPr>
        <w:tc>
          <w:tcPr>
            <w:tcW w:w="5625" w:type="dxa"/>
            <w:gridSpan w:val="4"/>
            <w:tcBorders>
              <w:right w:val="nil"/>
            </w:tcBorders>
          </w:tcPr>
          <w:p>
            <w:pPr>
              <w:pStyle w:val="TableText"/>
              <w:spacing w:before="66" w:line="219" w:lineRule="auto"/>
              <w:ind w:left="124"/>
              <w:rPr>
                <w:sz w:val="21"/>
                <w:szCs w:val="21"/>
              </w:rPr>
            </w:pPr>
            <w:r>
              <w:rPr>
                <w:spacing w:val="-1"/>
                <w:sz w:val="21"/>
                <w:szCs w:val="21"/>
              </w:rPr>
              <w:t>计算指标：</w:t>
            </w:r>
          </w:p>
          <w:p>
            <w:pPr>
              <w:pStyle w:val="TableText"/>
              <w:spacing w:before="80" w:line="246" w:lineRule="auto"/>
              <w:ind w:left="855" w:right="632"/>
              <w:rPr>
                <w:sz w:val="21"/>
                <w:szCs w:val="21"/>
              </w:rPr>
            </w:pPr>
            <w:r>
              <w:rPr>
                <w:spacing w:val="1"/>
                <w:sz w:val="21"/>
                <w:szCs w:val="21"/>
              </w:rPr>
              <w:t>项目投资财务内部收益率(</w:t>
            </w:r>
            <w:r>
              <w:rPr>
                <w:sz w:val="21"/>
                <w:szCs w:val="21"/>
              </w:rPr>
              <w:t>FIRR</w:t>
            </w:r>
            <w:r>
              <w:rPr>
                <w:spacing w:val="1"/>
                <w:sz w:val="21"/>
                <w:szCs w:val="21"/>
              </w:rPr>
              <w:t>)(所得税后):</w:t>
            </w:r>
            <w:r>
              <w:rPr>
                <w:spacing w:val="16"/>
                <w:sz w:val="21"/>
                <w:szCs w:val="21"/>
              </w:rPr>
              <w:t xml:space="preserve"> </w:t>
            </w:r>
            <w:r>
              <w:rPr>
                <w:spacing w:val="2"/>
                <w:sz w:val="21"/>
                <w:szCs w:val="21"/>
              </w:rPr>
              <w:t>项目投资财务净现值(所得税后):</w:t>
            </w:r>
          </w:p>
          <w:p>
            <w:pPr>
              <w:pStyle w:val="TableText"/>
              <w:spacing w:before="50" w:line="199" w:lineRule="auto"/>
              <w:ind w:left="855"/>
              <w:rPr>
                <w:sz w:val="21"/>
                <w:szCs w:val="21"/>
              </w:rPr>
            </w:pPr>
            <w:r>
              <w:rPr>
                <w:spacing w:val="-1"/>
                <w:sz w:val="21"/>
                <w:szCs w:val="21"/>
              </w:rPr>
              <w:t>投资回收期：</w:t>
            </w:r>
          </w:p>
        </w:tc>
        <w:tc>
          <w:tcPr>
            <w:tcW w:w="2894" w:type="dxa"/>
            <w:gridSpan w:val="4"/>
            <w:tcBorders>
              <w:left w:val="nil"/>
            </w:tcBorders>
          </w:tcPr>
          <w:p>
            <w:pPr>
              <w:spacing w:line="347" w:lineRule="auto"/>
            </w:pPr>
          </w:p>
          <w:p>
            <w:pPr>
              <w:pStyle w:val="TableText"/>
              <w:spacing w:before="68" w:line="280" w:lineRule="exact"/>
              <w:ind w:left="274"/>
              <w:rPr>
                <w:sz w:val="21"/>
                <w:szCs w:val="21"/>
              </w:rPr>
            </w:pPr>
            <w:r>
              <w:rPr>
                <w:position w:val="5"/>
                <w:sz w:val="21"/>
                <w:szCs w:val="21"/>
              </w:rPr>
              <w:t>%</w:t>
            </w:r>
          </w:p>
          <w:p>
            <w:pPr>
              <w:pStyle w:val="TableText"/>
              <w:spacing w:line="220" w:lineRule="auto"/>
              <w:ind w:left="34"/>
              <w:rPr>
                <w:sz w:val="21"/>
                <w:szCs w:val="21"/>
              </w:rPr>
            </w:pPr>
            <w:r>
              <w:rPr>
                <w:spacing w:val="4"/>
                <w:sz w:val="21"/>
                <w:szCs w:val="21"/>
              </w:rPr>
              <w:t>万元</w:t>
            </w:r>
          </w:p>
          <w:p>
            <w:pPr>
              <w:pStyle w:val="TableText"/>
              <w:spacing w:before="48" w:line="208" w:lineRule="auto"/>
              <w:ind w:left="244"/>
              <w:rPr>
                <w:sz w:val="21"/>
                <w:szCs w:val="21"/>
              </w:rPr>
            </w:pPr>
            <w:r>
              <w:rPr>
                <w:sz w:val="21"/>
                <w:szCs w:val="21"/>
              </w:rPr>
              <w:t>年</w:t>
            </w:r>
          </w:p>
        </w:tc>
      </w:tr>
    </w:tbl>
    <w:p>
      <w:pPr>
        <w:pStyle w:val="BodyText"/>
        <w:spacing w:before="211" w:line="223" w:lineRule="auto"/>
        <w:ind w:left="3733"/>
        <w:rPr>
          <w:sz w:val="21"/>
          <w:szCs w:val="21"/>
        </w:rPr>
      </w:pPr>
      <w:r>
        <w:rPr>
          <w:rFonts w:ascii="黑体" w:eastAsia="黑体" w:hAnsi="黑体" w:cs="黑体"/>
          <w:b/>
          <w:bCs/>
          <w:spacing w:val="3"/>
          <w:sz w:val="21"/>
          <w:szCs w:val="21"/>
        </w:rPr>
        <w:t>表2.1-2</w:t>
      </w:r>
      <w:r>
        <w:rPr>
          <w:spacing w:val="3"/>
          <w:sz w:val="21"/>
          <w:szCs w:val="21"/>
        </w:rPr>
        <w:t>利润及利润分配表</w:t>
      </w:r>
    </w:p>
    <w:p>
      <w:pPr>
        <w:spacing w:line="165" w:lineRule="exact"/>
      </w:pPr>
    </w:p>
    <w:tbl>
      <w:tblPr>
        <w:tblStyle w:val="TableNormal6"/>
        <w:tblInd w:w="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14"/>
        <w:gridCol w:w="3086"/>
        <w:gridCol w:w="909"/>
        <w:gridCol w:w="919"/>
        <w:gridCol w:w="2751"/>
      </w:tblGrid>
      <w:tr>
        <w:tblPrEx>
          <w:tblInd w:w="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09"/>
        </w:trPr>
        <w:tc>
          <w:tcPr>
            <w:tcW w:w="714" w:type="dxa"/>
          </w:tcPr>
          <w:p>
            <w:pPr>
              <w:pStyle w:val="TableText"/>
              <w:spacing w:before="64" w:line="216" w:lineRule="auto"/>
              <w:ind w:left="114"/>
              <w:rPr>
                <w:sz w:val="20"/>
                <w:szCs w:val="20"/>
              </w:rPr>
            </w:pPr>
            <w:r>
              <w:rPr>
                <w:spacing w:val="-2"/>
                <w:sz w:val="20"/>
                <w:szCs w:val="20"/>
              </w:rPr>
              <w:t>序号</w:t>
            </w:r>
          </w:p>
        </w:tc>
        <w:tc>
          <w:tcPr>
            <w:tcW w:w="3086" w:type="dxa"/>
          </w:tcPr>
          <w:p>
            <w:pPr>
              <w:pStyle w:val="TableText"/>
              <w:spacing w:before="63" w:line="217" w:lineRule="auto"/>
              <w:ind w:left="1330"/>
              <w:rPr>
                <w:sz w:val="20"/>
                <w:szCs w:val="20"/>
              </w:rPr>
            </w:pPr>
            <w:r>
              <w:rPr>
                <w:spacing w:val="-6"/>
                <w:sz w:val="20"/>
                <w:szCs w:val="20"/>
              </w:rPr>
              <w:t>项 目</w:t>
            </w:r>
          </w:p>
        </w:tc>
        <w:tc>
          <w:tcPr>
            <w:tcW w:w="909" w:type="dxa"/>
          </w:tcPr>
          <w:p>
            <w:pPr>
              <w:pStyle w:val="TableText"/>
              <w:spacing w:before="64" w:line="216" w:lineRule="auto"/>
              <w:ind w:left="255"/>
              <w:rPr>
                <w:sz w:val="20"/>
                <w:szCs w:val="20"/>
              </w:rPr>
            </w:pPr>
            <w:r>
              <w:rPr>
                <w:spacing w:val="-3"/>
                <w:sz w:val="20"/>
                <w:szCs w:val="20"/>
              </w:rPr>
              <w:t>合计</w:t>
            </w:r>
          </w:p>
        </w:tc>
        <w:tc>
          <w:tcPr>
            <w:tcW w:w="919" w:type="dxa"/>
          </w:tcPr>
          <w:p>
            <w:pPr>
              <w:pStyle w:val="TableText"/>
              <w:spacing w:before="63" w:line="217" w:lineRule="auto"/>
              <w:ind w:left="145"/>
              <w:rPr>
                <w:sz w:val="20"/>
                <w:szCs w:val="20"/>
              </w:rPr>
            </w:pPr>
            <w:r>
              <w:rPr>
                <w:spacing w:val="4"/>
                <w:sz w:val="20"/>
                <w:szCs w:val="20"/>
              </w:rPr>
              <w:t>建设期</w:t>
            </w:r>
          </w:p>
        </w:tc>
        <w:tc>
          <w:tcPr>
            <w:tcW w:w="2751" w:type="dxa"/>
          </w:tcPr>
          <w:p>
            <w:pPr>
              <w:pStyle w:val="TableText"/>
              <w:spacing w:before="62" w:line="218" w:lineRule="auto"/>
              <w:ind w:left="1066"/>
              <w:rPr>
                <w:sz w:val="20"/>
                <w:szCs w:val="20"/>
              </w:rPr>
            </w:pPr>
            <w:r>
              <w:rPr>
                <w:spacing w:val="4"/>
                <w:sz w:val="20"/>
                <w:szCs w:val="20"/>
              </w:rPr>
              <w:t>生产期</w:t>
            </w:r>
          </w:p>
        </w:tc>
      </w:tr>
    </w:tbl>
    <w:p/>
    <w:p>
      <w:pPr>
        <w:sectPr>
          <w:headerReference w:type="default" r:id="rId29"/>
          <w:footerReference w:type="default" r:id="rId30"/>
          <w:pgSz w:w="11910" w:h="16840"/>
          <w:pgMar w:top="400" w:right="1019" w:bottom="1182" w:left="989" w:header="0" w:footer="969" w:gutter="0"/>
          <w:pgNumType w:start="11"/>
          <w:cols w:space="708"/>
        </w:sectPr>
      </w:pPr>
    </w:p>
    <w:p>
      <w:pPr>
        <w:spacing w:before="203"/>
      </w:pPr>
    </w:p>
    <w:tbl>
      <w:tblPr>
        <w:tblStyle w:val="TableNormal7"/>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80"/>
        <w:gridCol w:w="269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89"/>
        </w:trPr>
        <w:tc>
          <w:tcPr>
            <w:tcW w:w="2520" w:type="dxa"/>
            <w:tcBorders>
              <w:left w:val="nil"/>
            </w:tcBorders>
          </w:tcPr>
          <w:p>
            <w:pPr>
              <w:pStyle w:val="TableText"/>
              <w:spacing w:before="41" w:line="215" w:lineRule="auto"/>
              <w:ind w:left="113"/>
            </w:pPr>
            <w:bookmarkStart w:id="11" w:name="bookmark13"/>
            <w:bookmarkStart w:id="12" w:name="bookmark12"/>
            <w:bookmarkEnd w:id="11"/>
            <w:bookmarkEnd w:id="12"/>
            <w:r>
              <w:rPr>
                <w:b/>
                <w:bCs/>
                <w:spacing w:val="-5"/>
              </w:rPr>
              <w:t>编号：</w:t>
            </w:r>
          </w:p>
          <w:p>
            <w:pPr>
              <w:pStyle w:val="TableText"/>
              <w:spacing w:line="219" w:lineRule="auto"/>
              <w:ind w:left="123"/>
            </w:pPr>
            <w:r>
              <w:rPr>
                <w:b/>
                <w:bCs/>
              </w:rPr>
              <w:t>时间：2021年x月x日</w:t>
            </w:r>
          </w:p>
        </w:tc>
        <w:tc>
          <w:tcPr>
            <w:tcW w:w="4680" w:type="dxa"/>
          </w:tcPr>
          <w:p>
            <w:pPr>
              <w:spacing w:line="250" w:lineRule="auto"/>
            </w:pPr>
          </w:p>
          <w:p>
            <w:pPr>
              <w:pStyle w:val="TableText"/>
              <w:spacing w:before="78" w:line="219" w:lineRule="auto"/>
              <w:ind w:left="278"/>
            </w:pPr>
            <w:r>
              <w:rPr>
                <w:b/>
                <w:bCs/>
                <w:color w:val="F30000"/>
                <w:spacing w:val="-4"/>
              </w:rPr>
              <w:t>书山有路勤为径，学海无涯苦作舟</w:t>
            </w:r>
          </w:p>
        </w:tc>
        <w:tc>
          <w:tcPr>
            <w:tcW w:w="2690" w:type="dxa"/>
            <w:tcBorders>
              <w:right w:val="nil"/>
            </w:tcBorders>
          </w:tcPr>
          <w:p>
            <w:pPr>
              <w:spacing w:line="251" w:lineRule="auto"/>
            </w:pPr>
          </w:p>
          <w:p>
            <w:pPr>
              <w:pStyle w:val="TableText"/>
              <w:spacing w:before="78" w:line="219" w:lineRule="auto"/>
              <w:ind w:left="138"/>
            </w:pPr>
            <w:r>
              <w:rPr>
                <w:b/>
                <w:bCs/>
                <w:spacing w:val="-2"/>
              </w:rPr>
              <w:t>页码：第8页共70页</w:t>
            </w:r>
          </w:p>
        </w:tc>
      </w:tr>
    </w:tbl>
    <w:p>
      <w:pPr>
        <w:spacing w:before="18"/>
      </w:pPr>
    </w:p>
    <w:tbl>
      <w:tblPr>
        <w:tblStyle w:val="TableNormal7"/>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24"/>
        <w:gridCol w:w="3096"/>
        <w:gridCol w:w="899"/>
        <w:gridCol w:w="919"/>
        <w:gridCol w:w="909"/>
        <w:gridCol w:w="919"/>
        <w:gridCol w:w="924"/>
      </w:tblGrid>
      <w:tr>
        <w:tblPrEx>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14"/>
        </w:trPr>
        <w:tc>
          <w:tcPr>
            <w:tcW w:w="724" w:type="dxa"/>
          </w:tcPr>
          <w:p/>
        </w:tc>
        <w:tc>
          <w:tcPr>
            <w:tcW w:w="3096" w:type="dxa"/>
          </w:tcPr>
          <w:p/>
        </w:tc>
        <w:tc>
          <w:tcPr>
            <w:tcW w:w="899" w:type="dxa"/>
          </w:tcPr>
          <w:p/>
        </w:tc>
        <w:tc>
          <w:tcPr>
            <w:tcW w:w="919" w:type="dxa"/>
          </w:tcPr>
          <w:p/>
        </w:tc>
        <w:tc>
          <w:tcPr>
            <w:tcW w:w="909" w:type="dxa"/>
          </w:tcPr>
          <w:p>
            <w:pPr>
              <w:pStyle w:val="TableText"/>
              <w:spacing w:before="108" w:line="172" w:lineRule="auto"/>
              <w:ind w:left="377"/>
              <w:rPr>
                <w:sz w:val="21"/>
                <w:szCs w:val="21"/>
              </w:rPr>
            </w:pPr>
            <w:r>
              <w:rPr>
                <w:sz w:val="21"/>
                <w:szCs w:val="21"/>
              </w:rPr>
              <w:t>2</w:t>
            </w:r>
          </w:p>
        </w:tc>
        <w:tc>
          <w:tcPr>
            <w:tcW w:w="919" w:type="dxa"/>
          </w:tcPr>
          <w:p>
            <w:pPr>
              <w:pStyle w:val="TableText"/>
              <w:spacing w:before="108" w:line="172" w:lineRule="auto"/>
              <w:ind w:left="397"/>
              <w:rPr>
                <w:sz w:val="21"/>
                <w:szCs w:val="21"/>
              </w:rPr>
            </w:pPr>
            <w:r>
              <w:rPr>
                <w:sz w:val="21"/>
                <w:szCs w:val="21"/>
              </w:rPr>
              <w:t>3</w:t>
            </w:r>
          </w:p>
        </w:tc>
        <w:tc>
          <w:tcPr>
            <w:tcW w:w="924" w:type="dxa"/>
          </w:tcPr>
          <w:p/>
        </w:tc>
      </w:tr>
      <w:tr>
        <w:tblPrEx>
          <w:tblInd w:w="690" w:type="dxa"/>
          <w:tblLayout w:type="fixed"/>
          <w:tblCellMar>
            <w:top w:w="0" w:type="dxa"/>
            <w:left w:w="0" w:type="dxa"/>
            <w:bottom w:w="0" w:type="dxa"/>
            <w:right w:w="0" w:type="dxa"/>
          </w:tblCellMar>
          <w:tblLook w:val="0000"/>
        </w:tblPrEx>
        <w:trPr>
          <w:trHeight w:val="310"/>
        </w:trPr>
        <w:tc>
          <w:tcPr>
            <w:tcW w:w="724" w:type="dxa"/>
          </w:tcPr>
          <w:p/>
        </w:tc>
        <w:tc>
          <w:tcPr>
            <w:tcW w:w="3096" w:type="dxa"/>
          </w:tcPr>
          <w:p>
            <w:pPr>
              <w:pStyle w:val="TableText"/>
              <w:spacing w:before="49" w:line="219" w:lineRule="auto"/>
              <w:ind w:left="101"/>
              <w:rPr>
                <w:sz w:val="21"/>
                <w:szCs w:val="21"/>
              </w:rPr>
            </w:pPr>
            <w:r>
              <w:rPr>
                <w:spacing w:val="4"/>
                <w:sz w:val="21"/>
                <w:szCs w:val="21"/>
              </w:rPr>
              <w:t>收入</w:t>
            </w:r>
          </w:p>
        </w:tc>
        <w:tc>
          <w:tcPr>
            <w:tcW w:w="899" w:type="dxa"/>
          </w:tcPr>
          <w:p/>
        </w:tc>
        <w:tc>
          <w:tcPr>
            <w:tcW w:w="919" w:type="dxa"/>
          </w:tcPr>
          <w:p/>
        </w:tc>
        <w:tc>
          <w:tcPr>
            <w:tcW w:w="909" w:type="dxa"/>
          </w:tcPr>
          <w:p/>
        </w:tc>
        <w:tc>
          <w:tcPr>
            <w:tcW w:w="919" w:type="dxa"/>
          </w:tcPr>
          <w:p/>
        </w:tc>
        <w:tc>
          <w:tcPr>
            <w:tcW w:w="924" w:type="dxa"/>
          </w:tcPr>
          <w:p/>
        </w:tc>
      </w:tr>
      <w:tr>
        <w:tblPrEx>
          <w:tblInd w:w="690" w:type="dxa"/>
          <w:tblLayout w:type="fixed"/>
          <w:tblCellMar>
            <w:top w:w="0" w:type="dxa"/>
            <w:left w:w="0" w:type="dxa"/>
            <w:bottom w:w="0" w:type="dxa"/>
            <w:right w:w="0" w:type="dxa"/>
          </w:tblCellMar>
          <w:tblLook w:val="0000"/>
        </w:tblPrEx>
        <w:trPr>
          <w:trHeight w:val="300"/>
        </w:trPr>
        <w:tc>
          <w:tcPr>
            <w:tcW w:w="724" w:type="dxa"/>
          </w:tcPr>
          <w:p>
            <w:pPr>
              <w:pStyle w:val="TableText"/>
              <w:spacing w:before="103" w:line="164" w:lineRule="auto"/>
              <w:ind w:left="295"/>
              <w:rPr>
                <w:sz w:val="21"/>
                <w:szCs w:val="21"/>
              </w:rPr>
            </w:pPr>
            <w:r>
              <w:rPr>
                <w:sz w:val="21"/>
                <w:szCs w:val="21"/>
              </w:rPr>
              <w:t>3</w:t>
            </w:r>
          </w:p>
        </w:tc>
        <w:tc>
          <w:tcPr>
            <w:tcW w:w="3096" w:type="dxa"/>
          </w:tcPr>
          <w:p>
            <w:pPr>
              <w:pStyle w:val="TableText"/>
              <w:spacing w:before="48" w:line="212" w:lineRule="auto"/>
              <w:ind w:left="101"/>
              <w:rPr>
                <w:sz w:val="21"/>
                <w:szCs w:val="21"/>
              </w:rPr>
            </w:pPr>
            <w:r>
              <w:rPr>
                <w:spacing w:val="5"/>
                <w:sz w:val="21"/>
                <w:szCs w:val="21"/>
              </w:rPr>
              <w:t>总成本费用</w:t>
            </w:r>
          </w:p>
        </w:tc>
        <w:tc>
          <w:tcPr>
            <w:tcW w:w="899" w:type="dxa"/>
          </w:tcPr>
          <w:p/>
        </w:tc>
        <w:tc>
          <w:tcPr>
            <w:tcW w:w="919" w:type="dxa"/>
          </w:tcPr>
          <w:p/>
        </w:tc>
        <w:tc>
          <w:tcPr>
            <w:tcW w:w="909" w:type="dxa"/>
          </w:tcPr>
          <w:p/>
        </w:tc>
        <w:tc>
          <w:tcPr>
            <w:tcW w:w="919" w:type="dxa"/>
          </w:tcPr>
          <w:p/>
        </w:tc>
        <w:tc>
          <w:tcPr>
            <w:tcW w:w="924" w:type="dxa"/>
          </w:tcPr>
          <w:p/>
        </w:tc>
      </w:tr>
      <w:tr>
        <w:tblPrEx>
          <w:tblInd w:w="690" w:type="dxa"/>
          <w:tblLayout w:type="fixed"/>
          <w:tblCellMar>
            <w:top w:w="0" w:type="dxa"/>
            <w:left w:w="0" w:type="dxa"/>
            <w:bottom w:w="0" w:type="dxa"/>
            <w:right w:w="0" w:type="dxa"/>
          </w:tblCellMar>
          <w:tblLook w:val="0000"/>
        </w:tblPrEx>
        <w:trPr>
          <w:trHeight w:val="309"/>
        </w:trPr>
        <w:tc>
          <w:tcPr>
            <w:tcW w:w="724" w:type="dxa"/>
          </w:tcPr>
          <w:p>
            <w:pPr>
              <w:pStyle w:val="TableText"/>
              <w:spacing w:before="103" w:line="172" w:lineRule="auto"/>
              <w:ind w:left="295"/>
              <w:rPr>
                <w:sz w:val="21"/>
                <w:szCs w:val="21"/>
              </w:rPr>
            </w:pPr>
            <w:r>
              <w:rPr>
                <w:sz w:val="21"/>
                <w:szCs w:val="21"/>
              </w:rPr>
              <w:t>4</w:t>
            </w:r>
          </w:p>
        </w:tc>
        <w:tc>
          <w:tcPr>
            <w:tcW w:w="3096" w:type="dxa"/>
          </w:tcPr>
          <w:p>
            <w:pPr>
              <w:pStyle w:val="TableText"/>
              <w:spacing w:before="49" w:line="219" w:lineRule="auto"/>
              <w:ind w:left="101"/>
              <w:rPr>
                <w:sz w:val="21"/>
                <w:szCs w:val="21"/>
              </w:rPr>
            </w:pPr>
            <w:r>
              <w:rPr>
                <w:spacing w:val="-2"/>
                <w:sz w:val="21"/>
                <w:szCs w:val="21"/>
              </w:rPr>
              <w:t>利润总额</w:t>
            </w:r>
          </w:p>
        </w:tc>
        <w:tc>
          <w:tcPr>
            <w:tcW w:w="899" w:type="dxa"/>
          </w:tcPr>
          <w:p/>
        </w:tc>
        <w:tc>
          <w:tcPr>
            <w:tcW w:w="919" w:type="dxa"/>
          </w:tcPr>
          <w:p/>
        </w:tc>
        <w:tc>
          <w:tcPr>
            <w:tcW w:w="909" w:type="dxa"/>
          </w:tcPr>
          <w:p/>
        </w:tc>
        <w:tc>
          <w:tcPr>
            <w:tcW w:w="919" w:type="dxa"/>
          </w:tcPr>
          <w:p/>
        </w:tc>
        <w:tc>
          <w:tcPr>
            <w:tcW w:w="924" w:type="dxa"/>
          </w:tcPr>
          <w:p/>
        </w:tc>
      </w:tr>
      <w:tr>
        <w:tblPrEx>
          <w:tblInd w:w="690" w:type="dxa"/>
          <w:tblLayout w:type="fixed"/>
          <w:tblCellMar>
            <w:top w:w="0" w:type="dxa"/>
            <w:left w:w="0" w:type="dxa"/>
            <w:bottom w:w="0" w:type="dxa"/>
            <w:right w:w="0" w:type="dxa"/>
          </w:tblCellMar>
          <w:tblLook w:val="0000"/>
        </w:tblPrEx>
        <w:trPr>
          <w:trHeight w:val="319"/>
        </w:trPr>
        <w:tc>
          <w:tcPr>
            <w:tcW w:w="724" w:type="dxa"/>
          </w:tcPr>
          <w:p>
            <w:pPr>
              <w:pStyle w:val="TableText"/>
              <w:spacing w:before="116" w:line="169" w:lineRule="auto"/>
              <w:ind w:left="295"/>
              <w:rPr>
                <w:sz w:val="21"/>
                <w:szCs w:val="21"/>
              </w:rPr>
            </w:pPr>
            <w:r>
              <w:rPr>
                <w:sz w:val="21"/>
                <w:szCs w:val="21"/>
              </w:rPr>
              <w:t>5</w:t>
            </w:r>
          </w:p>
        </w:tc>
        <w:tc>
          <w:tcPr>
            <w:tcW w:w="3096" w:type="dxa"/>
          </w:tcPr>
          <w:p>
            <w:pPr>
              <w:pStyle w:val="TableText"/>
              <w:spacing w:before="59" w:line="219" w:lineRule="auto"/>
              <w:ind w:left="101"/>
              <w:rPr>
                <w:sz w:val="21"/>
                <w:szCs w:val="21"/>
              </w:rPr>
            </w:pPr>
            <w:r>
              <w:rPr>
                <w:spacing w:val="2"/>
                <w:sz w:val="21"/>
                <w:szCs w:val="21"/>
              </w:rPr>
              <w:t>弥补以前年度亏损</w:t>
            </w:r>
          </w:p>
        </w:tc>
        <w:tc>
          <w:tcPr>
            <w:tcW w:w="899" w:type="dxa"/>
          </w:tcPr>
          <w:p/>
        </w:tc>
        <w:tc>
          <w:tcPr>
            <w:tcW w:w="919" w:type="dxa"/>
          </w:tcPr>
          <w:p/>
        </w:tc>
        <w:tc>
          <w:tcPr>
            <w:tcW w:w="909" w:type="dxa"/>
          </w:tcPr>
          <w:p/>
        </w:tc>
        <w:tc>
          <w:tcPr>
            <w:tcW w:w="919" w:type="dxa"/>
          </w:tcPr>
          <w:p/>
        </w:tc>
        <w:tc>
          <w:tcPr>
            <w:tcW w:w="924" w:type="dxa"/>
          </w:tcPr>
          <w:p/>
        </w:tc>
      </w:tr>
      <w:tr>
        <w:tblPrEx>
          <w:tblInd w:w="690" w:type="dxa"/>
          <w:tblLayout w:type="fixed"/>
          <w:tblCellMar>
            <w:top w:w="0" w:type="dxa"/>
            <w:left w:w="0" w:type="dxa"/>
            <w:bottom w:w="0" w:type="dxa"/>
            <w:right w:w="0" w:type="dxa"/>
          </w:tblCellMar>
          <w:tblLook w:val="0000"/>
        </w:tblPrEx>
        <w:trPr>
          <w:trHeight w:val="310"/>
        </w:trPr>
        <w:tc>
          <w:tcPr>
            <w:tcW w:w="724" w:type="dxa"/>
          </w:tcPr>
          <w:p>
            <w:pPr>
              <w:pStyle w:val="TableText"/>
              <w:spacing w:before="105" w:line="171" w:lineRule="auto"/>
              <w:ind w:left="295"/>
              <w:rPr>
                <w:sz w:val="21"/>
                <w:szCs w:val="21"/>
              </w:rPr>
            </w:pPr>
            <w:r>
              <w:rPr>
                <w:sz w:val="21"/>
                <w:szCs w:val="21"/>
              </w:rPr>
              <w:t>6</w:t>
            </w:r>
          </w:p>
        </w:tc>
        <w:tc>
          <w:tcPr>
            <w:tcW w:w="3096" w:type="dxa"/>
          </w:tcPr>
          <w:p>
            <w:pPr>
              <w:pStyle w:val="TableText"/>
              <w:spacing w:before="50" w:line="219" w:lineRule="auto"/>
              <w:ind w:left="101"/>
              <w:rPr>
                <w:sz w:val="21"/>
                <w:szCs w:val="21"/>
              </w:rPr>
            </w:pPr>
            <w:r>
              <w:rPr>
                <w:spacing w:val="-2"/>
                <w:sz w:val="21"/>
                <w:szCs w:val="21"/>
              </w:rPr>
              <w:t>应纳税所得额</w:t>
            </w:r>
          </w:p>
        </w:tc>
        <w:tc>
          <w:tcPr>
            <w:tcW w:w="899" w:type="dxa"/>
          </w:tcPr>
          <w:p/>
        </w:tc>
        <w:tc>
          <w:tcPr>
            <w:tcW w:w="919" w:type="dxa"/>
          </w:tcPr>
          <w:p/>
        </w:tc>
        <w:tc>
          <w:tcPr>
            <w:tcW w:w="909" w:type="dxa"/>
          </w:tcPr>
          <w:p/>
        </w:tc>
        <w:tc>
          <w:tcPr>
            <w:tcW w:w="919" w:type="dxa"/>
          </w:tcPr>
          <w:p/>
        </w:tc>
        <w:tc>
          <w:tcPr>
            <w:tcW w:w="924" w:type="dxa"/>
          </w:tcPr>
          <w:p/>
        </w:tc>
      </w:tr>
      <w:tr>
        <w:tblPrEx>
          <w:tblInd w:w="690" w:type="dxa"/>
          <w:tblLayout w:type="fixed"/>
          <w:tblCellMar>
            <w:top w:w="0" w:type="dxa"/>
            <w:left w:w="0" w:type="dxa"/>
            <w:bottom w:w="0" w:type="dxa"/>
            <w:right w:w="0" w:type="dxa"/>
          </w:tblCellMar>
          <w:tblLook w:val="0000"/>
        </w:tblPrEx>
        <w:trPr>
          <w:trHeight w:val="309"/>
        </w:trPr>
        <w:tc>
          <w:tcPr>
            <w:tcW w:w="724" w:type="dxa"/>
          </w:tcPr>
          <w:p>
            <w:pPr>
              <w:pStyle w:val="TableText"/>
              <w:spacing w:before="107" w:line="168" w:lineRule="auto"/>
              <w:ind w:left="295"/>
              <w:rPr>
                <w:sz w:val="21"/>
                <w:szCs w:val="21"/>
              </w:rPr>
            </w:pPr>
            <w:r>
              <w:rPr>
                <w:sz w:val="21"/>
                <w:szCs w:val="21"/>
              </w:rPr>
              <w:t>7</w:t>
            </w:r>
          </w:p>
        </w:tc>
        <w:tc>
          <w:tcPr>
            <w:tcW w:w="3096" w:type="dxa"/>
          </w:tcPr>
          <w:p>
            <w:pPr>
              <w:pStyle w:val="TableText"/>
              <w:spacing w:before="51" w:line="218" w:lineRule="auto"/>
              <w:ind w:left="101"/>
              <w:rPr>
                <w:sz w:val="21"/>
                <w:szCs w:val="21"/>
              </w:rPr>
            </w:pPr>
            <w:r>
              <w:rPr>
                <w:spacing w:val="-2"/>
                <w:sz w:val="21"/>
                <w:szCs w:val="21"/>
              </w:rPr>
              <w:t>所得税</w:t>
            </w:r>
          </w:p>
        </w:tc>
        <w:tc>
          <w:tcPr>
            <w:tcW w:w="899" w:type="dxa"/>
          </w:tcPr>
          <w:p/>
        </w:tc>
        <w:tc>
          <w:tcPr>
            <w:tcW w:w="919" w:type="dxa"/>
          </w:tcPr>
          <w:p/>
        </w:tc>
        <w:tc>
          <w:tcPr>
            <w:tcW w:w="909" w:type="dxa"/>
          </w:tcPr>
          <w:p/>
        </w:tc>
        <w:tc>
          <w:tcPr>
            <w:tcW w:w="919" w:type="dxa"/>
          </w:tcPr>
          <w:p/>
        </w:tc>
        <w:tc>
          <w:tcPr>
            <w:tcW w:w="924" w:type="dxa"/>
          </w:tcPr>
          <w:p/>
        </w:tc>
      </w:tr>
      <w:tr>
        <w:tblPrEx>
          <w:tblInd w:w="690" w:type="dxa"/>
          <w:tblLayout w:type="fixed"/>
          <w:tblCellMar>
            <w:top w:w="0" w:type="dxa"/>
            <w:left w:w="0" w:type="dxa"/>
            <w:bottom w:w="0" w:type="dxa"/>
            <w:right w:w="0" w:type="dxa"/>
          </w:tblCellMar>
          <w:tblLook w:val="0000"/>
        </w:tblPrEx>
        <w:trPr>
          <w:trHeight w:val="310"/>
        </w:trPr>
        <w:tc>
          <w:tcPr>
            <w:tcW w:w="724" w:type="dxa"/>
          </w:tcPr>
          <w:p>
            <w:pPr>
              <w:pStyle w:val="TableText"/>
              <w:spacing w:before="106" w:line="170" w:lineRule="auto"/>
              <w:ind w:left="295"/>
              <w:rPr>
                <w:sz w:val="21"/>
                <w:szCs w:val="21"/>
              </w:rPr>
            </w:pPr>
            <w:r>
              <w:rPr>
                <w:sz w:val="21"/>
                <w:szCs w:val="21"/>
              </w:rPr>
              <w:t>8</w:t>
            </w:r>
          </w:p>
        </w:tc>
        <w:tc>
          <w:tcPr>
            <w:tcW w:w="3096" w:type="dxa"/>
          </w:tcPr>
          <w:p>
            <w:pPr>
              <w:pStyle w:val="TableText"/>
              <w:spacing w:before="53" w:line="217" w:lineRule="auto"/>
              <w:ind w:left="101"/>
              <w:rPr>
                <w:sz w:val="21"/>
                <w:szCs w:val="21"/>
              </w:rPr>
            </w:pPr>
            <w:r>
              <w:rPr>
                <w:spacing w:val="5"/>
                <w:sz w:val="21"/>
                <w:szCs w:val="21"/>
              </w:rPr>
              <w:t>净利润</w:t>
            </w:r>
          </w:p>
        </w:tc>
        <w:tc>
          <w:tcPr>
            <w:tcW w:w="899" w:type="dxa"/>
          </w:tcPr>
          <w:p/>
        </w:tc>
        <w:tc>
          <w:tcPr>
            <w:tcW w:w="919" w:type="dxa"/>
          </w:tcPr>
          <w:p/>
        </w:tc>
        <w:tc>
          <w:tcPr>
            <w:tcW w:w="909" w:type="dxa"/>
          </w:tcPr>
          <w:p/>
        </w:tc>
        <w:tc>
          <w:tcPr>
            <w:tcW w:w="919" w:type="dxa"/>
          </w:tcPr>
          <w:p/>
        </w:tc>
        <w:tc>
          <w:tcPr>
            <w:tcW w:w="924" w:type="dxa"/>
          </w:tcPr>
          <w:p/>
        </w:tc>
      </w:tr>
      <w:tr>
        <w:tblPrEx>
          <w:tblInd w:w="690" w:type="dxa"/>
          <w:tblLayout w:type="fixed"/>
          <w:tblCellMar>
            <w:top w:w="0" w:type="dxa"/>
            <w:left w:w="0" w:type="dxa"/>
            <w:bottom w:w="0" w:type="dxa"/>
            <w:right w:w="0" w:type="dxa"/>
          </w:tblCellMar>
          <w:tblLook w:val="0000"/>
        </w:tblPrEx>
        <w:trPr>
          <w:trHeight w:val="320"/>
        </w:trPr>
        <w:tc>
          <w:tcPr>
            <w:tcW w:w="724" w:type="dxa"/>
          </w:tcPr>
          <w:p>
            <w:pPr>
              <w:pStyle w:val="TableText"/>
              <w:spacing w:before="116" w:line="170" w:lineRule="auto"/>
              <w:ind w:left="295"/>
              <w:rPr>
                <w:sz w:val="21"/>
                <w:szCs w:val="21"/>
              </w:rPr>
            </w:pPr>
            <w:r>
              <w:rPr>
                <w:sz w:val="21"/>
                <w:szCs w:val="21"/>
              </w:rPr>
              <w:t>9</w:t>
            </w:r>
          </w:p>
        </w:tc>
        <w:tc>
          <w:tcPr>
            <w:tcW w:w="3096" w:type="dxa"/>
          </w:tcPr>
          <w:p>
            <w:pPr>
              <w:pStyle w:val="TableText"/>
              <w:spacing w:before="63" w:line="217" w:lineRule="auto"/>
              <w:ind w:left="101"/>
              <w:rPr>
                <w:sz w:val="21"/>
                <w:szCs w:val="21"/>
              </w:rPr>
            </w:pPr>
            <w:r>
              <w:rPr>
                <w:spacing w:val="-2"/>
                <w:sz w:val="21"/>
                <w:szCs w:val="21"/>
              </w:rPr>
              <w:t>利润分配</w:t>
            </w:r>
          </w:p>
        </w:tc>
        <w:tc>
          <w:tcPr>
            <w:tcW w:w="899" w:type="dxa"/>
          </w:tcPr>
          <w:p/>
        </w:tc>
        <w:tc>
          <w:tcPr>
            <w:tcW w:w="919" w:type="dxa"/>
          </w:tcPr>
          <w:p/>
        </w:tc>
        <w:tc>
          <w:tcPr>
            <w:tcW w:w="909" w:type="dxa"/>
          </w:tcPr>
          <w:p/>
        </w:tc>
        <w:tc>
          <w:tcPr>
            <w:tcW w:w="919" w:type="dxa"/>
          </w:tcPr>
          <w:p/>
        </w:tc>
        <w:tc>
          <w:tcPr>
            <w:tcW w:w="924" w:type="dxa"/>
          </w:tcPr>
          <w:p/>
        </w:tc>
      </w:tr>
      <w:tr>
        <w:tblPrEx>
          <w:tblInd w:w="690" w:type="dxa"/>
          <w:tblLayout w:type="fixed"/>
          <w:tblCellMar>
            <w:top w:w="0" w:type="dxa"/>
            <w:left w:w="0" w:type="dxa"/>
            <w:bottom w:w="0" w:type="dxa"/>
            <w:right w:w="0" w:type="dxa"/>
          </w:tblCellMar>
          <w:tblLook w:val="0000"/>
        </w:tblPrEx>
        <w:trPr>
          <w:trHeight w:val="309"/>
        </w:trPr>
        <w:tc>
          <w:tcPr>
            <w:tcW w:w="724" w:type="dxa"/>
          </w:tcPr>
          <w:p>
            <w:pPr>
              <w:pStyle w:val="TableText"/>
              <w:spacing w:before="105" w:line="170" w:lineRule="auto"/>
              <w:ind w:left="194"/>
              <w:rPr>
                <w:sz w:val="21"/>
                <w:szCs w:val="21"/>
              </w:rPr>
            </w:pPr>
            <w:r>
              <w:rPr>
                <w:spacing w:val="-3"/>
                <w:sz w:val="21"/>
                <w:szCs w:val="21"/>
              </w:rPr>
              <w:t>9.1</w:t>
            </w:r>
          </w:p>
        </w:tc>
        <w:tc>
          <w:tcPr>
            <w:tcW w:w="3096" w:type="dxa"/>
          </w:tcPr>
          <w:p>
            <w:pPr>
              <w:pStyle w:val="TableText"/>
              <w:spacing w:before="53" w:line="216" w:lineRule="auto"/>
              <w:ind w:left="101"/>
              <w:rPr>
                <w:sz w:val="21"/>
                <w:szCs w:val="21"/>
              </w:rPr>
            </w:pPr>
            <w:r>
              <w:rPr>
                <w:spacing w:val="2"/>
                <w:sz w:val="21"/>
                <w:szCs w:val="21"/>
              </w:rPr>
              <w:t>税后利润弥补亏损</w:t>
            </w:r>
          </w:p>
        </w:tc>
        <w:tc>
          <w:tcPr>
            <w:tcW w:w="899" w:type="dxa"/>
          </w:tcPr>
          <w:p/>
        </w:tc>
        <w:tc>
          <w:tcPr>
            <w:tcW w:w="919" w:type="dxa"/>
          </w:tcPr>
          <w:p/>
        </w:tc>
        <w:tc>
          <w:tcPr>
            <w:tcW w:w="909" w:type="dxa"/>
          </w:tcPr>
          <w:p/>
        </w:tc>
        <w:tc>
          <w:tcPr>
            <w:tcW w:w="919" w:type="dxa"/>
          </w:tcPr>
          <w:p/>
        </w:tc>
        <w:tc>
          <w:tcPr>
            <w:tcW w:w="924" w:type="dxa"/>
          </w:tcPr>
          <w:p/>
        </w:tc>
      </w:tr>
      <w:tr>
        <w:tblPrEx>
          <w:tblInd w:w="690" w:type="dxa"/>
          <w:tblLayout w:type="fixed"/>
          <w:tblCellMar>
            <w:top w:w="0" w:type="dxa"/>
            <w:left w:w="0" w:type="dxa"/>
            <w:bottom w:w="0" w:type="dxa"/>
            <w:right w:w="0" w:type="dxa"/>
          </w:tblCellMar>
          <w:tblLook w:val="0000"/>
        </w:tblPrEx>
        <w:trPr>
          <w:trHeight w:val="309"/>
        </w:trPr>
        <w:tc>
          <w:tcPr>
            <w:tcW w:w="724" w:type="dxa"/>
          </w:tcPr>
          <w:p>
            <w:pPr>
              <w:pStyle w:val="TableText"/>
              <w:spacing w:before="107" w:line="168" w:lineRule="auto"/>
              <w:ind w:left="194"/>
              <w:rPr>
                <w:sz w:val="21"/>
                <w:szCs w:val="21"/>
              </w:rPr>
            </w:pPr>
            <w:r>
              <w:rPr>
                <w:spacing w:val="-3"/>
                <w:sz w:val="21"/>
                <w:szCs w:val="21"/>
              </w:rPr>
              <w:t>9.2</w:t>
            </w:r>
          </w:p>
        </w:tc>
        <w:tc>
          <w:tcPr>
            <w:tcW w:w="3096" w:type="dxa"/>
          </w:tcPr>
          <w:p>
            <w:pPr>
              <w:pStyle w:val="TableText"/>
              <w:spacing w:before="54" w:line="215" w:lineRule="auto"/>
              <w:ind w:left="101"/>
              <w:rPr>
                <w:sz w:val="21"/>
                <w:szCs w:val="21"/>
              </w:rPr>
            </w:pPr>
            <w:r>
              <w:rPr>
                <w:spacing w:val="-2"/>
                <w:sz w:val="21"/>
                <w:szCs w:val="21"/>
              </w:rPr>
              <w:t>法定公积金</w:t>
            </w:r>
          </w:p>
        </w:tc>
        <w:tc>
          <w:tcPr>
            <w:tcW w:w="899" w:type="dxa"/>
          </w:tcPr>
          <w:p/>
        </w:tc>
        <w:tc>
          <w:tcPr>
            <w:tcW w:w="919" w:type="dxa"/>
          </w:tcPr>
          <w:p/>
        </w:tc>
        <w:tc>
          <w:tcPr>
            <w:tcW w:w="909" w:type="dxa"/>
          </w:tcPr>
          <w:p/>
        </w:tc>
        <w:tc>
          <w:tcPr>
            <w:tcW w:w="919" w:type="dxa"/>
          </w:tcPr>
          <w:p/>
        </w:tc>
        <w:tc>
          <w:tcPr>
            <w:tcW w:w="924" w:type="dxa"/>
          </w:tcPr>
          <w:p/>
        </w:tc>
      </w:tr>
      <w:tr>
        <w:tblPrEx>
          <w:tblInd w:w="690" w:type="dxa"/>
          <w:tblLayout w:type="fixed"/>
          <w:tblCellMar>
            <w:top w:w="0" w:type="dxa"/>
            <w:left w:w="0" w:type="dxa"/>
            <w:bottom w:w="0" w:type="dxa"/>
            <w:right w:w="0" w:type="dxa"/>
          </w:tblCellMar>
          <w:tblLook w:val="0000"/>
        </w:tblPrEx>
        <w:trPr>
          <w:trHeight w:val="320"/>
        </w:trPr>
        <w:tc>
          <w:tcPr>
            <w:tcW w:w="724" w:type="dxa"/>
          </w:tcPr>
          <w:p>
            <w:pPr>
              <w:pStyle w:val="TableText"/>
              <w:spacing w:before="118" w:line="168" w:lineRule="auto"/>
              <w:ind w:left="194"/>
              <w:rPr>
                <w:sz w:val="21"/>
                <w:szCs w:val="21"/>
              </w:rPr>
            </w:pPr>
            <w:r>
              <w:rPr>
                <w:spacing w:val="-3"/>
                <w:sz w:val="21"/>
                <w:szCs w:val="21"/>
              </w:rPr>
              <w:t>9.3</w:t>
            </w:r>
          </w:p>
        </w:tc>
        <w:tc>
          <w:tcPr>
            <w:tcW w:w="3096" w:type="dxa"/>
          </w:tcPr>
          <w:p>
            <w:pPr>
              <w:pStyle w:val="TableText"/>
              <w:spacing w:before="64" w:line="216" w:lineRule="auto"/>
              <w:ind w:left="101"/>
              <w:rPr>
                <w:sz w:val="21"/>
                <w:szCs w:val="21"/>
              </w:rPr>
            </w:pPr>
            <w:r>
              <w:rPr>
                <w:spacing w:val="-2"/>
                <w:sz w:val="21"/>
                <w:szCs w:val="21"/>
              </w:rPr>
              <w:t>任意公积金</w:t>
            </w:r>
          </w:p>
        </w:tc>
        <w:tc>
          <w:tcPr>
            <w:tcW w:w="899" w:type="dxa"/>
          </w:tcPr>
          <w:p/>
        </w:tc>
        <w:tc>
          <w:tcPr>
            <w:tcW w:w="919" w:type="dxa"/>
          </w:tcPr>
          <w:p/>
        </w:tc>
        <w:tc>
          <w:tcPr>
            <w:tcW w:w="909" w:type="dxa"/>
          </w:tcPr>
          <w:p/>
        </w:tc>
        <w:tc>
          <w:tcPr>
            <w:tcW w:w="919" w:type="dxa"/>
          </w:tcPr>
          <w:p/>
        </w:tc>
        <w:tc>
          <w:tcPr>
            <w:tcW w:w="924" w:type="dxa"/>
          </w:tcPr>
          <w:p/>
        </w:tc>
      </w:tr>
      <w:tr>
        <w:tblPrEx>
          <w:tblInd w:w="690" w:type="dxa"/>
          <w:tblLayout w:type="fixed"/>
          <w:tblCellMar>
            <w:top w:w="0" w:type="dxa"/>
            <w:left w:w="0" w:type="dxa"/>
            <w:bottom w:w="0" w:type="dxa"/>
            <w:right w:w="0" w:type="dxa"/>
          </w:tblCellMar>
          <w:tblLook w:val="0000"/>
        </w:tblPrEx>
        <w:trPr>
          <w:trHeight w:val="309"/>
        </w:trPr>
        <w:tc>
          <w:tcPr>
            <w:tcW w:w="724" w:type="dxa"/>
          </w:tcPr>
          <w:p>
            <w:pPr>
              <w:pStyle w:val="TableText"/>
              <w:spacing w:before="107" w:line="168" w:lineRule="auto"/>
              <w:ind w:left="244"/>
              <w:rPr>
                <w:sz w:val="21"/>
                <w:szCs w:val="21"/>
              </w:rPr>
            </w:pPr>
            <w:r>
              <w:rPr>
                <w:spacing w:val="-6"/>
                <w:sz w:val="21"/>
                <w:szCs w:val="21"/>
              </w:rPr>
              <w:t>10</w:t>
            </w:r>
          </w:p>
        </w:tc>
        <w:tc>
          <w:tcPr>
            <w:tcW w:w="3096" w:type="dxa"/>
          </w:tcPr>
          <w:p>
            <w:pPr>
              <w:pStyle w:val="TableText"/>
              <w:spacing w:before="55" w:line="214" w:lineRule="auto"/>
              <w:ind w:left="101"/>
              <w:rPr>
                <w:sz w:val="21"/>
                <w:szCs w:val="21"/>
              </w:rPr>
            </w:pPr>
            <w:r>
              <w:rPr>
                <w:spacing w:val="3"/>
                <w:sz w:val="21"/>
                <w:szCs w:val="21"/>
              </w:rPr>
              <w:t>未分配利润</w:t>
            </w:r>
          </w:p>
        </w:tc>
        <w:tc>
          <w:tcPr>
            <w:tcW w:w="899" w:type="dxa"/>
          </w:tcPr>
          <w:p/>
        </w:tc>
        <w:tc>
          <w:tcPr>
            <w:tcW w:w="919" w:type="dxa"/>
          </w:tcPr>
          <w:p/>
        </w:tc>
        <w:tc>
          <w:tcPr>
            <w:tcW w:w="909" w:type="dxa"/>
          </w:tcPr>
          <w:p/>
        </w:tc>
        <w:tc>
          <w:tcPr>
            <w:tcW w:w="919" w:type="dxa"/>
          </w:tcPr>
          <w:p/>
        </w:tc>
        <w:tc>
          <w:tcPr>
            <w:tcW w:w="924" w:type="dxa"/>
          </w:tcPr>
          <w:p/>
        </w:tc>
      </w:tr>
      <w:tr>
        <w:tblPrEx>
          <w:tblInd w:w="690" w:type="dxa"/>
          <w:tblLayout w:type="fixed"/>
          <w:tblCellMar>
            <w:top w:w="0" w:type="dxa"/>
            <w:left w:w="0" w:type="dxa"/>
            <w:bottom w:w="0" w:type="dxa"/>
            <w:right w:w="0" w:type="dxa"/>
          </w:tblCellMar>
          <w:tblLook w:val="0000"/>
        </w:tblPrEx>
        <w:trPr>
          <w:trHeight w:val="309"/>
        </w:trPr>
        <w:tc>
          <w:tcPr>
            <w:tcW w:w="724" w:type="dxa"/>
          </w:tcPr>
          <w:p>
            <w:pPr>
              <w:pStyle w:val="TableText"/>
              <w:spacing w:before="109" w:line="167" w:lineRule="auto"/>
              <w:ind w:left="244"/>
              <w:rPr>
                <w:sz w:val="21"/>
                <w:szCs w:val="21"/>
              </w:rPr>
            </w:pPr>
            <w:r>
              <w:rPr>
                <w:spacing w:val="-6"/>
                <w:sz w:val="21"/>
                <w:szCs w:val="21"/>
              </w:rPr>
              <w:t>11</w:t>
            </w:r>
          </w:p>
        </w:tc>
        <w:tc>
          <w:tcPr>
            <w:tcW w:w="3096" w:type="dxa"/>
          </w:tcPr>
          <w:p>
            <w:pPr>
              <w:pStyle w:val="TableText"/>
              <w:spacing w:before="56" w:line="213" w:lineRule="auto"/>
              <w:ind w:left="101"/>
              <w:rPr>
                <w:sz w:val="21"/>
                <w:szCs w:val="21"/>
              </w:rPr>
            </w:pPr>
            <w:r>
              <w:rPr>
                <w:spacing w:val="6"/>
                <w:sz w:val="21"/>
                <w:szCs w:val="21"/>
              </w:rPr>
              <w:t>息税前利润(</w:t>
            </w:r>
            <w:r>
              <w:rPr>
                <w:sz w:val="21"/>
                <w:szCs w:val="21"/>
              </w:rPr>
              <w:t>EBIT</w:t>
            </w:r>
            <w:r>
              <w:rPr>
                <w:spacing w:val="6"/>
                <w:sz w:val="21"/>
                <w:szCs w:val="21"/>
              </w:rPr>
              <w:t>)</w:t>
            </w:r>
          </w:p>
        </w:tc>
        <w:tc>
          <w:tcPr>
            <w:tcW w:w="899" w:type="dxa"/>
          </w:tcPr>
          <w:p/>
        </w:tc>
        <w:tc>
          <w:tcPr>
            <w:tcW w:w="919" w:type="dxa"/>
          </w:tcPr>
          <w:p/>
        </w:tc>
        <w:tc>
          <w:tcPr>
            <w:tcW w:w="909" w:type="dxa"/>
          </w:tcPr>
          <w:p/>
        </w:tc>
        <w:tc>
          <w:tcPr>
            <w:tcW w:w="919" w:type="dxa"/>
          </w:tcPr>
          <w:p/>
        </w:tc>
        <w:tc>
          <w:tcPr>
            <w:tcW w:w="924" w:type="dxa"/>
          </w:tcPr>
          <w:p/>
        </w:tc>
      </w:tr>
      <w:tr>
        <w:tblPrEx>
          <w:tblInd w:w="690" w:type="dxa"/>
          <w:tblLayout w:type="fixed"/>
          <w:tblCellMar>
            <w:top w:w="0" w:type="dxa"/>
            <w:left w:w="0" w:type="dxa"/>
            <w:bottom w:w="0" w:type="dxa"/>
            <w:right w:w="0" w:type="dxa"/>
          </w:tblCellMar>
          <w:tblLook w:val="0000"/>
        </w:tblPrEx>
        <w:trPr>
          <w:trHeight w:val="310"/>
        </w:trPr>
        <w:tc>
          <w:tcPr>
            <w:tcW w:w="724" w:type="dxa"/>
          </w:tcPr>
          <w:p>
            <w:pPr>
              <w:pStyle w:val="TableText"/>
              <w:spacing w:before="110" w:line="167" w:lineRule="auto"/>
              <w:ind w:left="244"/>
              <w:rPr>
                <w:sz w:val="21"/>
                <w:szCs w:val="21"/>
              </w:rPr>
            </w:pPr>
            <w:r>
              <w:rPr>
                <w:spacing w:val="-6"/>
                <w:sz w:val="21"/>
                <w:szCs w:val="21"/>
              </w:rPr>
              <w:t>12</w:t>
            </w:r>
          </w:p>
        </w:tc>
        <w:tc>
          <w:tcPr>
            <w:tcW w:w="3096" w:type="dxa"/>
          </w:tcPr>
          <w:p>
            <w:pPr>
              <w:pStyle w:val="TableText"/>
              <w:spacing w:before="56" w:line="214" w:lineRule="auto"/>
              <w:ind w:left="101"/>
              <w:rPr>
                <w:sz w:val="21"/>
                <w:szCs w:val="21"/>
              </w:rPr>
            </w:pPr>
            <w:r>
              <w:rPr>
                <w:spacing w:val="4"/>
                <w:sz w:val="21"/>
                <w:szCs w:val="21"/>
              </w:rPr>
              <w:t>息税折旧摊销前利润(</w:t>
            </w:r>
            <w:r>
              <w:rPr>
                <w:sz w:val="21"/>
                <w:szCs w:val="21"/>
              </w:rPr>
              <w:t>EBITDA</w:t>
            </w:r>
            <w:r>
              <w:rPr>
                <w:spacing w:val="4"/>
                <w:sz w:val="21"/>
                <w:szCs w:val="21"/>
              </w:rPr>
              <w:t>)</w:t>
            </w:r>
          </w:p>
        </w:tc>
        <w:tc>
          <w:tcPr>
            <w:tcW w:w="899" w:type="dxa"/>
          </w:tcPr>
          <w:p/>
        </w:tc>
        <w:tc>
          <w:tcPr>
            <w:tcW w:w="919" w:type="dxa"/>
          </w:tcPr>
          <w:p/>
        </w:tc>
        <w:tc>
          <w:tcPr>
            <w:tcW w:w="909" w:type="dxa"/>
          </w:tcPr>
          <w:p/>
        </w:tc>
        <w:tc>
          <w:tcPr>
            <w:tcW w:w="919" w:type="dxa"/>
          </w:tcPr>
          <w:p/>
        </w:tc>
        <w:tc>
          <w:tcPr>
            <w:tcW w:w="924" w:type="dxa"/>
          </w:tcPr>
          <w:p/>
        </w:tc>
      </w:tr>
      <w:tr>
        <w:tblPrEx>
          <w:tblInd w:w="690" w:type="dxa"/>
          <w:tblLayout w:type="fixed"/>
          <w:tblCellMar>
            <w:top w:w="0" w:type="dxa"/>
            <w:left w:w="0" w:type="dxa"/>
            <w:bottom w:w="0" w:type="dxa"/>
            <w:right w:w="0" w:type="dxa"/>
          </w:tblCellMar>
          <w:tblLook w:val="0000"/>
        </w:tblPrEx>
        <w:trPr>
          <w:trHeight w:val="933"/>
        </w:trPr>
        <w:tc>
          <w:tcPr>
            <w:tcW w:w="8390" w:type="dxa"/>
            <w:gridSpan w:val="7"/>
          </w:tcPr>
          <w:p>
            <w:pPr>
              <w:pStyle w:val="TableText"/>
              <w:spacing w:before="66" w:line="219" w:lineRule="auto"/>
              <w:ind w:left="124"/>
              <w:rPr>
                <w:sz w:val="21"/>
                <w:szCs w:val="21"/>
              </w:rPr>
            </w:pPr>
            <w:r>
              <w:rPr>
                <w:spacing w:val="-1"/>
                <w:sz w:val="21"/>
                <w:szCs w:val="21"/>
              </w:rPr>
              <w:t>计算指标：</w:t>
            </w:r>
          </w:p>
          <w:p>
            <w:pPr>
              <w:pStyle w:val="TableText"/>
              <w:spacing w:before="79" w:line="238" w:lineRule="auto"/>
              <w:ind w:left="835"/>
              <w:rPr>
                <w:sz w:val="21"/>
                <w:szCs w:val="21"/>
              </w:rPr>
            </w:pPr>
            <w:r>
              <w:rPr>
                <w:spacing w:val="-8"/>
                <w:sz w:val="21"/>
                <w:szCs w:val="21"/>
              </w:rPr>
              <w:t xml:space="preserve">项目资本金净利润率：      </w:t>
            </w:r>
            <w:r>
              <w:rPr>
                <w:spacing w:val="-8"/>
                <w:position w:val="-1"/>
                <w:sz w:val="21"/>
                <w:szCs w:val="21"/>
              </w:rPr>
              <w:t>%</w:t>
            </w:r>
          </w:p>
          <w:p>
            <w:pPr>
              <w:pStyle w:val="TableText"/>
              <w:spacing w:before="20" w:line="190" w:lineRule="auto"/>
              <w:ind w:left="835"/>
              <w:rPr>
                <w:sz w:val="21"/>
                <w:szCs w:val="21"/>
              </w:rPr>
            </w:pPr>
            <w:r>
              <w:rPr>
                <w:spacing w:val="-10"/>
                <w:sz w:val="21"/>
                <w:szCs w:val="21"/>
              </w:rPr>
              <w:t xml:space="preserve">总投资收益率：             </w:t>
            </w:r>
            <w:r>
              <w:rPr>
                <w:spacing w:val="-10"/>
                <w:position w:val="-1"/>
                <w:sz w:val="21"/>
                <w:szCs w:val="21"/>
              </w:rPr>
              <w:t>%</w:t>
            </w:r>
          </w:p>
        </w:tc>
      </w:tr>
    </w:tbl>
    <w:p>
      <w:pPr>
        <w:spacing w:line="284" w:lineRule="auto"/>
      </w:pPr>
    </w:p>
    <w:p>
      <w:pPr>
        <w:spacing w:line="285" w:lineRule="auto"/>
      </w:pPr>
    </w:p>
    <w:p>
      <w:pPr>
        <w:pStyle w:val="BodyText"/>
        <w:spacing w:before="68" w:line="222" w:lineRule="auto"/>
        <w:ind w:left="3413"/>
        <w:rPr>
          <w:sz w:val="21"/>
          <w:szCs w:val="21"/>
        </w:rPr>
      </w:pPr>
      <w:r>
        <w:rPr>
          <w:rFonts w:ascii="黑体" w:eastAsia="黑体" w:hAnsi="黑体" w:cs="黑体"/>
          <w:b/>
          <w:bCs/>
          <w:spacing w:val="-2"/>
          <w:sz w:val="21"/>
          <w:szCs w:val="21"/>
        </w:rPr>
        <w:t>表2.1-3</w:t>
      </w:r>
      <w:r>
        <w:rPr>
          <w:rFonts w:ascii="黑体" w:eastAsia="黑体" w:hAnsi="黑体" w:cs="黑体"/>
          <w:spacing w:val="-32"/>
          <w:sz w:val="21"/>
          <w:szCs w:val="21"/>
        </w:rPr>
        <w:t xml:space="preserve"> </w:t>
      </w:r>
      <w:r>
        <w:rPr>
          <w:spacing w:val="-2"/>
          <w:sz w:val="21"/>
          <w:szCs w:val="21"/>
        </w:rPr>
        <w:t>盈利能力指标计算结果表</w:t>
      </w:r>
    </w:p>
    <w:p>
      <w:pPr>
        <w:spacing w:line="185" w:lineRule="exact"/>
      </w:pPr>
    </w:p>
    <w:tbl>
      <w:tblPr>
        <w:tblStyle w:val="TableNormal7"/>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972"/>
        <w:gridCol w:w="879"/>
        <w:gridCol w:w="1428"/>
        <w:gridCol w:w="1948"/>
        <w:gridCol w:w="919"/>
        <w:gridCol w:w="1433"/>
      </w:tblGrid>
      <w:tr>
        <w:tblPrEx>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03"/>
        </w:trPr>
        <w:tc>
          <w:tcPr>
            <w:tcW w:w="4279" w:type="dxa"/>
            <w:gridSpan w:val="3"/>
          </w:tcPr>
          <w:p>
            <w:pPr>
              <w:pStyle w:val="TableText"/>
              <w:spacing w:before="102" w:line="219" w:lineRule="auto"/>
              <w:ind w:left="1834"/>
              <w:rPr>
                <w:sz w:val="21"/>
                <w:szCs w:val="21"/>
              </w:rPr>
            </w:pPr>
            <w:r>
              <w:rPr>
                <w:spacing w:val="-2"/>
                <w:sz w:val="21"/>
                <w:szCs w:val="21"/>
              </w:rPr>
              <w:t>静态指标</w:t>
            </w:r>
          </w:p>
        </w:tc>
        <w:tc>
          <w:tcPr>
            <w:tcW w:w="4300" w:type="dxa"/>
            <w:gridSpan w:val="3"/>
          </w:tcPr>
          <w:p>
            <w:pPr>
              <w:pStyle w:val="TableText"/>
              <w:spacing w:before="104" w:line="220" w:lineRule="auto"/>
              <w:ind w:left="1736"/>
              <w:rPr>
                <w:sz w:val="21"/>
                <w:szCs w:val="21"/>
              </w:rPr>
            </w:pPr>
            <w:r>
              <w:rPr>
                <w:spacing w:val="-2"/>
                <w:sz w:val="21"/>
                <w:szCs w:val="21"/>
              </w:rPr>
              <w:t>动态指标</w:t>
            </w:r>
          </w:p>
        </w:tc>
      </w:tr>
      <w:tr>
        <w:tblPrEx>
          <w:tblInd w:w="660" w:type="dxa"/>
          <w:tblLayout w:type="fixed"/>
          <w:tblCellMar>
            <w:top w:w="0" w:type="dxa"/>
            <w:left w:w="0" w:type="dxa"/>
            <w:bottom w:w="0" w:type="dxa"/>
            <w:right w:w="0" w:type="dxa"/>
          </w:tblCellMar>
          <w:tblLook w:val="0000"/>
        </w:tblPrEx>
        <w:trPr>
          <w:trHeight w:val="408"/>
        </w:trPr>
        <w:tc>
          <w:tcPr>
            <w:tcW w:w="1972" w:type="dxa"/>
          </w:tcPr>
          <w:p>
            <w:pPr>
              <w:pStyle w:val="TableText"/>
              <w:spacing w:before="103" w:line="221" w:lineRule="auto"/>
              <w:ind w:left="764"/>
              <w:rPr>
                <w:sz w:val="21"/>
                <w:szCs w:val="21"/>
              </w:rPr>
            </w:pPr>
            <w:r>
              <w:rPr>
                <w:spacing w:val="5"/>
                <w:sz w:val="21"/>
                <w:szCs w:val="21"/>
              </w:rPr>
              <w:t>名称</w:t>
            </w:r>
          </w:p>
        </w:tc>
        <w:tc>
          <w:tcPr>
            <w:tcW w:w="879" w:type="dxa"/>
          </w:tcPr>
          <w:p>
            <w:pPr>
              <w:pStyle w:val="TableText"/>
              <w:spacing w:before="101" w:line="220" w:lineRule="auto"/>
              <w:ind w:left="223"/>
              <w:rPr>
                <w:sz w:val="21"/>
                <w:szCs w:val="21"/>
              </w:rPr>
            </w:pPr>
            <w:r>
              <w:rPr>
                <w:spacing w:val="-3"/>
                <w:sz w:val="21"/>
                <w:szCs w:val="21"/>
              </w:rPr>
              <w:t>单位</w:t>
            </w:r>
          </w:p>
        </w:tc>
        <w:tc>
          <w:tcPr>
            <w:tcW w:w="1428" w:type="dxa"/>
          </w:tcPr>
          <w:p>
            <w:pPr>
              <w:pStyle w:val="TableText"/>
              <w:spacing w:before="100" w:line="219" w:lineRule="auto"/>
              <w:ind w:left="493"/>
              <w:rPr>
                <w:sz w:val="21"/>
                <w:szCs w:val="21"/>
              </w:rPr>
            </w:pPr>
            <w:r>
              <w:rPr>
                <w:spacing w:val="-3"/>
                <w:sz w:val="21"/>
                <w:szCs w:val="21"/>
              </w:rPr>
              <w:t>数值</w:t>
            </w:r>
          </w:p>
        </w:tc>
        <w:tc>
          <w:tcPr>
            <w:tcW w:w="1948" w:type="dxa"/>
          </w:tcPr>
          <w:p>
            <w:pPr>
              <w:pStyle w:val="TableText"/>
              <w:spacing w:before="103" w:line="221" w:lineRule="auto"/>
              <w:ind w:left="755"/>
              <w:rPr>
                <w:sz w:val="21"/>
                <w:szCs w:val="21"/>
              </w:rPr>
            </w:pPr>
            <w:r>
              <w:rPr>
                <w:spacing w:val="5"/>
                <w:sz w:val="21"/>
                <w:szCs w:val="21"/>
              </w:rPr>
              <w:t>名称</w:t>
            </w:r>
          </w:p>
        </w:tc>
        <w:tc>
          <w:tcPr>
            <w:tcW w:w="919" w:type="dxa"/>
          </w:tcPr>
          <w:p>
            <w:pPr>
              <w:pStyle w:val="TableText"/>
              <w:spacing w:before="101" w:line="220" w:lineRule="auto"/>
              <w:ind w:left="247"/>
              <w:rPr>
                <w:sz w:val="21"/>
                <w:szCs w:val="21"/>
              </w:rPr>
            </w:pPr>
            <w:r>
              <w:rPr>
                <w:spacing w:val="-3"/>
                <w:sz w:val="21"/>
                <w:szCs w:val="21"/>
              </w:rPr>
              <w:t>单位</w:t>
            </w:r>
          </w:p>
        </w:tc>
        <w:tc>
          <w:tcPr>
            <w:tcW w:w="1433" w:type="dxa"/>
          </w:tcPr>
          <w:p>
            <w:pPr>
              <w:pStyle w:val="TableText"/>
              <w:spacing w:before="100" w:line="219" w:lineRule="auto"/>
              <w:ind w:left="459"/>
              <w:rPr>
                <w:sz w:val="21"/>
                <w:szCs w:val="21"/>
              </w:rPr>
            </w:pPr>
            <w:r>
              <w:rPr>
                <w:spacing w:val="-3"/>
                <w:sz w:val="21"/>
                <w:szCs w:val="21"/>
              </w:rPr>
              <w:t>数值</w:t>
            </w:r>
          </w:p>
        </w:tc>
      </w:tr>
      <w:tr>
        <w:tblPrEx>
          <w:tblInd w:w="660" w:type="dxa"/>
          <w:tblLayout w:type="fixed"/>
          <w:tblCellMar>
            <w:top w:w="0" w:type="dxa"/>
            <w:left w:w="0" w:type="dxa"/>
            <w:bottom w:w="0" w:type="dxa"/>
            <w:right w:w="0" w:type="dxa"/>
          </w:tblCellMar>
          <w:tblLook w:val="0000"/>
        </w:tblPrEx>
        <w:trPr>
          <w:trHeight w:val="618"/>
        </w:trPr>
        <w:tc>
          <w:tcPr>
            <w:tcW w:w="1972" w:type="dxa"/>
          </w:tcPr>
          <w:p>
            <w:pPr>
              <w:pStyle w:val="TableText"/>
              <w:spacing w:before="72" w:line="219" w:lineRule="auto"/>
              <w:ind w:left="345"/>
              <w:rPr>
                <w:sz w:val="21"/>
                <w:szCs w:val="21"/>
              </w:rPr>
            </w:pPr>
            <w:r>
              <w:rPr>
                <w:spacing w:val="1"/>
                <w:sz w:val="21"/>
                <w:szCs w:val="21"/>
              </w:rPr>
              <w:t>总投资收益率</w:t>
            </w:r>
          </w:p>
          <w:p>
            <w:pPr>
              <w:pStyle w:val="TableText"/>
              <w:spacing w:before="64" w:line="195" w:lineRule="auto"/>
              <w:ind w:left="714"/>
              <w:rPr>
                <w:sz w:val="21"/>
                <w:szCs w:val="21"/>
              </w:rPr>
            </w:pPr>
            <w:r>
              <w:rPr>
                <w:spacing w:val="-8"/>
                <w:sz w:val="21"/>
                <w:szCs w:val="21"/>
              </w:rPr>
              <w:t>(ROI)</w:t>
            </w:r>
          </w:p>
        </w:tc>
        <w:tc>
          <w:tcPr>
            <w:tcW w:w="879" w:type="dxa"/>
          </w:tcPr>
          <w:p>
            <w:pPr>
              <w:pStyle w:val="TableText"/>
              <w:spacing w:before="233"/>
              <w:ind w:left="372"/>
              <w:rPr>
                <w:sz w:val="21"/>
                <w:szCs w:val="21"/>
              </w:rPr>
            </w:pPr>
            <w:r>
              <w:rPr>
                <w:sz w:val="21"/>
                <w:szCs w:val="21"/>
              </w:rPr>
              <w:t>%</w:t>
            </w:r>
          </w:p>
        </w:tc>
        <w:tc>
          <w:tcPr>
            <w:tcW w:w="1428" w:type="dxa"/>
          </w:tcPr>
          <w:p/>
        </w:tc>
        <w:tc>
          <w:tcPr>
            <w:tcW w:w="1948" w:type="dxa"/>
          </w:tcPr>
          <w:p>
            <w:pPr>
              <w:pStyle w:val="TableText"/>
              <w:spacing w:before="73" w:line="235" w:lineRule="auto"/>
              <w:ind w:left="125" w:right="12" w:hanging="100"/>
              <w:rPr>
                <w:sz w:val="21"/>
                <w:szCs w:val="21"/>
              </w:rPr>
            </w:pPr>
            <w:r>
              <w:rPr>
                <w:spacing w:val="1"/>
                <w:sz w:val="21"/>
                <w:szCs w:val="21"/>
              </w:rPr>
              <w:t>项目投资内部收益率</w:t>
            </w:r>
            <w:r>
              <w:rPr>
                <w:sz w:val="21"/>
                <w:szCs w:val="21"/>
              </w:rPr>
              <w:t xml:space="preserve"> </w:t>
            </w:r>
            <w:r>
              <w:rPr>
                <w:spacing w:val="5"/>
                <w:sz w:val="21"/>
                <w:szCs w:val="21"/>
              </w:rPr>
              <w:t>(所得税后)(</w:t>
            </w:r>
            <w:r>
              <w:rPr>
                <w:sz w:val="21"/>
                <w:szCs w:val="21"/>
              </w:rPr>
              <w:t>FIRR</w:t>
            </w:r>
            <w:r>
              <w:rPr>
                <w:spacing w:val="5"/>
                <w:sz w:val="21"/>
                <w:szCs w:val="21"/>
              </w:rPr>
              <w:t>)</w:t>
            </w:r>
          </w:p>
        </w:tc>
        <w:tc>
          <w:tcPr>
            <w:tcW w:w="919" w:type="dxa"/>
          </w:tcPr>
          <w:p>
            <w:pPr>
              <w:pStyle w:val="TableText"/>
              <w:spacing w:before="233"/>
              <w:ind w:left="397"/>
              <w:rPr>
                <w:sz w:val="21"/>
                <w:szCs w:val="21"/>
              </w:rPr>
            </w:pPr>
            <w:r>
              <w:rPr>
                <w:sz w:val="21"/>
                <w:szCs w:val="21"/>
              </w:rPr>
              <w:t>%</w:t>
            </w:r>
          </w:p>
        </w:tc>
        <w:tc>
          <w:tcPr>
            <w:tcW w:w="1433" w:type="dxa"/>
          </w:tcPr>
          <w:p/>
        </w:tc>
      </w:tr>
      <w:tr>
        <w:tblPrEx>
          <w:tblInd w:w="660" w:type="dxa"/>
          <w:tblLayout w:type="fixed"/>
          <w:tblCellMar>
            <w:top w:w="0" w:type="dxa"/>
            <w:left w:w="0" w:type="dxa"/>
            <w:bottom w:w="0" w:type="dxa"/>
            <w:right w:w="0" w:type="dxa"/>
          </w:tblCellMar>
          <w:tblLook w:val="0000"/>
        </w:tblPrEx>
        <w:trPr>
          <w:trHeight w:val="618"/>
        </w:trPr>
        <w:tc>
          <w:tcPr>
            <w:tcW w:w="1972" w:type="dxa"/>
          </w:tcPr>
          <w:p>
            <w:pPr>
              <w:pStyle w:val="TableText"/>
              <w:spacing w:before="83" w:line="219" w:lineRule="auto"/>
              <w:ind w:left="35"/>
              <w:rPr>
                <w:sz w:val="21"/>
                <w:szCs w:val="21"/>
              </w:rPr>
            </w:pPr>
            <w:r>
              <w:rPr>
                <w:spacing w:val="1"/>
                <w:sz w:val="21"/>
                <w:szCs w:val="21"/>
              </w:rPr>
              <w:t>项目资本金净利润率</w:t>
            </w:r>
          </w:p>
          <w:p>
            <w:pPr>
              <w:pStyle w:val="TableText"/>
              <w:spacing w:before="65" w:line="185" w:lineRule="auto"/>
              <w:ind w:left="714"/>
              <w:rPr>
                <w:sz w:val="21"/>
                <w:szCs w:val="21"/>
              </w:rPr>
            </w:pPr>
            <w:r>
              <w:rPr>
                <w:spacing w:val="-8"/>
                <w:sz w:val="21"/>
                <w:szCs w:val="21"/>
              </w:rPr>
              <w:t>(ROE)</w:t>
            </w:r>
          </w:p>
        </w:tc>
        <w:tc>
          <w:tcPr>
            <w:tcW w:w="879" w:type="dxa"/>
          </w:tcPr>
          <w:p>
            <w:pPr>
              <w:pStyle w:val="TableText"/>
              <w:spacing w:before="235"/>
              <w:ind w:left="372"/>
              <w:rPr>
                <w:sz w:val="21"/>
                <w:szCs w:val="21"/>
              </w:rPr>
            </w:pPr>
            <w:r>
              <w:rPr>
                <w:sz w:val="21"/>
                <w:szCs w:val="21"/>
              </w:rPr>
              <w:t>%</w:t>
            </w:r>
          </w:p>
        </w:tc>
        <w:tc>
          <w:tcPr>
            <w:tcW w:w="1428" w:type="dxa"/>
          </w:tcPr>
          <w:p/>
        </w:tc>
        <w:tc>
          <w:tcPr>
            <w:tcW w:w="1948" w:type="dxa"/>
          </w:tcPr>
          <w:p>
            <w:pPr>
              <w:pStyle w:val="TableText"/>
              <w:spacing w:before="84" w:line="219" w:lineRule="auto"/>
              <w:ind w:left="235"/>
              <w:rPr>
                <w:sz w:val="21"/>
                <w:szCs w:val="21"/>
              </w:rPr>
            </w:pPr>
            <w:r>
              <w:rPr>
                <w:spacing w:val="-2"/>
                <w:sz w:val="21"/>
                <w:szCs w:val="21"/>
              </w:rPr>
              <w:t>项目财务净现值</w:t>
            </w:r>
          </w:p>
          <w:p>
            <w:pPr>
              <w:pStyle w:val="TableText"/>
              <w:spacing w:before="34" w:line="211" w:lineRule="auto"/>
              <w:ind w:left="656"/>
              <w:rPr>
                <w:sz w:val="21"/>
                <w:szCs w:val="21"/>
              </w:rPr>
            </w:pPr>
            <w:r>
              <w:rPr>
                <w:spacing w:val="-8"/>
                <w:sz w:val="21"/>
                <w:szCs w:val="21"/>
              </w:rPr>
              <w:t>(FNPV)</w:t>
            </w:r>
          </w:p>
        </w:tc>
        <w:tc>
          <w:tcPr>
            <w:tcW w:w="919" w:type="dxa"/>
          </w:tcPr>
          <w:p>
            <w:pPr>
              <w:pStyle w:val="TableText"/>
              <w:spacing w:before="215" w:line="220" w:lineRule="auto"/>
              <w:ind w:left="247"/>
              <w:rPr>
                <w:sz w:val="21"/>
                <w:szCs w:val="21"/>
              </w:rPr>
            </w:pPr>
            <w:r>
              <w:rPr>
                <w:spacing w:val="4"/>
                <w:sz w:val="21"/>
                <w:szCs w:val="21"/>
              </w:rPr>
              <w:t>万元</w:t>
            </w:r>
          </w:p>
        </w:tc>
        <w:tc>
          <w:tcPr>
            <w:tcW w:w="1433" w:type="dxa"/>
          </w:tcPr>
          <w:p/>
        </w:tc>
      </w:tr>
      <w:tr>
        <w:tblPrEx>
          <w:tblInd w:w="660" w:type="dxa"/>
          <w:tblLayout w:type="fixed"/>
          <w:tblCellMar>
            <w:top w:w="0" w:type="dxa"/>
            <w:left w:w="0" w:type="dxa"/>
            <w:bottom w:w="0" w:type="dxa"/>
            <w:right w:w="0" w:type="dxa"/>
          </w:tblCellMar>
          <w:tblLook w:val="0000"/>
        </w:tblPrEx>
        <w:trPr>
          <w:trHeight w:val="633"/>
        </w:trPr>
        <w:tc>
          <w:tcPr>
            <w:tcW w:w="1972" w:type="dxa"/>
          </w:tcPr>
          <w:p>
            <w:pPr>
              <w:pStyle w:val="TableText"/>
              <w:spacing w:before="86" w:line="219" w:lineRule="auto"/>
              <w:ind w:left="454"/>
              <w:rPr>
                <w:sz w:val="21"/>
                <w:szCs w:val="21"/>
              </w:rPr>
            </w:pPr>
            <w:r>
              <w:rPr>
                <w:spacing w:val="2"/>
                <w:sz w:val="21"/>
                <w:szCs w:val="21"/>
              </w:rPr>
              <w:t>投资回收期</w:t>
            </w:r>
          </w:p>
          <w:p>
            <w:pPr>
              <w:pStyle w:val="TableText"/>
              <w:spacing w:before="64" w:line="196" w:lineRule="auto"/>
              <w:ind w:left="764"/>
              <w:rPr>
                <w:sz w:val="21"/>
                <w:szCs w:val="21"/>
              </w:rPr>
            </w:pPr>
            <w:r>
              <w:rPr>
                <w:spacing w:val="-9"/>
                <w:sz w:val="21"/>
                <w:szCs w:val="21"/>
              </w:rPr>
              <w:t>(Pt)</w:t>
            </w:r>
          </w:p>
        </w:tc>
        <w:tc>
          <w:tcPr>
            <w:tcW w:w="879" w:type="dxa"/>
          </w:tcPr>
          <w:p>
            <w:pPr>
              <w:pStyle w:val="TableText"/>
              <w:spacing w:before="216" w:line="219" w:lineRule="auto"/>
              <w:ind w:left="322"/>
              <w:rPr>
                <w:sz w:val="21"/>
                <w:szCs w:val="21"/>
              </w:rPr>
            </w:pPr>
            <w:r>
              <w:rPr>
                <w:sz w:val="21"/>
                <w:szCs w:val="21"/>
              </w:rPr>
              <w:t>年</w:t>
            </w:r>
          </w:p>
        </w:tc>
        <w:tc>
          <w:tcPr>
            <w:tcW w:w="1428" w:type="dxa"/>
          </w:tcPr>
          <w:p/>
        </w:tc>
        <w:tc>
          <w:tcPr>
            <w:tcW w:w="1948" w:type="dxa"/>
          </w:tcPr>
          <w:p/>
        </w:tc>
        <w:tc>
          <w:tcPr>
            <w:tcW w:w="919" w:type="dxa"/>
          </w:tcPr>
          <w:p/>
        </w:tc>
        <w:tc>
          <w:tcPr>
            <w:tcW w:w="1433" w:type="dxa"/>
          </w:tcPr>
          <w:p/>
        </w:tc>
      </w:tr>
    </w:tbl>
    <w:p>
      <w:pPr>
        <w:spacing w:line="269" w:lineRule="auto"/>
      </w:pPr>
    </w:p>
    <w:p>
      <w:pPr>
        <w:spacing w:line="270" w:lineRule="auto"/>
      </w:pPr>
    </w:p>
    <w:p>
      <w:pPr>
        <w:pStyle w:val="BodyText"/>
        <w:spacing w:before="69" w:line="222" w:lineRule="auto"/>
        <w:ind w:left="3623"/>
        <w:rPr>
          <w:sz w:val="21"/>
          <w:szCs w:val="21"/>
        </w:rPr>
      </w:pPr>
      <w:r>
        <w:rPr>
          <w:rFonts w:ascii="黑体" w:eastAsia="黑体" w:hAnsi="黑体" w:cs="黑体"/>
          <w:b/>
          <w:bCs/>
          <w:spacing w:val="-3"/>
          <w:sz w:val="21"/>
          <w:szCs w:val="21"/>
        </w:rPr>
        <w:t>表2.1-4</w:t>
      </w:r>
      <w:r>
        <w:rPr>
          <w:rFonts w:ascii="黑体" w:eastAsia="黑体" w:hAnsi="黑体" w:cs="黑体"/>
          <w:spacing w:val="-20"/>
          <w:sz w:val="21"/>
          <w:szCs w:val="21"/>
        </w:rPr>
        <w:t xml:space="preserve"> </w:t>
      </w:r>
      <w:r>
        <w:rPr>
          <w:spacing w:val="-3"/>
          <w:sz w:val="21"/>
          <w:szCs w:val="21"/>
        </w:rPr>
        <w:t>借款还本付息计划表</w:t>
      </w:r>
    </w:p>
    <w:p>
      <w:pPr>
        <w:spacing w:line="177" w:lineRule="exact"/>
      </w:pPr>
    </w:p>
    <w:tbl>
      <w:tblPr>
        <w:tblStyle w:val="TableNormal7"/>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914"/>
        <w:gridCol w:w="3066"/>
        <w:gridCol w:w="909"/>
        <w:gridCol w:w="899"/>
        <w:gridCol w:w="909"/>
        <w:gridCol w:w="909"/>
        <w:gridCol w:w="913"/>
      </w:tblGrid>
      <w:tr>
        <w:tblPrEx>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13"/>
        </w:trPr>
        <w:tc>
          <w:tcPr>
            <w:tcW w:w="914" w:type="dxa"/>
            <w:vMerge w:val="restart"/>
            <w:tcBorders>
              <w:bottom w:val="nil"/>
            </w:tcBorders>
          </w:tcPr>
          <w:p>
            <w:pPr>
              <w:pStyle w:val="TableText"/>
              <w:spacing w:before="224" w:line="221" w:lineRule="auto"/>
              <w:ind w:left="114"/>
              <w:rPr>
                <w:sz w:val="20"/>
                <w:szCs w:val="20"/>
              </w:rPr>
            </w:pPr>
            <w:r>
              <w:rPr>
                <w:spacing w:val="-2"/>
                <w:sz w:val="20"/>
                <w:szCs w:val="20"/>
              </w:rPr>
              <w:t>序号</w:t>
            </w:r>
          </w:p>
        </w:tc>
        <w:tc>
          <w:tcPr>
            <w:tcW w:w="3066" w:type="dxa"/>
            <w:vMerge w:val="restart"/>
            <w:tcBorders>
              <w:bottom w:val="nil"/>
            </w:tcBorders>
          </w:tcPr>
          <w:p>
            <w:pPr>
              <w:pStyle w:val="TableText"/>
              <w:spacing w:before="223" w:line="220" w:lineRule="auto"/>
              <w:ind w:left="1321"/>
              <w:rPr>
                <w:sz w:val="20"/>
                <w:szCs w:val="20"/>
              </w:rPr>
            </w:pPr>
            <w:r>
              <w:rPr>
                <w:spacing w:val="-6"/>
                <w:sz w:val="20"/>
                <w:szCs w:val="20"/>
              </w:rPr>
              <w:t>项 目</w:t>
            </w:r>
          </w:p>
        </w:tc>
        <w:tc>
          <w:tcPr>
            <w:tcW w:w="909" w:type="dxa"/>
            <w:vMerge w:val="restart"/>
            <w:tcBorders>
              <w:bottom w:val="nil"/>
            </w:tcBorders>
          </w:tcPr>
          <w:p>
            <w:pPr>
              <w:pStyle w:val="TableText"/>
              <w:spacing w:before="224" w:line="221" w:lineRule="auto"/>
              <w:ind w:left="244"/>
              <w:rPr>
                <w:sz w:val="20"/>
                <w:szCs w:val="20"/>
              </w:rPr>
            </w:pPr>
            <w:r>
              <w:rPr>
                <w:spacing w:val="-3"/>
                <w:sz w:val="20"/>
                <w:szCs w:val="20"/>
              </w:rPr>
              <w:t>合计</w:t>
            </w:r>
          </w:p>
        </w:tc>
        <w:tc>
          <w:tcPr>
            <w:tcW w:w="899" w:type="dxa"/>
          </w:tcPr>
          <w:p>
            <w:pPr>
              <w:pStyle w:val="TableText"/>
              <w:spacing w:before="63" w:line="220" w:lineRule="auto"/>
              <w:ind w:left="145"/>
              <w:rPr>
                <w:sz w:val="20"/>
                <w:szCs w:val="20"/>
              </w:rPr>
            </w:pPr>
            <w:r>
              <w:rPr>
                <w:spacing w:val="4"/>
                <w:sz w:val="20"/>
                <w:szCs w:val="20"/>
              </w:rPr>
              <w:t>建设期</w:t>
            </w:r>
          </w:p>
        </w:tc>
        <w:tc>
          <w:tcPr>
            <w:tcW w:w="2731" w:type="dxa"/>
            <w:gridSpan w:val="3"/>
          </w:tcPr>
          <w:p>
            <w:pPr>
              <w:pStyle w:val="TableText"/>
              <w:spacing w:before="63" w:line="219" w:lineRule="auto"/>
              <w:ind w:left="1056"/>
              <w:rPr>
                <w:sz w:val="20"/>
                <w:szCs w:val="20"/>
              </w:rPr>
            </w:pPr>
            <w:r>
              <w:rPr>
                <w:spacing w:val="4"/>
                <w:sz w:val="20"/>
                <w:szCs w:val="20"/>
              </w:rPr>
              <w:t>生产期</w:t>
            </w:r>
          </w:p>
        </w:tc>
      </w:tr>
      <w:tr>
        <w:tblPrEx>
          <w:tblInd w:w="680" w:type="dxa"/>
          <w:tblLayout w:type="fixed"/>
          <w:tblCellMar>
            <w:top w:w="0" w:type="dxa"/>
            <w:left w:w="0" w:type="dxa"/>
            <w:bottom w:w="0" w:type="dxa"/>
            <w:right w:w="0" w:type="dxa"/>
          </w:tblCellMar>
          <w:tblLook w:val="0000"/>
        </w:tblPrEx>
        <w:trPr>
          <w:trHeight w:val="319"/>
        </w:trPr>
        <w:tc>
          <w:tcPr>
            <w:tcW w:w="914" w:type="dxa"/>
            <w:vMerge/>
            <w:tcBorders>
              <w:top w:val="nil"/>
            </w:tcBorders>
          </w:tcPr>
          <w:p/>
        </w:tc>
        <w:tc>
          <w:tcPr>
            <w:tcW w:w="3066" w:type="dxa"/>
            <w:vMerge/>
            <w:tcBorders>
              <w:top w:val="nil"/>
            </w:tcBorders>
          </w:tcPr>
          <w:p/>
        </w:tc>
        <w:tc>
          <w:tcPr>
            <w:tcW w:w="909" w:type="dxa"/>
            <w:vMerge/>
            <w:tcBorders>
              <w:top w:val="nil"/>
            </w:tcBorders>
          </w:tcPr>
          <w:p/>
        </w:tc>
        <w:tc>
          <w:tcPr>
            <w:tcW w:w="899" w:type="dxa"/>
          </w:tcPr>
          <w:p>
            <w:pPr>
              <w:pStyle w:val="TableText"/>
              <w:spacing w:before="110" w:line="183" w:lineRule="auto"/>
              <w:ind w:left="395"/>
              <w:rPr>
                <w:sz w:val="20"/>
                <w:szCs w:val="20"/>
              </w:rPr>
            </w:pPr>
            <w:r>
              <w:rPr>
                <w:sz w:val="20"/>
                <w:szCs w:val="20"/>
              </w:rPr>
              <w:t>1</w:t>
            </w:r>
          </w:p>
        </w:tc>
        <w:tc>
          <w:tcPr>
            <w:tcW w:w="909" w:type="dxa"/>
          </w:tcPr>
          <w:p>
            <w:pPr>
              <w:pStyle w:val="TableText"/>
              <w:spacing w:before="111" w:line="182" w:lineRule="auto"/>
              <w:ind w:left="386"/>
              <w:rPr>
                <w:sz w:val="20"/>
                <w:szCs w:val="20"/>
              </w:rPr>
            </w:pPr>
            <w:r>
              <w:rPr>
                <w:sz w:val="20"/>
                <w:szCs w:val="20"/>
              </w:rPr>
              <w:t>2</w:t>
            </w:r>
          </w:p>
        </w:tc>
        <w:tc>
          <w:tcPr>
            <w:tcW w:w="909" w:type="dxa"/>
          </w:tcPr>
          <w:p>
            <w:pPr>
              <w:pStyle w:val="TableText"/>
              <w:spacing w:before="111" w:line="182" w:lineRule="auto"/>
              <w:ind w:left="398"/>
              <w:rPr>
                <w:sz w:val="20"/>
                <w:szCs w:val="20"/>
              </w:rPr>
            </w:pPr>
            <w:r>
              <w:rPr>
                <w:sz w:val="20"/>
                <w:szCs w:val="20"/>
              </w:rPr>
              <w:t>3</w:t>
            </w:r>
          </w:p>
        </w:tc>
        <w:tc>
          <w:tcPr>
            <w:tcW w:w="913" w:type="dxa"/>
          </w:tcPr>
          <w:p>
            <w:pPr>
              <w:pStyle w:val="TableText"/>
              <w:spacing w:before="130" w:line="92" w:lineRule="exact"/>
              <w:ind w:left="259"/>
              <w:rPr>
                <w:sz w:val="6"/>
                <w:szCs w:val="6"/>
              </w:rPr>
            </w:pPr>
            <w:r>
              <w:rPr>
                <w:spacing w:val="-4"/>
                <w:position w:val="1"/>
                <w:sz w:val="6"/>
                <w:szCs w:val="6"/>
              </w:rPr>
              <w:t>…</w:t>
            </w:r>
            <w:r>
              <w:rPr>
                <w:spacing w:val="-7"/>
                <w:position w:val="1"/>
                <w:sz w:val="6"/>
                <w:szCs w:val="6"/>
              </w:rPr>
              <w:t xml:space="preserve"> </w:t>
            </w:r>
            <w:r>
              <w:rPr>
                <w:spacing w:val="-4"/>
                <w:position w:val="1"/>
                <w:sz w:val="6"/>
                <w:szCs w:val="6"/>
              </w:rPr>
              <w:t>·</w:t>
            </w:r>
          </w:p>
        </w:tc>
      </w:tr>
      <w:tr>
        <w:tblPrEx>
          <w:tblInd w:w="680" w:type="dxa"/>
          <w:tblLayout w:type="fixed"/>
          <w:tblCellMar>
            <w:top w:w="0" w:type="dxa"/>
            <w:left w:w="0" w:type="dxa"/>
            <w:bottom w:w="0" w:type="dxa"/>
            <w:right w:w="0" w:type="dxa"/>
          </w:tblCellMar>
          <w:tblLook w:val="0000"/>
        </w:tblPrEx>
        <w:trPr>
          <w:trHeight w:val="298"/>
        </w:trPr>
        <w:tc>
          <w:tcPr>
            <w:tcW w:w="914" w:type="dxa"/>
          </w:tcPr>
          <w:p>
            <w:pPr>
              <w:pStyle w:val="TableText"/>
              <w:spacing w:before="101" w:line="172" w:lineRule="auto"/>
              <w:ind w:left="114"/>
              <w:rPr>
                <w:sz w:val="20"/>
                <w:szCs w:val="20"/>
              </w:rPr>
            </w:pPr>
            <w:r>
              <w:rPr>
                <w:sz w:val="20"/>
                <w:szCs w:val="20"/>
              </w:rPr>
              <w:t>1</w:t>
            </w:r>
          </w:p>
        </w:tc>
        <w:tc>
          <w:tcPr>
            <w:tcW w:w="3066" w:type="dxa"/>
          </w:tcPr>
          <w:p>
            <w:pPr>
              <w:pStyle w:val="TableText"/>
              <w:spacing w:before="49" w:line="219" w:lineRule="auto"/>
              <w:ind w:left="130"/>
              <w:rPr>
                <w:sz w:val="20"/>
                <w:szCs w:val="20"/>
              </w:rPr>
            </w:pPr>
            <w:r>
              <w:rPr>
                <w:spacing w:val="-2"/>
                <w:sz w:val="20"/>
                <w:szCs w:val="20"/>
              </w:rPr>
              <w:t>借款</w:t>
            </w:r>
          </w:p>
        </w:tc>
        <w:tc>
          <w:tcPr>
            <w:tcW w:w="909" w:type="dxa"/>
          </w:tcPr>
          <w:p/>
        </w:tc>
        <w:tc>
          <w:tcPr>
            <w:tcW w:w="899" w:type="dxa"/>
          </w:tcPr>
          <w:p/>
        </w:tc>
        <w:tc>
          <w:tcPr>
            <w:tcW w:w="909" w:type="dxa"/>
          </w:tcPr>
          <w:p/>
        </w:tc>
        <w:tc>
          <w:tcPr>
            <w:tcW w:w="909" w:type="dxa"/>
          </w:tcPr>
          <w:p/>
        </w:tc>
        <w:tc>
          <w:tcPr>
            <w:tcW w:w="913" w:type="dxa"/>
          </w:tcPr>
          <w:p/>
        </w:tc>
      </w:tr>
      <w:tr>
        <w:tblPrEx>
          <w:tblInd w:w="680" w:type="dxa"/>
          <w:tblLayout w:type="fixed"/>
          <w:tblCellMar>
            <w:top w:w="0" w:type="dxa"/>
            <w:left w:w="0" w:type="dxa"/>
            <w:bottom w:w="0" w:type="dxa"/>
            <w:right w:w="0" w:type="dxa"/>
          </w:tblCellMar>
          <w:tblLook w:val="0000"/>
        </w:tblPrEx>
        <w:trPr>
          <w:trHeight w:val="319"/>
        </w:trPr>
        <w:tc>
          <w:tcPr>
            <w:tcW w:w="914" w:type="dxa"/>
          </w:tcPr>
          <w:p>
            <w:pPr>
              <w:pStyle w:val="TableText"/>
              <w:spacing w:before="113" w:line="180" w:lineRule="auto"/>
              <w:ind w:left="114"/>
              <w:rPr>
                <w:sz w:val="20"/>
                <w:szCs w:val="20"/>
              </w:rPr>
            </w:pPr>
            <w:r>
              <w:rPr>
                <w:spacing w:val="-6"/>
                <w:sz w:val="20"/>
                <w:szCs w:val="20"/>
              </w:rPr>
              <w:t>1.1</w:t>
            </w:r>
          </w:p>
        </w:tc>
        <w:tc>
          <w:tcPr>
            <w:tcW w:w="3066" w:type="dxa"/>
          </w:tcPr>
          <w:p>
            <w:pPr>
              <w:pStyle w:val="TableText"/>
              <w:spacing w:before="63" w:line="220" w:lineRule="auto"/>
              <w:ind w:left="130"/>
              <w:rPr>
                <w:sz w:val="20"/>
                <w:szCs w:val="20"/>
              </w:rPr>
            </w:pPr>
            <w:r>
              <w:rPr>
                <w:spacing w:val="2"/>
                <w:sz w:val="20"/>
                <w:szCs w:val="20"/>
              </w:rPr>
              <w:t>用于建设期投资</w:t>
            </w:r>
          </w:p>
        </w:tc>
        <w:tc>
          <w:tcPr>
            <w:tcW w:w="909" w:type="dxa"/>
          </w:tcPr>
          <w:p/>
        </w:tc>
        <w:tc>
          <w:tcPr>
            <w:tcW w:w="899" w:type="dxa"/>
          </w:tcPr>
          <w:p/>
        </w:tc>
        <w:tc>
          <w:tcPr>
            <w:tcW w:w="909" w:type="dxa"/>
          </w:tcPr>
          <w:p/>
        </w:tc>
        <w:tc>
          <w:tcPr>
            <w:tcW w:w="909" w:type="dxa"/>
          </w:tcPr>
          <w:p/>
        </w:tc>
        <w:tc>
          <w:tcPr>
            <w:tcW w:w="913" w:type="dxa"/>
          </w:tcPr>
          <w:p/>
        </w:tc>
      </w:tr>
      <w:tr>
        <w:tblPrEx>
          <w:tblInd w:w="680" w:type="dxa"/>
          <w:tblLayout w:type="fixed"/>
          <w:tblCellMar>
            <w:top w:w="0" w:type="dxa"/>
            <w:left w:w="0" w:type="dxa"/>
            <w:bottom w:w="0" w:type="dxa"/>
            <w:right w:w="0" w:type="dxa"/>
          </w:tblCellMar>
          <w:tblLook w:val="0000"/>
        </w:tblPrEx>
        <w:trPr>
          <w:trHeight w:val="309"/>
        </w:trPr>
        <w:tc>
          <w:tcPr>
            <w:tcW w:w="914" w:type="dxa"/>
          </w:tcPr>
          <w:p>
            <w:pPr>
              <w:pStyle w:val="TableText"/>
              <w:spacing w:before="114" w:line="170" w:lineRule="auto"/>
              <w:ind w:left="114"/>
              <w:rPr>
                <w:sz w:val="20"/>
                <w:szCs w:val="20"/>
              </w:rPr>
            </w:pPr>
            <w:r>
              <w:rPr>
                <w:spacing w:val="-4"/>
                <w:sz w:val="20"/>
                <w:szCs w:val="20"/>
              </w:rPr>
              <w:t>1.1.1</w:t>
            </w:r>
          </w:p>
        </w:tc>
        <w:tc>
          <w:tcPr>
            <w:tcW w:w="3066" w:type="dxa"/>
          </w:tcPr>
          <w:p>
            <w:pPr>
              <w:pStyle w:val="TableText"/>
              <w:spacing w:before="63" w:line="217" w:lineRule="auto"/>
              <w:ind w:left="130"/>
              <w:rPr>
                <w:sz w:val="20"/>
                <w:szCs w:val="20"/>
              </w:rPr>
            </w:pPr>
            <w:r>
              <w:rPr>
                <w:spacing w:val="-2"/>
                <w:sz w:val="20"/>
                <w:szCs w:val="20"/>
              </w:rPr>
              <w:t>期初债务余额</w:t>
            </w:r>
          </w:p>
        </w:tc>
        <w:tc>
          <w:tcPr>
            <w:tcW w:w="909" w:type="dxa"/>
          </w:tcPr>
          <w:p/>
        </w:tc>
        <w:tc>
          <w:tcPr>
            <w:tcW w:w="899" w:type="dxa"/>
          </w:tcPr>
          <w:p/>
        </w:tc>
        <w:tc>
          <w:tcPr>
            <w:tcW w:w="909" w:type="dxa"/>
          </w:tcPr>
          <w:p/>
        </w:tc>
        <w:tc>
          <w:tcPr>
            <w:tcW w:w="909" w:type="dxa"/>
          </w:tcPr>
          <w:p/>
        </w:tc>
        <w:tc>
          <w:tcPr>
            <w:tcW w:w="913" w:type="dxa"/>
          </w:tcPr>
          <w:p/>
        </w:tc>
      </w:tr>
      <w:tr>
        <w:tblPrEx>
          <w:tblInd w:w="680" w:type="dxa"/>
          <w:tblLayout w:type="fixed"/>
          <w:tblCellMar>
            <w:top w:w="0" w:type="dxa"/>
            <w:left w:w="0" w:type="dxa"/>
            <w:bottom w:w="0" w:type="dxa"/>
            <w:right w:w="0" w:type="dxa"/>
          </w:tblCellMar>
          <w:tblLook w:val="0000"/>
        </w:tblPrEx>
        <w:trPr>
          <w:trHeight w:val="309"/>
        </w:trPr>
        <w:tc>
          <w:tcPr>
            <w:tcW w:w="914" w:type="dxa"/>
          </w:tcPr>
          <w:p>
            <w:pPr>
              <w:pStyle w:val="TableText"/>
              <w:spacing w:before="115" w:line="169" w:lineRule="auto"/>
              <w:ind w:left="114"/>
              <w:rPr>
                <w:sz w:val="20"/>
                <w:szCs w:val="20"/>
              </w:rPr>
            </w:pPr>
            <w:r>
              <w:rPr>
                <w:spacing w:val="-4"/>
                <w:sz w:val="20"/>
                <w:szCs w:val="20"/>
              </w:rPr>
              <w:t>1.1.2</w:t>
            </w:r>
          </w:p>
        </w:tc>
        <w:tc>
          <w:tcPr>
            <w:tcW w:w="3066" w:type="dxa"/>
          </w:tcPr>
          <w:p>
            <w:pPr>
              <w:pStyle w:val="TableText"/>
              <w:spacing w:before="63" w:line="217" w:lineRule="auto"/>
              <w:ind w:left="130"/>
              <w:rPr>
                <w:sz w:val="20"/>
                <w:szCs w:val="20"/>
              </w:rPr>
            </w:pPr>
            <w:r>
              <w:rPr>
                <w:spacing w:val="2"/>
                <w:sz w:val="20"/>
                <w:szCs w:val="20"/>
              </w:rPr>
              <w:t>当期还本付息</w:t>
            </w:r>
          </w:p>
        </w:tc>
        <w:tc>
          <w:tcPr>
            <w:tcW w:w="909" w:type="dxa"/>
          </w:tcPr>
          <w:p/>
        </w:tc>
        <w:tc>
          <w:tcPr>
            <w:tcW w:w="899" w:type="dxa"/>
          </w:tcPr>
          <w:p/>
        </w:tc>
        <w:tc>
          <w:tcPr>
            <w:tcW w:w="909" w:type="dxa"/>
          </w:tcPr>
          <w:p/>
        </w:tc>
        <w:tc>
          <w:tcPr>
            <w:tcW w:w="909" w:type="dxa"/>
          </w:tcPr>
          <w:p/>
        </w:tc>
        <w:tc>
          <w:tcPr>
            <w:tcW w:w="913" w:type="dxa"/>
          </w:tcPr>
          <w:p/>
        </w:tc>
      </w:tr>
      <w:tr>
        <w:tblPrEx>
          <w:tblInd w:w="680" w:type="dxa"/>
          <w:tblLayout w:type="fixed"/>
          <w:tblCellMar>
            <w:top w:w="0" w:type="dxa"/>
            <w:left w:w="0" w:type="dxa"/>
            <w:bottom w:w="0" w:type="dxa"/>
            <w:right w:w="0" w:type="dxa"/>
          </w:tblCellMar>
          <w:tblLook w:val="0000"/>
        </w:tblPrEx>
        <w:trPr>
          <w:trHeight w:val="318"/>
        </w:trPr>
        <w:tc>
          <w:tcPr>
            <w:tcW w:w="914" w:type="dxa"/>
          </w:tcPr>
          <w:p/>
        </w:tc>
        <w:tc>
          <w:tcPr>
            <w:tcW w:w="3066" w:type="dxa"/>
          </w:tcPr>
          <w:p>
            <w:pPr>
              <w:pStyle w:val="TableText"/>
              <w:spacing w:before="65" w:line="219" w:lineRule="auto"/>
              <w:ind w:left="130"/>
              <w:rPr>
                <w:sz w:val="20"/>
                <w:szCs w:val="20"/>
              </w:rPr>
            </w:pPr>
            <w:r>
              <w:rPr>
                <w:spacing w:val="-2"/>
                <w:sz w:val="20"/>
                <w:szCs w:val="20"/>
              </w:rPr>
              <w:t>其中：还本</w:t>
            </w:r>
          </w:p>
        </w:tc>
        <w:tc>
          <w:tcPr>
            <w:tcW w:w="909" w:type="dxa"/>
          </w:tcPr>
          <w:p/>
        </w:tc>
        <w:tc>
          <w:tcPr>
            <w:tcW w:w="899" w:type="dxa"/>
          </w:tcPr>
          <w:p/>
        </w:tc>
        <w:tc>
          <w:tcPr>
            <w:tcW w:w="909" w:type="dxa"/>
          </w:tcPr>
          <w:p/>
        </w:tc>
        <w:tc>
          <w:tcPr>
            <w:tcW w:w="909" w:type="dxa"/>
          </w:tcPr>
          <w:p/>
        </w:tc>
        <w:tc>
          <w:tcPr>
            <w:tcW w:w="913" w:type="dxa"/>
          </w:tcPr>
          <w:p/>
        </w:tc>
      </w:tr>
      <w:tr>
        <w:tblPrEx>
          <w:tblInd w:w="680" w:type="dxa"/>
          <w:tblLayout w:type="fixed"/>
          <w:tblCellMar>
            <w:top w:w="0" w:type="dxa"/>
            <w:left w:w="0" w:type="dxa"/>
            <w:bottom w:w="0" w:type="dxa"/>
            <w:right w:w="0" w:type="dxa"/>
          </w:tblCellMar>
          <w:tblLook w:val="0000"/>
        </w:tblPrEx>
        <w:trPr>
          <w:trHeight w:val="304"/>
        </w:trPr>
        <w:tc>
          <w:tcPr>
            <w:tcW w:w="914" w:type="dxa"/>
          </w:tcPr>
          <w:p/>
        </w:tc>
        <w:tc>
          <w:tcPr>
            <w:tcW w:w="3066" w:type="dxa"/>
          </w:tcPr>
          <w:p>
            <w:pPr>
              <w:pStyle w:val="TableText"/>
              <w:spacing w:before="57" w:line="218" w:lineRule="auto"/>
              <w:ind w:left="840"/>
              <w:rPr>
                <w:sz w:val="20"/>
                <w:szCs w:val="20"/>
              </w:rPr>
            </w:pPr>
            <w:r>
              <w:rPr>
                <w:spacing w:val="7"/>
                <w:sz w:val="20"/>
                <w:szCs w:val="20"/>
              </w:rPr>
              <w:t>付息</w:t>
            </w:r>
          </w:p>
        </w:tc>
        <w:tc>
          <w:tcPr>
            <w:tcW w:w="909" w:type="dxa"/>
          </w:tcPr>
          <w:p/>
        </w:tc>
        <w:tc>
          <w:tcPr>
            <w:tcW w:w="899" w:type="dxa"/>
          </w:tcPr>
          <w:p/>
        </w:tc>
        <w:tc>
          <w:tcPr>
            <w:tcW w:w="909" w:type="dxa"/>
          </w:tcPr>
          <w:p/>
        </w:tc>
        <w:tc>
          <w:tcPr>
            <w:tcW w:w="909" w:type="dxa"/>
          </w:tcPr>
          <w:p/>
        </w:tc>
        <w:tc>
          <w:tcPr>
            <w:tcW w:w="913" w:type="dxa"/>
          </w:tcPr>
          <w:p/>
        </w:tc>
      </w:tr>
    </w:tbl>
    <w:p/>
    <w:p>
      <w:pPr>
        <w:sectPr>
          <w:headerReference w:type="default" r:id="rId31"/>
          <w:footerReference w:type="default" r:id="rId32"/>
          <w:pgSz w:w="11910" w:h="16840"/>
          <w:pgMar w:top="400" w:right="1019" w:bottom="1182" w:left="999" w:header="0" w:footer="969" w:gutter="0"/>
          <w:pgNumType w:start="12"/>
          <w:cols w:space="708"/>
        </w:sectPr>
      </w:pPr>
    </w:p>
    <w:p>
      <w:pPr>
        <w:spacing w:before="193"/>
      </w:pPr>
    </w:p>
    <w:tbl>
      <w:tblPr>
        <w:tblStyle w:val="TableNormal8"/>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70"/>
        <w:gridCol w:w="273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pStyle w:val="TableText"/>
              <w:spacing w:before="51" w:line="215" w:lineRule="auto"/>
              <w:ind w:left="113"/>
            </w:pPr>
            <w:bookmarkStart w:id="13" w:name="bookmark16"/>
            <w:bookmarkStart w:id="14" w:name="bookmark14"/>
            <w:bookmarkStart w:id="15" w:name="bookmark15"/>
            <w:bookmarkEnd w:id="13"/>
            <w:bookmarkEnd w:id="14"/>
            <w:bookmarkEnd w:id="15"/>
            <w:r>
              <w:rPr>
                <w:b/>
                <w:bCs/>
                <w:spacing w:val="-5"/>
              </w:rPr>
              <w:t>编号：</w:t>
            </w:r>
          </w:p>
          <w:p>
            <w:pPr>
              <w:pStyle w:val="TableText"/>
              <w:spacing w:line="219" w:lineRule="auto"/>
              <w:ind w:left="123"/>
            </w:pPr>
            <w:r>
              <w:rPr>
                <w:b/>
                <w:bCs/>
              </w:rPr>
              <w:t>时间：2021年x月x日</w:t>
            </w:r>
          </w:p>
        </w:tc>
        <w:tc>
          <w:tcPr>
            <w:tcW w:w="4670" w:type="dxa"/>
          </w:tcPr>
          <w:p>
            <w:pPr>
              <w:spacing w:line="250" w:lineRule="auto"/>
            </w:pPr>
          </w:p>
          <w:p>
            <w:pPr>
              <w:pStyle w:val="TableText"/>
              <w:spacing w:before="78" w:line="219" w:lineRule="auto"/>
              <w:ind w:left="278"/>
            </w:pPr>
            <w:r>
              <w:rPr>
                <w:b/>
                <w:bCs/>
                <w:color w:val="F30000"/>
                <w:spacing w:val="-4"/>
              </w:rPr>
              <w:t>书山有路勤为径，学海无涯苦作舟</w:t>
            </w:r>
          </w:p>
        </w:tc>
        <w:tc>
          <w:tcPr>
            <w:tcW w:w="2730" w:type="dxa"/>
            <w:tcBorders>
              <w:right w:val="nil"/>
            </w:tcBorders>
          </w:tcPr>
          <w:p>
            <w:pPr>
              <w:spacing w:line="252" w:lineRule="auto"/>
            </w:pPr>
          </w:p>
          <w:p>
            <w:pPr>
              <w:pStyle w:val="TableText"/>
              <w:spacing w:before="78" w:line="219" w:lineRule="auto"/>
              <w:ind w:left="148"/>
            </w:pPr>
            <w:r>
              <w:rPr>
                <w:b/>
                <w:bCs/>
                <w:spacing w:val="-2"/>
              </w:rPr>
              <w:t>页码：第9页共70页</w:t>
            </w:r>
          </w:p>
        </w:tc>
      </w:tr>
    </w:tbl>
    <w:p>
      <w:pPr>
        <w:spacing w:before="28"/>
      </w:pPr>
    </w:p>
    <w:tbl>
      <w:tblPr>
        <w:tblStyle w:val="TableNormal8"/>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904"/>
        <w:gridCol w:w="3066"/>
        <w:gridCol w:w="909"/>
        <w:gridCol w:w="908"/>
        <w:gridCol w:w="919"/>
        <w:gridCol w:w="909"/>
        <w:gridCol w:w="894"/>
      </w:tblGrid>
      <w:tr>
        <w:tblPrEx>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04"/>
        </w:trPr>
        <w:tc>
          <w:tcPr>
            <w:tcW w:w="904" w:type="dxa"/>
          </w:tcPr>
          <w:p>
            <w:pPr>
              <w:pStyle w:val="TableText"/>
              <w:spacing w:before="107" w:line="164" w:lineRule="auto"/>
              <w:ind w:left="104"/>
              <w:rPr>
                <w:sz w:val="21"/>
                <w:szCs w:val="21"/>
              </w:rPr>
            </w:pPr>
            <w:r>
              <w:rPr>
                <w:spacing w:val="-4"/>
                <w:sz w:val="21"/>
                <w:szCs w:val="21"/>
              </w:rPr>
              <w:t>1.1.3</w:t>
            </w:r>
          </w:p>
        </w:tc>
        <w:tc>
          <w:tcPr>
            <w:tcW w:w="3066" w:type="dxa"/>
          </w:tcPr>
          <w:p>
            <w:pPr>
              <w:pStyle w:val="TableText"/>
              <w:spacing w:before="52" w:line="212" w:lineRule="auto"/>
              <w:ind w:left="130"/>
              <w:rPr>
                <w:sz w:val="21"/>
                <w:szCs w:val="21"/>
              </w:rPr>
            </w:pPr>
            <w:r>
              <w:rPr>
                <w:spacing w:val="-2"/>
                <w:sz w:val="21"/>
                <w:szCs w:val="21"/>
              </w:rPr>
              <w:t>期末债务余额</w:t>
            </w:r>
          </w:p>
        </w:tc>
        <w:tc>
          <w:tcPr>
            <w:tcW w:w="909" w:type="dxa"/>
          </w:tcPr>
          <w:p/>
        </w:tc>
        <w:tc>
          <w:tcPr>
            <w:tcW w:w="908" w:type="dxa"/>
          </w:tcPr>
          <w:p/>
        </w:tc>
        <w:tc>
          <w:tcPr>
            <w:tcW w:w="91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309"/>
        </w:trPr>
        <w:tc>
          <w:tcPr>
            <w:tcW w:w="904" w:type="dxa"/>
          </w:tcPr>
          <w:p>
            <w:pPr>
              <w:pStyle w:val="TableText"/>
              <w:spacing w:before="103" w:line="172" w:lineRule="auto"/>
              <w:ind w:left="104"/>
              <w:rPr>
                <w:sz w:val="21"/>
                <w:szCs w:val="21"/>
              </w:rPr>
            </w:pPr>
            <w:r>
              <w:rPr>
                <w:spacing w:val="-6"/>
                <w:sz w:val="21"/>
                <w:szCs w:val="21"/>
              </w:rPr>
              <w:t>1.2</w:t>
            </w:r>
          </w:p>
        </w:tc>
        <w:tc>
          <w:tcPr>
            <w:tcW w:w="3066" w:type="dxa"/>
          </w:tcPr>
          <w:p>
            <w:pPr>
              <w:pStyle w:val="TableText"/>
              <w:spacing w:before="49" w:line="219" w:lineRule="auto"/>
              <w:ind w:left="130"/>
              <w:rPr>
                <w:sz w:val="21"/>
                <w:szCs w:val="21"/>
              </w:rPr>
            </w:pPr>
            <w:r>
              <w:rPr>
                <w:spacing w:val="-2"/>
                <w:sz w:val="21"/>
                <w:szCs w:val="21"/>
              </w:rPr>
              <w:t>用于流动资金</w:t>
            </w:r>
          </w:p>
        </w:tc>
        <w:tc>
          <w:tcPr>
            <w:tcW w:w="909" w:type="dxa"/>
          </w:tcPr>
          <w:p/>
        </w:tc>
        <w:tc>
          <w:tcPr>
            <w:tcW w:w="908" w:type="dxa"/>
          </w:tcPr>
          <w:p/>
        </w:tc>
        <w:tc>
          <w:tcPr>
            <w:tcW w:w="91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319"/>
        </w:trPr>
        <w:tc>
          <w:tcPr>
            <w:tcW w:w="904" w:type="dxa"/>
          </w:tcPr>
          <w:p>
            <w:pPr>
              <w:pStyle w:val="TableText"/>
              <w:spacing w:before="114" w:line="171" w:lineRule="auto"/>
              <w:ind w:left="104"/>
              <w:rPr>
                <w:sz w:val="21"/>
                <w:szCs w:val="21"/>
              </w:rPr>
            </w:pPr>
            <w:r>
              <w:rPr>
                <w:spacing w:val="-4"/>
                <w:sz w:val="21"/>
                <w:szCs w:val="21"/>
              </w:rPr>
              <w:t>1.2.1</w:t>
            </w:r>
          </w:p>
        </w:tc>
        <w:tc>
          <w:tcPr>
            <w:tcW w:w="3066" w:type="dxa"/>
          </w:tcPr>
          <w:p>
            <w:pPr>
              <w:pStyle w:val="TableText"/>
              <w:spacing w:before="61" w:line="218" w:lineRule="auto"/>
              <w:ind w:left="130"/>
              <w:rPr>
                <w:sz w:val="21"/>
                <w:szCs w:val="21"/>
              </w:rPr>
            </w:pPr>
            <w:r>
              <w:rPr>
                <w:spacing w:val="-2"/>
                <w:sz w:val="21"/>
                <w:szCs w:val="21"/>
              </w:rPr>
              <w:t>期初债务余额</w:t>
            </w:r>
          </w:p>
        </w:tc>
        <w:tc>
          <w:tcPr>
            <w:tcW w:w="909" w:type="dxa"/>
          </w:tcPr>
          <w:p/>
        </w:tc>
        <w:tc>
          <w:tcPr>
            <w:tcW w:w="908" w:type="dxa"/>
          </w:tcPr>
          <w:p/>
        </w:tc>
        <w:tc>
          <w:tcPr>
            <w:tcW w:w="91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299"/>
        </w:trPr>
        <w:tc>
          <w:tcPr>
            <w:tcW w:w="904" w:type="dxa"/>
          </w:tcPr>
          <w:p>
            <w:pPr>
              <w:pStyle w:val="TableText"/>
              <w:spacing w:before="104" w:line="162" w:lineRule="auto"/>
              <w:ind w:left="104"/>
              <w:rPr>
                <w:sz w:val="21"/>
                <w:szCs w:val="21"/>
              </w:rPr>
            </w:pPr>
            <w:r>
              <w:rPr>
                <w:spacing w:val="-4"/>
                <w:sz w:val="21"/>
                <w:szCs w:val="21"/>
              </w:rPr>
              <w:t>1.2.2</w:t>
            </w:r>
          </w:p>
        </w:tc>
        <w:tc>
          <w:tcPr>
            <w:tcW w:w="3066" w:type="dxa"/>
          </w:tcPr>
          <w:p>
            <w:pPr>
              <w:pStyle w:val="TableText"/>
              <w:spacing w:before="51" w:line="209" w:lineRule="auto"/>
              <w:ind w:left="130"/>
              <w:rPr>
                <w:sz w:val="21"/>
                <w:szCs w:val="21"/>
              </w:rPr>
            </w:pPr>
            <w:r>
              <w:rPr>
                <w:spacing w:val="2"/>
                <w:sz w:val="21"/>
                <w:szCs w:val="21"/>
              </w:rPr>
              <w:t>当期还本付息</w:t>
            </w:r>
          </w:p>
        </w:tc>
        <w:tc>
          <w:tcPr>
            <w:tcW w:w="909" w:type="dxa"/>
          </w:tcPr>
          <w:p/>
        </w:tc>
        <w:tc>
          <w:tcPr>
            <w:tcW w:w="908" w:type="dxa"/>
          </w:tcPr>
          <w:p/>
        </w:tc>
        <w:tc>
          <w:tcPr>
            <w:tcW w:w="91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319"/>
        </w:trPr>
        <w:tc>
          <w:tcPr>
            <w:tcW w:w="904" w:type="dxa"/>
          </w:tcPr>
          <w:p/>
        </w:tc>
        <w:tc>
          <w:tcPr>
            <w:tcW w:w="3066" w:type="dxa"/>
          </w:tcPr>
          <w:p>
            <w:pPr>
              <w:pStyle w:val="TableText"/>
              <w:spacing w:before="62" w:line="217" w:lineRule="auto"/>
              <w:ind w:left="130"/>
              <w:rPr>
                <w:sz w:val="21"/>
                <w:szCs w:val="21"/>
              </w:rPr>
            </w:pPr>
            <w:r>
              <w:rPr>
                <w:spacing w:val="-2"/>
                <w:sz w:val="21"/>
                <w:szCs w:val="21"/>
              </w:rPr>
              <w:t>其中：还本</w:t>
            </w:r>
          </w:p>
        </w:tc>
        <w:tc>
          <w:tcPr>
            <w:tcW w:w="909" w:type="dxa"/>
          </w:tcPr>
          <w:p/>
        </w:tc>
        <w:tc>
          <w:tcPr>
            <w:tcW w:w="908" w:type="dxa"/>
          </w:tcPr>
          <w:p/>
        </w:tc>
        <w:tc>
          <w:tcPr>
            <w:tcW w:w="91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319"/>
        </w:trPr>
        <w:tc>
          <w:tcPr>
            <w:tcW w:w="904" w:type="dxa"/>
          </w:tcPr>
          <w:p/>
        </w:tc>
        <w:tc>
          <w:tcPr>
            <w:tcW w:w="3066" w:type="dxa"/>
          </w:tcPr>
          <w:p>
            <w:pPr>
              <w:pStyle w:val="TableText"/>
              <w:spacing w:before="63" w:line="216" w:lineRule="auto"/>
              <w:ind w:left="830"/>
              <w:rPr>
                <w:sz w:val="21"/>
                <w:szCs w:val="21"/>
              </w:rPr>
            </w:pPr>
            <w:r>
              <w:rPr>
                <w:spacing w:val="7"/>
                <w:sz w:val="21"/>
                <w:szCs w:val="21"/>
              </w:rPr>
              <w:t>付息</w:t>
            </w:r>
          </w:p>
        </w:tc>
        <w:tc>
          <w:tcPr>
            <w:tcW w:w="909" w:type="dxa"/>
          </w:tcPr>
          <w:p/>
        </w:tc>
        <w:tc>
          <w:tcPr>
            <w:tcW w:w="908" w:type="dxa"/>
          </w:tcPr>
          <w:p/>
        </w:tc>
        <w:tc>
          <w:tcPr>
            <w:tcW w:w="91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300"/>
        </w:trPr>
        <w:tc>
          <w:tcPr>
            <w:tcW w:w="904" w:type="dxa"/>
          </w:tcPr>
          <w:p>
            <w:pPr>
              <w:pStyle w:val="TableText"/>
              <w:spacing w:before="108" w:line="160" w:lineRule="auto"/>
              <w:ind w:left="104"/>
              <w:rPr>
                <w:sz w:val="21"/>
                <w:szCs w:val="21"/>
              </w:rPr>
            </w:pPr>
            <w:r>
              <w:rPr>
                <w:spacing w:val="-4"/>
                <w:sz w:val="21"/>
                <w:szCs w:val="21"/>
              </w:rPr>
              <w:t>1.2.3</w:t>
            </w:r>
          </w:p>
        </w:tc>
        <w:tc>
          <w:tcPr>
            <w:tcW w:w="3066" w:type="dxa"/>
          </w:tcPr>
          <w:p>
            <w:pPr>
              <w:pStyle w:val="TableText"/>
              <w:spacing w:before="54" w:line="207" w:lineRule="auto"/>
              <w:ind w:left="130"/>
              <w:rPr>
                <w:sz w:val="21"/>
                <w:szCs w:val="21"/>
              </w:rPr>
            </w:pPr>
            <w:r>
              <w:rPr>
                <w:spacing w:val="-2"/>
                <w:sz w:val="21"/>
                <w:szCs w:val="21"/>
              </w:rPr>
              <w:t>期末债务余额</w:t>
            </w:r>
          </w:p>
        </w:tc>
        <w:tc>
          <w:tcPr>
            <w:tcW w:w="909" w:type="dxa"/>
          </w:tcPr>
          <w:p/>
        </w:tc>
        <w:tc>
          <w:tcPr>
            <w:tcW w:w="908" w:type="dxa"/>
          </w:tcPr>
          <w:p/>
        </w:tc>
        <w:tc>
          <w:tcPr>
            <w:tcW w:w="91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320"/>
        </w:trPr>
        <w:tc>
          <w:tcPr>
            <w:tcW w:w="904" w:type="dxa"/>
          </w:tcPr>
          <w:p>
            <w:pPr>
              <w:pStyle w:val="TableText"/>
              <w:spacing w:before="117" w:line="169" w:lineRule="auto"/>
              <w:ind w:left="104"/>
              <w:rPr>
                <w:sz w:val="21"/>
                <w:szCs w:val="21"/>
              </w:rPr>
            </w:pPr>
            <w:r>
              <w:rPr>
                <w:spacing w:val="-6"/>
                <w:sz w:val="21"/>
                <w:szCs w:val="21"/>
              </w:rPr>
              <w:t>1.3</w:t>
            </w:r>
          </w:p>
        </w:tc>
        <w:tc>
          <w:tcPr>
            <w:tcW w:w="3066" w:type="dxa"/>
          </w:tcPr>
          <w:p>
            <w:pPr>
              <w:pStyle w:val="TableText"/>
              <w:spacing w:before="65" w:line="215" w:lineRule="auto"/>
              <w:ind w:left="130"/>
              <w:rPr>
                <w:sz w:val="21"/>
                <w:szCs w:val="21"/>
              </w:rPr>
            </w:pPr>
            <w:r>
              <w:rPr>
                <w:spacing w:val="2"/>
                <w:sz w:val="21"/>
                <w:szCs w:val="21"/>
              </w:rPr>
              <w:t>用于建设期利息</w:t>
            </w:r>
          </w:p>
        </w:tc>
        <w:tc>
          <w:tcPr>
            <w:tcW w:w="909" w:type="dxa"/>
          </w:tcPr>
          <w:p/>
        </w:tc>
        <w:tc>
          <w:tcPr>
            <w:tcW w:w="908" w:type="dxa"/>
          </w:tcPr>
          <w:p/>
        </w:tc>
        <w:tc>
          <w:tcPr>
            <w:tcW w:w="91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309"/>
        </w:trPr>
        <w:tc>
          <w:tcPr>
            <w:tcW w:w="904" w:type="dxa"/>
          </w:tcPr>
          <w:p>
            <w:pPr>
              <w:pStyle w:val="TableText"/>
              <w:spacing w:before="107" w:line="168" w:lineRule="auto"/>
              <w:ind w:left="104"/>
              <w:rPr>
                <w:sz w:val="21"/>
                <w:szCs w:val="21"/>
              </w:rPr>
            </w:pPr>
            <w:r>
              <w:rPr>
                <w:spacing w:val="-4"/>
                <w:sz w:val="21"/>
                <w:szCs w:val="21"/>
              </w:rPr>
              <w:t>1.3.1</w:t>
            </w:r>
          </w:p>
        </w:tc>
        <w:tc>
          <w:tcPr>
            <w:tcW w:w="3066" w:type="dxa"/>
          </w:tcPr>
          <w:p>
            <w:pPr>
              <w:pStyle w:val="TableText"/>
              <w:spacing w:before="54" w:line="215" w:lineRule="auto"/>
              <w:ind w:left="130"/>
              <w:rPr>
                <w:sz w:val="21"/>
                <w:szCs w:val="21"/>
              </w:rPr>
            </w:pPr>
            <w:r>
              <w:rPr>
                <w:spacing w:val="-2"/>
                <w:sz w:val="21"/>
                <w:szCs w:val="21"/>
              </w:rPr>
              <w:t>期初债务余额</w:t>
            </w:r>
          </w:p>
        </w:tc>
        <w:tc>
          <w:tcPr>
            <w:tcW w:w="909" w:type="dxa"/>
          </w:tcPr>
          <w:p/>
        </w:tc>
        <w:tc>
          <w:tcPr>
            <w:tcW w:w="908" w:type="dxa"/>
          </w:tcPr>
          <w:p/>
        </w:tc>
        <w:tc>
          <w:tcPr>
            <w:tcW w:w="91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300"/>
        </w:trPr>
        <w:tc>
          <w:tcPr>
            <w:tcW w:w="904" w:type="dxa"/>
          </w:tcPr>
          <w:p>
            <w:pPr>
              <w:pStyle w:val="TableText"/>
              <w:spacing w:before="109" w:line="159" w:lineRule="auto"/>
              <w:ind w:left="104"/>
              <w:rPr>
                <w:sz w:val="21"/>
                <w:szCs w:val="21"/>
              </w:rPr>
            </w:pPr>
            <w:r>
              <w:rPr>
                <w:spacing w:val="-4"/>
                <w:sz w:val="21"/>
                <w:szCs w:val="21"/>
              </w:rPr>
              <w:t>1.3.2</w:t>
            </w:r>
          </w:p>
        </w:tc>
        <w:tc>
          <w:tcPr>
            <w:tcW w:w="3066" w:type="dxa"/>
          </w:tcPr>
          <w:p>
            <w:pPr>
              <w:pStyle w:val="TableText"/>
              <w:spacing w:before="54" w:line="207" w:lineRule="auto"/>
              <w:ind w:left="130"/>
              <w:rPr>
                <w:sz w:val="21"/>
                <w:szCs w:val="21"/>
              </w:rPr>
            </w:pPr>
            <w:r>
              <w:rPr>
                <w:spacing w:val="2"/>
                <w:sz w:val="21"/>
                <w:szCs w:val="21"/>
              </w:rPr>
              <w:t>当期还本付息</w:t>
            </w:r>
          </w:p>
        </w:tc>
        <w:tc>
          <w:tcPr>
            <w:tcW w:w="909" w:type="dxa"/>
          </w:tcPr>
          <w:p/>
        </w:tc>
        <w:tc>
          <w:tcPr>
            <w:tcW w:w="908" w:type="dxa"/>
          </w:tcPr>
          <w:p/>
        </w:tc>
        <w:tc>
          <w:tcPr>
            <w:tcW w:w="91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319"/>
        </w:trPr>
        <w:tc>
          <w:tcPr>
            <w:tcW w:w="904" w:type="dxa"/>
          </w:tcPr>
          <w:p/>
        </w:tc>
        <w:tc>
          <w:tcPr>
            <w:tcW w:w="3066" w:type="dxa"/>
          </w:tcPr>
          <w:p>
            <w:pPr>
              <w:pStyle w:val="TableText"/>
              <w:spacing w:before="64" w:line="215" w:lineRule="auto"/>
              <w:ind w:left="130"/>
              <w:rPr>
                <w:sz w:val="21"/>
                <w:szCs w:val="21"/>
              </w:rPr>
            </w:pPr>
            <w:r>
              <w:rPr>
                <w:spacing w:val="-2"/>
                <w:sz w:val="21"/>
                <w:szCs w:val="21"/>
              </w:rPr>
              <w:t>其中：还本</w:t>
            </w:r>
          </w:p>
        </w:tc>
        <w:tc>
          <w:tcPr>
            <w:tcW w:w="909" w:type="dxa"/>
          </w:tcPr>
          <w:p/>
        </w:tc>
        <w:tc>
          <w:tcPr>
            <w:tcW w:w="908" w:type="dxa"/>
          </w:tcPr>
          <w:p/>
        </w:tc>
        <w:tc>
          <w:tcPr>
            <w:tcW w:w="91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320"/>
        </w:trPr>
        <w:tc>
          <w:tcPr>
            <w:tcW w:w="904" w:type="dxa"/>
          </w:tcPr>
          <w:p/>
        </w:tc>
        <w:tc>
          <w:tcPr>
            <w:tcW w:w="3066" w:type="dxa"/>
          </w:tcPr>
          <w:p>
            <w:pPr>
              <w:pStyle w:val="TableText"/>
              <w:spacing w:before="66" w:line="214" w:lineRule="auto"/>
              <w:ind w:left="830"/>
              <w:rPr>
                <w:sz w:val="21"/>
                <w:szCs w:val="21"/>
              </w:rPr>
            </w:pPr>
            <w:r>
              <w:rPr>
                <w:spacing w:val="7"/>
                <w:sz w:val="21"/>
                <w:szCs w:val="21"/>
              </w:rPr>
              <w:t>付息</w:t>
            </w:r>
          </w:p>
        </w:tc>
        <w:tc>
          <w:tcPr>
            <w:tcW w:w="909" w:type="dxa"/>
          </w:tcPr>
          <w:p/>
        </w:tc>
        <w:tc>
          <w:tcPr>
            <w:tcW w:w="908" w:type="dxa"/>
          </w:tcPr>
          <w:p/>
        </w:tc>
        <w:tc>
          <w:tcPr>
            <w:tcW w:w="91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933"/>
        </w:trPr>
        <w:tc>
          <w:tcPr>
            <w:tcW w:w="8509" w:type="dxa"/>
            <w:gridSpan w:val="7"/>
          </w:tcPr>
          <w:p>
            <w:pPr>
              <w:pStyle w:val="TableText"/>
              <w:spacing w:before="66" w:line="219" w:lineRule="auto"/>
              <w:ind w:left="114"/>
              <w:rPr>
                <w:sz w:val="21"/>
                <w:szCs w:val="21"/>
              </w:rPr>
            </w:pPr>
            <w:r>
              <w:rPr>
                <w:spacing w:val="-1"/>
                <w:sz w:val="21"/>
                <w:szCs w:val="21"/>
              </w:rPr>
              <w:t>计算指标：</w:t>
            </w:r>
          </w:p>
          <w:p>
            <w:pPr>
              <w:pStyle w:val="TableText"/>
              <w:spacing w:before="70" w:line="238" w:lineRule="auto"/>
              <w:ind w:left="1014"/>
              <w:rPr>
                <w:sz w:val="21"/>
                <w:szCs w:val="21"/>
              </w:rPr>
            </w:pPr>
            <w:r>
              <w:rPr>
                <w:spacing w:val="-16"/>
                <w:sz w:val="21"/>
                <w:szCs w:val="21"/>
              </w:rPr>
              <w:t>利息备付率：</w:t>
            </w:r>
            <w:r>
              <w:rPr>
                <w:spacing w:val="3"/>
                <w:sz w:val="21"/>
                <w:szCs w:val="21"/>
              </w:rPr>
              <w:t xml:space="preserve">      </w:t>
            </w:r>
            <w:r>
              <w:rPr>
                <w:spacing w:val="-16"/>
                <w:position w:val="-1"/>
                <w:sz w:val="21"/>
                <w:szCs w:val="21"/>
              </w:rPr>
              <w:t>%</w:t>
            </w:r>
          </w:p>
          <w:p>
            <w:pPr>
              <w:pStyle w:val="TableText"/>
              <w:spacing w:before="39" w:line="190" w:lineRule="auto"/>
              <w:ind w:left="1014"/>
              <w:rPr>
                <w:sz w:val="21"/>
                <w:szCs w:val="21"/>
              </w:rPr>
            </w:pPr>
            <w:r>
              <w:rPr>
                <w:spacing w:val="-16"/>
                <w:sz w:val="21"/>
                <w:szCs w:val="21"/>
              </w:rPr>
              <w:t>偿债备付率：</w:t>
            </w:r>
            <w:r>
              <w:rPr>
                <w:spacing w:val="3"/>
                <w:sz w:val="21"/>
                <w:szCs w:val="21"/>
              </w:rPr>
              <w:t xml:space="preserve">      </w:t>
            </w:r>
            <w:r>
              <w:rPr>
                <w:spacing w:val="-16"/>
                <w:sz w:val="21"/>
                <w:szCs w:val="21"/>
              </w:rPr>
              <w:t>%</w:t>
            </w:r>
          </w:p>
        </w:tc>
      </w:tr>
    </w:tbl>
    <w:p/>
    <w:p/>
    <w:p>
      <w:pPr>
        <w:spacing w:line="241" w:lineRule="auto"/>
      </w:pPr>
    </w:p>
    <w:p>
      <w:pPr>
        <w:spacing w:line="241" w:lineRule="auto"/>
      </w:pPr>
    </w:p>
    <w:p>
      <w:pPr>
        <w:spacing w:line="241" w:lineRule="auto"/>
      </w:pPr>
    </w:p>
    <w:p>
      <w:pPr>
        <w:spacing w:line="241" w:lineRule="auto"/>
      </w:pPr>
    </w:p>
    <w:p>
      <w:pPr>
        <w:pStyle w:val="BodyText"/>
        <w:spacing w:before="68" w:line="222" w:lineRule="auto"/>
        <w:ind w:left="3623"/>
        <w:rPr>
          <w:sz w:val="21"/>
          <w:szCs w:val="21"/>
        </w:rPr>
      </w:pPr>
      <w:r>
        <w:rPr>
          <w:rFonts w:ascii="黑体" w:eastAsia="黑体" w:hAnsi="黑体" w:cs="黑体"/>
          <w:b/>
          <w:bCs/>
          <w:spacing w:val="-3"/>
          <w:sz w:val="21"/>
          <w:szCs w:val="21"/>
        </w:rPr>
        <w:t>表2.1-5</w:t>
      </w:r>
      <w:r>
        <w:rPr>
          <w:rFonts w:ascii="黑体" w:eastAsia="黑体" w:hAnsi="黑体" w:cs="黑体"/>
          <w:spacing w:val="-21"/>
          <w:sz w:val="21"/>
          <w:szCs w:val="21"/>
        </w:rPr>
        <w:t xml:space="preserve"> </w:t>
      </w:r>
      <w:r>
        <w:rPr>
          <w:spacing w:val="-3"/>
          <w:sz w:val="21"/>
          <w:szCs w:val="21"/>
        </w:rPr>
        <w:t>财务计划现金流量表</w:t>
      </w:r>
    </w:p>
    <w:p>
      <w:pPr>
        <w:spacing w:line="165" w:lineRule="exact"/>
      </w:pPr>
    </w:p>
    <w:tbl>
      <w:tblPr>
        <w:tblStyle w:val="TableNormal8"/>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84"/>
        <w:gridCol w:w="3086"/>
        <w:gridCol w:w="909"/>
        <w:gridCol w:w="918"/>
        <w:gridCol w:w="909"/>
        <w:gridCol w:w="919"/>
        <w:gridCol w:w="894"/>
      </w:tblGrid>
      <w:tr>
        <w:tblPrEx>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15"/>
        </w:trPr>
        <w:tc>
          <w:tcPr>
            <w:tcW w:w="884" w:type="dxa"/>
            <w:vMerge w:val="restart"/>
            <w:tcBorders>
              <w:bottom w:val="nil"/>
            </w:tcBorders>
          </w:tcPr>
          <w:p>
            <w:pPr>
              <w:pStyle w:val="TableText"/>
              <w:spacing w:before="214" w:line="221" w:lineRule="auto"/>
              <w:ind w:left="104"/>
              <w:rPr>
                <w:sz w:val="20"/>
                <w:szCs w:val="20"/>
              </w:rPr>
            </w:pPr>
            <w:r>
              <w:rPr>
                <w:spacing w:val="-2"/>
                <w:sz w:val="20"/>
                <w:szCs w:val="20"/>
              </w:rPr>
              <w:t>序号</w:t>
            </w:r>
          </w:p>
        </w:tc>
        <w:tc>
          <w:tcPr>
            <w:tcW w:w="3086" w:type="dxa"/>
            <w:vMerge w:val="restart"/>
            <w:tcBorders>
              <w:bottom w:val="nil"/>
            </w:tcBorders>
          </w:tcPr>
          <w:p>
            <w:pPr>
              <w:pStyle w:val="TableText"/>
              <w:spacing w:before="213" w:line="220" w:lineRule="auto"/>
              <w:ind w:left="1341"/>
              <w:rPr>
                <w:sz w:val="20"/>
                <w:szCs w:val="20"/>
              </w:rPr>
            </w:pPr>
            <w:r>
              <w:rPr>
                <w:spacing w:val="-6"/>
                <w:sz w:val="20"/>
                <w:szCs w:val="20"/>
              </w:rPr>
              <w:t>项 目</w:t>
            </w:r>
          </w:p>
        </w:tc>
        <w:tc>
          <w:tcPr>
            <w:tcW w:w="909" w:type="dxa"/>
            <w:vMerge w:val="restart"/>
            <w:tcBorders>
              <w:bottom w:val="nil"/>
            </w:tcBorders>
          </w:tcPr>
          <w:p>
            <w:pPr>
              <w:pStyle w:val="TableText"/>
              <w:spacing w:before="214" w:line="221" w:lineRule="auto"/>
              <w:ind w:left="254"/>
              <w:rPr>
                <w:sz w:val="20"/>
                <w:szCs w:val="20"/>
              </w:rPr>
            </w:pPr>
            <w:r>
              <w:rPr>
                <w:spacing w:val="-3"/>
                <w:sz w:val="20"/>
                <w:szCs w:val="20"/>
              </w:rPr>
              <w:t>合计</w:t>
            </w:r>
          </w:p>
        </w:tc>
        <w:tc>
          <w:tcPr>
            <w:tcW w:w="918" w:type="dxa"/>
          </w:tcPr>
          <w:p>
            <w:pPr>
              <w:pStyle w:val="TableText"/>
              <w:spacing w:before="63" w:line="220" w:lineRule="auto"/>
              <w:ind w:left="155"/>
              <w:rPr>
                <w:sz w:val="20"/>
                <w:szCs w:val="20"/>
              </w:rPr>
            </w:pPr>
            <w:r>
              <w:rPr>
                <w:spacing w:val="4"/>
                <w:sz w:val="20"/>
                <w:szCs w:val="20"/>
              </w:rPr>
              <w:t>建设期</w:t>
            </w:r>
          </w:p>
        </w:tc>
        <w:tc>
          <w:tcPr>
            <w:tcW w:w="2722" w:type="dxa"/>
            <w:gridSpan w:val="3"/>
          </w:tcPr>
          <w:p>
            <w:pPr>
              <w:pStyle w:val="TableText"/>
              <w:spacing w:before="63" w:line="219" w:lineRule="auto"/>
              <w:ind w:left="1038"/>
              <w:rPr>
                <w:sz w:val="20"/>
                <w:szCs w:val="20"/>
              </w:rPr>
            </w:pPr>
            <w:r>
              <w:rPr>
                <w:spacing w:val="4"/>
                <w:sz w:val="20"/>
                <w:szCs w:val="20"/>
              </w:rPr>
              <w:t>生产期</w:t>
            </w:r>
          </w:p>
        </w:tc>
      </w:tr>
      <w:tr>
        <w:tblPrEx>
          <w:tblInd w:w="680" w:type="dxa"/>
          <w:tblLayout w:type="fixed"/>
          <w:tblCellMar>
            <w:top w:w="0" w:type="dxa"/>
            <w:left w:w="0" w:type="dxa"/>
            <w:bottom w:w="0" w:type="dxa"/>
            <w:right w:w="0" w:type="dxa"/>
          </w:tblCellMar>
          <w:tblLook w:val="0000"/>
        </w:tblPrEx>
        <w:trPr>
          <w:trHeight w:val="299"/>
        </w:trPr>
        <w:tc>
          <w:tcPr>
            <w:tcW w:w="884" w:type="dxa"/>
            <w:vMerge/>
            <w:tcBorders>
              <w:top w:val="nil"/>
            </w:tcBorders>
          </w:tcPr>
          <w:p/>
        </w:tc>
        <w:tc>
          <w:tcPr>
            <w:tcW w:w="3086" w:type="dxa"/>
            <w:vMerge/>
            <w:tcBorders>
              <w:top w:val="nil"/>
            </w:tcBorders>
          </w:tcPr>
          <w:p/>
        </w:tc>
        <w:tc>
          <w:tcPr>
            <w:tcW w:w="909" w:type="dxa"/>
            <w:vMerge/>
            <w:tcBorders>
              <w:top w:val="nil"/>
            </w:tcBorders>
          </w:tcPr>
          <w:p/>
        </w:tc>
        <w:tc>
          <w:tcPr>
            <w:tcW w:w="918" w:type="dxa"/>
          </w:tcPr>
          <w:p>
            <w:pPr>
              <w:pStyle w:val="TableText"/>
              <w:spacing w:before="99" w:line="175" w:lineRule="auto"/>
              <w:ind w:left="405"/>
              <w:rPr>
                <w:sz w:val="20"/>
                <w:szCs w:val="20"/>
              </w:rPr>
            </w:pPr>
            <w:r>
              <w:rPr>
                <w:sz w:val="20"/>
                <w:szCs w:val="20"/>
              </w:rPr>
              <w:t>1</w:t>
            </w:r>
          </w:p>
        </w:tc>
        <w:tc>
          <w:tcPr>
            <w:tcW w:w="909" w:type="dxa"/>
          </w:tcPr>
          <w:p>
            <w:pPr>
              <w:pStyle w:val="TableText"/>
              <w:spacing w:before="99" w:line="175" w:lineRule="auto"/>
              <w:ind w:left="387"/>
              <w:rPr>
                <w:sz w:val="20"/>
                <w:szCs w:val="20"/>
              </w:rPr>
            </w:pPr>
            <w:r>
              <w:rPr>
                <w:sz w:val="20"/>
                <w:szCs w:val="20"/>
              </w:rPr>
              <w:t>2</w:t>
            </w:r>
          </w:p>
        </w:tc>
        <w:tc>
          <w:tcPr>
            <w:tcW w:w="919" w:type="dxa"/>
          </w:tcPr>
          <w:p>
            <w:pPr>
              <w:pStyle w:val="TableText"/>
              <w:spacing w:before="99" w:line="175" w:lineRule="auto"/>
              <w:ind w:left="379"/>
              <w:rPr>
                <w:sz w:val="20"/>
                <w:szCs w:val="20"/>
              </w:rPr>
            </w:pPr>
            <w:r>
              <w:rPr>
                <w:sz w:val="20"/>
                <w:szCs w:val="20"/>
              </w:rPr>
              <w:t>3</w:t>
            </w:r>
          </w:p>
        </w:tc>
        <w:tc>
          <w:tcPr>
            <w:tcW w:w="894" w:type="dxa"/>
          </w:tcPr>
          <w:p>
            <w:pPr>
              <w:pStyle w:val="TableText"/>
              <w:spacing w:before="118" w:line="95" w:lineRule="exact"/>
              <w:ind w:left="240"/>
              <w:rPr>
                <w:sz w:val="6"/>
                <w:szCs w:val="6"/>
              </w:rPr>
            </w:pPr>
            <w:r>
              <w:rPr>
                <w:spacing w:val="-2"/>
                <w:position w:val="1"/>
                <w:sz w:val="6"/>
                <w:szCs w:val="6"/>
              </w:rPr>
              <w:t>……</w:t>
            </w:r>
          </w:p>
        </w:tc>
      </w:tr>
      <w:tr>
        <w:tblPrEx>
          <w:tblInd w:w="680" w:type="dxa"/>
          <w:tblLayout w:type="fixed"/>
          <w:tblCellMar>
            <w:top w:w="0" w:type="dxa"/>
            <w:left w:w="0" w:type="dxa"/>
            <w:bottom w:w="0" w:type="dxa"/>
            <w:right w:w="0" w:type="dxa"/>
          </w:tblCellMar>
          <w:tblLook w:val="0000"/>
        </w:tblPrEx>
        <w:trPr>
          <w:trHeight w:val="320"/>
        </w:trPr>
        <w:tc>
          <w:tcPr>
            <w:tcW w:w="884" w:type="dxa"/>
          </w:tcPr>
          <w:p/>
        </w:tc>
        <w:tc>
          <w:tcPr>
            <w:tcW w:w="3086" w:type="dxa"/>
          </w:tcPr>
          <w:p>
            <w:pPr>
              <w:pStyle w:val="TableText"/>
              <w:spacing w:before="59" w:line="220" w:lineRule="auto"/>
              <w:ind w:left="120"/>
              <w:rPr>
                <w:sz w:val="20"/>
                <w:szCs w:val="20"/>
              </w:rPr>
            </w:pPr>
            <w:r>
              <w:rPr>
                <w:spacing w:val="2"/>
                <w:sz w:val="20"/>
                <w:szCs w:val="20"/>
              </w:rPr>
              <w:t>经营活动净现金流量(1.1-1.2)</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20"/>
        </w:trPr>
        <w:tc>
          <w:tcPr>
            <w:tcW w:w="884" w:type="dxa"/>
          </w:tcPr>
          <w:p>
            <w:pPr>
              <w:pStyle w:val="TableText"/>
              <w:spacing w:before="109" w:line="184" w:lineRule="auto"/>
              <w:ind w:left="104"/>
              <w:rPr>
                <w:sz w:val="20"/>
                <w:szCs w:val="20"/>
              </w:rPr>
            </w:pPr>
            <w:r>
              <w:rPr>
                <w:spacing w:val="-6"/>
                <w:sz w:val="20"/>
                <w:szCs w:val="20"/>
              </w:rPr>
              <w:t>1.1</w:t>
            </w:r>
          </w:p>
        </w:tc>
        <w:tc>
          <w:tcPr>
            <w:tcW w:w="3086" w:type="dxa"/>
          </w:tcPr>
          <w:p>
            <w:pPr>
              <w:pStyle w:val="TableText"/>
              <w:spacing w:before="59" w:line="220" w:lineRule="auto"/>
              <w:ind w:left="550"/>
              <w:rPr>
                <w:sz w:val="20"/>
                <w:szCs w:val="20"/>
              </w:rPr>
            </w:pPr>
            <w:r>
              <w:rPr>
                <w:spacing w:val="-2"/>
                <w:sz w:val="20"/>
                <w:szCs w:val="20"/>
              </w:rPr>
              <w:t>现金流入</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299"/>
        </w:trPr>
        <w:tc>
          <w:tcPr>
            <w:tcW w:w="884" w:type="dxa"/>
          </w:tcPr>
          <w:p>
            <w:pPr>
              <w:pStyle w:val="TableText"/>
              <w:spacing w:before="100" w:line="174" w:lineRule="auto"/>
              <w:ind w:left="104"/>
              <w:rPr>
                <w:sz w:val="20"/>
                <w:szCs w:val="20"/>
              </w:rPr>
            </w:pPr>
            <w:r>
              <w:rPr>
                <w:spacing w:val="-4"/>
                <w:sz w:val="20"/>
                <w:szCs w:val="20"/>
              </w:rPr>
              <w:t>1.1.1</w:t>
            </w:r>
          </w:p>
        </w:tc>
        <w:tc>
          <w:tcPr>
            <w:tcW w:w="3086" w:type="dxa"/>
          </w:tcPr>
          <w:p>
            <w:pPr>
              <w:pStyle w:val="TableText"/>
              <w:spacing w:before="49" w:line="219" w:lineRule="auto"/>
              <w:ind w:left="550"/>
              <w:rPr>
                <w:sz w:val="20"/>
                <w:szCs w:val="20"/>
              </w:rPr>
            </w:pPr>
            <w:r>
              <w:rPr>
                <w:spacing w:val="2"/>
                <w:sz w:val="20"/>
                <w:szCs w:val="20"/>
              </w:rPr>
              <w:t>营业收入</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19"/>
        </w:trPr>
        <w:tc>
          <w:tcPr>
            <w:tcW w:w="884" w:type="dxa"/>
          </w:tcPr>
          <w:p>
            <w:pPr>
              <w:pStyle w:val="TableText"/>
              <w:spacing w:before="110" w:line="183" w:lineRule="auto"/>
              <w:ind w:left="104"/>
              <w:rPr>
                <w:sz w:val="20"/>
                <w:szCs w:val="20"/>
              </w:rPr>
            </w:pPr>
            <w:r>
              <w:rPr>
                <w:spacing w:val="-4"/>
                <w:sz w:val="20"/>
                <w:szCs w:val="20"/>
              </w:rPr>
              <w:t>1.1.2</w:t>
            </w:r>
          </w:p>
        </w:tc>
        <w:tc>
          <w:tcPr>
            <w:tcW w:w="3086" w:type="dxa"/>
          </w:tcPr>
          <w:p>
            <w:pPr>
              <w:pStyle w:val="TableText"/>
              <w:spacing w:before="60" w:line="219" w:lineRule="auto"/>
              <w:ind w:left="550"/>
              <w:rPr>
                <w:sz w:val="20"/>
                <w:szCs w:val="20"/>
              </w:rPr>
            </w:pPr>
            <w:r>
              <w:rPr>
                <w:spacing w:val="-2"/>
                <w:sz w:val="20"/>
                <w:szCs w:val="20"/>
              </w:rPr>
              <w:t>增值税销项税额</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09"/>
        </w:trPr>
        <w:tc>
          <w:tcPr>
            <w:tcW w:w="884" w:type="dxa"/>
          </w:tcPr>
          <w:p>
            <w:pPr>
              <w:pStyle w:val="TableText"/>
              <w:spacing w:before="111" w:line="173" w:lineRule="auto"/>
              <w:ind w:left="104"/>
              <w:rPr>
                <w:sz w:val="20"/>
                <w:szCs w:val="20"/>
              </w:rPr>
            </w:pPr>
            <w:r>
              <w:rPr>
                <w:spacing w:val="-4"/>
                <w:sz w:val="20"/>
                <w:szCs w:val="20"/>
              </w:rPr>
              <w:t>1.1.3</w:t>
            </w:r>
          </w:p>
        </w:tc>
        <w:tc>
          <w:tcPr>
            <w:tcW w:w="3086" w:type="dxa"/>
          </w:tcPr>
          <w:p>
            <w:pPr>
              <w:pStyle w:val="TableText"/>
              <w:spacing w:before="61" w:line="219" w:lineRule="auto"/>
              <w:ind w:left="550"/>
              <w:rPr>
                <w:sz w:val="20"/>
                <w:szCs w:val="20"/>
              </w:rPr>
            </w:pPr>
            <w:r>
              <w:rPr>
                <w:spacing w:val="-2"/>
                <w:sz w:val="20"/>
                <w:szCs w:val="20"/>
              </w:rPr>
              <w:t>补贴收入</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10"/>
        </w:trPr>
        <w:tc>
          <w:tcPr>
            <w:tcW w:w="884" w:type="dxa"/>
          </w:tcPr>
          <w:p>
            <w:pPr>
              <w:pStyle w:val="TableText"/>
              <w:spacing w:before="112" w:line="173" w:lineRule="auto"/>
              <w:ind w:left="104"/>
              <w:rPr>
                <w:sz w:val="20"/>
                <w:szCs w:val="20"/>
              </w:rPr>
            </w:pPr>
            <w:r>
              <w:rPr>
                <w:spacing w:val="-4"/>
                <w:sz w:val="20"/>
                <w:szCs w:val="20"/>
              </w:rPr>
              <w:t>1.1.4</w:t>
            </w:r>
          </w:p>
        </w:tc>
        <w:tc>
          <w:tcPr>
            <w:tcW w:w="3086" w:type="dxa"/>
          </w:tcPr>
          <w:p>
            <w:pPr>
              <w:pStyle w:val="TableText"/>
              <w:spacing w:before="62" w:line="219" w:lineRule="auto"/>
              <w:ind w:left="550"/>
              <w:rPr>
                <w:sz w:val="20"/>
                <w:szCs w:val="20"/>
              </w:rPr>
            </w:pPr>
            <w:r>
              <w:rPr>
                <w:spacing w:val="1"/>
                <w:sz w:val="20"/>
                <w:szCs w:val="20"/>
              </w:rPr>
              <w:t>回收流动资金</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09"/>
        </w:trPr>
        <w:tc>
          <w:tcPr>
            <w:tcW w:w="884" w:type="dxa"/>
          </w:tcPr>
          <w:p>
            <w:pPr>
              <w:pStyle w:val="TableText"/>
              <w:spacing w:before="112" w:line="172" w:lineRule="auto"/>
              <w:ind w:left="104"/>
              <w:rPr>
                <w:sz w:val="20"/>
                <w:szCs w:val="20"/>
              </w:rPr>
            </w:pPr>
            <w:r>
              <w:rPr>
                <w:spacing w:val="-6"/>
                <w:sz w:val="20"/>
                <w:szCs w:val="20"/>
              </w:rPr>
              <w:t>1.2</w:t>
            </w:r>
          </w:p>
        </w:tc>
        <w:tc>
          <w:tcPr>
            <w:tcW w:w="3086" w:type="dxa"/>
          </w:tcPr>
          <w:p>
            <w:pPr>
              <w:pStyle w:val="TableText"/>
              <w:spacing w:before="62" w:line="218" w:lineRule="auto"/>
              <w:ind w:left="550"/>
              <w:rPr>
                <w:sz w:val="20"/>
                <w:szCs w:val="20"/>
              </w:rPr>
            </w:pPr>
            <w:r>
              <w:rPr>
                <w:spacing w:val="6"/>
                <w:sz w:val="20"/>
                <w:szCs w:val="20"/>
              </w:rPr>
              <w:t>现金流出</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09"/>
        </w:trPr>
        <w:tc>
          <w:tcPr>
            <w:tcW w:w="884" w:type="dxa"/>
          </w:tcPr>
          <w:p>
            <w:pPr>
              <w:pStyle w:val="TableText"/>
              <w:spacing w:before="113" w:line="171" w:lineRule="auto"/>
              <w:ind w:left="104"/>
              <w:rPr>
                <w:sz w:val="20"/>
                <w:szCs w:val="20"/>
              </w:rPr>
            </w:pPr>
            <w:r>
              <w:rPr>
                <w:spacing w:val="-4"/>
                <w:sz w:val="20"/>
                <w:szCs w:val="20"/>
              </w:rPr>
              <w:t>1.2.1</w:t>
            </w:r>
          </w:p>
        </w:tc>
        <w:tc>
          <w:tcPr>
            <w:tcW w:w="3086" w:type="dxa"/>
          </w:tcPr>
          <w:p>
            <w:pPr>
              <w:pStyle w:val="TableText"/>
              <w:spacing w:before="62" w:line="218" w:lineRule="auto"/>
              <w:ind w:left="550"/>
              <w:rPr>
                <w:sz w:val="20"/>
                <w:szCs w:val="20"/>
              </w:rPr>
            </w:pPr>
            <w:r>
              <w:rPr>
                <w:spacing w:val="-2"/>
                <w:sz w:val="20"/>
                <w:szCs w:val="20"/>
              </w:rPr>
              <w:t>经营成本</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09"/>
        </w:trPr>
        <w:tc>
          <w:tcPr>
            <w:tcW w:w="884" w:type="dxa"/>
          </w:tcPr>
          <w:p>
            <w:pPr>
              <w:pStyle w:val="TableText"/>
              <w:spacing w:before="114" w:line="170" w:lineRule="auto"/>
              <w:ind w:left="104"/>
              <w:rPr>
                <w:sz w:val="20"/>
                <w:szCs w:val="20"/>
              </w:rPr>
            </w:pPr>
            <w:r>
              <w:rPr>
                <w:spacing w:val="-4"/>
                <w:sz w:val="20"/>
                <w:szCs w:val="20"/>
              </w:rPr>
              <w:t>1.2.2</w:t>
            </w:r>
          </w:p>
        </w:tc>
        <w:tc>
          <w:tcPr>
            <w:tcW w:w="3086" w:type="dxa"/>
          </w:tcPr>
          <w:p>
            <w:pPr>
              <w:pStyle w:val="TableText"/>
              <w:spacing w:before="63" w:line="217" w:lineRule="auto"/>
              <w:ind w:left="560"/>
              <w:rPr>
                <w:sz w:val="20"/>
                <w:szCs w:val="20"/>
              </w:rPr>
            </w:pPr>
            <w:r>
              <w:rPr>
                <w:spacing w:val="-1"/>
                <w:sz w:val="20"/>
                <w:szCs w:val="20"/>
              </w:rPr>
              <w:t>经营成本增值税进项税额</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20"/>
        </w:trPr>
        <w:tc>
          <w:tcPr>
            <w:tcW w:w="884" w:type="dxa"/>
          </w:tcPr>
          <w:p>
            <w:pPr>
              <w:pStyle w:val="TableText"/>
              <w:spacing w:before="116" w:line="179" w:lineRule="auto"/>
              <w:ind w:left="104"/>
              <w:rPr>
                <w:sz w:val="20"/>
                <w:szCs w:val="20"/>
              </w:rPr>
            </w:pPr>
            <w:r>
              <w:rPr>
                <w:spacing w:val="-4"/>
                <w:sz w:val="20"/>
                <w:szCs w:val="20"/>
              </w:rPr>
              <w:t>1.2.3</w:t>
            </w:r>
          </w:p>
        </w:tc>
        <w:tc>
          <w:tcPr>
            <w:tcW w:w="3086" w:type="dxa"/>
          </w:tcPr>
          <w:p>
            <w:pPr>
              <w:pStyle w:val="TableText"/>
              <w:spacing w:before="63" w:line="219" w:lineRule="auto"/>
              <w:ind w:left="550"/>
              <w:rPr>
                <w:sz w:val="20"/>
                <w:szCs w:val="20"/>
              </w:rPr>
            </w:pPr>
            <w:r>
              <w:rPr>
                <w:spacing w:val="1"/>
                <w:sz w:val="20"/>
                <w:szCs w:val="20"/>
              </w:rPr>
              <w:t>城建税和教育费附加</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00"/>
        </w:trPr>
        <w:tc>
          <w:tcPr>
            <w:tcW w:w="884" w:type="dxa"/>
          </w:tcPr>
          <w:p>
            <w:pPr>
              <w:pStyle w:val="TableText"/>
              <w:spacing w:before="105" w:line="170" w:lineRule="auto"/>
              <w:ind w:left="104"/>
              <w:rPr>
                <w:sz w:val="20"/>
                <w:szCs w:val="20"/>
              </w:rPr>
            </w:pPr>
            <w:r>
              <w:rPr>
                <w:spacing w:val="-4"/>
                <w:sz w:val="20"/>
                <w:szCs w:val="20"/>
              </w:rPr>
              <w:t>1.2.4</w:t>
            </w:r>
          </w:p>
        </w:tc>
        <w:tc>
          <w:tcPr>
            <w:tcW w:w="3086" w:type="dxa"/>
          </w:tcPr>
          <w:p>
            <w:pPr>
              <w:pStyle w:val="TableText"/>
              <w:spacing w:before="54" w:line="217" w:lineRule="auto"/>
              <w:ind w:left="550"/>
              <w:rPr>
                <w:sz w:val="20"/>
                <w:szCs w:val="20"/>
              </w:rPr>
            </w:pPr>
            <w:r>
              <w:rPr>
                <w:spacing w:val="-2"/>
                <w:sz w:val="20"/>
                <w:szCs w:val="20"/>
              </w:rPr>
              <w:t>所得税</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19"/>
        </w:trPr>
        <w:tc>
          <w:tcPr>
            <w:tcW w:w="884" w:type="dxa"/>
          </w:tcPr>
          <w:p>
            <w:pPr>
              <w:pStyle w:val="TableText"/>
              <w:spacing w:before="117" w:line="177" w:lineRule="auto"/>
              <w:ind w:left="104"/>
              <w:rPr>
                <w:sz w:val="20"/>
                <w:szCs w:val="20"/>
              </w:rPr>
            </w:pPr>
            <w:r>
              <w:rPr>
                <w:sz w:val="20"/>
                <w:szCs w:val="20"/>
              </w:rPr>
              <w:t>2</w:t>
            </w:r>
          </w:p>
        </w:tc>
        <w:tc>
          <w:tcPr>
            <w:tcW w:w="3086" w:type="dxa"/>
          </w:tcPr>
          <w:p>
            <w:pPr>
              <w:pStyle w:val="TableText"/>
              <w:spacing w:before="65" w:line="220" w:lineRule="auto"/>
              <w:ind w:left="130"/>
              <w:rPr>
                <w:sz w:val="20"/>
                <w:szCs w:val="20"/>
              </w:rPr>
            </w:pPr>
            <w:r>
              <w:rPr>
                <w:spacing w:val="2"/>
                <w:sz w:val="20"/>
                <w:szCs w:val="20"/>
              </w:rPr>
              <w:t>投资活动净现金流量(2.1-2.2)</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20"/>
        </w:trPr>
        <w:tc>
          <w:tcPr>
            <w:tcW w:w="884" w:type="dxa"/>
          </w:tcPr>
          <w:p>
            <w:pPr>
              <w:pStyle w:val="TableText"/>
              <w:spacing w:before="117" w:line="178" w:lineRule="auto"/>
              <w:ind w:left="104"/>
              <w:rPr>
                <w:sz w:val="20"/>
                <w:szCs w:val="20"/>
              </w:rPr>
            </w:pPr>
            <w:r>
              <w:rPr>
                <w:spacing w:val="-3"/>
                <w:sz w:val="20"/>
                <w:szCs w:val="20"/>
              </w:rPr>
              <w:t>2.1</w:t>
            </w:r>
          </w:p>
        </w:tc>
        <w:tc>
          <w:tcPr>
            <w:tcW w:w="3086" w:type="dxa"/>
          </w:tcPr>
          <w:p>
            <w:pPr>
              <w:pStyle w:val="TableText"/>
              <w:spacing w:before="66" w:line="220" w:lineRule="auto"/>
              <w:ind w:left="550"/>
              <w:rPr>
                <w:sz w:val="20"/>
                <w:szCs w:val="20"/>
              </w:rPr>
            </w:pPr>
            <w:r>
              <w:rPr>
                <w:spacing w:val="-2"/>
                <w:sz w:val="20"/>
                <w:szCs w:val="20"/>
              </w:rPr>
              <w:t>现金流入</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00"/>
        </w:trPr>
        <w:tc>
          <w:tcPr>
            <w:tcW w:w="884" w:type="dxa"/>
          </w:tcPr>
          <w:p>
            <w:pPr>
              <w:pStyle w:val="TableText"/>
              <w:spacing w:before="106" w:line="169" w:lineRule="auto"/>
              <w:ind w:left="104"/>
              <w:rPr>
                <w:sz w:val="20"/>
                <w:szCs w:val="20"/>
              </w:rPr>
            </w:pPr>
            <w:r>
              <w:rPr>
                <w:spacing w:val="-2"/>
                <w:sz w:val="20"/>
                <w:szCs w:val="20"/>
              </w:rPr>
              <w:t>2.1.1</w:t>
            </w:r>
          </w:p>
        </w:tc>
        <w:tc>
          <w:tcPr>
            <w:tcW w:w="3086" w:type="dxa"/>
          </w:tcPr>
          <w:p>
            <w:pPr>
              <w:pStyle w:val="TableText"/>
              <w:spacing w:before="56" w:line="216" w:lineRule="auto"/>
              <w:ind w:left="550"/>
              <w:rPr>
                <w:sz w:val="20"/>
                <w:szCs w:val="20"/>
              </w:rPr>
            </w:pPr>
            <w:r>
              <w:rPr>
                <w:sz w:val="20"/>
                <w:szCs w:val="20"/>
              </w:rPr>
              <w:t>回收固定资产余值</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20"/>
        </w:trPr>
        <w:tc>
          <w:tcPr>
            <w:tcW w:w="884" w:type="dxa"/>
          </w:tcPr>
          <w:p>
            <w:pPr>
              <w:pStyle w:val="TableText"/>
              <w:spacing w:before="118" w:line="177" w:lineRule="auto"/>
              <w:ind w:left="104"/>
              <w:rPr>
                <w:sz w:val="20"/>
                <w:szCs w:val="20"/>
              </w:rPr>
            </w:pPr>
            <w:r>
              <w:rPr>
                <w:spacing w:val="-3"/>
                <w:sz w:val="20"/>
                <w:szCs w:val="20"/>
              </w:rPr>
              <w:t>2.2</w:t>
            </w:r>
          </w:p>
        </w:tc>
        <w:tc>
          <w:tcPr>
            <w:tcW w:w="3086" w:type="dxa"/>
          </w:tcPr>
          <w:p>
            <w:pPr>
              <w:pStyle w:val="TableText"/>
              <w:spacing w:before="66" w:line="220" w:lineRule="auto"/>
              <w:ind w:left="550"/>
              <w:rPr>
                <w:sz w:val="20"/>
                <w:szCs w:val="20"/>
              </w:rPr>
            </w:pPr>
            <w:r>
              <w:rPr>
                <w:spacing w:val="6"/>
                <w:sz w:val="20"/>
                <w:szCs w:val="20"/>
              </w:rPr>
              <w:t>现金流出</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19"/>
        </w:trPr>
        <w:tc>
          <w:tcPr>
            <w:tcW w:w="884" w:type="dxa"/>
          </w:tcPr>
          <w:p>
            <w:pPr>
              <w:pStyle w:val="TableText"/>
              <w:spacing w:before="117" w:line="177" w:lineRule="auto"/>
              <w:ind w:left="104"/>
              <w:rPr>
                <w:sz w:val="20"/>
                <w:szCs w:val="20"/>
              </w:rPr>
            </w:pPr>
            <w:r>
              <w:rPr>
                <w:spacing w:val="-2"/>
                <w:sz w:val="20"/>
                <w:szCs w:val="20"/>
              </w:rPr>
              <w:t>2.2.1</w:t>
            </w:r>
          </w:p>
        </w:tc>
        <w:tc>
          <w:tcPr>
            <w:tcW w:w="3086" w:type="dxa"/>
          </w:tcPr>
          <w:p>
            <w:pPr>
              <w:pStyle w:val="TableText"/>
              <w:spacing w:before="67" w:line="220" w:lineRule="auto"/>
              <w:ind w:left="550"/>
              <w:rPr>
                <w:sz w:val="20"/>
                <w:szCs w:val="20"/>
              </w:rPr>
            </w:pPr>
            <w:r>
              <w:rPr>
                <w:spacing w:val="3"/>
                <w:sz w:val="20"/>
                <w:szCs w:val="20"/>
              </w:rPr>
              <w:t>建设投资</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00"/>
        </w:trPr>
        <w:tc>
          <w:tcPr>
            <w:tcW w:w="884" w:type="dxa"/>
          </w:tcPr>
          <w:p>
            <w:pPr>
              <w:pStyle w:val="TableText"/>
              <w:spacing w:before="109" w:line="167" w:lineRule="auto"/>
              <w:ind w:left="104"/>
              <w:rPr>
                <w:sz w:val="20"/>
                <w:szCs w:val="20"/>
              </w:rPr>
            </w:pPr>
            <w:r>
              <w:rPr>
                <w:spacing w:val="-2"/>
                <w:sz w:val="20"/>
                <w:szCs w:val="20"/>
              </w:rPr>
              <w:t>2.2.2</w:t>
            </w:r>
          </w:p>
        </w:tc>
        <w:tc>
          <w:tcPr>
            <w:tcW w:w="3086" w:type="dxa"/>
          </w:tcPr>
          <w:p>
            <w:pPr>
              <w:pStyle w:val="TableText"/>
              <w:spacing w:before="57" w:line="215" w:lineRule="auto"/>
              <w:ind w:left="560"/>
              <w:rPr>
                <w:sz w:val="20"/>
                <w:szCs w:val="20"/>
              </w:rPr>
            </w:pPr>
            <w:r>
              <w:rPr>
                <w:spacing w:val="-1"/>
                <w:sz w:val="20"/>
                <w:szCs w:val="20"/>
              </w:rPr>
              <w:t>建设投资增值税进项税额</w:t>
            </w:r>
          </w:p>
        </w:tc>
        <w:tc>
          <w:tcPr>
            <w:tcW w:w="909" w:type="dxa"/>
          </w:tcPr>
          <w:p/>
        </w:tc>
        <w:tc>
          <w:tcPr>
            <w:tcW w:w="918" w:type="dxa"/>
          </w:tcPr>
          <w:p/>
        </w:tc>
        <w:tc>
          <w:tcPr>
            <w:tcW w:w="909" w:type="dxa"/>
          </w:tcPr>
          <w:p/>
        </w:tc>
        <w:tc>
          <w:tcPr>
            <w:tcW w:w="919" w:type="dxa"/>
          </w:tcPr>
          <w:p/>
        </w:tc>
        <w:tc>
          <w:tcPr>
            <w:tcW w:w="894" w:type="dxa"/>
          </w:tcPr>
          <w:p/>
        </w:tc>
      </w:tr>
      <w:tr>
        <w:tblPrEx>
          <w:tblInd w:w="680" w:type="dxa"/>
          <w:tblLayout w:type="fixed"/>
          <w:tblCellMar>
            <w:top w:w="0" w:type="dxa"/>
            <w:left w:w="0" w:type="dxa"/>
            <w:bottom w:w="0" w:type="dxa"/>
            <w:right w:w="0" w:type="dxa"/>
          </w:tblCellMar>
          <w:tblLook w:val="0000"/>
        </w:tblPrEx>
        <w:trPr>
          <w:trHeight w:val="314"/>
        </w:trPr>
        <w:tc>
          <w:tcPr>
            <w:tcW w:w="884" w:type="dxa"/>
          </w:tcPr>
          <w:p>
            <w:pPr>
              <w:pStyle w:val="TableText"/>
              <w:spacing w:before="118" w:line="171" w:lineRule="auto"/>
              <w:ind w:left="104"/>
              <w:rPr>
                <w:sz w:val="20"/>
                <w:szCs w:val="20"/>
              </w:rPr>
            </w:pPr>
            <w:r>
              <w:rPr>
                <w:spacing w:val="-2"/>
                <w:sz w:val="20"/>
                <w:szCs w:val="20"/>
              </w:rPr>
              <w:t>2.2.3</w:t>
            </w:r>
          </w:p>
        </w:tc>
        <w:tc>
          <w:tcPr>
            <w:tcW w:w="3086" w:type="dxa"/>
          </w:tcPr>
          <w:p>
            <w:pPr>
              <w:pStyle w:val="TableText"/>
              <w:spacing w:before="66" w:line="219" w:lineRule="auto"/>
              <w:ind w:left="550"/>
              <w:rPr>
                <w:sz w:val="20"/>
                <w:szCs w:val="20"/>
              </w:rPr>
            </w:pPr>
            <w:r>
              <w:rPr>
                <w:spacing w:val="2"/>
                <w:sz w:val="20"/>
                <w:szCs w:val="20"/>
              </w:rPr>
              <w:t>维持运营投资</w:t>
            </w:r>
          </w:p>
        </w:tc>
        <w:tc>
          <w:tcPr>
            <w:tcW w:w="909" w:type="dxa"/>
          </w:tcPr>
          <w:p/>
        </w:tc>
        <w:tc>
          <w:tcPr>
            <w:tcW w:w="918" w:type="dxa"/>
          </w:tcPr>
          <w:p/>
        </w:tc>
        <w:tc>
          <w:tcPr>
            <w:tcW w:w="909" w:type="dxa"/>
          </w:tcPr>
          <w:p/>
        </w:tc>
        <w:tc>
          <w:tcPr>
            <w:tcW w:w="919" w:type="dxa"/>
          </w:tcPr>
          <w:p/>
        </w:tc>
        <w:tc>
          <w:tcPr>
            <w:tcW w:w="894" w:type="dxa"/>
          </w:tcPr>
          <w:p/>
        </w:tc>
      </w:tr>
    </w:tbl>
    <w:p/>
    <w:p>
      <w:pPr>
        <w:sectPr>
          <w:headerReference w:type="default" r:id="rId33"/>
          <w:footerReference w:type="default" r:id="rId34"/>
          <w:pgSz w:w="11910" w:h="16840"/>
          <w:pgMar w:top="400" w:right="989" w:bottom="1182" w:left="999" w:header="0" w:footer="969" w:gutter="0"/>
          <w:pgNumType w:start="13"/>
          <w:cols w:space="708"/>
        </w:sectPr>
      </w:pPr>
    </w:p>
    <w:p>
      <w:pPr>
        <w:spacing w:before="203"/>
      </w:pPr>
    </w:p>
    <w:tbl>
      <w:tblPr>
        <w:tblStyle w:val="TableNormal9"/>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70"/>
        <w:gridCol w:w="273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89"/>
        </w:trPr>
        <w:tc>
          <w:tcPr>
            <w:tcW w:w="2520" w:type="dxa"/>
            <w:tcBorders>
              <w:left w:val="nil"/>
            </w:tcBorders>
          </w:tcPr>
          <w:p>
            <w:pPr>
              <w:pStyle w:val="TableText"/>
              <w:spacing w:before="41" w:line="215" w:lineRule="auto"/>
              <w:ind w:left="113"/>
            </w:pPr>
            <w:r>
              <w:rPr>
                <w:b/>
                <w:bCs/>
                <w:spacing w:val="-5"/>
              </w:rPr>
              <w:t>编号：</w:t>
            </w:r>
          </w:p>
          <w:p>
            <w:pPr>
              <w:pStyle w:val="TableText"/>
              <w:spacing w:line="219" w:lineRule="auto"/>
              <w:ind w:left="123"/>
            </w:pPr>
            <w:r>
              <w:rPr>
                <w:b/>
                <w:bCs/>
              </w:rPr>
              <w:t>时间：2021年x月x日</w:t>
            </w:r>
          </w:p>
        </w:tc>
        <w:tc>
          <w:tcPr>
            <w:tcW w:w="4670" w:type="dxa"/>
          </w:tcPr>
          <w:p>
            <w:pPr>
              <w:spacing w:line="250" w:lineRule="auto"/>
            </w:pPr>
          </w:p>
          <w:p>
            <w:pPr>
              <w:pStyle w:val="TableText"/>
              <w:spacing w:before="78" w:line="219" w:lineRule="auto"/>
              <w:ind w:left="268"/>
            </w:pPr>
            <w:r>
              <w:rPr>
                <w:b/>
                <w:bCs/>
                <w:color w:val="F30000"/>
                <w:spacing w:val="-4"/>
              </w:rPr>
              <w:t>书山有路勤为径，学海无涯苦作舟</w:t>
            </w:r>
          </w:p>
        </w:tc>
        <w:tc>
          <w:tcPr>
            <w:tcW w:w="2730" w:type="dxa"/>
            <w:tcBorders>
              <w:right w:val="nil"/>
            </w:tcBorders>
          </w:tcPr>
          <w:p>
            <w:pPr>
              <w:spacing w:line="251" w:lineRule="auto"/>
            </w:pPr>
          </w:p>
          <w:p>
            <w:pPr>
              <w:pStyle w:val="TableText"/>
              <w:spacing w:before="78" w:line="219" w:lineRule="auto"/>
              <w:ind w:left="128"/>
            </w:pPr>
            <w:r>
              <w:rPr>
                <w:b/>
                <w:bCs/>
                <w:spacing w:val="-2"/>
              </w:rPr>
              <w:t>页码：第10页共70页</w:t>
            </w:r>
          </w:p>
        </w:tc>
      </w:tr>
    </w:tbl>
    <w:p>
      <w:pPr>
        <w:spacing w:before="18"/>
      </w:pPr>
    </w:p>
    <w:tbl>
      <w:tblPr>
        <w:tblStyle w:val="TableNormal9"/>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94"/>
        <w:gridCol w:w="3086"/>
        <w:gridCol w:w="919"/>
        <w:gridCol w:w="908"/>
        <w:gridCol w:w="909"/>
        <w:gridCol w:w="909"/>
        <w:gridCol w:w="894"/>
      </w:tblGrid>
      <w:tr>
        <w:tblPrEx>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04"/>
        </w:trPr>
        <w:tc>
          <w:tcPr>
            <w:tcW w:w="894" w:type="dxa"/>
          </w:tcPr>
          <w:p>
            <w:pPr>
              <w:pStyle w:val="TableText"/>
              <w:spacing w:before="104" w:line="175" w:lineRule="auto"/>
              <w:ind w:left="104"/>
              <w:rPr>
                <w:sz w:val="20"/>
                <w:szCs w:val="20"/>
              </w:rPr>
            </w:pPr>
            <w:r>
              <w:rPr>
                <w:spacing w:val="-2"/>
                <w:sz w:val="20"/>
                <w:szCs w:val="20"/>
              </w:rPr>
              <w:t>2.2.4</w:t>
            </w:r>
          </w:p>
        </w:tc>
        <w:tc>
          <w:tcPr>
            <w:tcW w:w="3086" w:type="dxa"/>
          </w:tcPr>
          <w:p>
            <w:pPr>
              <w:pStyle w:val="TableText"/>
              <w:spacing w:before="53" w:line="220" w:lineRule="auto"/>
              <w:ind w:left="550"/>
              <w:rPr>
                <w:sz w:val="20"/>
                <w:szCs w:val="20"/>
              </w:rPr>
            </w:pPr>
            <w:r>
              <w:rPr>
                <w:spacing w:val="-2"/>
                <w:sz w:val="20"/>
                <w:szCs w:val="20"/>
              </w:rPr>
              <w:t>流动资金</w:t>
            </w:r>
          </w:p>
        </w:tc>
        <w:tc>
          <w:tcPr>
            <w:tcW w:w="919" w:type="dxa"/>
          </w:tcPr>
          <w:p/>
        </w:tc>
        <w:tc>
          <w:tcPr>
            <w:tcW w:w="908" w:type="dxa"/>
          </w:tcPr>
          <w:p/>
        </w:tc>
        <w:tc>
          <w:tcPr>
            <w:tcW w:w="909" w:type="dxa"/>
          </w:tcPr>
          <w:p/>
        </w:tc>
        <w:tc>
          <w:tcPr>
            <w:tcW w:w="909" w:type="dxa"/>
          </w:tcPr>
          <w:p/>
        </w:tc>
        <w:tc>
          <w:tcPr>
            <w:tcW w:w="894" w:type="dxa"/>
          </w:tcPr>
          <w:p/>
        </w:tc>
      </w:tr>
      <w:tr>
        <w:tblPrEx>
          <w:tblInd w:w="680" w:type="dxa"/>
          <w:tblLayout w:type="fixed"/>
          <w:tblCellMar>
            <w:top w:w="0" w:type="dxa"/>
            <w:left w:w="0" w:type="dxa"/>
            <w:bottom w:w="0" w:type="dxa"/>
            <w:right w:w="0" w:type="dxa"/>
          </w:tblCellMar>
          <w:tblLook w:val="0000"/>
        </w:tblPrEx>
        <w:trPr>
          <w:trHeight w:val="309"/>
        </w:trPr>
        <w:tc>
          <w:tcPr>
            <w:tcW w:w="894" w:type="dxa"/>
          </w:tcPr>
          <w:p>
            <w:pPr>
              <w:pStyle w:val="TableText"/>
              <w:spacing w:before="110" w:line="174" w:lineRule="auto"/>
              <w:ind w:left="104"/>
              <w:rPr>
                <w:sz w:val="20"/>
                <w:szCs w:val="20"/>
              </w:rPr>
            </w:pPr>
            <w:r>
              <w:rPr>
                <w:sz w:val="20"/>
                <w:szCs w:val="20"/>
              </w:rPr>
              <w:t>3</w:t>
            </w:r>
          </w:p>
        </w:tc>
        <w:tc>
          <w:tcPr>
            <w:tcW w:w="3086" w:type="dxa"/>
          </w:tcPr>
          <w:p>
            <w:pPr>
              <w:pStyle w:val="TableText"/>
              <w:spacing w:before="59" w:line="219" w:lineRule="auto"/>
              <w:ind w:left="120"/>
              <w:rPr>
                <w:sz w:val="20"/>
                <w:szCs w:val="20"/>
              </w:rPr>
            </w:pPr>
            <w:r>
              <w:rPr>
                <w:spacing w:val="2"/>
                <w:sz w:val="20"/>
                <w:szCs w:val="20"/>
              </w:rPr>
              <w:t>筹资活动净现金流量(3.1-3.2)</w:t>
            </w:r>
          </w:p>
        </w:tc>
        <w:tc>
          <w:tcPr>
            <w:tcW w:w="919" w:type="dxa"/>
          </w:tcPr>
          <w:p/>
        </w:tc>
        <w:tc>
          <w:tcPr>
            <w:tcW w:w="908" w:type="dxa"/>
          </w:tcPr>
          <w:p/>
        </w:tc>
        <w:tc>
          <w:tcPr>
            <w:tcW w:w="909" w:type="dxa"/>
          </w:tcPr>
          <w:p/>
        </w:tc>
        <w:tc>
          <w:tcPr>
            <w:tcW w:w="909" w:type="dxa"/>
          </w:tcPr>
          <w:p/>
        </w:tc>
        <w:tc>
          <w:tcPr>
            <w:tcW w:w="894" w:type="dxa"/>
          </w:tcPr>
          <w:p/>
        </w:tc>
      </w:tr>
      <w:tr>
        <w:tblPrEx>
          <w:tblInd w:w="680" w:type="dxa"/>
          <w:tblLayout w:type="fixed"/>
          <w:tblCellMar>
            <w:top w:w="0" w:type="dxa"/>
            <w:left w:w="0" w:type="dxa"/>
            <w:bottom w:w="0" w:type="dxa"/>
            <w:right w:w="0" w:type="dxa"/>
          </w:tblCellMar>
          <w:tblLook w:val="0000"/>
        </w:tblPrEx>
        <w:trPr>
          <w:trHeight w:val="319"/>
        </w:trPr>
        <w:tc>
          <w:tcPr>
            <w:tcW w:w="894" w:type="dxa"/>
          </w:tcPr>
          <w:p>
            <w:pPr>
              <w:pStyle w:val="TableText"/>
              <w:spacing w:before="110" w:line="183" w:lineRule="auto"/>
              <w:ind w:left="104"/>
              <w:rPr>
                <w:sz w:val="20"/>
                <w:szCs w:val="20"/>
              </w:rPr>
            </w:pPr>
            <w:r>
              <w:rPr>
                <w:spacing w:val="-3"/>
                <w:sz w:val="20"/>
                <w:szCs w:val="20"/>
              </w:rPr>
              <w:t>3.1</w:t>
            </w:r>
          </w:p>
        </w:tc>
        <w:tc>
          <w:tcPr>
            <w:tcW w:w="3086" w:type="dxa"/>
          </w:tcPr>
          <w:p>
            <w:pPr>
              <w:pStyle w:val="TableText"/>
              <w:spacing w:before="60" w:line="220" w:lineRule="auto"/>
              <w:ind w:left="550"/>
              <w:rPr>
                <w:sz w:val="20"/>
                <w:szCs w:val="20"/>
              </w:rPr>
            </w:pPr>
            <w:r>
              <w:rPr>
                <w:spacing w:val="-2"/>
                <w:sz w:val="20"/>
                <w:szCs w:val="20"/>
              </w:rPr>
              <w:t>现金流入</w:t>
            </w:r>
          </w:p>
        </w:tc>
        <w:tc>
          <w:tcPr>
            <w:tcW w:w="919" w:type="dxa"/>
          </w:tcPr>
          <w:p/>
        </w:tc>
        <w:tc>
          <w:tcPr>
            <w:tcW w:w="908" w:type="dxa"/>
          </w:tcPr>
          <w:p/>
        </w:tc>
        <w:tc>
          <w:tcPr>
            <w:tcW w:w="909" w:type="dxa"/>
          </w:tcPr>
          <w:p/>
        </w:tc>
        <w:tc>
          <w:tcPr>
            <w:tcW w:w="909" w:type="dxa"/>
          </w:tcPr>
          <w:p/>
        </w:tc>
        <w:tc>
          <w:tcPr>
            <w:tcW w:w="894" w:type="dxa"/>
          </w:tcPr>
          <w:p/>
        </w:tc>
      </w:tr>
      <w:tr>
        <w:tblPrEx>
          <w:tblInd w:w="680" w:type="dxa"/>
          <w:tblLayout w:type="fixed"/>
          <w:tblCellMar>
            <w:top w:w="0" w:type="dxa"/>
            <w:left w:w="0" w:type="dxa"/>
            <w:bottom w:w="0" w:type="dxa"/>
            <w:right w:w="0" w:type="dxa"/>
          </w:tblCellMar>
          <w:tblLook w:val="0000"/>
        </w:tblPrEx>
        <w:trPr>
          <w:trHeight w:val="300"/>
        </w:trPr>
        <w:tc>
          <w:tcPr>
            <w:tcW w:w="894" w:type="dxa"/>
          </w:tcPr>
          <w:p>
            <w:pPr>
              <w:pStyle w:val="TableText"/>
              <w:spacing w:before="102" w:line="173" w:lineRule="auto"/>
              <w:ind w:left="104"/>
              <w:rPr>
                <w:sz w:val="20"/>
                <w:szCs w:val="20"/>
              </w:rPr>
            </w:pPr>
            <w:r>
              <w:rPr>
                <w:spacing w:val="-2"/>
                <w:sz w:val="20"/>
                <w:szCs w:val="20"/>
              </w:rPr>
              <w:t>3.1.1</w:t>
            </w:r>
          </w:p>
        </w:tc>
        <w:tc>
          <w:tcPr>
            <w:tcW w:w="3086" w:type="dxa"/>
          </w:tcPr>
          <w:p>
            <w:pPr>
              <w:pStyle w:val="TableText"/>
              <w:spacing w:before="50" w:line="219" w:lineRule="auto"/>
              <w:ind w:left="550"/>
              <w:rPr>
                <w:sz w:val="20"/>
                <w:szCs w:val="20"/>
              </w:rPr>
            </w:pPr>
            <w:r>
              <w:rPr>
                <w:spacing w:val="-2"/>
                <w:sz w:val="20"/>
                <w:szCs w:val="20"/>
              </w:rPr>
              <w:t>项目资本金投入</w:t>
            </w:r>
          </w:p>
        </w:tc>
        <w:tc>
          <w:tcPr>
            <w:tcW w:w="919" w:type="dxa"/>
          </w:tcPr>
          <w:p/>
        </w:tc>
        <w:tc>
          <w:tcPr>
            <w:tcW w:w="908" w:type="dxa"/>
          </w:tcPr>
          <w:p/>
        </w:tc>
        <w:tc>
          <w:tcPr>
            <w:tcW w:w="909" w:type="dxa"/>
          </w:tcPr>
          <w:p/>
        </w:tc>
        <w:tc>
          <w:tcPr>
            <w:tcW w:w="909" w:type="dxa"/>
          </w:tcPr>
          <w:p/>
        </w:tc>
        <w:tc>
          <w:tcPr>
            <w:tcW w:w="894" w:type="dxa"/>
          </w:tcPr>
          <w:p/>
        </w:tc>
      </w:tr>
      <w:tr>
        <w:tblPrEx>
          <w:tblInd w:w="680" w:type="dxa"/>
          <w:tblLayout w:type="fixed"/>
          <w:tblCellMar>
            <w:top w:w="0" w:type="dxa"/>
            <w:left w:w="0" w:type="dxa"/>
            <w:bottom w:w="0" w:type="dxa"/>
            <w:right w:w="0" w:type="dxa"/>
          </w:tblCellMar>
          <w:tblLook w:val="0000"/>
        </w:tblPrEx>
        <w:trPr>
          <w:trHeight w:val="319"/>
        </w:trPr>
        <w:tc>
          <w:tcPr>
            <w:tcW w:w="894" w:type="dxa"/>
          </w:tcPr>
          <w:p>
            <w:pPr>
              <w:pStyle w:val="TableText"/>
              <w:spacing w:before="111" w:line="182" w:lineRule="auto"/>
              <w:ind w:left="104"/>
              <w:rPr>
                <w:sz w:val="20"/>
                <w:szCs w:val="20"/>
              </w:rPr>
            </w:pPr>
            <w:r>
              <w:rPr>
                <w:spacing w:val="-2"/>
                <w:sz w:val="20"/>
                <w:szCs w:val="20"/>
              </w:rPr>
              <w:t>3.1.2</w:t>
            </w:r>
          </w:p>
        </w:tc>
        <w:tc>
          <w:tcPr>
            <w:tcW w:w="3086" w:type="dxa"/>
          </w:tcPr>
          <w:p>
            <w:pPr>
              <w:pStyle w:val="TableText"/>
              <w:spacing w:before="61" w:line="219" w:lineRule="auto"/>
              <w:ind w:left="550"/>
              <w:rPr>
                <w:sz w:val="20"/>
                <w:szCs w:val="20"/>
              </w:rPr>
            </w:pPr>
            <w:r>
              <w:rPr>
                <w:spacing w:val="-2"/>
                <w:sz w:val="20"/>
                <w:szCs w:val="20"/>
              </w:rPr>
              <w:t>建设期债务资金流入</w:t>
            </w:r>
          </w:p>
        </w:tc>
        <w:tc>
          <w:tcPr>
            <w:tcW w:w="919" w:type="dxa"/>
          </w:tcPr>
          <w:p/>
        </w:tc>
        <w:tc>
          <w:tcPr>
            <w:tcW w:w="908" w:type="dxa"/>
          </w:tcPr>
          <w:p/>
        </w:tc>
        <w:tc>
          <w:tcPr>
            <w:tcW w:w="909" w:type="dxa"/>
          </w:tcPr>
          <w:p/>
        </w:tc>
        <w:tc>
          <w:tcPr>
            <w:tcW w:w="909" w:type="dxa"/>
          </w:tcPr>
          <w:p/>
        </w:tc>
        <w:tc>
          <w:tcPr>
            <w:tcW w:w="894" w:type="dxa"/>
          </w:tcPr>
          <w:p/>
        </w:tc>
      </w:tr>
      <w:tr>
        <w:tblPrEx>
          <w:tblInd w:w="680" w:type="dxa"/>
          <w:tblLayout w:type="fixed"/>
          <w:tblCellMar>
            <w:top w:w="0" w:type="dxa"/>
            <w:left w:w="0" w:type="dxa"/>
            <w:bottom w:w="0" w:type="dxa"/>
            <w:right w:w="0" w:type="dxa"/>
          </w:tblCellMar>
          <w:tblLook w:val="0000"/>
        </w:tblPrEx>
        <w:trPr>
          <w:trHeight w:val="319"/>
        </w:trPr>
        <w:tc>
          <w:tcPr>
            <w:tcW w:w="894" w:type="dxa"/>
          </w:tcPr>
          <w:p>
            <w:pPr>
              <w:pStyle w:val="TableText"/>
              <w:spacing w:before="112" w:line="181" w:lineRule="auto"/>
              <w:ind w:left="104"/>
              <w:rPr>
                <w:sz w:val="20"/>
                <w:szCs w:val="20"/>
              </w:rPr>
            </w:pPr>
            <w:r>
              <w:rPr>
                <w:spacing w:val="-2"/>
                <w:sz w:val="20"/>
                <w:szCs w:val="20"/>
              </w:rPr>
              <w:t>3.1.3</w:t>
            </w:r>
          </w:p>
        </w:tc>
        <w:tc>
          <w:tcPr>
            <w:tcW w:w="3086" w:type="dxa"/>
          </w:tcPr>
          <w:p>
            <w:pPr>
              <w:pStyle w:val="TableText"/>
              <w:spacing w:before="62" w:line="220" w:lineRule="auto"/>
              <w:ind w:left="550"/>
              <w:rPr>
                <w:sz w:val="20"/>
                <w:szCs w:val="20"/>
              </w:rPr>
            </w:pPr>
            <w:r>
              <w:rPr>
                <w:spacing w:val="-2"/>
                <w:sz w:val="20"/>
                <w:szCs w:val="20"/>
              </w:rPr>
              <w:t>建设期其他资金流入</w:t>
            </w:r>
          </w:p>
        </w:tc>
        <w:tc>
          <w:tcPr>
            <w:tcW w:w="919" w:type="dxa"/>
          </w:tcPr>
          <w:p/>
        </w:tc>
        <w:tc>
          <w:tcPr>
            <w:tcW w:w="908" w:type="dxa"/>
          </w:tcPr>
          <w:p/>
        </w:tc>
        <w:tc>
          <w:tcPr>
            <w:tcW w:w="909" w:type="dxa"/>
          </w:tcPr>
          <w:p/>
        </w:tc>
        <w:tc>
          <w:tcPr>
            <w:tcW w:w="909" w:type="dxa"/>
          </w:tcPr>
          <w:p/>
        </w:tc>
        <w:tc>
          <w:tcPr>
            <w:tcW w:w="894" w:type="dxa"/>
          </w:tcPr>
          <w:p/>
        </w:tc>
      </w:tr>
      <w:tr>
        <w:tblPrEx>
          <w:tblInd w:w="680" w:type="dxa"/>
          <w:tblLayout w:type="fixed"/>
          <w:tblCellMar>
            <w:top w:w="0" w:type="dxa"/>
            <w:left w:w="0" w:type="dxa"/>
            <w:bottom w:w="0" w:type="dxa"/>
            <w:right w:w="0" w:type="dxa"/>
          </w:tblCellMar>
          <w:tblLook w:val="0000"/>
        </w:tblPrEx>
        <w:trPr>
          <w:trHeight w:val="300"/>
        </w:trPr>
        <w:tc>
          <w:tcPr>
            <w:tcW w:w="894" w:type="dxa"/>
          </w:tcPr>
          <w:p>
            <w:pPr>
              <w:pStyle w:val="TableText"/>
              <w:spacing w:before="103" w:line="172" w:lineRule="auto"/>
              <w:ind w:left="104"/>
              <w:rPr>
                <w:sz w:val="20"/>
                <w:szCs w:val="20"/>
              </w:rPr>
            </w:pPr>
            <w:r>
              <w:rPr>
                <w:spacing w:val="-2"/>
                <w:sz w:val="20"/>
                <w:szCs w:val="20"/>
              </w:rPr>
              <w:t>3.1.4</w:t>
            </w:r>
          </w:p>
        </w:tc>
        <w:tc>
          <w:tcPr>
            <w:tcW w:w="3086" w:type="dxa"/>
          </w:tcPr>
          <w:p>
            <w:pPr>
              <w:pStyle w:val="TableText"/>
              <w:spacing w:before="52" w:line="219" w:lineRule="auto"/>
              <w:ind w:left="550"/>
              <w:rPr>
                <w:sz w:val="20"/>
                <w:szCs w:val="20"/>
              </w:rPr>
            </w:pPr>
            <w:r>
              <w:rPr>
                <w:spacing w:val="-1"/>
                <w:sz w:val="20"/>
                <w:szCs w:val="20"/>
              </w:rPr>
              <w:t>运营期短期借款</w:t>
            </w:r>
          </w:p>
        </w:tc>
        <w:tc>
          <w:tcPr>
            <w:tcW w:w="919" w:type="dxa"/>
          </w:tcPr>
          <w:p/>
        </w:tc>
        <w:tc>
          <w:tcPr>
            <w:tcW w:w="908" w:type="dxa"/>
          </w:tcPr>
          <w:p/>
        </w:tc>
        <w:tc>
          <w:tcPr>
            <w:tcW w:w="909" w:type="dxa"/>
          </w:tcPr>
          <w:p/>
        </w:tc>
        <w:tc>
          <w:tcPr>
            <w:tcW w:w="909" w:type="dxa"/>
          </w:tcPr>
          <w:p/>
        </w:tc>
        <w:tc>
          <w:tcPr>
            <w:tcW w:w="894" w:type="dxa"/>
          </w:tcPr>
          <w:p/>
        </w:tc>
      </w:tr>
      <w:tr>
        <w:tblPrEx>
          <w:tblInd w:w="680" w:type="dxa"/>
          <w:tblLayout w:type="fixed"/>
          <w:tblCellMar>
            <w:top w:w="0" w:type="dxa"/>
            <w:left w:w="0" w:type="dxa"/>
            <w:bottom w:w="0" w:type="dxa"/>
            <w:right w:w="0" w:type="dxa"/>
          </w:tblCellMar>
          <w:tblLook w:val="0000"/>
        </w:tblPrEx>
        <w:trPr>
          <w:trHeight w:val="319"/>
        </w:trPr>
        <w:tc>
          <w:tcPr>
            <w:tcW w:w="894" w:type="dxa"/>
          </w:tcPr>
          <w:p>
            <w:pPr>
              <w:pStyle w:val="TableText"/>
              <w:spacing w:before="115" w:line="179" w:lineRule="auto"/>
              <w:ind w:left="104"/>
              <w:rPr>
                <w:sz w:val="20"/>
                <w:szCs w:val="20"/>
              </w:rPr>
            </w:pPr>
            <w:r>
              <w:rPr>
                <w:spacing w:val="-3"/>
                <w:sz w:val="20"/>
                <w:szCs w:val="20"/>
              </w:rPr>
              <w:t>3.2</w:t>
            </w:r>
          </w:p>
        </w:tc>
        <w:tc>
          <w:tcPr>
            <w:tcW w:w="3086" w:type="dxa"/>
          </w:tcPr>
          <w:p>
            <w:pPr>
              <w:pStyle w:val="TableText"/>
              <w:spacing w:before="63" w:line="220" w:lineRule="auto"/>
              <w:ind w:left="550"/>
              <w:rPr>
                <w:sz w:val="20"/>
                <w:szCs w:val="20"/>
              </w:rPr>
            </w:pPr>
            <w:r>
              <w:rPr>
                <w:spacing w:val="6"/>
                <w:sz w:val="20"/>
                <w:szCs w:val="20"/>
              </w:rPr>
              <w:t>现金流出</w:t>
            </w:r>
          </w:p>
        </w:tc>
        <w:tc>
          <w:tcPr>
            <w:tcW w:w="919" w:type="dxa"/>
          </w:tcPr>
          <w:p/>
        </w:tc>
        <w:tc>
          <w:tcPr>
            <w:tcW w:w="908" w:type="dxa"/>
          </w:tcPr>
          <w:p/>
        </w:tc>
        <w:tc>
          <w:tcPr>
            <w:tcW w:w="909" w:type="dxa"/>
          </w:tcPr>
          <w:p/>
        </w:tc>
        <w:tc>
          <w:tcPr>
            <w:tcW w:w="909" w:type="dxa"/>
          </w:tcPr>
          <w:p/>
        </w:tc>
        <w:tc>
          <w:tcPr>
            <w:tcW w:w="894" w:type="dxa"/>
          </w:tcPr>
          <w:p/>
        </w:tc>
      </w:tr>
      <w:tr>
        <w:tblPrEx>
          <w:tblInd w:w="680" w:type="dxa"/>
          <w:tblLayout w:type="fixed"/>
          <w:tblCellMar>
            <w:top w:w="0" w:type="dxa"/>
            <w:left w:w="0" w:type="dxa"/>
            <w:bottom w:w="0" w:type="dxa"/>
            <w:right w:w="0" w:type="dxa"/>
          </w:tblCellMar>
          <w:tblLook w:val="0000"/>
        </w:tblPrEx>
        <w:trPr>
          <w:trHeight w:val="309"/>
        </w:trPr>
        <w:tc>
          <w:tcPr>
            <w:tcW w:w="894" w:type="dxa"/>
          </w:tcPr>
          <w:p>
            <w:pPr>
              <w:pStyle w:val="TableText"/>
              <w:spacing w:before="114" w:line="170" w:lineRule="auto"/>
              <w:ind w:left="104"/>
              <w:rPr>
                <w:sz w:val="20"/>
                <w:szCs w:val="20"/>
              </w:rPr>
            </w:pPr>
            <w:r>
              <w:rPr>
                <w:spacing w:val="-2"/>
                <w:sz w:val="20"/>
                <w:szCs w:val="20"/>
              </w:rPr>
              <w:t>3.2.1</w:t>
            </w:r>
          </w:p>
        </w:tc>
        <w:tc>
          <w:tcPr>
            <w:tcW w:w="3086" w:type="dxa"/>
          </w:tcPr>
          <w:p>
            <w:pPr>
              <w:pStyle w:val="TableText"/>
              <w:spacing w:before="65" w:line="216" w:lineRule="auto"/>
              <w:ind w:left="550"/>
              <w:rPr>
                <w:sz w:val="20"/>
                <w:szCs w:val="20"/>
              </w:rPr>
            </w:pPr>
            <w:r>
              <w:rPr>
                <w:spacing w:val="4"/>
                <w:sz w:val="20"/>
                <w:szCs w:val="20"/>
              </w:rPr>
              <w:t>各种利息支出</w:t>
            </w:r>
          </w:p>
        </w:tc>
        <w:tc>
          <w:tcPr>
            <w:tcW w:w="919" w:type="dxa"/>
          </w:tcPr>
          <w:p/>
        </w:tc>
        <w:tc>
          <w:tcPr>
            <w:tcW w:w="908" w:type="dxa"/>
          </w:tcPr>
          <w:p/>
        </w:tc>
        <w:tc>
          <w:tcPr>
            <w:tcW w:w="909" w:type="dxa"/>
          </w:tcPr>
          <w:p/>
        </w:tc>
        <w:tc>
          <w:tcPr>
            <w:tcW w:w="909" w:type="dxa"/>
          </w:tcPr>
          <w:p/>
        </w:tc>
        <w:tc>
          <w:tcPr>
            <w:tcW w:w="894" w:type="dxa"/>
          </w:tcPr>
          <w:p/>
        </w:tc>
      </w:tr>
      <w:tr>
        <w:tblPrEx>
          <w:tblInd w:w="680" w:type="dxa"/>
          <w:tblLayout w:type="fixed"/>
          <w:tblCellMar>
            <w:top w:w="0" w:type="dxa"/>
            <w:left w:w="0" w:type="dxa"/>
            <w:bottom w:w="0" w:type="dxa"/>
            <w:right w:w="0" w:type="dxa"/>
          </w:tblCellMar>
          <w:tblLook w:val="0000"/>
        </w:tblPrEx>
        <w:trPr>
          <w:trHeight w:val="300"/>
        </w:trPr>
        <w:tc>
          <w:tcPr>
            <w:tcW w:w="894" w:type="dxa"/>
          </w:tcPr>
          <w:p>
            <w:pPr>
              <w:pStyle w:val="TableText"/>
              <w:spacing w:before="106" w:line="169" w:lineRule="auto"/>
              <w:ind w:left="104"/>
              <w:rPr>
                <w:sz w:val="20"/>
                <w:szCs w:val="20"/>
              </w:rPr>
            </w:pPr>
            <w:r>
              <w:rPr>
                <w:spacing w:val="-2"/>
                <w:sz w:val="20"/>
                <w:szCs w:val="20"/>
              </w:rPr>
              <w:t>3.2.2</w:t>
            </w:r>
          </w:p>
        </w:tc>
        <w:tc>
          <w:tcPr>
            <w:tcW w:w="3086" w:type="dxa"/>
          </w:tcPr>
          <w:p>
            <w:pPr>
              <w:pStyle w:val="TableText"/>
              <w:spacing w:before="54" w:line="217" w:lineRule="auto"/>
              <w:ind w:left="550"/>
              <w:rPr>
                <w:sz w:val="20"/>
                <w:szCs w:val="20"/>
              </w:rPr>
            </w:pPr>
            <w:r>
              <w:rPr>
                <w:spacing w:val="-1"/>
                <w:sz w:val="20"/>
                <w:szCs w:val="20"/>
              </w:rPr>
              <w:t>偿还债务本金</w:t>
            </w:r>
          </w:p>
        </w:tc>
        <w:tc>
          <w:tcPr>
            <w:tcW w:w="919" w:type="dxa"/>
          </w:tcPr>
          <w:p/>
        </w:tc>
        <w:tc>
          <w:tcPr>
            <w:tcW w:w="908" w:type="dxa"/>
          </w:tcPr>
          <w:p/>
        </w:tc>
        <w:tc>
          <w:tcPr>
            <w:tcW w:w="909" w:type="dxa"/>
          </w:tcPr>
          <w:p/>
        </w:tc>
        <w:tc>
          <w:tcPr>
            <w:tcW w:w="909" w:type="dxa"/>
          </w:tcPr>
          <w:p/>
        </w:tc>
        <w:tc>
          <w:tcPr>
            <w:tcW w:w="894" w:type="dxa"/>
          </w:tcPr>
          <w:p/>
        </w:tc>
      </w:tr>
      <w:tr>
        <w:tblPrEx>
          <w:tblInd w:w="680" w:type="dxa"/>
          <w:tblLayout w:type="fixed"/>
          <w:tblCellMar>
            <w:top w:w="0" w:type="dxa"/>
            <w:left w:w="0" w:type="dxa"/>
            <w:bottom w:w="0" w:type="dxa"/>
            <w:right w:w="0" w:type="dxa"/>
          </w:tblCellMar>
          <w:tblLook w:val="0000"/>
        </w:tblPrEx>
        <w:trPr>
          <w:trHeight w:val="319"/>
        </w:trPr>
        <w:tc>
          <w:tcPr>
            <w:tcW w:w="894" w:type="dxa"/>
          </w:tcPr>
          <w:p>
            <w:pPr>
              <w:pStyle w:val="TableText"/>
              <w:spacing w:before="117" w:line="177" w:lineRule="auto"/>
              <w:ind w:left="104"/>
              <w:rPr>
                <w:sz w:val="20"/>
                <w:szCs w:val="20"/>
              </w:rPr>
            </w:pPr>
            <w:r>
              <w:rPr>
                <w:spacing w:val="-2"/>
                <w:sz w:val="20"/>
                <w:szCs w:val="20"/>
              </w:rPr>
              <w:t>3.2.3</w:t>
            </w:r>
          </w:p>
        </w:tc>
        <w:tc>
          <w:tcPr>
            <w:tcW w:w="3086" w:type="dxa"/>
          </w:tcPr>
          <w:p>
            <w:pPr>
              <w:pStyle w:val="TableText"/>
              <w:spacing w:before="65" w:line="220" w:lineRule="auto"/>
              <w:ind w:left="550"/>
              <w:rPr>
                <w:sz w:val="20"/>
                <w:szCs w:val="20"/>
              </w:rPr>
            </w:pPr>
            <w:r>
              <w:rPr>
                <w:spacing w:val="6"/>
                <w:sz w:val="20"/>
                <w:szCs w:val="20"/>
              </w:rPr>
              <w:t>其他流出</w:t>
            </w:r>
          </w:p>
        </w:tc>
        <w:tc>
          <w:tcPr>
            <w:tcW w:w="919" w:type="dxa"/>
          </w:tcPr>
          <w:p/>
        </w:tc>
        <w:tc>
          <w:tcPr>
            <w:tcW w:w="908" w:type="dxa"/>
          </w:tcPr>
          <w:p/>
        </w:tc>
        <w:tc>
          <w:tcPr>
            <w:tcW w:w="909" w:type="dxa"/>
          </w:tcPr>
          <w:p/>
        </w:tc>
        <w:tc>
          <w:tcPr>
            <w:tcW w:w="909" w:type="dxa"/>
          </w:tcPr>
          <w:p/>
        </w:tc>
        <w:tc>
          <w:tcPr>
            <w:tcW w:w="894" w:type="dxa"/>
          </w:tcPr>
          <w:p/>
        </w:tc>
      </w:tr>
      <w:tr>
        <w:tblPrEx>
          <w:tblInd w:w="680" w:type="dxa"/>
          <w:tblLayout w:type="fixed"/>
          <w:tblCellMar>
            <w:top w:w="0" w:type="dxa"/>
            <w:left w:w="0" w:type="dxa"/>
            <w:bottom w:w="0" w:type="dxa"/>
            <w:right w:w="0" w:type="dxa"/>
          </w:tblCellMar>
          <w:tblLook w:val="0000"/>
        </w:tblPrEx>
        <w:trPr>
          <w:trHeight w:val="319"/>
        </w:trPr>
        <w:tc>
          <w:tcPr>
            <w:tcW w:w="894" w:type="dxa"/>
          </w:tcPr>
          <w:p>
            <w:pPr>
              <w:pStyle w:val="TableText"/>
              <w:spacing w:before="118" w:line="176" w:lineRule="auto"/>
              <w:ind w:left="104"/>
              <w:rPr>
                <w:sz w:val="20"/>
                <w:szCs w:val="20"/>
              </w:rPr>
            </w:pPr>
            <w:r>
              <w:rPr>
                <w:sz w:val="20"/>
                <w:szCs w:val="20"/>
              </w:rPr>
              <w:t>4</w:t>
            </w:r>
          </w:p>
        </w:tc>
        <w:tc>
          <w:tcPr>
            <w:tcW w:w="3086" w:type="dxa"/>
          </w:tcPr>
          <w:p>
            <w:pPr>
              <w:pStyle w:val="TableText"/>
              <w:spacing w:before="66" w:line="220" w:lineRule="auto"/>
              <w:ind w:left="130"/>
              <w:rPr>
                <w:sz w:val="20"/>
                <w:szCs w:val="20"/>
              </w:rPr>
            </w:pPr>
            <w:r>
              <w:rPr>
                <w:spacing w:val="3"/>
                <w:sz w:val="20"/>
                <w:szCs w:val="20"/>
              </w:rPr>
              <w:t>净现金流量(1+2+3)</w:t>
            </w:r>
          </w:p>
        </w:tc>
        <w:tc>
          <w:tcPr>
            <w:tcW w:w="919" w:type="dxa"/>
          </w:tcPr>
          <w:p/>
        </w:tc>
        <w:tc>
          <w:tcPr>
            <w:tcW w:w="908" w:type="dxa"/>
          </w:tcPr>
          <w:p/>
        </w:tc>
        <w:tc>
          <w:tcPr>
            <w:tcW w:w="909" w:type="dxa"/>
          </w:tcPr>
          <w:p/>
        </w:tc>
        <w:tc>
          <w:tcPr>
            <w:tcW w:w="909" w:type="dxa"/>
          </w:tcPr>
          <w:p/>
        </w:tc>
        <w:tc>
          <w:tcPr>
            <w:tcW w:w="894" w:type="dxa"/>
          </w:tcPr>
          <w:p/>
        </w:tc>
      </w:tr>
      <w:tr>
        <w:tblPrEx>
          <w:tblInd w:w="680" w:type="dxa"/>
          <w:tblLayout w:type="fixed"/>
          <w:tblCellMar>
            <w:top w:w="0" w:type="dxa"/>
            <w:left w:w="0" w:type="dxa"/>
            <w:bottom w:w="0" w:type="dxa"/>
            <w:right w:w="0" w:type="dxa"/>
          </w:tblCellMar>
          <w:tblLook w:val="0000"/>
        </w:tblPrEx>
        <w:trPr>
          <w:trHeight w:val="304"/>
        </w:trPr>
        <w:tc>
          <w:tcPr>
            <w:tcW w:w="894" w:type="dxa"/>
          </w:tcPr>
          <w:p>
            <w:pPr>
              <w:pStyle w:val="TableText"/>
              <w:spacing w:before="109" w:line="170" w:lineRule="auto"/>
              <w:ind w:left="104"/>
              <w:rPr>
                <w:sz w:val="20"/>
                <w:szCs w:val="20"/>
              </w:rPr>
            </w:pPr>
            <w:r>
              <w:rPr>
                <w:sz w:val="20"/>
                <w:szCs w:val="20"/>
              </w:rPr>
              <w:t>5</w:t>
            </w:r>
          </w:p>
        </w:tc>
        <w:tc>
          <w:tcPr>
            <w:tcW w:w="3086" w:type="dxa"/>
          </w:tcPr>
          <w:p>
            <w:pPr>
              <w:pStyle w:val="TableText"/>
              <w:spacing w:before="57" w:line="218" w:lineRule="auto"/>
              <w:ind w:left="550"/>
              <w:rPr>
                <w:sz w:val="20"/>
                <w:szCs w:val="20"/>
              </w:rPr>
            </w:pPr>
            <w:r>
              <w:rPr>
                <w:spacing w:val="1"/>
                <w:sz w:val="20"/>
                <w:szCs w:val="20"/>
              </w:rPr>
              <w:t>累计盈余资金</w:t>
            </w:r>
          </w:p>
        </w:tc>
        <w:tc>
          <w:tcPr>
            <w:tcW w:w="919" w:type="dxa"/>
          </w:tcPr>
          <w:p/>
        </w:tc>
        <w:tc>
          <w:tcPr>
            <w:tcW w:w="908" w:type="dxa"/>
          </w:tcPr>
          <w:p/>
        </w:tc>
        <w:tc>
          <w:tcPr>
            <w:tcW w:w="909" w:type="dxa"/>
          </w:tcPr>
          <w:p/>
        </w:tc>
        <w:tc>
          <w:tcPr>
            <w:tcW w:w="909" w:type="dxa"/>
          </w:tcPr>
          <w:p/>
        </w:tc>
        <w:tc>
          <w:tcPr>
            <w:tcW w:w="894" w:type="dxa"/>
          </w:tcPr>
          <w:p/>
        </w:tc>
      </w:tr>
    </w:tbl>
    <w:p>
      <w:pPr>
        <w:spacing w:line="338" w:lineRule="auto"/>
      </w:pPr>
    </w:p>
    <w:p>
      <w:pPr>
        <w:spacing w:before="69" w:line="222" w:lineRule="auto"/>
        <w:ind w:left="792"/>
        <w:outlineLvl w:val="0"/>
        <w:rPr>
          <w:rFonts w:ascii="黑体" w:eastAsia="黑体" w:hAnsi="黑体" w:cs="黑体"/>
        </w:rPr>
      </w:pPr>
      <w:r>
        <w:rPr>
          <w:rFonts w:ascii="黑体" w:eastAsia="黑体" w:hAnsi="黑体" w:cs="黑体"/>
          <w:b/>
          <w:bCs/>
          <w:spacing w:val="-2"/>
          <w:sz w:val="21"/>
          <w:szCs w:val="21"/>
        </w:rPr>
        <w:t>3.</w:t>
      </w:r>
      <w:r>
        <w:rPr>
          <w:rFonts w:ascii="黑体" w:eastAsia="黑体" w:hAnsi="黑体" w:cs="黑体"/>
          <w:spacing w:val="93"/>
          <w:sz w:val="21"/>
          <w:szCs w:val="21"/>
        </w:rPr>
        <w:t xml:space="preserve"> </w:t>
      </w:r>
      <w:r>
        <w:rPr>
          <w:rFonts w:ascii="黑体" w:eastAsia="黑体" w:hAnsi="黑体" w:cs="黑体"/>
          <w:b/>
          <w:bCs/>
          <w:spacing w:val="-2"/>
          <w:sz w:val="21"/>
          <w:szCs w:val="21"/>
        </w:rPr>
        <w:t>项目收入与成本费用估算</w:t>
      </w:r>
    </w:p>
    <w:p>
      <w:pPr>
        <w:spacing w:line="419" w:lineRule="auto"/>
      </w:pPr>
    </w:p>
    <w:p>
      <w:pPr>
        <w:pStyle w:val="BodyText"/>
        <w:spacing w:before="68" w:line="480" w:lineRule="exact"/>
        <w:ind w:left="1230"/>
        <w:rPr>
          <w:sz w:val="21"/>
          <w:szCs w:val="21"/>
        </w:rPr>
      </w:pPr>
      <w:r>
        <w:rPr>
          <w:spacing w:val="-3"/>
          <w:position w:val="20"/>
          <w:sz w:val="21"/>
          <w:szCs w:val="21"/>
        </w:rPr>
        <w:t>项目收入与成本估算是进行财务分析的重要基础，财务分析中应明确说明收入与成本费</w:t>
      </w:r>
    </w:p>
    <w:p>
      <w:pPr>
        <w:pStyle w:val="BodyText"/>
        <w:spacing w:before="1" w:line="217" w:lineRule="auto"/>
        <w:ind w:left="789"/>
        <w:rPr>
          <w:sz w:val="21"/>
          <w:szCs w:val="21"/>
        </w:rPr>
      </w:pPr>
      <w:r>
        <w:rPr>
          <w:spacing w:val="-1"/>
          <w:sz w:val="21"/>
          <w:szCs w:val="21"/>
        </w:rPr>
        <w:t>用估算的依据。采用收入再分配方法的应说明收入再分配系数测算的依据、测算</w:t>
      </w:r>
      <w:r>
        <w:rPr>
          <w:spacing w:val="-2"/>
          <w:sz w:val="21"/>
          <w:szCs w:val="21"/>
        </w:rPr>
        <w:t>结果。</w:t>
      </w:r>
    </w:p>
    <w:p>
      <w:pPr>
        <w:spacing w:line="428" w:lineRule="auto"/>
      </w:pPr>
    </w:p>
    <w:p>
      <w:pPr>
        <w:spacing w:before="68" w:line="222" w:lineRule="auto"/>
        <w:ind w:left="1393"/>
        <w:outlineLvl w:val="1"/>
        <w:rPr>
          <w:rFonts w:ascii="黑体" w:eastAsia="黑体" w:hAnsi="黑体" w:cs="黑体"/>
        </w:rPr>
      </w:pPr>
      <w:r>
        <w:rPr>
          <w:rFonts w:ascii="黑体" w:eastAsia="黑体" w:hAnsi="黑体" w:cs="黑体"/>
          <w:b/>
          <w:bCs/>
          <w:spacing w:val="-1"/>
          <w:sz w:val="21"/>
          <w:szCs w:val="21"/>
        </w:rPr>
        <w:t>3.1</w:t>
      </w:r>
      <w:r>
        <w:rPr>
          <w:rFonts w:ascii="黑体" w:eastAsia="黑体" w:hAnsi="黑体" w:cs="黑体"/>
          <w:spacing w:val="-1"/>
          <w:sz w:val="21"/>
          <w:szCs w:val="21"/>
        </w:rPr>
        <w:t xml:space="preserve">   </w:t>
      </w:r>
      <w:r>
        <w:rPr>
          <w:rFonts w:ascii="黑体" w:eastAsia="黑体" w:hAnsi="黑体" w:cs="黑体"/>
          <w:b/>
          <w:bCs/>
          <w:spacing w:val="-1"/>
          <w:sz w:val="21"/>
          <w:szCs w:val="21"/>
        </w:rPr>
        <w:t>项目收入与成本费用估算的原则</w:t>
      </w:r>
    </w:p>
    <w:p>
      <w:pPr>
        <w:spacing w:line="418" w:lineRule="auto"/>
      </w:pPr>
    </w:p>
    <w:p>
      <w:pPr>
        <w:pStyle w:val="BodyText"/>
        <w:spacing w:before="69" w:line="414" w:lineRule="auto"/>
        <w:ind w:left="789" w:right="821" w:firstLine="440"/>
        <w:jc w:val="both"/>
        <w:rPr>
          <w:sz w:val="21"/>
          <w:szCs w:val="21"/>
        </w:rPr>
      </w:pPr>
      <w:r>
        <w:rPr>
          <w:spacing w:val="-3"/>
          <w:sz w:val="21"/>
          <w:szCs w:val="21"/>
        </w:rPr>
        <w:t>项目收入与成本费用估算是财务分析的重要基础，其估算的准确性与可靠程度对项目财</w:t>
      </w:r>
      <w:r>
        <w:rPr>
          <w:spacing w:val="1"/>
          <w:sz w:val="21"/>
          <w:szCs w:val="21"/>
        </w:rPr>
        <w:t xml:space="preserve"> </w:t>
      </w:r>
      <w:r>
        <w:rPr>
          <w:spacing w:val="-3"/>
          <w:sz w:val="21"/>
          <w:szCs w:val="21"/>
        </w:rPr>
        <w:t>务分析影响很大。收入估算是指项目实施后所获得的营业收</w:t>
      </w:r>
      <w:r>
        <w:rPr>
          <w:spacing w:val="-4"/>
          <w:sz w:val="21"/>
          <w:szCs w:val="21"/>
        </w:rPr>
        <w:t>入的估算；成本费用估算包括由</w:t>
      </w:r>
    </w:p>
    <w:p>
      <w:pPr>
        <w:pStyle w:val="BodyText"/>
        <w:spacing w:line="218" w:lineRule="auto"/>
        <w:ind w:left="789"/>
        <w:rPr>
          <w:sz w:val="21"/>
          <w:szCs w:val="21"/>
        </w:rPr>
      </w:pPr>
      <w:r>
        <w:rPr>
          <w:spacing w:val="-2"/>
          <w:sz w:val="21"/>
          <w:szCs w:val="21"/>
        </w:rPr>
        <w:t>于项目的建设所增加的总投资、总成本费用、税金等。</w:t>
      </w:r>
    </w:p>
    <w:p>
      <w:pPr>
        <w:pStyle w:val="BodyText"/>
        <w:spacing w:before="207" w:line="424" w:lineRule="auto"/>
        <w:ind w:left="1629" w:right="821" w:hanging="399"/>
        <w:rPr>
          <w:sz w:val="21"/>
          <w:szCs w:val="21"/>
        </w:rPr>
      </w:pPr>
      <w:r>
        <w:rPr>
          <w:spacing w:val="-4"/>
          <w:sz w:val="21"/>
          <w:szCs w:val="21"/>
        </w:rPr>
        <w:t xml:space="preserve">●  </w:t>
      </w:r>
      <w:r>
        <w:rPr>
          <w:b/>
          <w:bCs/>
          <w:spacing w:val="-4"/>
          <w:sz w:val="21"/>
          <w:szCs w:val="21"/>
        </w:rPr>
        <w:t>项目收入与成本费用估算应遵循“有无对比”</w:t>
      </w:r>
      <w:r>
        <w:rPr>
          <w:b/>
          <w:bCs/>
          <w:spacing w:val="-5"/>
          <w:sz w:val="21"/>
          <w:szCs w:val="21"/>
        </w:rPr>
        <w:t>的原则</w:t>
      </w:r>
      <w:r>
        <w:rPr>
          <w:spacing w:val="-5"/>
          <w:sz w:val="21"/>
          <w:szCs w:val="21"/>
        </w:rPr>
        <w:t>。正确识别“有项目”和“无</w:t>
      </w:r>
      <w:r>
        <w:rPr>
          <w:sz w:val="21"/>
          <w:szCs w:val="21"/>
        </w:rPr>
        <w:t xml:space="preserve"> </w:t>
      </w:r>
      <w:r>
        <w:rPr>
          <w:spacing w:val="-3"/>
          <w:sz w:val="21"/>
          <w:szCs w:val="21"/>
        </w:rPr>
        <w:t>项目”状态下的收入和成本费用，“有项目”减“无项目”下的差额才是项目的收</w:t>
      </w:r>
    </w:p>
    <w:p>
      <w:pPr>
        <w:pStyle w:val="BodyText"/>
        <w:spacing w:before="1" w:line="218" w:lineRule="auto"/>
        <w:ind w:left="1630"/>
        <w:rPr>
          <w:sz w:val="21"/>
          <w:szCs w:val="21"/>
        </w:rPr>
      </w:pPr>
      <w:r>
        <w:rPr>
          <w:spacing w:val="-5"/>
          <w:sz w:val="21"/>
          <w:szCs w:val="21"/>
        </w:rPr>
        <w:t>入和成本费用。</w:t>
      </w:r>
    </w:p>
    <w:p>
      <w:pPr>
        <w:pStyle w:val="BodyText"/>
        <w:spacing w:before="197" w:line="405" w:lineRule="auto"/>
        <w:ind w:left="1629" w:right="813" w:hanging="399"/>
        <w:rPr>
          <w:sz w:val="21"/>
          <w:szCs w:val="21"/>
        </w:rPr>
      </w:pPr>
      <w:r>
        <w:rPr>
          <w:spacing w:val="-2"/>
          <w:sz w:val="21"/>
          <w:szCs w:val="21"/>
        </w:rPr>
        <w:t>●</w:t>
      </w:r>
      <w:r>
        <w:rPr>
          <w:spacing w:val="104"/>
          <w:sz w:val="21"/>
          <w:szCs w:val="21"/>
        </w:rPr>
        <w:t xml:space="preserve"> </w:t>
      </w:r>
      <w:r>
        <w:rPr>
          <w:b/>
          <w:bCs/>
          <w:spacing w:val="-2"/>
          <w:sz w:val="21"/>
          <w:szCs w:val="21"/>
        </w:rPr>
        <w:t>项目收入和成本费用估算应遵循计算范围一致的原则。</w:t>
      </w:r>
      <w:r>
        <w:rPr>
          <w:spacing w:val="28"/>
          <w:sz w:val="21"/>
          <w:szCs w:val="21"/>
        </w:rPr>
        <w:t xml:space="preserve"> </w:t>
      </w:r>
      <w:r>
        <w:rPr>
          <w:spacing w:val="-2"/>
          <w:sz w:val="21"/>
          <w:szCs w:val="21"/>
        </w:rPr>
        <w:t>由于通</w:t>
      </w:r>
      <w:r>
        <w:rPr>
          <w:spacing w:val="-3"/>
          <w:sz w:val="21"/>
          <w:szCs w:val="21"/>
        </w:rPr>
        <w:t>信行业全程全网的</w:t>
      </w:r>
      <w:r>
        <w:rPr>
          <w:sz w:val="21"/>
          <w:szCs w:val="21"/>
        </w:rPr>
        <w:t xml:space="preserve"> </w:t>
      </w:r>
      <w:r>
        <w:rPr>
          <w:spacing w:val="-3"/>
          <w:sz w:val="21"/>
          <w:szCs w:val="21"/>
        </w:rPr>
        <w:t>特点，多个专业网络共同协作才能完成一个完整的业务过程，因此往往一个单独立</w:t>
      </w:r>
      <w:r>
        <w:rPr>
          <w:spacing w:val="15"/>
          <w:sz w:val="21"/>
          <w:szCs w:val="21"/>
        </w:rPr>
        <w:t xml:space="preserve"> </w:t>
      </w:r>
      <w:r>
        <w:rPr>
          <w:spacing w:val="-3"/>
          <w:sz w:val="21"/>
          <w:szCs w:val="21"/>
        </w:rPr>
        <w:t>项的项目并不能完成一个完整的业务过程，在</w:t>
      </w:r>
      <w:r>
        <w:rPr>
          <w:spacing w:val="-4"/>
          <w:sz w:val="21"/>
          <w:szCs w:val="21"/>
        </w:rPr>
        <w:t>收入估算时可以先估算本项目所提供</w:t>
      </w:r>
      <w:r>
        <w:rPr>
          <w:sz w:val="21"/>
          <w:szCs w:val="21"/>
        </w:rPr>
        <w:t xml:space="preserve"> </w:t>
      </w:r>
      <w:r>
        <w:rPr>
          <w:spacing w:val="-3"/>
          <w:sz w:val="21"/>
          <w:szCs w:val="21"/>
        </w:rPr>
        <w:t>业务的总收入，然后根据计算范围一致的原则，考虑业务占用的其他专业网络资源</w:t>
      </w:r>
      <w:r>
        <w:rPr>
          <w:spacing w:val="15"/>
          <w:sz w:val="21"/>
          <w:szCs w:val="21"/>
        </w:rPr>
        <w:t xml:space="preserve"> </w:t>
      </w:r>
      <w:r>
        <w:rPr>
          <w:spacing w:val="-2"/>
          <w:sz w:val="21"/>
          <w:szCs w:val="21"/>
        </w:rPr>
        <w:t>情况进行收入再分配。收入再分配系数测算时应以</w:t>
      </w:r>
      <w:r>
        <w:rPr>
          <w:spacing w:val="-3"/>
          <w:sz w:val="21"/>
          <w:szCs w:val="21"/>
        </w:rPr>
        <w:t>本项目引起的其他网络新增投资</w:t>
      </w:r>
      <w:r>
        <w:rPr>
          <w:sz w:val="21"/>
          <w:szCs w:val="21"/>
        </w:rPr>
        <w:t xml:space="preserve"> </w:t>
      </w:r>
      <w:r>
        <w:rPr>
          <w:spacing w:val="-2"/>
          <w:sz w:val="21"/>
          <w:szCs w:val="21"/>
        </w:rPr>
        <w:t>需求为依据，如果本项目建设没有引起其他</w:t>
      </w:r>
      <w:r>
        <w:rPr>
          <w:spacing w:val="-3"/>
          <w:sz w:val="21"/>
          <w:szCs w:val="21"/>
        </w:rPr>
        <w:t>专业网络的新增投资，则占用其他网络</w:t>
      </w:r>
    </w:p>
    <w:p>
      <w:pPr>
        <w:pStyle w:val="BodyText"/>
        <w:spacing w:before="1" w:line="218" w:lineRule="auto"/>
        <w:ind w:left="1630"/>
        <w:rPr>
          <w:sz w:val="21"/>
          <w:szCs w:val="21"/>
        </w:rPr>
      </w:pPr>
      <w:r>
        <w:rPr>
          <w:spacing w:val="-6"/>
          <w:sz w:val="21"/>
          <w:szCs w:val="21"/>
        </w:rPr>
        <w:t>的资源视为沉没成本。</w:t>
      </w:r>
    </w:p>
    <w:p>
      <w:pPr>
        <w:spacing w:line="218" w:lineRule="auto"/>
        <w:sectPr>
          <w:headerReference w:type="default" r:id="rId35"/>
          <w:footerReference w:type="default" r:id="rId36"/>
          <w:pgSz w:w="11910" w:h="16840"/>
          <w:pgMar w:top="400" w:right="989" w:bottom="1182" w:left="999" w:header="0" w:footer="969" w:gutter="0"/>
          <w:pgNumType w:start="14"/>
          <w:cols w:space="708"/>
        </w:sectPr>
      </w:pPr>
    </w:p>
    <w:p>
      <w:pPr>
        <w:spacing w:before="193"/>
      </w:pPr>
    </w:p>
    <w:tbl>
      <w:tblPr>
        <w:tblStyle w:val="TableNormal1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80"/>
        <w:gridCol w:w="269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51" w:line="215" w:lineRule="auto"/>
              <w:ind w:left="123"/>
            </w:pPr>
            <w:r>
              <w:rPr>
                <w:b/>
                <w:bCs/>
                <w:spacing w:val="-5"/>
              </w:rPr>
              <w:t>编号：</w:t>
            </w:r>
          </w:p>
          <w:p>
            <w:pPr>
              <w:pStyle w:val="TableText"/>
              <w:spacing w:line="219" w:lineRule="auto"/>
              <w:ind w:left="143"/>
            </w:pPr>
            <w:r>
              <w:rPr>
                <w:b/>
                <w:bCs/>
              </w:rPr>
              <w:t>时间：2021年x月x日</w:t>
            </w:r>
          </w:p>
        </w:tc>
        <w:tc>
          <w:tcPr>
            <w:tcW w:w="4680" w:type="dxa"/>
          </w:tcPr>
          <w:p>
            <w:pPr>
              <w:spacing w:line="250" w:lineRule="auto"/>
            </w:pPr>
          </w:p>
          <w:p>
            <w:pPr>
              <w:pStyle w:val="TableText"/>
              <w:spacing w:before="78" w:line="219" w:lineRule="auto"/>
              <w:ind w:left="288"/>
            </w:pPr>
            <w:r>
              <w:rPr>
                <w:b/>
                <w:bCs/>
                <w:color w:val="F30000"/>
                <w:spacing w:val="-4"/>
              </w:rPr>
              <w:t>书山有路勤为径，学海无涯苦作舟</w:t>
            </w:r>
          </w:p>
        </w:tc>
        <w:tc>
          <w:tcPr>
            <w:tcW w:w="2690" w:type="dxa"/>
            <w:tcBorders>
              <w:right w:val="nil"/>
            </w:tcBorders>
          </w:tcPr>
          <w:p>
            <w:pPr>
              <w:spacing w:line="252" w:lineRule="auto"/>
            </w:pPr>
          </w:p>
          <w:p>
            <w:pPr>
              <w:pStyle w:val="TableText"/>
              <w:spacing w:before="78" w:line="219" w:lineRule="auto"/>
              <w:ind w:left="128"/>
            </w:pPr>
            <w:r>
              <w:rPr>
                <w:b/>
                <w:bCs/>
                <w:spacing w:val="-2"/>
              </w:rPr>
              <w:t>页码：第11页共70页</w:t>
            </w:r>
          </w:p>
        </w:tc>
      </w:tr>
    </w:tbl>
    <w:p>
      <w:pPr>
        <w:spacing w:line="308" w:lineRule="auto"/>
      </w:pPr>
    </w:p>
    <w:p>
      <w:pPr>
        <w:pStyle w:val="BodyText"/>
        <w:spacing w:before="68" w:line="218" w:lineRule="auto"/>
        <w:ind w:left="1223"/>
        <w:rPr>
          <w:sz w:val="21"/>
          <w:szCs w:val="21"/>
        </w:rPr>
      </w:pPr>
      <w:r>
        <w:rPr>
          <w:b/>
          <w:bCs/>
          <w:spacing w:val="-2"/>
          <w:sz w:val="21"/>
          <w:szCs w:val="21"/>
        </w:rPr>
        <w:t>●</w:t>
      </w:r>
      <w:r>
        <w:rPr>
          <w:spacing w:val="-2"/>
          <w:sz w:val="21"/>
          <w:szCs w:val="21"/>
        </w:rPr>
        <w:t xml:space="preserve">  </w:t>
      </w:r>
      <w:r>
        <w:rPr>
          <w:b/>
          <w:bCs/>
          <w:spacing w:val="-2"/>
          <w:sz w:val="21"/>
          <w:szCs w:val="21"/>
        </w:rPr>
        <w:t>收入与成本费用估算应遵循中国移动现行</w:t>
      </w:r>
      <w:r>
        <w:rPr>
          <w:b/>
          <w:bCs/>
          <w:spacing w:val="-3"/>
          <w:sz w:val="21"/>
          <w:szCs w:val="21"/>
        </w:rPr>
        <w:t>的财务会计制度和会计核算办法。</w:t>
      </w:r>
    </w:p>
    <w:p>
      <w:pPr>
        <w:pStyle w:val="BodyText"/>
        <w:spacing w:before="212" w:line="414" w:lineRule="auto"/>
        <w:ind w:left="1639" w:right="795" w:hanging="419"/>
        <w:rPr>
          <w:sz w:val="21"/>
          <w:szCs w:val="21"/>
        </w:rPr>
      </w:pPr>
      <w:r>
        <w:rPr>
          <w:spacing w:val="1"/>
          <w:sz w:val="21"/>
          <w:szCs w:val="21"/>
        </w:rPr>
        <w:t>●</w:t>
      </w:r>
      <w:r>
        <w:rPr>
          <w:spacing w:val="120"/>
          <w:sz w:val="21"/>
          <w:szCs w:val="21"/>
        </w:rPr>
        <w:t xml:space="preserve"> </w:t>
      </w:r>
      <w:r>
        <w:rPr>
          <w:b/>
          <w:bCs/>
          <w:spacing w:val="1"/>
          <w:sz w:val="21"/>
          <w:szCs w:val="21"/>
        </w:rPr>
        <w:t>收入与成本费用预测应采用以市场价格体系为基础的预测价格。</w:t>
      </w:r>
      <w:r>
        <w:rPr>
          <w:spacing w:val="1"/>
          <w:sz w:val="21"/>
          <w:szCs w:val="21"/>
        </w:rPr>
        <w:t>原则上既应考虑</w:t>
      </w:r>
      <w:r>
        <w:rPr>
          <w:sz w:val="21"/>
          <w:szCs w:val="21"/>
        </w:rPr>
        <w:t xml:space="preserve"> </w:t>
      </w:r>
      <w:r>
        <w:rPr>
          <w:spacing w:val="-3"/>
          <w:sz w:val="21"/>
          <w:szCs w:val="21"/>
        </w:rPr>
        <w:t>相对价格变化，又应考虑价格总水平的变化。在项目计算期中相对价格与价格总水</w:t>
      </w:r>
      <w:r>
        <w:rPr>
          <w:spacing w:val="6"/>
          <w:sz w:val="21"/>
          <w:szCs w:val="21"/>
        </w:rPr>
        <w:t xml:space="preserve"> </w:t>
      </w:r>
      <w:r>
        <w:rPr>
          <w:spacing w:val="-4"/>
          <w:sz w:val="21"/>
          <w:szCs w:val="21"/>
        </w:rPr>
        <w:t>平的变化非常难以预测，根据《建设项目经济评价方</w:t>
      </w:r>
      <w:r>
        <w:rPr>
          <w:spacing w:val="-5"/>
          <w:sz w:val="21"/>
          <w:szCs w:val="21"/>
        </w:rPr>
        <w:t>法与参数》(第三版)的意见，</w:t>
      </w:r>
    </w:p>
    <w:p>
      <w:pPr>
        <w:pStyle w:val="BodyText"/>
        <w:spacing w:before="1" w:line="217" w:lineRule="auto"/>
        <w:ind w:left="1640"/>
        <w:rPr>
          <w:sz w:val="21"/>
          <w:szCs w:val="21"/>
        </w:rPr>
      </w:pPr>
      <w:r>
        <w:rPr>
          <w:spacing w:val="-3"/>
          <w:sz w:val="21"/>
          <w:szCs w:val="21"/>
        </w:rPr>
        <w:t>在不影响评价结论的前提下，可简化处理：</w:t>
      </w:r>
    </w:p>
    <w:p>
      <w:pPr>
        <w:pStyle w:val="BodyText"/>
        <w:spacing w:before="212" w:line="483" w:lineRule="exact"/>
        <w:ind w:left="1319"/>
        <w:rPr>
          <w:sz w:val="21"/>
          <w:szCs w:val="21"/>
        </w:rPr>
      </w:pPr>
      <w:r>
        <w:rPr>
          <w:spacing w:val="-6"/>
          <w:position w:val="21"/>
          <w:sz w:val="21"/>
          <w:szCs w:val="21"/>
        </w:rPr>
        <w:t>(1)    建设期的投入，</w:t>
      </w:r>
      <w:r>
        <w:rPr>
          <w:spacing w:val="66"/>
          <w:position w:val="21"/>
          <w:sz w:val="21"/>
          <w:szCs w:val="21"/>
        </w:rPr>
        <w:t xml:space="preserve"> </w:t>
      </w:r>
      <w:r>
        <w:rPr>
          <w:spacing w:val="-6"/>
          <w:position w:val="21"/>
          <w:sz w:val="21"/>
          <w:szCs w:val="21"/>
        </w:rPr>
        <w:t>一般以涨价预备费的形式综合考虑相对价格变化及价格总水平</w:t>
      </w:r>
    </w:p>
    <w:p>
      <w:pPr>
        <w:pStyle w:val="BodyText"/>
        <w:spacing w:line="220" w:lineRule="auto"/>
        <w:ind w:left="1640"/>
        <w:rPr>
          <w:sz w:val="21"/>
          <w:szCs w:val="21"/>
        </w:rPr>
      </w:pPr>
      <w:r>
        <w:rPr>
          <w:spacing w:val="-11"/>
          <w:sz w:val="21"/>
          <w:szCs w:val="21"/>
        </w:rPr>
        <w:t>的变化。</w:t>
      </w:r>
    </w:p>
    <w:p>
      <w:pPr>
        <w:pStyle w:val="BodyText"/>
        <w:spacing w:before="216" w:line="460" w:lineRule="exact"/>
        <w:ind w:left="1319"/>
        <w:rPr>
          <w:sz w:val="21"/>
          <w:szCs w:val="21"/>
        </w:rPr>
      </w:pPr>
      <w:r>
        <w:rPr>
          <w:spacing w:val="-6"/>
          <w:position w:val="19"/>
          <w:sz w:val="21"/>
          <w:szCs w:val="21"/>
        </w:rPr>
        <w:t>(2)    对于生产期的投入和产出的价格，</w:t>
      </w:r>
      <w:r>
        <w:rPr>
          <w:spacing w:val="57"/>
          <w:position w:val="19"/>
          <w:sz w:val="21"/>
          <w:szCs w:val="21"/>
        </w:rPr>
        <w:t xml:space="preserve"> </w:t>
      </w:r>
      <w:r>
        <w:rPr>
          <w:spacing w:val="-6"/>
          <w:position w:val="19"/>
          <w:sz w:val="21"/>
          <w:szCs w:val="21"/>
        </w:rPr>
        <w:t>一般只预测到经营</w:t>
      </w:r>
      <w:r>
        <w:rPr>
          <w:spacing w:val="-7"/>
          <w:position w:val="19"/>
          <w:sz w:val="21"/>
          <w:szCs w:val="21"/>
        </w:rPr>
        <w:t>期初的价格，运营期各年</w:t>
      </w:r>
    </w:p>
    <w:p>
      <w:pPr>
        <w:pStyle w:val="BodyText"/>
        <w:spacing w:before="1" w:line="217" w:lineRule="auto"/>
        <w:ind w:left="1640"/>
        <w:rPr>
          <w:sz w:val="21"/>
          <w:szCs w:val="21"/>
        </w:rPr>
      </w:pPr>
      <w:r>
        <w:rPr>
          <w:spacing w:val="-4"/>
          <w:sz w:val="21"/>
          <w:szCs w:val="21"/>
        </w:rPr>
        <w:t>采用同一不变价格。</w:t>
      </w:r>
    </w:p>
    <w:p>
      <w:pPr>
        <w:pStyle w:val="BodyText"/>
        <w:spacing w:before="208" w:line="363" w:lineRule="auto"/>
        <w:ind w:left="1639" w:right="705" w:hanging="320"/>
        <w:rPr>
          <w:sz w:val="21"/>
          <w:szCs w:val="21"/>
        </w:rPr>
      </w:pPr>
      <w:r>
        <w:rPr>
          <w:position w:val="10"/>
          <w:sz w:val="21"/>
          <w:szCs w:val="21"/>
        </w:rPr>
        <w:t xml:space="preserve">(3)    </w:t>
      </w:r>
      <w:r>
        <w:rPr>
          <w:sz w:val="21"/>
          <w:szCs w:val="21"/>
        </w:rPr>
        <w:t>但在对未来市场价格信息有充分可靠判断的情况下，本着客观、谨慎的原</w:t>
      </w:r>
      <w:r>
        <w:rPr>
          <w:spacing w:val="-1"/>
          <w:sz w:val="21"/>
          <w:szCs w:val="21"/>
        </w:rPr>
        <w:t>则，</w:t>
      </w:r>
      <w:r>
        <w:rPr>
          <w:sz w:val="21"/>
          <w:szCs w:val="21"/>
        </w:rPr>
        <w:t xml:space="preserve"> 项目生产期也可以采用相对变动价格。(项目运营期</w:t>
      </w:r>
      <w:r>
        <w:rPr>
          <w:spacing w:val="-1"/>
          <w:sz w:val="21"/>
          <w:szCs w:val="21"/>
        </w:rPr>
        <w:t>内各年价格不同或某些年份价</w:t>
      </w:r>
    </w:p>
    <w:p>
      <w:pPr>
        <w:pStyle w:val="BodyText"/>
        <w:spacing w:line="219" w:lineRule="auto"/>
        <w:ind w:left="1640"/>
        <w:rPr>
          <w:sz w:val="21"/>
          <w:szCs w:val="21"/>
        </w:rPr>
      </w:pPr>
      <w:r>
        <w:rPr>
          <w:spacing w:val="6"/>
          <w:sz w:val="21"/>
          <w:szCs w:val="21"/>
        </w:rPr>
        <w:t>格不同。)</w:t>
      </w:r>
    </w:p>
    <w:p>
      <w:pPr>
        <w:pStyle w:val="BodyText"/>
        <w:spacing w:before="219" w:line="413" w:lineRule="auto"/>
        <w:ind w:left="1639" w:right="795" w:hanging="419"/>
        <w:rPr>
          <w:sz w:val="21"/>
          <w:szCs w:val="21"/>
        </w:rPr>
      </w:pPr>
      <w:r>
        <w:rPr>
          <w:spacing w:val="-3"/>
          <w:sz w:val="21"/>
          <w:szCs w:val="21"/>
        </w:rPr>
        <w:t xml:space="preserve">●  </w:t>
      </w:r>
      <w:r>
        <w:rPr>
          <w:b/>
          <w:bCs/>
          <w:spacing w:val="-3"/>
          <w:sz w:val="21"/>
          <w:szCs w:val="21"/>
        </w:rPr>
        <w:t>收入与成本预测中有关增值税的处理方法。</w:t>
      </w:r>
      <w:r>
        <w:rPr>
          <w:spacing w:val="-3"/>
          <w:sz w:val="21"/>
          <w:szCs w:val="21"/>
        </w:rPr>
        <w:t>2014年6</w:t>
      </w:r>
      <w:r>
        <w:rPr>
          <w:spacing w:val="-4"/>
          <w:sz w:val="21"/>
          <w:szCs w:val="21"/>
        </w:rPr>
        <w:t>月1日以后，电信行业由征收营</w:t>
      </w:r>
      <w:r>
        <w:rPr>
          <w:sz w:val="21"/>
          <w:szCs w:val="21"/>
        </w:rPr>
        <w:t xml:space="preserve"> </w:t>
      </w:r>
      <w:r>
        <w:rPr>
          <w:spacing w:val="-2"/>
          <w:sz w:val="21"/>
          <w:szCs w:val="21"/>
        </w:rPr>
        <w:t>业税改为征收增值税，因此2014年6月1</w:t>
      </w:r>
      <w:r>
        <w:rPr>
          <w:spacing w:val="-3"/>
          <w:sz w:val="21"/>
          <w:szCs w:val="21"/>
        </w:rPr>
        <w:t>日以后的项目收入与成本费用的预测应考虑</w:t>
      </w:r>
      <w:r>
        <w:rPr>
          <w:sz w:val="21"/>
          <w:szCs w:val="21"/>
        </w:rPr>
        <w:t xml:space="preserve"> </w:t>
      </w:r>
      <w:r>
        <w:rPr>
          <w:spacing w:val="1"/>
          <w:sz w:val="21"/>
          <w:szCs w:val="21"/>
        </w:rPr>
        <w:t>增值税的影响。</w:t>
      </w:r>
      <w:r>
        <w:rPr>
          <w:b/>
          <w:bCs/>
          <w:spacing w:val="1"/>
          <w:sz w:val="21"/>
          <w:szCs w:val="21"/>
        </w:rPr>
        <w:t>为与企业实际财务报表一致，本标准收入与成本费用均为不含增</w:t>
      </w:r>
    </w:p>
    <w:p>
      <w:pPr>
        <w:pStyle w:val="BodyText"/>
        <w:spacing w:line="219" w:lineRule="auto"/>
        <w:ind w:left="1643"/>
        <w:rPr>
          <w:sz w:val="21"/>
          <w:szCs w:val="21"/>
        </w:rPr>
      </w:pPr>
      <w:r>
        <w:rPr>
          <w:b/>
          <w:bCs/>
          <w:spacing w:val="-9"/>
          <w:sz w:val="21"/>
          <w:szCs w:val="21"/>
        </w:rPr>
        <w:t>值税数据。</w:t>
      </w:r>
    </w:p>
    <w:p>
      <w:pPr>
        <w:spacing w:line="441" w:lineRule="auto"/>
      </w:pPr>
    </w:p>
    <w:p>
      <w:pPr>
        <w:pStyle w:val="BodyText"/>
        <w:spacing w:before="69" w:line="222" w:lineRule="auto"/>
        <w:ind w:left="1400"/>
        <w:rPr>
          <w:rFonts w:ascii="黑体" w:eastAsia="黑体" w:hAnsi="黑体" w:cs="黑体"/>
          <w:sz w:val="21"/>
          <w:szCs w:val="21"/>
        </w:rPr>
      </w:pPr>
      <w:r>
        <w:rPr>
          <w:spacing w:val="-3"/>
          <w:sz w:val="21"/>
          <w:szCs w:val="21"/>
        </w:rPr>
        <w:t>3.2</w:t>
      </w:r>
      <w:r>
        <w:rPr>
          <w:spacing w:val="21"/>
          <w:sz w:val="21"/>
          <w:szCs w:val="21"/>
        </w:rPr>
        <w:t xml:space="preserve">   </w:t>
      </w:r>
      <w:r>
        <w:rPr>
          <w:rFonts w:ascii="黑体" w:eastAsia="黑体" w:hAnsi="黑体" w:cs="黑体"/>
          <w:spacing w:val="-3"/>
          <w:sz w:val="21"/>
          <w:szCs w:val="21"/>
        </w:rPr>
        <w:t>项目收入估算</w:t>
      </w:r>
    </w:p>
    <w:p>
      <w:pPr>
        <w:spacing w:line="406" w:lineRule="auto"/>
      </w:pPr>
    </w:p>
    <w:p>
      <w:pPr>
        <w:pStyle w:val="BodyText"/>
        <w:spacing w:before="68" w:line="470" w:lineRule="exact"/>
        <w:ind w:left="1220"/>
        <w:rPr>
          <w:sz w:val="21"/>
          <w:szCs w:val="21"/>
        </w:rPr>
      </w:pPr>
      <w:r>
        <w:rPr>
          <w:spacing w:val="-3"/>
          <w:position w:val="20"/>
          <w:sz w:val="21"/>
          <w:szCs w:val="21"/>
        </w:rPr>
        <w:t>项目收入与成本估算是进行财务分析的重要基础，财务分析中应明确说明收入与成</w:t>
      </w:r>
      <w:r>
        <w:rPr>
          <w:spacing w:val="-4"/>
          <w:position w:val="20"/>
          <w:sz w:val="21"/>
          <w:szCs w:val="21"/>
        </w:rPr>
        <w:t>本费</w:t>
      </w:r>
    </w:p>
    <w:p>
      <w:pPr>
        <w:pStyle w:val="BodyText"/>
        <w:spacing w:before="1" w:line="217" w:lineRule="auto"/>
        <w:ind w:left="799"/>
        <w:rPr>
          <w:sz w:val="21"/>
          <w:szCs w:val="21"/>
        </w:rPr>
      </w:pPr>
      <w:r>
        <w:rPr>
          <w:spacing w:val="-1"/>
          <w:sz w:val="21"/>
          <w:szCs w:val="21"/>
        </w:rPr>
        <w:t>用估算的依据。采用收入再分配方法的应说明收入再分配系数测算的依据、测算</w:t>
      </w:r>
      <w:r>
        <w:rPr>
          <w:spacing w:val="-2"/>
          <w:sz w:val="21"/>
          <w:szCs w:val="21"/>
        </w:rPr>
        <w:t>结果。</w:t>
      </w:r>
    </w:p>
    <w:p>
      <w:pPr>
        <w:pStyle w:val="BodyText"/>
        <w:spacing w:before="215" w:line="413" w:lineRule="auto"/>
        <w:ind w:left="799" w:right="779" w:firstLine="420"/>
        <w:rPr>
          <w:sz w:val="21"/>
          <w:szCs w:val="21"/>
        </w:rPr>
      </w:pPr>
      <w:r>
        <w:rPr>
          <w:spacing w:val="3"/>
          <w:sz w:val="21"/>
          <w:szCs w:val="21"/>
        </w:rPr>
        <w:t>由于通信行业全程全网的特点以及多个专业网络共同协作才能完成一个完整</w:t>
      </w:r>
      <w:r>
        <w:rPr>
          <w:spacing w:val="2"/>
          <w:sz w:val="21"/>
          <w:szCs w:val="21"/>
        </w:rPr>
        <w:t>的业务过</w:t>
      </w:r>
      <w:r>
        <w:rPr>
          <w:sz w:val="21"/>
          <w:szCs w:val="21"/>
        </w:rPr>
        <w:t xml:space="preserve"> </w:t>
      </w:r>
      <w:r>
        <w:rPr>
          <w:spacing w:val="-2"/>
          <w:sz w:val="21"/>
          <w:szCs w:val="21"/>
        </w:rPr>
        <w:t>程，因此往往一个单独立项的项目并不能完成</w:t>
      </w:r>
      <w:r>
        <w:rPr>
          <w:spacing w:val="-3"/>
          <w:sz w:val="21"/>
          <w:szCs w:val="21"/>
        </w:rPr>
        <w:t>一个完整的业务过程。对于直接面向业务发展</w:t>
      </w:r>
      <w:r>
        <w:rPr>
          <w:sz w:val="21"/>
          <w:szCs w:val="21"/>
        </w:rPr>
        <w:t xml:space="preserve"> </w:t>
      </w:r>
      <w:r>
        <w:rPr>
          <w:spacing w:val="-3"/>
          <w:sz w:val="21"/>
          <w:szCs w:val="21"/>
        </w:rPr>
        <w:t>的项目如4G</w:t>
      </w:r>
      <w:r>
        <w:rPr>
          <w:spacing w:val="-40"/>
          <w:sz w:val="21"/>
          <w:szCs w:val="21"/>
        </w:rPr>
        <w:t xml:space="preserve"> </w:t>
      </w:r>
      <w:r>
        <w:rPr>
          <w:spacing w:val="-3"/>
          <w:sz w:val="21"/>
          <w:szCs w:val="21"/>
        </w:rPr>
        <w:t>无线网、集团客户专线接入、IDC</w:t>
      </w:r>
      <w:r>
        <w:rPr>
          <w:spacing w:val="-20"/>
          <w:sz w:val="21"/>
          <w:szCs w:val="21"/>
        </w:rPr>
        <w:t xml:space="preserve"> </w:t>
      </w:r>
      <w:r>
        <w:rPr>
          <w:spacing w:val="-3"/>
          <w:sz w:val="21"/>
          <w:szCs w:val="21"/>
        </w:rPr>
        <w:t>数据中心等等，在收入估算时可以根据本项目</w:t>
      </w:r>
      <w:r>
        <w:rPr>
          <w:sz w:val="21"/>
          <w:szCs w:val="21"/>
        </w:rPr>
        <w:t xml:space="preserve"> </w:t>
      </w:r>
      <w:r>
        <w:rPr>
          <w:spacing w:val="-2"/>
          <w:sz w:val="21"/>
          <w:szCs w:val="21"/>
        </w:rPr>
        <w:t>承载的业务，先估算本项目提供的业务总收</w:t>
      </w:r>
      <w:r>
        <w:rPr>
          <w:spacing w:val="-3"/>
          <w:sz w:val="21"/>
          <w:szCs w:val="21"/>
        </w:rPr>
        <w:t>入，然后根据项目收入与成本费用计算范围一致</w:t>
      </w:r>
    </w:p>
    <w:p>
      <w:pPr>
        <w:pStyle w:val="BodyText"/>
        <w:spacing w:line="219" w:lineRule="auto"/>
        <w:ind w:left="799"/>
        <w:rPr>
          <w:sz w:val="21"/>
          <w:szCs w:val="21"/>
        </w:rPr>
      </w:pPr>
      <w:r>
        <w:rPr>
          <w:spacing w:val="-5"/>
          <w:sz w:val="21"/>
          <w:szCs w:val="21"/>
        </w:rPr>
        <w:t>的原则，进行收入再分配。</w:t>
      </w:r>
    </w:p>
    <w:p>
      <w:pPr>
        <w:pStyle w:val="BodyText"/>
        <w:spacing w:before="229" w:line="218" w:lineRule="auto"/>
        <w:ind w:left="1220"/>
        <w:rPr>
          <w:sz w:val="21"/>
          <w:szCs w:val="21"/>
        </w:rPr>
      </w:pPr>
      <w:r>
        <w:rPr>
          <w:spacing w:val="-3"/>
          <w:sz w:val="21"/>
          <w:szCs w:val="21"/>
        </w:rPr>
        <w:t>项目收入估算可以按照以下步骤和方法测算：</w:t>
      </w:r>
    </w:p>
    <w:p>
      <w:pPr>
        <w:pStyle w:val="BodyText"/>
        <w:spacing w:before="201" w:line="494" w:lineRule="exact"/>
        <w:ind w:left="1223"/>
        <w:rPr>
          <w:sz w:val="21"/>
          <w:szCs w:val="21"/>
        </w:rPr>
      </w:pPr>
      <w:r>
        <w:rPr>
          <w:b/>
          <w:bCs/>
          <w:spacing w:val="-3"/>
          <w:position w:val="21"/>
          <w:sz w:val="21"/>
          <w:szCs w:val="21"/>
        </w:rPr>
        <w:t>第一步：</w:t>
      </w:r>
      <w:r>
        <w:rPr>
          <w:spacing w:val="-3"/>
          <w:position w:val="21"/>
          <w:sz w:val="21"/>
          <w:szCs w:val="21"/>
        </w:rPr>
        <w:t>根据“有无对比”原则，识别本项目所带来的增量收入，可采用业务量×资费</w:t>
      </w:r>
    </w:p>
    <w:p>
      <w:pPr>
        <w:pStyle w:val="BodyText"/>
        <w:spacing w:line="220" w:lineRule="auto"/>
        <w:ind w:left="1220"/>
        <w:rPr>
          <w:sz w:val="21"/>
          <w:szCs w:val="21"/>
        </w:rPr>
      </w:pPr>
      <w:r>
        <w:rPr>
          <w:spacing w:val="-5"/>
          <w:sz w:val="21"/>
          <w:szCs w:val="21"/>
        </w:rPr>
        <w:t>或用户×</w:t>
      </w:r>
      <w:r>
        <w:rPr>
          <w:rFonts w:ascii="Times New Roman" w:eastAsia="Times New Roman" w:hAnsi="Times New Roman" w:cs="Times New Roman"/>
          <w:spacing w:val="-5"/>
          <w:sz w:val="21"/>
          <w:szCs w:val="21"/>
        </w:rPr>
        <w:t>ARPU</w:t>
      </w:r>
      <w:r>
        <w:rPr>
          <w:spacing w:val="-5"/>
          <w:sz w:val="21"/>
          <w:szCs w:val="21"/>
        </w:rPr>
        <w:t>方法。</w:t>
      </w:r>
    </w:p>
    <w:p>
      <w:pPr>
        <w:spacing w:line="220" w:lineRule="auto"/>
        <w:sectPr>
          <w:headerReference w:type="default" r:id="rId37"/>
          <w:footerReference w:type="default" r:id="rId38"/>
          <w:pgSz w:w="11910" w:h="16840"/>
          <w:pgMar w:top="400" w:right="1019" w:bottom="1182" w:left="989" w:header="0" w:footer="969" w:gutter="0"/>
          <w:pgNumType w:start="15"/>
          <w:cols w:space="708"/>
        </w:sectPr>
      </w:pPr>
    </w:p>
    <w:p>
      <w:pPr>
        <w:spacing w:before="193"/>
      </w:pPr>
    </w:p>
    <w:tbl>
      <w:tblPr>
        <w:tblStyle w:val="TableNormal1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69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20" w:type="dxa"/>
            <w:tcBorders>
              <w:left w:val="nil"/>
            </w:tcBorders>
          </w:tcPr>
          <w:p>
            <w:pPr>
              <w:pStyle w:val="TableText"/>
              <w:spacing w:before="51" w:line="215" w:lineRule="auto"/>
              <w:ind w:left="123"/>
            </w:pPr>
            <w:bookmarkStart w:id="16" w:name="bookmark18"/>
            <w:bookmarkStart w:id="17" w:name="bookmark17"/>
            <w:bookmarkEnd w:id="16"/>
            <w:bookmarkEnd w:id="17"/>
            <w:r>
              <w:rPr>
                <w:b/>
                <w:bCs/>
                <w:spacing w:val="-5"/>
              </w:rPr>
              <w:t>编号：</w:t>
            </w:r>
          </w:p>
          <w:p>
            <w:pPr>
              <w:pStyle w:val="TableText"/>
              <w:spacing w:line="219" w:lineRule="auto"/>
              <w:ind w:left="143"/>
            </w:pPr>
            <w:r>
              <w:rPr>
                <w:b/>
                <w:bCs/>
              </w:rPr>
              <w:t>时间：2021年x月x日</w:t>
            </w:r>
          </w:p>
        </w:tc>
        <w:tc>
          <w:tcPr>
            <w:tcW w:w="4690" w:type="dxa"/>
          </w:tcPr>
          <w:p>
            <w:pPr>
              <w:spacing w:line="250" w:lineRule="auto"/>
            </w:pPr>
          </w:p>
          <w:p>
            <w:pPr>
              <w:pStyle w:val="TableText"/>
              <w:spacing w:before="78" w:line="219" w:lineRule="auto"/>
              <w:ind w:left="278"/>
            </w:pPr>
            <w:r>
              <w:rPr>
                <w:b/>
                <w:bCs/>
                <w:color w:val="F30000"/>
                <w:spacing w:val="-4"/>
              </w:rPr>
              <w:t>书山有路勤为径，学海无涯苦作舟</w:t>
            </w:r>
          </w:p>
        </w:tc>
        <w:tc>
          <w:tcPr>
            <w:tcW w:w="2690" w:type="dxa"/>
            <w:tcBorders>
              <w:right w:val="nil"/>
            </w:tcBorders>
          </w:tcPr>
          <w:p>
            <w:pPr>
              <w:spacing w:line="252" w:lineRule="auto"/>
            </w:pPr>
          </w:p>
          <w:p>
            <w:pPr>
              <w:pStyle w:val="TableText"/>
              <w:spacing w:before="78" w:line="219" w:lineRule="auto"/>
              <w:ind w:left="128"/>
            </w:pPr>
            <w:r>
              <w:rPr>
                <w:b/>
                <w:bCs/>
                <w:spacing w:val="-2"/>
              </w:rPr>
              <w:t>页码：第12页共70页</w:t>
            </w:r>
          </w:p>
        </w:tc>
      </w:tr>
    </w:tbl>
    <w:p>
      <w:pPr>
        <w:spacing w:line="304" w:lineRule="auto"/>
      </w:pPr>
    </w:p>
    <w:p>
      <w:pPr>
        <w:pStyle w:val="BodyText"/>
        <w:spacing w:before="68" w:line="406" w:lineRule="auto"/>
        <w:ind w:left="809" w:right="802" w:firstLine="420"/>
        <w:rPr>
          <w:sz w:val="21"/>
          <w:szCs w:val="21"/>
        </w:rPr>
      </w:pPr>
      <w:r>
        <w:rPr>
          <w:spacing w:val="-3"/>
          <w:sz w:val="21"/>
          <w:szCs w:val="21"/>
        </w:rPr>
        <w:t>分析本项目直接满足的业务，根据“有无对比”的原则，首先分析有项目时该业务的业</w:t>
      </w:r>
      <w:r>
        <w:rPr>
          <w:sz w:val="21"/>
          <w:szCs w:val="21"/>
        </w:rPr>
        <w:t xml:space="preserve"> </w:t>
      </w:r>
      <w:r>
        <w:rPr>
          <w:spacing w:val="3"/>
          <w:sz w:val="21"/>
          <w:szCs w:val="21"/>
        </w:rPr>
        <w:t>务量及资费(或用户数与</w:t>
      </w:r>
      <w:r>
        <w:rPr>
          <w:rFonts w:ascii="Times New Roman" w:eastAsia="Times New Roman" w:hAnsi="Times New Roman" w:cs="Times New Roman"/>
          <w:sz w:val="21"/>
          <w:szCs w:val="21"/>
        </w:rPr>
        <w:t>ARPU</w:t>
      </w:r>
      <w:r>
        <w:rPr>
          <w:rFonts w:ascii="Times New Roman" w:eastAsia="Times New Roman" w:hAnsi="Times New Roman" w:cs="Times New Roman"/>
          <w:spacing w:val="3"/>
          <w:sz w:val="21"/>
          <w:szCs w:val="21"/>
        </w:rPr>
        <w:t xml:space="preserve">),     </w:t>
      </w:r>
      <w:r>
        <w:rPr>
          <w:spacing w:val="3"/>
          <w:sz w:val="21"/>
          <w:szCs w:val="21"/>
        </w:rPr>
        <w:t xml:space="preserve">测算有项目时的收入 </w:t>
      </w:r>
      <w:r>
        <w:rPr>
          <w:rFonts w:ascii="Times New Roman" w:eastAsia="Times New Roman" w:hAnsi="Times New Roman" w:cs="Times New Roman"/>
          <w:spacing w:val="3"/>
          <w:sz w:val="21"/>
          <w:szCs w:val="21"/>
        </w:rPr>
        <w:t>(a)</w:t>
      </w:r>
      <w:r>
        <w:rPr>
          <w:rFonts w:ascii="Times New Roman" w:eastAsia="Times New Roman" w:hAnsi="Times New Roman" w:cs="Times New Roman"/>
          <w:spacing w:val="-24"/>
          <w:sz w:val="21"/>
          <w:szCs w:val="21"/>
        </w:rPr>
        <w:t xml:space="preserve"> </w:t>
      </w:r>
      <w:r>
        <w:rPr>
          <w:spacing w:val="3"/>
          <w:sz w:val="21"/>
          <w:szCs w:val="21"/>
        </w:rPr>
        <w:t>。  然后分析无项目时该</w:t>
      </w:r>
      <w:r>
        <w:rPr>
          <w:spacing w:val="2"/>
          <w:sz w:val="21"/>
          <w:szCs w:val="21"/>
        </w:rPr>
        <w:t>业务</w:t>
      </w:r>
      <w:r>
        <w:rPr>
          <w:sz w:val="21"/>
          <w:szCs w:val="21"/>
        </w:rPr>
        <w:t xml:space="preserve"> </w:t>
      </w:r>
      <w:r>
        <w:rPr>
          <w:spacing w:val="1"/>
          <w:sz w:val="21"/>
          <w:szCs w:val="21"/>
        </w:rPr>
        <w:t>的业务量及资费(或用户数与</w:t>
      </w:r>
      <w:r>
        <w:rPr>
          <w:rFonts w:ascii="Times New Roman" w:eastAsia="Times New Roman" w:hAnsi="Times New Roman" w:cs="Times New Roman"/>
          <w:sz w:val="21"/>
          <w:szCs w:val="21"/>
        </w:rPr>
        <w:t>ARPU</w:t>
      </w:r>
      <w:r>
        <w:rPr>
          <w:rFonts w:ascii="Times New Roman" w:eastAsia="Times New Roman" w:hAnsi="Times New Roman" w:cs="Times New Roman"/>
          <w:spacing w:val="1"/>
          <w:sz w:val="21"/>
          <w:szCs w:val="21"/>
        </w:rPr>
        <w:t xml:space="preserve">),    </w:t>
      </w:r>
      <w:r>
        <w:rPr>
          <w:spacing w:val="1"/>
          <w:sz w:val="21"/>
          <w:szCs w:val="21"/>
        </w:rPr>
        <w:t>测算无项目时的收入</w:t>
      </w:r>
      <w:r>
        <w:rPr>
          <w:spacing w:val="-37"/>
          <w:sz w:val="21"/>
          <w:szCs w:val="21"/>
        </w:rPr>
        <w:t xml:space="preserve"> </w:t>
      </w:r>
      <w:r>
        <w:rPr>
          <w:rFonts w:ascii="Times New Roman" w:eastAsia="Times New Roman" w:hAnsi="Times New Roman" w:cs="Times New Roman"/>
          <w:spacing w:val="1"/>
          <w:sz w:val="21"/>
          <w:szCs w:val="21"/>
        </w:rPr>
        <w:t>(a₂)</w:t>
      </w:r>
      <w:r>
        <w:rPr>
          <w:rFonts w:ascii="Times New Roman" w:eastAsia="Times New Roman" w:hAnsi="Times New Roman" w:cs="Times New Roman"/>
          <w:spacing w:val="-24"/>
          <w:sz w:val="21"/>
          <w:szCs w:val="21"/>
        </w:rPr>
        <w:t xml:space="preserve"> </w:t>
      </w:r>
      <w:r>
        <w:rPr>
          <w:spacing w:val="1"/>
          <w:sz w:val="21"/>
          <w:szCs w:val="21"/>
        </w:rPr>
        <w:t>。</w:t>
      </w:r>
      <w:r>
        <w:rPr>
          <w:spacing w:val="58"/>
          <w:sz w:val="21"/>
          <w:szCs w:val="21"/>
        </w:rPr>
        <w:t xml:space="preserve"> </w:t>
      </w:r>
      <w:r>
        <w:rPr>
          <w:spacing w:val="1"/>
          <w:sz w:val="21"/>
          <w:szCs w:val="21"/>
        </w:rPr>
        <w:t>则</w:t>
      </w:r>
      <w:r>
        <w:rPr>
          <w:rFonts w:ascii="Times New Roman" w:eastAsia="Times New Roman" w:hAnsi="Times New Roman" w:cs="Times New Roman"/>
          <w:spacing w:val="1"/>
          <w:sz w:val="21"/>
          <w:szCs w:val="21"/>
        </w:rPr>
        <w:t xml:space="preserve">a₁-a₂    </w:t>
      </w:r>
      <w:r>
        <w:rPr>
          <w:spacing w:val="1"/>
          <w:sz w:val="21"/>
          <w:szCs w:val="21"/>
        </w:rPr>
        <w:t>即为本项目的</w:t>
      </w:r>
    </w:p>
    <w:p>
      <w:pPr>
        <w:pStyle w:val="BodyText"/>
        <w:spacing w:line="212" w:lineRule="auto"/>
        <w:ind w:left="809"/>
        <w:rPr>
          <w:sz w:val="21"/>
          <w:szCs w:val="21"/>
        </w:rPr>
      </w:pPr>
      <w:r>
        <w:rPr>
          <w:sz w:val="21"/>
          <w:szCs w:val="21"/>
        </w:rPr>
        <w:t>收入</w:t>
      </w:r>
      <w:r>
        <w:rPr>
          <w:spacing w:val="-34"/>
          <w:sz w:val="21"/>
          <w:szCs w:val="21"/>
        </w:rPr>
        <w:t xml:space="preserve"> </w:t>
      </w:r>
      <w:r>
        <w:rPr>
          <w:rFonts w:ascii="Times New Roman" w:eastAsia="Times New Roman" w:hAnsi="Times New Roman" w:cs="Times New Roman"/>
          <w:sz w:val="21"/>
          <w:szCs w:val="21"/>
        </w:rPr>
        <w:t>(ao)</w:t>
      </w:r>
      <w:r>
        <w:rPr>
          <w:sz w:val="21"/>
          <w:szCs w:val="21"/>
        </w:rPr>
        <w:t>。</w:t>
      </w:r>
    </w:p>
    <w:p>
      <w:pPr>
        <w:pStyle w:val="BodyText"/>
        <w:spacing w:before="238" w:line="212" w:lineRule="auto"/>
        <w:ind w:left="1233"/>
        <w:rPr>
          <w:sz w:val="21"/>
          <w:szCs w:val="21"/>
        </w:rPr>
      </w:pPr>
      <w:r>
        <w:rPr>
          <w:b/>
          <w:bCs/>
          <w:spacing w:val="-2"/>
          <w:sz w:val="21"/>
          <w:szCs w:val="21"/>
        </w:rPr>
        <w:t>第二步：</w:t>
      </w:r>
      <w:r>
        <w:rPr>
          <w:spacing w:val="-2"/>
          <w:sz w:val="21"/>
          <w:szCs w:val="21"/>
        </w:rPr>
        <w:t xml:space="preserve"> 测算收入再分配系数 </w:t>
      </w:r>
      <w:r>
        <w:rPr>
          <w:rFonts w:ascii="Times New Roman" w:eastAsia="Times New Roman" w:hAnsi="Times New Roman" w:cs="Times New Roman"/>
          <w:spacing w:val="-2"/>
          <w:sz w:val="21"/>
          <w:szCs w:val="21"/>
        </w:rPr>
        <w:t xml:space="preserve">(f),      </w:t>
      </w:r>
      <w:r>
        <w:rPr>
          <w:spacing w:val="-2"/>
          <w:sz w:val="21"/>
          <w:szCs w:val="21"/>
        </w:rPr>
        <w:t>用</w:t>
      </w:r>
      <w:r>
        <w:rPr>
          <w:rFonts w:ascii="Times New Roman" w:eastAsia="Times New Roman" w:hAnsi="Times New Roman" w:cs="Times New Roman"/>
          <w:spacing w:val="-2"/>
          <w:sz w:val="21"/>
          <w:szCs w:val="21"/>
        </w:rPr>
        <w:t xml:space="preserve">ao×f </w:t>
      </w:r>
      <w:r>
        <w:rPr>
          <w:spacing w:val="-2"/>
          <w:sz w:val="21"/>
          <w:szCs w:val="21"/>
        </w:rPr>
        <w:t>即得到本项目的再分配收</w:t>
      </w:r>
      <w:r>
        <w:rPr>
          <w:spacing w:val="-3"/>
          <w:sz w:val="21"/>
          <w:szCs w:val="21"/>
        </w:rPr>
        <w:t>入</w:t>
      </w:r>
      <w:r>
        <w:rPr>
          <w:spacing w:val="-35"/>
          <w:sz w:val="21"/>
          <w:szCs w:val="21"/>
        </w:rPr>
        <w:t xml:space="preserve"> </w:t>
      </w:r>
      <w:r>
        <w:rPr>
          <w:rFonts w:ascii="Times New Roman" w:eastAsia="Times New Roman" w:hAnsi="Times New Roman" w:cs="Times New Roman"/>
          <w:spacing w:val="-3"/>
          <w:sz w:val="21"/>
          <w:szCs w:val="21"/>
        </w:rPr>
        <w:t>(a)</w:t>
      </w:r>
      <w:r>
        <w:rPr>
          <w:spacing w:val="-3"/>
          <w:sz w:val="21"/>
          <w:szCs w:val="21"/>
        </w:rPr>
        <w:t>。</w:t>
      </w:r>
    </w:p>
    <w:p>
      <w:pPr>
        <w:pStyle w:val="BodyText"/>
        <w:spacing w:before="232" w:line="413" w:lineRule="auto"/>
        <w:ind w:left="809" w:right="745" w:firstLine="420"/>
        <w:rPr>
          <w:sz w:val="21"/>
          <w:szCs w:val="21"/>
        </w:rPr>
      </w:pPr>
      <w:r>
        <w:rPr>
          <w:spacing w:val="-1"/>
          <w:sz w:val="21"/>
          <w:szCs w:val="21"/>
        </w:rPr>
        <w:t>根据本项目所直接承载的业务，分析该业务</w:t>
      </w:r>
      <w:r>
        <w:rPr>
          <w:spacing w:val="-2"/>
          <w:sz w:val="21"/>
          <w:szCs w:val="21"/>
        </w:rPr>
        <w:t>完整的生产过程所占用的各专业网络资源，</w:t>
      </w:r>
      <w:r>
        <w:rPr>
          <w:sz w:val="21"/>
          <w:szCs w:val="21"/>
        </w:rPr>
        <w:t xml:space="preserve"> </w:t>
      </w:r>
      <w:r>
        <w:rPr>
          <w:spacing w:val="-3"/>
          <w:sz w:val="21"/>
          <w:szCs w:val="21"/>
        </w:rPr>
        <w:t>并将其视为一个整体，计算本项目投资占该整体投资的比例，并以此为依据计算本项目的收</w:t>
      </w:r>
    </w:p>
    <w:p>
      <w:pPr>
        <w:pStyle w:val="BodyText"/>
        <w:spacing w:before="1" w:line="219" w:lineRule="auto"/>
        <w:ind w:left="809"/>
        <w:rPr>
          <w:sz w:val="21"/>
          <w:szCs w:val="21"/>
        </w:rPr>
      </w:pPr>
      <w:r>
        <w:rPr>
          <w:spacing w:val="-5"/>
          <w:sz w:val="21"/>
          <w:szCs w:val="21"/>
        </w:rPr>
        <w:t>入再分配系数。</w:t>
      </w:r>
    </w:p>
    <w:p>
      <w:pPr>
        <w:pStyle w:val="BodyText"/>
        <w:spacing w:before="227" w:line="405" w:lineRule="auto"/>
        <w:ind w:left="809" w:right="793" w:firstLine="420"/>
        <w:rPr>
          <w:sz w:val="21"/>
          <w:szCs w:val="21"/>
        </w:rPr>
      </w:pPr>
      <w:r>
        <w:rPr>
          <w:spacing w:val="-3"/>
          <w:sz w:val="21"/>
          <w:szCs w:val="21"/>
        </w:rPr>
        <w:t>对于不直接面向业务的投资项目如传输管道、通信局房等项目，可以根据本项目提供的</w:t>
      </w:r>
      <w:r>
        <w:rPr>
          <w:spacing w:val="9"/>
          <w:sz w:val="21"/>
          <w:szCs w:val="21"/>
        </w:rPr>
        <w:t xml:space="preserve"> </w:t>
      </w:r>
      <w:r>
        <w:rPr>
          <w:spacing w:val="-3"/>
          <w:sz w:val="21"/>
          <w:szCs w:val="21"/>
        </w:rPr>
        <w:t>网络容量和利用率，再通过类比法估计资费，计算项目的总收入。在计算项目总收入时通过</w:t>
      </w:r>
      <w:r>
        <w:rPr>
          <w:spacing w:val="7"/>
          <w:sz w:val="21"/>
          <w:szCs w:val="21"/>
        </w:rPr>
        <w:t xml:space="preserve"> </w:t>
      </w:r>
      <w:r>
        <w:rPr>
          <w:spacing w:val="-4"/>
          <w:sz w:val="21"/>
          <w:szCs w:val="21"/>
        </w:rPr>
        <w:t>类比法得到的资费应与本项目的建设内容相匹配。如果本项目的建设内容无法形成对外提供</w:t>
      </w:r>
      <w:r>
        <w:rPr>
          <w:spacing w:val="16"/>
          <w:sz w:val="21"/>
          <w:szCs w:val="21"/>
        </w:rPr>
        <w:t xml:space="preserve"> </w:t>
      </w:r>
      <w:r>
        <w:rPr>
          <w:spacing w:val="-3"/>
          <w:sz w:val="21"/>
          <w:szCs w:val="21"/>
        </w:rPr>
        <w:t>服务的完整产品，则需要进行收入再分配，收入再分配系</w:t>
      </w:r>
      <w:r>
        <w:rPr>
          <w:spacing w:val="-4"/>
          <w:sz w:val="21"/>
          <w:szCs w:val="21"/>
        </w:rPr>
        <w:t>数的测算方法同上。无法采用类比</w:t>
      </w:r>
    </w:p>
    <w:p>
      <w:pPr>
        <w:pStyle w:val="BodyText"/>
        <w:spacing w:before="1" w:line="219" w:lineRule="auto"/>
        <w:ind w:left="809"/>
        <w:rPr>
          <w:sz w:val="21"/>
          <w:szCs w:val="21"/>
        </w:rPr>
      </w:pPr>
      <w:r>
        <w:rPr>
          <w:spacing w:val="-4"/>
          <w:sz w:val="21"/>
          <w:szCs w:val="21"/>
        </w:rPr>
        <w:t>法的项目，分析思路同直接面向业务的项目。</w:t>
      </w:r>
    </w:p>
    <w:p>
      <w:pPr>
        <w:spacing w:line="448" w:lineRule="auto"/>
      </w:pPr>
    </w:p>
    <w:p>
      <w:pPr>
        <w:pStyle w:val="BodyText"/>
        <w:spacing w:before="68" w:line="222" w:lineRule="auto"/>
        <w:ind w:left="1400"/>
        <w:rPr>
          <w:rFonts w:ascii="黑体" w:eastAsia="黑体" w:hAnsi="黑体" w:cs="黑体"/>
          <w:sz w:val="21"/>
          <w:szCs w:val="21"/>
        </w:rPr>
      </w:pPr>
      <w:r>
        <w:rPr>
          <w:spacing w:val="-6"/>
          <w:sz w:val="21"/>
          <w:szCs w:val="21"/>
        </w:rPr>
        <w:t>3.3</w:t>
      </w:r>
      <w:r>
        <w:rPr>
          <w:spacing w:val="29"/>
          <w:sz w:val="21"/>
          <w:szCs w:val="21"/>
        </w:rPr>
        <w:t xml:space="preserve">   </w:t>
      </w:r>
      <w:r>
        <w:rPr>
          <w:rFonts w:ascii="黑体" w:eastAsia="黑体" w:hAnsi="黑体" w:cs="黑体"/>
          <w:spacing w:val="-6"/>
          <w:sz w:val="21"/>
          <w:szCs w:val="21"/>
        </w:rPr>
        <w:t>项目成本费用估算</w:t>
      </w:r>
    </w:p>
    <w:p>
      <w:pPr>
        <w:spacing w:line="417" w:lineRule="auto"/>
      </w:pPr>
    </w:p>
    <w:p>
      <w:pPr>
        <w:pStyle w:val="BodyText"/>
        <w:spacing w:before="69" w:line="481" w:lineRule="exact"/>
        <w:ind w:left="1230"/>
        <w:rPr>
          <w:sz w:val="21"/>
          <w:szCs w:val="21"/>
        </w:rPr>
      </w:pPr>
      <w:r>
        <w:rPr>
          <w:spacing w:val="-3"/>
          <w:position w:val="20"/>
          <w:sz w:val="21"/>
          <w:szCs w:val="21"/>
        </w:rPr>
        <w:t>从现金流的角度分析，项目成本费用主要包括总投资、经营成本、税金等，其中总投资</w:t>
      </w:r>
    </w:p>
    <w:p>
      <w:pPr>
        <w:pStyle w:val="BodyText"/>
        <w:spacing w:line="220" w:lineRule="auto"/>
        <w:ind w:left="809"/>
        <w:rPr>
          <w:sz w:val="21"/>
          <w:szCs w:val="21"/>
        </w:rPr>
      </w:pPr>
      <w:r>
        <w:rPr>
          <w:spacing w:val="-3"/>
          <w:sz w:val="21"/>
          <w:szCs w:val="21"/>
        </w:rPr>
        <w:t>包括建设投资、建设期利息和流动资金。</w:t>
      </w:r>
    </w:p>
    <w:p>
      <w:pPr>
        <w:spacing w:line="443" w:lineRule="auto"/>
      </w:pPr>
    </w:p>
    <w:p>
      <w:pPr>
        <w:spacing w:before="69" w:line="222" w:lineRule="auto"/>
        <w:ind w:left="2512"/>
        <w:outlineLvl w:val="2"/>
        <w:rPr>
          <w:rFonts w:ascii="黑体" w:eastAsia="黑体" w:hAnsi="黑体" w:cs="黑体"/>
        </w:rPr>
      </w:pPr>
      <w:r>
        <w:rPr>
          <w:rFonts w:ascii="黑体" w:eastAsia="黑体" w:hAnsi="黑体" w:cs="黑体"/>
          <w:b/>
          <w:bCs/>
          <w:spacing w:val="-9"/>
          <w:sz w:val="21"/>
          <w:szCs w:val="21"/>
        </w:rPr>
        <w:t>3.3.1</w:t>
      </w:r>
      <w:r>
        <w:rPr>
          <w:rFonts w:ascii="黑体" w:eastAsia="黑体" w:hAnsi="黑体" w:cs="黑体"/>
          <w:spacing w:val="4"/>
          <w:sz w:val="21"/>
          <w:szCs w:val="21"/>
        </w:rPr>
        <w:t xml:space="preserve">   </w:t>
      </w:r>
      <w:r>
        <w:rPr>
          <w:rFonts w:ascii="黑体" w:eastAsia="黑体" w:hAnsi="黑体" w:cs="黑体"/>
          <w:b/>
          <w:bCs/>
          <w:spacing w:val="-9"/>
          <w:sz w:val="21"/>
          <w:szCs w:val="21"/>
        </w:rPr>
        <w:t>建设投资</w:t>
      </w:r>
    </w:p>
    <w:p>
      <w:pPr>
        <w:spacing w:line="389" w:lineRule="auto"/>
      </w:pPr>
    </w:p>
    <w:p>
      <w:pPr>
        <w:pStyle w:val="BodyText"/>
        <w:spacing w:before="69" w:line="413" w:lineRule="auto"/>
        <w:ind w:left="809" w:right="800" w:firstLine="420"/>
        <w:jc w:val="both"/>
        <w:rPr>
          <w:sz w:val="21"/>
          <w:szCs w:val="21"/>
        </w:rPr>
      </w:pPr>
      <w:r>
        <w:rPr>
          <w:spacing w:val="-3"/>
          <w:sz w:val="21"/>
          <w:szCs w:val="21"/>
        </w:rPr>
        <w:t>建设投资估算应在给定的建设规模、产品方案和工程技术方案的基础上，估算项目建设</w:t>
      </w:r>
      <w:r>
        <w:rPr>
          <w:spacing w:val="2"/>
          <w:sz w:val="21"/>
          <w:szCs w:val="21"/>
        </w:rPr>
        <w:t xml:space="preserve"> </w:t>
      </w:r>
      <w:r>
        <w:rPr>
          <w:spacing w:val="-6"/>
          <w:sz w:val="21"/>
          <w:szCs w:val="21"/>
        </w:rPr>
        <w:t>所需的费用。</w:t>
      </w:r>
      <w:r>
        <w:rPr>
          <w:spacing w:val="41"/>
          <w:sz w:val="21"/>
          <w:szCs w:val="21"/>
        </w:rPr>
        <w:t xml:space="preserve"> </w:t>
      </w:r>
      <w:r>
        <w:rPr>
          <w:spacing w:val="-6"/>
          <w:sz w:val="21"/>
          <w:szCs w:val="21"/>
        </w:rPr>
        <w:t>一般建设投资包括主设备费、配套设</w:t>
      </w:r>
      <w:r>
        <w:rPr>
          <w:spacing w:val="-7"/>
          <w:sz w:val="21"/>
          <w:szCs w:val="21"/>
        </w:rPr>
        <w:t>备费、工程建设其他费等。在中国移动建</w:t>
      </w:r>
    </w:p>
    <w:p>
      <w:pPr>
        <w:pStyle w:val="BodyText"/>
        <w:spacing w:before="1" w:line="217" w:lineRule="auto"/>
        <w:ind w:left="809"/>
        <w:rPr>
          <w:sz w:val="21"/>
          <w:szCs w:val="21"/>
        </w:rPr>
      </w:pPr>
      <w:r>
        <w:rPr>
          <w:spacing w:val="-5"/>
          <w:sz w:val="21"/>
          <w:szCs w:val="21"/>
        </w:rPr>
        <w:t>设项目可行性研究报告中，建设投资一般由各专业网络投</w:t>
      </w:r>
      <w:r>
        <w:rPr>
          <w:spacing w:val="-6"/>
          <w:sz w:val="21"/>
          <w:szCs w:val="21"/>
        </w:rPr>
        <w:t>资估算确定，作为经济评价的输入。</w:t>
      </w:r>
    </w:p>
    <w:p>
      <w:pPr>
        <w:pStyle w:val="BodyText"/>
        <w:spacing w:before="222" w:line="414" w:lineRule="auto"/>
        <w:ind w:left="809" w:right="784" w:firstLine="420"/>
        <w:jc w:val="both"/>
        <w:rPr>
          <w:sz w:val="21"/>
          <w:szCs w:val="21"/>
        </w:rPr>
      </w:pPr>
      <w:r>
        <w:rPr>
          <w:spacing w:val="-3"/>
          <w:sz w:val="21"/>
          <w:szCs w:val="21"/>
        </w:rPr>
        <w:t>建设投资一般形成固定资产原值和无形资产原值。项目评价中构成固定资产原值的费用</w:t>
      </w:r>
      <w:r>
        <w:rPr>
          <w:spacing w:val="18"/>
          <w:sz w:val="21"/>
          <w:szCs w:val="21"/>
        </w:rPr>
        <w:t xml:space="preserve"> </w:t>
      </w:r>
      <w:r>
        <w:rPr>
          <w:spacing w:val="-7"/>
          <w:sz w:val="21"/>
          <w:szCs w:val="21"/>
        </w:rPr>
        <w:t>包括工程费、工程建设其他费、预备费和建设期利息；</w:t>
      </w:r>
      <w:r>
        <w:rPr>
          <w:spacing w:val="59"/>
          <w:sz w:val="21"/>
          <w:szCs w:val="21"/>
        </w:rPr>
        <w:t xml:space="preserve"> </w:t>
      </w:r>
      <w:r>
        <w:rPr>
          <w:spacing w:val="-7"/>
          <w:sz w:val="21"/>
          <w:szCs w:val="21"/>
        </w:rPr>
        <w:t>一些</w:t>
      </w:r>
      <w:r>
        <w:rPr>
          <w:spacing w:val="-8"/>
          <w:sz w:val="21"/>
          <w:szCs w:val="21"/>
        </w:rPr>
        <w:t>软件费和系统集成费可能形成固</w:t>
      </w:r>
      <w:r>
        <w:rPr>
          <w:sz w:val="21"/>
          <w:szCs w:val="21"/>
        </w:rPr>
        <w:t xml:space="preserve"> </w:t>
      </w:r>
      <w:r>
        <w:rPr>
          <w:spacing w:val="-5"/>
          <w:sz w:val="21"/>
          <w:szCs w:val="21"/>
        </w:rPr>
        <w:t>定资产也可能形成无形资产，具体根据中国移动《软件资产财务管理办法》(中移财[2008]73</w:t>
      </w:r>
    </w:p>
    <w:p>
      <w:pPr>
        <w:pStyle w:val="BodyText"/>
        <w:spacing w:line="220" w:lineRule="auto"/>
        <w:ind w:left="809"/>
        <w:rPr>
          <w:sz w:val="21"/>
          <w:szCs w:val="21"/>
        </w:rPr>
      </w:pPr>
      <w:r>
        <w:rPr>
          <w:spacing w:val="6"/>
          <w:sz w:val="21"/>
          <w:szCs w:val="21"/>
        </w:rPr>
        <w:t>号文)确定。</w:t>
      </w:r>
    </w:p>
    <w:p>
      <w:pPr>
        <w:pStyle w:val="BodyText"/>
        <w:spacing w:before="207" w:line="218" w:lineRule="auto"/>
        <w:ind w:left="1230"/>
        <w:rPr>
          <w:sz w:val="21"/>
          <w:szCs w:val="21"/>
        </w:rPr>
        <w:sectPr>
          <w:headerReference w:type="default" r:id="rId39"/>
          <w:footerReference w:type="default" r:id="rId40"/>
          <w:pgSz w:w="11910" w:h="16840"/>
          <w:pgMar w:top="400" w:right="1019" w:bottom="1211" w:left="989" w:header="0" w:footer="962" w:gutter="0"/>
          <w:pgNumType w:start="16"/>
          <w:cols w:space="708"/>
        </w:sectPr>
      </w:pPr>
      <w:r>
        <w:rPr>
          <w:spacing w:val="-2"/>
          <w:sz w:val="21"/>
          <w:szCs w:val="21"/>
        </w:rPr>
        <w:t>建设投资估算完成后应制订分年度的投资计划。</w:t>
      </w:r>
    </w:p>
    <w:p>
      <w:pPr>
        <w:pStyle w:val="BodyText"/>
        <w:spacing w:before="234" w:line="219" w:lineRule="auto"/>
        <w:ind w:left="1230"/>
        <w:rPr>
          <w:sz w:val="21"/>
          <w:szCs w:val="21"/>
        </w:rPr>
      </w:pPr>
      <w:r>
        <w:rPr>
          <w:spacing w:val="-3"/>
          <w:sz w:val="21"/>
          <w:szCs w:val="21"/>
        </w:rPr>
        <w:t>计算期末固定资产余值应作为固定资产投资的一部分收回。固定资产余值包括固定资产</w:t>
      </w:r>
    </w:p>
    <w:p>
      <w:pPr>
        <w:spacing w:line="219" w:lineRule="auto"/>
        <w:sectPr>
          <w:headerReference w:type="default" r:id="rId41"/>
          <w:footerReference w:type="default" r:id="rId42"/>
          <w:type w:val="nextPage"/>
          <w:pgSz w:w="11910" w:h="16840"/>
          <w:pgMar w:top="400" w:right="1019" w:bottom="1211" w:left="989" w:header="0" w:footer="962" w:gutter="0"/>
          <w:pgNumType w:start="17"/>
          <w:cols w:space="708"/>
          <w:titlePg w:val="0"/>
        </w:sectPr>
      </w:pPr>
    </w:p>
    <w:p>
      <w:pPr>
        <w:spacing w:before="193"/>
      </w:pPr>
    </w:p>
    <w:tbl>
      <w:tblPr>
        <w:tblStyle w:val="TableNormal12"/>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80"/>
        <w:gridCol w:w="271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51" w:line="215" w:lineRule="auto"/>
              <w:ind w:left="123"/>
            </w:pPr>
            <w:bookmarkStart w:id="18" w:name="bookmark19"/>
            <w:bookmarkEnd w:id="18"/>
            <w:r>
              <w:rPr>
                <w:b/>
                <w:bCs/>
                <w:spacing w:val="-5"/>
              </w:rPr>
              <w:t>编号：</w:t>
            </w:r>
          </w:p>
          <w:p>
            <w:pPr>
              <w:pStyle w:val="TableText"/>
              <w:spacing w:line="219" w:lineRule="auto"/>
              <w:ind w:left="143"/>
            </w:pPr>
            <w:r>
              <w:rPr>
                <w:b/>
                <w:bCs/>
              </w:rPr>
              <w:t>时间：2021年x月x日</w:t>
            </w:r>
          </w:p>
        </w:tc>
        <w:tc>
          <w:tcPr>
            <w:tcW w:w="4680" w:type="dxa"/>
          </w:tcPr>
          <w:p>
            <w:pPr>
              <w:spacing w:line="250" w:lineRule="auto"/>
            </w:pPr>
          </w:p>
          <w:p>
            <w:pPr>
              <w:pStyle w:val="TableText"/>
              <w:spacing w:before="78" w:line="219" w:lineRule="auto"/>
              <w:ind w:left="268"/>
            </w:pPr>
            <w:r>
              <w:rPr>
                <w:b/>
                <w:bCs/>
                <w:color w:val="F40000"/>
                <w:spacing w:val="-4"/>
              </w:rPr>
              <w:t>书山有路勤为径，学海无涯苦作舟</w:t>
            </w:r>
          </w:p>
        </w:tc>
        <w:tc>
          <w:tcPr>
            <w:tcW w:w="2710" w:type="dxa"/>
            <w:tcBorders>
              <w:right w:val="nil"/>
            </w:tcBorders>
          </w:tcPr>
          <w:p>
            <w:pPr>
              <w:spacing w:line="252" w:lineRule="auto"/>
            </w:pPr>
          </w:p>
          <w:p>
            <w:pPr>
              <w:pStyle w:val="TableText"/>
              <w:spacing w:before="78" w:line="219" w:lineRule="auto"/>
              <w:ind w:left="128"/>
            </w:pPr>
            <w:r>
              <w:rPr>
                <w:b/>
                <w:bCs/>
                <w:spacing w:val="-2"/>
              </w:rPr>
              <w:t>页码：第13页共70页</w:t>
            </w:r>
          </w:p>
        </w:tc>
      </w:tr>
    </w:tbl>
    <w:p>
      <w:pPr>
        <w:spacing w:line="313" w:lineRule="auto"/>
      </w:pPr>
    </w:p>
    <w:p>
      <w:pPr>
        <w:pStyle w:val="BodyText"/>
        <w:spacing w:before="68" w:line="219" w:lineRule="auto"/>
        <w:ind w:left="799"/>
        <w:rPr>
          <w:sz w:val="21"/>
          <w:szCs w:val="21"/>
        </w:rPr>
      </w:pPr>
      <w:r>
        <w:rPr>
          <w:spacing w:val="-2"/>
          <w:sz w:val="21"/>
          <w:szCs w:val="21"/>
        </w:rPr>
        <w:t>净残值和生产期末未提完折旧的固定资产净值。</w:t>
      </w:r>
    </w:p>
    <w:p>
      <w:pPr>
        <w:spacing w:line="435" w:lineRule="auto"/>
      </w:pPr>
    </w:p>
    <w:p>
      <w:pPr>
        <w:spacing w:before="68" w:line="222" w:lineRule="auto"/>
        <w:ind w:left="2502"/>
        <w:outlineLvl w:val="2"/>
        <w:rPr>
          <w:rFonts w:ascii="黑体" w:eastAsia="黑体" w:hAnsi="黑体" w:cs="黑体"/>
        </w:rPr>
      </w:pPr>
      <w:r>
        <w:rPr>
          <w:rFonts w:ascii="黑体" w:eastAsia="黑体" w:hAnsi="黑体" w:cs="黑体"/>
          <w:b/>
          <w:bCs/>
          <w:spacing w:val="-12"/>
          <w:sz w:val="21"/>
          <w:szCs w:val="21"/>
        </w:rPr>
        <w:t>3.3.2</w:t>
      </w:r>
      <w:r>
        <w:rPr>
          <w:rFonts w:ascii="黑体" w:eastAsia="黑体" w:hAnsi="黑体" w:cs="黑体"/>
          <w:spacing w:val="16"/>
          <w:sz w:val="21"/>
          <w:szCs w:val="21"/>
        </w:rPr>
        <w:t xml:space="preserve">   </w:t>
      </w:r>
      <w:r>
        <w:rPr>
          <w:rFonts w:ascii="黑体" w:eastAsia="黑体" w:hAnsi="黑体" w:cs="黑体"/>
          <w:b/>
          <w:bCs/>
          <w:spacing w:val="-12"/>
          <w:sz w:val="21"/>
          <w:szCs w:val="21"/>
        </w:rPr>
        <w:t>建设期利息</w:t>
      </w:r>
    </w:p>
    <w:p>
      <w:pPr>
        <w:spacing w:line="418" w:lineRule="auto"/>
      </w:pPr>
    </w:p>
    <w:p>
      <w:pPr>
        <w:pStyle w:val="BodyText"/>
        <w:spacing w:before="69" w:line="405" w:lineRule="auto"/>
        <w:ind w:left="799" w:right="806" w:firstLine="440"/>
        <w:jc w:val="both"/>
        <w:rPr>
          <w:sz w:val="21"/>
          <w:szCs w:val="21"/>
        </w:rPr>
      </w:pPr>
      <w:r>
        <w:rPr>
          <w:spacing w:val="-3"/>
          <w:sz w:val="21"/>
          <w:szCs w:val="21"/>
        </w:rPr>
        <w:t>对于采用债务融资的项目应估算建设期利息。建设期利息是指筹措债务资金时在建设期</w:t>
      </w:r>
      <w:r>
        <w:rPr>
          <w:spacing w:val="6"/>
          <w:sz w:val="21"/>
          <w:szCs w:val="21"/>
        </w:rPr>
        <w:t xml:space="preserve"> </w:t>
      </w:r>
      <w:r>
        <w:rPr>
          <w:spacing w:val="-4"/>
          <w:sz w:val="21"/>
          <w:szCs w:val="21"/>
        </w:rPr>
        <w:t>内发生并按规定允许在投产后计入固定资产原值的利息，即资本化利息。建设期利息包括银</w:t>
      </w:r>
      <w:r>
        <w:rPr>
          <w:spacing w:val="17"/>
          <w:sz w:val="21"/>
          <w:szCs w:val="21"/>
        </w:rPr>
        <w:t xml:space="preserve"> </w:t>
      </w:r>
      <w:r>
        <w:rPr>
          <w:spacing w:val="-3"/>
          <w:sz w:val="21"/>
          <w:szCs w:val="21"/>
        </w:rPr>
        <w:t>行借款和其他债务资金的利息，以及其他融资费用</w:t>
      </w:r>
      <w:r>
        <w:rPr>
          <w:spacing w:val="-4"/>
          <w:sz w:val="21"/>
          <w:szCs w:val="21"/>
        </w:rPr>
        <w:t>，其他融资费用是指某些债务融资中发生</w:t>
      </w:r>
    </w:p>
    <w:p>
      <w:pPr>
        <w:pStyle w:val="BodyText"/>
        <w:spacing w:line="219" w:lineRule="auto"/>
        <w:ind w:left="799"/>
        <w:rPr>
          <w:sz w:val="21"/>
          <w:szCs w:val="21"/>
        </w:rPr>
      </w:pPr>
      <w:r>
        <w:rPr>
          <w:spacing w:val="-2"/>
          <w:sz w:val="21"/>
          <w:szCs w:val="21"/>
        </w:rPr>
        <w:t>的手续费、承诺费、管理费、信贷保险费等等。</w:t>
      </w:r>
    </w:p>
    <w:p>
      <w:pPr>
        <w:spacing w:line="444" w:lineRule="auto"/>
      </w:pPr>
    </w:p>
    <w:p>
      <w:pPr>
        <w:spacing w:before="69" w:line="221" w:lineRule="auto"/>
        <w:ind w:left="2502"/>
        <w:outlineLvl w:val="2"/>
        <w:rPr>
          <w:rFonts w:ascii="黑体" w:eastAsia="黑体" w:hAnsi="黑体" w:cs="黑体"/>
        </w:rPr>
      </w:pPr>
      <w:r>
        <w:rPr>
          <w:rFonts w:ascii="黑体" w:eastAsia="黑体" w:hAnsi="黑体" w:cs="黑体"/>
          <w:b/>
          <w:bCs/>
          <w:spacing w:val="-14"/>
          <w:sz w:val="21"/>
          <w:szCs w:val="21"/>
        </w:rPr>
        <w:t>3.3.3</w:t>
      </w:r>
      <w:r>
        <w:rPr>
          <w:rFonts w:ascii="黑体" w:eastAsia="黑体" w:hAnsi="黑体" w:cs="黑体"/>
          <w:spacing w:val="12"/>
          <w:sz w:val="21"/>
          <w:szCs w:val="21"/>
        </w:rPr>
        <w:t xml:space="preserve">   </w:t>
      </w:r>
      <w:r>
        <w:rPr>
          <w:rFonts w:ascii="黑体" w:eastAsia="黑体" w:hAnsi="黑体" w:cs="黑体"/>
          <w:b/>
          <w:bCs/>
          <w:spacing w:val="-14"/>
          <w:sz w:val="21"/>
          <w:szCs w:val="21"/>
        </w:rPr>
        <w:t>流动资金</w:t>
      </w:r>
    </w:p>
    <w:p>
      <w:pPr>
        <w:spacing w:line="432" w:lineRule="auto"/>
      </w:pPr>
    </w:p>
    <w:p>
      <w:pPr>
        <w:pStyle w:val="BodyText"/>
        <w:spacing w:before="69" w:line="460" w:lineRule="exact"/>
        <w:ind w:left="1240"/>
        <w:rPr>
          <w:sz w:val="21"/>
          <w:szCs w:val="21"/>
        </w:rPr>
      </w:pPr>
      <w:r>
        <w:rPr>
          <w:spacing w:val="-3"/>
          <w:position w:val="19"/>
          <w:sz w:val="21"/>
          <w:szCs w:val="21"/>
        </w:rPr>
        <w:t>流动资金是项目运营前需要筹措的保证项目正常运营必需的营运资金，它是项目运营期</w:t>
      </w:r>
    </w:p>
    <w:p>
      <w:pPr>
        <w:pStyle w:val="BodyText"/>
        <w:spacing w:line="219" w:lineRule="auto"/>
        <w:ind w:left="799"/>
        <w:rPr>
          <w:sz w:val="21"/>
          <w:szCs w:val="21"/>
        </w:rPr>
      </w:pPr>
      <w:r>
        <w:rPr>
          <w:spacing w:val="-4"/>
          <w:sz w:val="21"/>
          <w:szCs w:val="21"/>
        </w:rPr>
        <w:t>内需要长期占用并周转使用的营运资金。</w:t>
      </w:r>
    </w:p>
    <w:p>
      <w:pPr>
        <w:pStyle w:val="BodyText"/>
        <w:spacing w:before="209" w:line="413" w:lineRule="auto"/>
        <w:ind w:left="799" w:right="734" w:firstLine="440"/>
        <w:rPr>
          <w:sz w:val="21"/>
          <w:szCs w:val="21"/>
        </w:rPr>
      </w:pPr>
      <w:r>
        <w:rPr>
          <w:spacing w:val="-3"/>
          <w:sz w:val="21"/>
          <w:szCs w:val="21"/>
        </w:rPr>
        <w:t>流动资金的估算可以采用扩大指标估算法或分项详细预测法。所谓扩大指标估算</w:t>
      </w:r>
      <w:r>
        <w:rPr>
          <w:spacing w:val="-4"/>
          <w:sz w:val="21"/>
          <w:szCs w:val="21"/>
        </w:rPr>
        <w:t xml:space="preserve">法即根 </w:t>
      </w:r>
      <w:r>
        <w:rPr>
          <w:spacing w:val="5"/>
          <w:sz w:val="21"/>
          <w:szCs w:val="21"/>
        </w:rPr>
        <w:t>据流动资金占其他相关指标(如年经营成本、固定资产投资或收入)的比例关</w:t>
      </w:r>
      <w:r>
        <w:rPr>
          <w:spacing w:val="4"/>
          <w:sz w:val="21"/>
          <w:szCs w:val="21"/>
        </w:rPr>
        <w:t>系进行预测。</w:t>
      </w:r>
    </w:p>
    <w:p>
      <w:pPr>
        <w:pStyle w:val="BodyText"/>
        <w:spacing w:before="1" w:line="217" w:lineRule="auto"/>
        <w:ind w:left="799"/>
        <w:rPr>
          <w:sz w:val="21"/>
          <w:szCs w:val="21"/>
        </w:rPr>
      </w:pPr>
      <w:r>
        <w:rPr>
          <w:spacing w:val="-2"/>
          <w:sz w:val="21"/>
          <w:szCs w:val="21"/>
        </w:rPr>
        <w:t>本标准建议流动资金采用占经营成本的比例进行估算。</w:t>
      </w:r>
    </w:p>
    <w:p>
      <w:pPr>
        <w:pStyle w:val="BodyText"/>
        <w:spacing w:before="233" w:line="461" w:lineRule="exact"/>
        <w:ind w:left="1240"/>
        <w:rPr>
          <w:sz w:val="21"/>
          <w:szCs w:val="21"/>
        </w:rPr>
      </w:pPr>
      <w:r>
        <w:rPr>
          <w:spacing w:val="-3"/>
          <w:position w:val="19"/>
          <w:sz w:val="21"/>
          <w:szCs w:val="21"/>
        </w:rPr>
        <w:t>投产第一年所需的流动资金应在项目投产前安排。为简化计算，项目评价中流动资金可</w:t>
      </w:r>
    </w:p>
    <w:p>
      <w:pPr>
        <w:pStyle w:val="BodyText"/>
        <w:spacing w:line="219" w:lineRule="auto"/>
        <w:ind w:left="799"/>
        <w:rPr>
          <w:sz w:val="21"/>
          <w:szCs w:val="21"/>
        </w:rPr>
      </w:pPr>
      <w:r>
        <w:rPr>
          <w:spacing w:val="-4"/>
          <w:sz w:val="21"/>
          <w:szCs w:val="21"/>
        </w:rPr>
        <w:t>从投产第一年开始安排。</w:t>
      </w:r>
    </w:p>
    <w:p>
      <w:pPr>
        <w:spacing w:line="301" w:lineRule="auto"/>
      </w:pPr>
    </w:p>
    <w:p>
      <w:pPr>
        <w:spacing w:line="301" w:lineRule="auto"/>
      </w:pPr>
    </w:p>
    <w:p>
      <w:pPr>
        <w:spacing w:line="302" w:lineRule="auto"/>
      </w:pPr>
    </w:p>
    <w:p>
      <w:pPr>
        <w:spacing w:before="69" w:line="222" w:lineRule="auto"/>
        <w:ind w:left="2502"/>
        <w:outlineLvl w:val="2"/>
        <w:rPr>
          <w:rFonts w:ascii="黑体" w:eastAsia="黑体" w:hAnsi="黑体" w:cs="黑体"/>
        </w:rPr>
      </w:pPr>
      <w:r>
        <w:rPr>
          <w:rFonts w:ascii="黑体" w:eastAsia="黑体" w:hAnsi="黑体" w:cs="黑体"/>
          <w:b/>
          <w:bCs/>
          <w:spacing w:val="-10"/>
          <w:sz w:val="21"/>
          <w:szCs w:val="21"/>
        </w:rPr>
        <w:t>3.3.4</w:t>
      </w:r>
      <w:r>
        <w:rPr>
          <w:rFonts w:ascii="黑体" w:eastAsia="黑体" w:hAnsi="黑体" w:cs="黑体"/>
          <w:spacing w:val="13"/>
          <w:sz w:val="21"/>
          <w:szCs w:val="21"/>
        </w:rPr>
        <w:t xml:space="preserve">   </w:t>
      </w:r>
      <w:r>
        <w:rPr>
          <w:rFonts w:ascii="黑体" w:eastAsia="黑体" w:hAnsi="黑体" w:cs="黑体"/>
          <w:b/>
          <w:bCs/>
          <w:spacing w:val="-10"/>
          <w:sz w:val="21"/>
          <w:szCs w:val="21"/>
        </w:rPr>
        <w:t>总成本费用</w:t>
      </w:r>
    </w:p>
    <w:p>
      <w:pPr>
        <w:spacing w:line="418" w:lineRule="auto"/>
      </w:pPr>
    </w:p>
    <w:p>
      <w:pPr>
        <w:pStyle w:val="BodyText"/>
        <w:spacing w:before="68" w:line="219" w:lineRule="auto"/>
        <w:ind w:left="1240"/>
        <w:rPr>
          <w:sz w:val="21"/>
          <w:szCs w:val="21"/>
        </w:rPr>
      </w:pPr>
      <w:r>
        <w:rPr>
          <w:spacing w:val="-1"/>
          <w:sz w:val="21"/>
          <w:szCs w:val="21"/>
        </w:rPr>
        <w:t>总成本费用是指在项目运营期内发生的为生产产品或提供服务</w:t>
      </w:r>
      <w:r>
        <w:rPr>
          <w:spacing w:val="-2"/>
          <w:sz w:val="21"/>
          <w:szCs w:val="21"/>
        </w:rPr>
        <w:t>所发生的全部费用。</w:t>
      </w:r>
    </w:p>
    <w:p>
      <w:pPr>
        <w:pStyle w:val="BodyText"/>
        <w:spacing w:before="212" w:line="413" w:lineRule="auto"/>
        <w:ind w:left="799" w:right="803" w:firstLine="440"/>
        <w:rPr>
          <w:sz w:val="21"/>
          <w:szCs w:val="21"/>
        </w:rPr>
      </w:pPr>
      <w:r>
        <w:rPr>
          <w:spacing w:val="-3"/>
          <w:sz w:val="21"/>
          <w:szCs w:val="21"/>
        </w:rPr>
        <w:t>总成本费用可分解为固定成本和可变成本。固定成本是指项目建成后不会随着业务量的</w:t>
      </w:r>
      <w:r>
        <w:rPr>
          <w:spacing w:val="9"/>
          <w:sz w:val="21"/>
          <w:szCs w:val="21"/>
        </w:rPr>
        <w:t xml:space="preserve"> </w:t>
      </w:r>
      <w:r>
        <w:rPr>
          <w:spacing w:val="-2"/>
          <w:sz w:val="21"/>
          <w:szCs w:val="21"/>
        </w:rPr>
        <w:t>变化而变化的成本，可变成本是指随着业务量的变化而变化的成本。将总</w:t>
      </w:r>
      <w:r>
        <w:rPr>
          <w:spacing w:val="-3"/>
          <w:sz w:val="21"/>
          <w:szCs w:val="21"/>
        </w:rPr>
        <w:t>成本费用分为固定</w:t>
      </w:r>
      <w:r>
        <w:rPr>
          <w:sz w:val="21"/>
          <w:szCs w:val="21"/>
        </w:rPr>
        <w:t xml:space="preserve"> </w:t>
      </w:r>
      <w:r>
        <w:rPr>
          <w:spacing w:val="-2"/>
          <w:sz w:val="21"/>
          <w:szCs w:val="21"/>
        </w:rPr>
        <w:t>成本和可变成本是为了进行盈亏平衡分析的需要，如果项目不进行盈亏平</w:t>
      </w:r>
      <w:r>
        <w:rPr>
          <w:spacing w:val="-3"/>
          <w:sz w:val="21"/>
          <w:szCs w:val="21"/>
        </w:rPr>
        <w:t>衡分析，也可以不</w:t>
      </w:r>
    </w:p>
    <w:p>
      <w:pPr>
        <w:pStyle w:val="BodyText"/>
        <w:spacing w:before="1" w:line="218" w:lineRule="auto"/>
        <w:ind w:left="799"/>
        <w:rPr>
          <w:sz w:val="21"/>
          <w:szCs w:val="21"/>
        </w:rPr>
      </w:pPr>
      <w:r>
        <w:rPr>
          <w:spacing w:val="-3"/>
          <w:sz w:val="21"/>
          <w:szCs w:val="21"/>
        </w:rPr>
        <w:t>进行固定成本和可变成本的划分。</w:t>
      </w:r>
    </w:p>
    <w:p>
      <w:pPr>
        <w:spacing w:line="438" w:lineRule="auto"/>
      </w:pPr>
    </w:p>
    <w:p>
      <w:pPr>
        <w:spacing w:before="69" w:line="222" w:lineRule="auto"/>
        <w:ind w:left="1682"/>
        <w:outlineLvl w:val="1"/>
        <w:rPr>
          <w:rFonts w:ascii="黑体" w:eastAsia="黑体" w:hAnsi="黑体" w:cs="黑体"/>
        </w:rPr>
      </w:pPr>
      <w:hyperlink r:id="rId43" w:history="1">
        <w:r>
          <w:rPr>
            <w:rFonts w:ascii="黑体" w:eastAsia="黑体" w:hAnsi="黑体" w:cs="黑体"/>
            <w:b/>
            <w:bCs/>
            <w:spacing w:val="-12"/>
            <w:sz w:val="21"/>
            <w:szCs w:val="21"/>
          </w:rPr>
          <w:t>3.3.4.1</w:t>
        </w:r>
      </w:hyperlink>
      <w:r>
        <w:rPr>
          <w:rFonts w:ascii="黑体" w:eastAsia="黑体" w:hAnsi="黑体" w:cs="黑体"/>
          <w:spacing w:val="-12"/>
          <w:sz w:val="21"/>
          <w:szCs w:val="21"/>
        </w:rPr>
        <w:t xml:space="preserve">  </w:t>
      </w:r>
      <w:r>
        <w:rPr>
          <w:rFonts w:ascii="黑体" w:eastAsia="黑体" w:hAnsi="黑体" w:cs="黑体"/>
          <w:b/>
          <w:bCs/>
          <w:spacing w:val="-12"/>
          <w:sz w:val="21"/>
          <w:szCs w:val="21"/>
        </w:rPr>
        <w:t>总成本费用的构成</w:t>
      </w:r>
    </w:p>
    <w:p>
      <w:pPr>
        <w:spacing w:line="408" w:lineRule="auto"/>
      </w:pPr>
    </w:p>
    <w:p>
      <w:pPr>
        <w:pStyle w:val="BodyText"/>
        <w:spacing w:before="69" w:line="470" w:lineRule="exact"/>
        <w:ind w:left="1240"/>
        <w:rPr>
          <w:sz w:val="21"/>
          <w:szCs w:val="21"/>
        </w:rPr>
      </w:pPr>
      <w:r>
        <w:rPr>
          <w:spacing w:val="-3"/>
          <w:position w:val="20"/>
          <w:sz w:val="21"/>
          <w:szCs w:val="21"/>
        </w:rPr>
        <w:t>根据中国移动现行会计核算办法，总成本费用由主营业务成本、销售费</w:t>
      </w:r>
      <w:r>
        <w:rPr>
          <w:spacing w:val="-4"/>
          <w:position w:val="20"/>
          <w:sz w:val="21"/>
          <w:szCs w:val="21"/>
        </w:rPr>
        <w:t>用、管理费用和</w:t>
      </w:r>
    </w:p>
    <w:p>
      <w:pPr>
        <w:pStyle w:val="BodyText"/>
        <w:spacing w:before="1" w:line="219" w:lineRule="auto"/>
        <w:ind w:left="799"/>
        <w:rPr>
          <w:sz w:val="21"/>
          <w:szCs w:val="21"/>
        </w:rPr>
      </w:pPr>
      <w:r>
        <w:rPr>
          <w:spacing w:val="-5"/>
          <w:sz w:val="21"/>
          <w:szCs w:val="21"/>
        </w:rPr>
        <w:t>财务费用构成。</w:t>
      </w:r>
    </w:p>
    <w:p>
      <w:pPr>
        <w:spacing w:line="219" w:lineRule="auto"/>
        <w:sectPr>
          <w:headerReference w:type="default" r:id="rId44"/>
          <w:footerReference w:type="default" r:id="rId45"/>
          <w:pgSz w:w="11910" w:h="16840"/>
          <w:pgMar w:top="400" w:right="999" w:bottom="1182" w:left="989" w:header="0" w:footer="969" w:gutter="0"/>
          <w:pgNumType w:start="18"/>
          <w:cols w:space="708"/>
        </w:sectPr>
      </w:pPr>
    </w:p>
    <w:p>
      <w:pPr>
        <w:spacing w:before="193"/>
      </w:pPr>
    </w:p>
    <w:tbl>
      <w:tblPr>
        <w:tblStyle w:val="TableNormal13"/>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51" w:line="215" w:lineRule="auto"/>
              <w:ind w:left="123"/>
            </w:pPr>
            <w:bookmarkStart w:id="19" w:name="bookmark20"/>
            <w:bookmarkStart w:id="20" w:name="bookmark22"/>
            <w:bookmarkStart w:id="21" w:name="bookmark21"/>
            <w:bookmarkStart w:id="22" w:name="bookmark23"/>
            <w:bookmarkEnd w:id="19"/>
            <w:bookmarkEnd w:id="20"/>
            <w:bookmarkEnd w:id="21"/>
            <w:bookmarkEnd w:id="22"/>
            <w:r>
              <w:rPr>
                <w:b/>
                <w:bCs/>
                <w:spacing w:val="-5"/>
              </w:rPr>
              <w:t>编号：</w:t>
            </w:r>
          </w:p>
          <w:p>
            <w:pPr>
              <w:pStyle w:val="TableText"/>
              <w:spacing w:line="219" w:lineRule="auto"/>
              <w:ind w:left="143"/>
            </w:pPr>
            <w:r>
              <w:rPr>
                <w:b/>
                <w:bCs/>
              </w:rPr>
              <w:t>时间：2021年x月x日</w:t>
            </w:r>
          </w:p>
        </w:tc>
        <w:tc>
          <w:tcPr>
            <w:tcW w:w="4670" w:type="dxa"/>
          </w:tcPr>
          <w:p>
            <w:pPr>
              <w:spacing w:line="250" w:lineRule="auto"/>
            </w:pPr>
          </w:p>
          <w:p>
            <w:pPr>
              <w:pStyle w:val="TableText"/>
              <w:spacing w:before="78" w:line="219" w:lineRule="auto"/>
              <w:ind w:left="268"/>
            </w:pPr>
            <w:r>
              <w:rPr>
                <w:b/>
                <w:bCs/>
                <w:color w:val="F30000"/>
                <w:spacing w:val="-4"/>
              </w:rPr>
              <w:t>书山有路勤为径，学海无涯苦作舟</w:t>
            </w:r>
          </w:p>
        </w:tc>
        <w:tc>
          <w:tcPr>
            <w:tcW w:w="2720" w:type="dxa"/>
            <w:tcBorders>
              <w:right w:val="nil"/>
            </w:tcBorders>
          </w:tcPr>
          <w:p>
            <w:pPr>
              <w:spacing w:line="252" w:lineRule="auto"/>
            </w:pPr>
          </w:p>
          <w:p>
            <w:pPr>
              <w:pStyle w:val="TableText"/>
              <w:spacing w:before="78" w:line="219" w:lineRule="auto"/>
              <w:ind w:left="138"/>
            </w:pPr>
            <w:r>
              <w:rPr>
                <w:b/>
                <w:bCs/>
                <w:spacing w:val="-2"/>
              </w:rPr>
              <w:t>页码：第14页共70页</w:t>
            </w:r>
          </w:p>
        </w:tc>
      </w:tr>
    </w:tbl>
    <w:p>
      <w:pPr>
        <w:spacing w:line="322" w:lineRule="auto"/>
      </w:pPr>
    </w:p>
    <w:p>
      <w:pPr>
        <w:pStyle w:val="BodyText"/>
        <w:spacing w:before="68" w:line="219" w:lineRule="auto"/>
        <w:ind w:left="1230"/>
        <w:rPr>
          <w:sz w:val="21"/>
          <w:szCs w:val="21"/>
        </w:rPr>
      </w:pPr>
      <w:r>
        <w:rPr>
          <w:spacing w:val="-4"/>
          <w:sz w:val="21"/>
          <w:szCs w:val="21"/>
        </w:rPr>
        <w:t>●</w:t>
      </w:r>
      <w:r>
        <w:rPr>
          <w:spacing w:val="8"/>
          <w:sz w:val="21"/>
          <w:szCs w:val="21"/>
        </w:rPr>
        <w:t xml:space="preserve">  </w:t>
      </w:r>
      <w:r>
        <w:rPr>
          <w:spacing w:val="-4"/>
          <w:sz w:val="21"/>
          <w:szCs w:val="21"/>
        </w:rPr>
        <w:t>主营业务成本</w:t>
      </w:r>
    </w:p>
    <w:p>
      <w:pPr>
        <w:pStyle w:val="BodyText"/>
        <w:spacing w:before="211" w:line="460" w:lineRule="exact"/>
        <w:ind w:left="1230"/>
        <w:rPr>
          <w:sz w:val="21"/>
          <w:szCs w:val="21"/>
        </w:rPr>
      </w:pPr>
      <w:r>
        <w:rPr>
          <w:spacing w:val="-8"/>
          <w:position w:val="19"/>
          <w:sz w:val="21"/>
          <w:szCs w:val="21"/>
        </w:rPr>
        <w:t>主营业务成本包括职工薪酬、折旧费、业务费、电路</w:t>
      </w:r>
      <w:r>
        <w:rPr>
          <w:spacing w:val="-9"/>
          <w:position w:val="19"/>
          <w:sz w:val="21"/>
          <w:szCs w:val="21"/>
        </w:rPr>
        <w:t>及网元租赁费、网内网间结算支出、</w:t>
      </w:r>
    </w:p>
    <w:p>
      <w:pPr>
        <w:pStyle w:val="BodyText"/>
        <w:spacing w:line="219" w:lineRule="auto"/>
        <w:ind w:left="809"/>
        <w:rPr>
          <w:sz w:val="21"/>
          <w:szCs w:val="21"/>
        </w:rPr>
      </w:pPr>
      <w:r>
        <w:rPr>
          <w:spacing w:val="-6"/>
          <w:sz w:val="21"/>
          <w:szCs w:val="21"/>
        </w:rPr>
        <w:t>维修费及其他费用；</w:t>
      </w:r>
    </w:p>
    <w:p>
      <w:pPr>
        <w:pStyle w:val="BodyText"/>
        <w:spacing w:before="211" w:line="219" w:lineRule="auto"/>
        <w:ind w:left="1230"/>
        <w:rPr>
          <w:sz w:val="21"/>
          <w:szCs w:val="21"/>
        </w:rPr>
      </w:pPr>
      <w:r>
        <w:rPr>
          <w:spacing w:val="-3"/>
          <w:sz w:val="21"/>
          <w:szCs w:val="21"/>
        </w:rPr>
        <w:t>√  职工薪酬：指生产人员工资、奖金、津贴、职工福利费、各项保险费、劳务</w:t>
      </w:r>
      <w:r>
        <w:rPr>
          <w:spacing w:val="-4"/>
          <w:sz w:val="21"/>
          <w:szCs w:val="21"/>
        </w:rPr>
        <w:t>费、以</w:t>
      </w:r>
    </w:p>
    <w:p>
      <w:pPr>
        <w:pStyle w:val="BodyText"/>
        <w:spacing w:before="229" w:line="481" w:lineRule="exact"/>
        <w:ind w:left="1630"/>
        <w:rPr>
          <w:sz w:val="21"/>
          <w:szCs w:val="21"/>
        </w:rPr>
      </w:pPr>
      <w:r>
        <w:rPr>
          <w:spacing w:val="-4"/>
          <w:position w:val="20"/>
          <w:sz w:val="21"/>
          <w:szCs w:val="21"/>
        </w:rPr>
        <w:t>及其他与获得职工提供的服务相关的支出。</w:t>
      </w:r>
    </w:p>
    <w:p>
      <w:pPr>
        <w:pStyle w:val="BodyText"/>
        <w:spacing w:line="219" w:lineRule="auto"/>
        <w:ind w:left="1230"/>
        <w:rPr>
          <w:sz w:val="21"/>
          <w:szCs w:val="21"/>
        </w:rPr>
      </w:pPr>
      <w:r>
        <w:rPr>
          <w:spacing w:val="-3"/>
          <w:sz w:val="21"/>
          <w:szCs w:val="21"/>
        </w:rPr>
        <w:t>√  折旧费：固定资产按规定计提的折旧费。</w:t>
      </w:r>
    </w:p>
    <w:p>
      <w:pPr>
        <w:pStyle w:val="BodyText"/>
        <w:spacing w:before="211" w:line="470" w:lineRule="exact"/>
        <w:ind w:left="1230"/>
        <w:rPr>
          <w:sz w:val="21"/>
          <w:szCs w:val="21"/>
        </w:rPr>
      </w:pPr>
      <w:r>
        <w:rPr>
          <w:spacing w:val="-2"/>
          <w:position w:val="20"/>
          <w:sz w:val="21"/>
          <w:szCs w:val="21"/>
        </w:rPr>
        <w:t>√  业务费：包括动力费、业务用品费、房屋租赁费、车辆租赁费、车</w:t>
      </w:r>
      <w:r>
        <w:rPr>
          <w:spacing w:val="-3"/>
          <w:position w:val="20"/>
          <w:sz w:val="21"/>
          <w:szCs w:val="21"/>
        </w:rPr>
        <w:t>辆运行费、劳动</w:t>
      </w:r>
    </w:p>
    <w:p>
      <w:pPr>
        <w:pStyle w:val="BodyText"/>
        <w:spacing w:line="219" w:lineRule="auto"/>
        <w:ind w:left="1630"/>
        <w:rPr>
          <w:sz w:val="21"/>
          <w:szCs w:val="21"/>
        </w:rPr>
      </w:pPr>
      <w:r>
        <w:rPr>
          <w:spacing w:val="-2"/>
          <w:sz w:val="21"/>
          <w:szCs w:val="21"/>
        </w:rPr>
        <w:t>保护费、物业管理费、水电取暖费、通讯费、保</w:t>
      </w:r>
      <w:r>
        <w:rPr>
          <w:spacing w:val="-3"/>
          <w:sz w:val="21"/>
          <w:szCs w:val="21"/>
        </w:rPr>
        <w:t>险费、差旅费、技术资料费、邮寄</w:t>
      </w:r>
    </w:p>
    <w:p>
      <w:pPr>
        <w:pStyle w:val="BodyText"/>
        <w:spacing w:before="219" w:line="472" w:lineRule="exact"/>
        <w:ind w:left="1630"/>
        <w:rPr>
          <w:sz w:val="21"/>
          <w:szCs w:val="21"/>
        </w:rPr>
      </w:pPr>
      <w:r>
        <w:rPr>
          <w:spacing w:val="-1"/>
          <w:position w:val="20"/>
          <w:sz w:val="21"/>
          <w:szCs w:val="21"/>
        </w:rPr>
        <w:t>运杂费、漫游清算服务费、有价卡制作费、业务外包费以及其他业</w:t>
      </w:r>
      <w:r>
        <w:rPr>
          <w:spacing w:val="-2"/>
          <w:position w:val="20"/>
          <w:sz w:val="21"/>
          <w:szCs w:val="21"/>
        </w:rPr>
        <w:t>务费用等。</w:t>
      </w:r>
    </w:p>
    <w:p>
      <w:pPr>
        <w:pStyle w:val="BodyText"/>
        <w:spacing w:line="219" w:lineRule="auto"/>
        <w:ind w:left="1230"/>
        <w:rPr>
          <w:sz w:val="21"/>
          <w:szCs w:val="21"/>
        </w:rPr>
      </w:pPr>
      <w:r>
        <w:rPr>
          <w:spacing w:val="-4"/>
          <w:sz w:val="21"/>
          <w:szCs w:val="21"/>
        </w:rPr>
        <w:t>√</w:t>
      </w:r>
      <w:r>
        <w:rPr>
          <w:spacing w:val="38"/>
          <w:sz w:val="21"/>
          <w:szCs w:val="21"/>
        </w:rPr>
        <w:t xml:space="preserve">  </w:t>
      </w:r>
      <w:r>
        <w:rPr>
          <w:spacing w:val="-4"/>
          <w:sz w:val="21"/>
          <w:szCs w:val="21"/>
        </w:rPr>
        <w:t>电路及网元租赁费：租用其他公司的电路及网元的租赁费用。</w:t>
      </w:r>
    </w:p>
    <w:p>
      <w:pPr>
        <w:pStyle w:val="BodyText"/>
        <w:spacing w:before="201" w:line="413" w:lineRule="auto"/>
        <w:ind w:left="1629" w:right="765" w:hanging="399"/>
        <w:rPr>
          <w:sz w:val="21"/>
          <w:szCs w:val="21"/>
        </w:rPr>
      </w:pPr>
      <w:r>
        <w:rPr>
          <w:spacing w:val="-7"/>
          <w:sz w:val="21"/>
          <w:szCs w:val="21"/>
        </w:rPr>
        <w:t>√  网内网间结算支出：本项目相关的结算给集团内部其他公司的电信业务收入，以及：</w:t>
      </w:r>
      <w:r>
        <w:rPr>
          <w:spacing w:val="13"/>
          <w:sz w:val="21"/>
          <w:szCs w:val="21"/>
        </w:rPr>
        <w:t xml:space="preserve"> </w:t>
      </w:r>
      <w:r>
        <w:rPr>
          <w:spacing w:val="-4"/>
          <w:sz w:val="21"/>
          <w:szCs w:val="21"/>
        </w:rPr>
        <w:t>结算给其他国内外电信运营商的电信业务收入，不包括结算给非电信运营商合作伙</w:t>
      </w:r>
    </w:p>
    <w:p>
      <w:pPr>
        <w:pStyle w:val="BodyText"/>
        <w:spacing w:before="1" w:line="219" w:lineRule="auto"/>
        <w:ind w:left="1630"/>
        <w:rPr>
          <w:sz w:val="21"/>
          <w:szCs w:val="21"/>
        </w:rPr>
      </w:pPr>
      <w:r>
        <w:rPr>
          <w:spacing w:val="-5"/>
          <w:sz w:val="21"/>
          <w:szCs w:val="21"/>
        </w:rPr>
        <w:t>伴的各类款项。</w:t>
      </w:r>
    </w:p>
    <w:p>
      <w:pPr>
        <w:pStyle w:val="BodyText"/>
        <w:spacing w:before="209" w:line="482" w:lineRule="exact"/>
        <w:ind w:left="1230"/>
        <w:rPr>
          <w:sz w:val="21"/>
          <w:szCs w:val="21"/>
        </w:rPr>
      </w:pPr>
      <w:r>
        <w:rPr>
          <w:spacing w:val="-3"/>
          <w:position w:val="20"/>
          <w:sz w:val="21"/>
          <w:szCs w:val="21"/>
        </w:rPr>
        <w:t>√  维修费：本项目固定资产发生的各种维护费、修理费、以及固定资产进行大修理发</w:t>
      </w:r>
    </w:p>
    <w:p>
      <w:pPr>
        <w:pStyle w:val="BodyText"/>
        <w:spacing w:line="220" w:lineRule="auto"/>
        <w:ind w:left="1630"/>
        <w:rPr>
          <w:sz w:val="21"/>
          <w:szCs w:val="21"/>
        </w:rPr>
      </w:pPr>
      <w:r>
        <w:rPr>
          <w:spacing w:val="-7"/>
          <w:sz w:val="21"/>
          <w:szCs w:val="21"/>
        </w:rPr>
        <w:t>生的支出。</w:t>
      </w:r>
    </w:p>
    <w:p>
      <w:pPr>
        <w:pStyle w:val="BodyText"/>
        <w:spacing w:before="209" w:line="481" w:lineRule="exact"/>
        <w:ind w:left="1230"/>
        <w:rPr>
          <w:sz w:val="21"/>
          <w:szCs w:val="21"/>
        </w:rPr>
      </w:pPr>
      <w:r>
        <w:rPr>
          <w:spacing w:val="-3"/>
          <w:position w:val="20"/>
          <w:sz w:val="21"/>
          <w:szCs w:val="21"/>
        </w:rPr>
        <w:t>√  其他费用包括低值易耗品摊销、资源占用费、业务技术支撑费、无形资产摊销等费</w:t>
      </w:r>
    </w:p>
    <w:p>
      <w:pPr>
        <w:pStyle w:val="BodyText"/>
        <w:spacing w:before="1" w:line="220" w:lineRule="auto"/>
        <w:ind w:left="1630"/>
        <w:rPr>
          <w:sz w:val="21"/>
          <w:szCs w:val="21"/>
        </w:rPr>
      </w:pPr>
      <w:r>
        <w:rPr>
          <w:spacing w:val="-4"/>
          <w:sz w:val="21"/>
          <w:szCs w:val="21"/>
        </w:rPr>
        <w:t>用。</w:t>
      </w:r>
    </w:p>
    <w:p>
      <w:pPr>
        <w:pStyle w:val="BodyText"/>
        <w:spacing w:before="207" w:line="219" w:lineRule="auto"/>
        <w:ind w:left="1630"/>
        <w:rPr>
          <w:sz w:val="21"/>
          <w:szCs w:val="21"/>
        </w:rPr>
      </w:pPr>
      <w:r>
        <w:rPr>
          <w:spacing w:val="-2"/>
          <w:sz w:val="21"/>
          <w:szCs w:val="21"/>
        </w:rPr>
        <w:t>主营业务成本中各项成本费用应根据成本的相关性进行测算。</w:t>
      </w:r>
    </w:p>
    <w:p>
      <w:pPr>
        <w:pStyle w:val="BodyText"/>
        <w:spacing w:before="232" w:line="220" w:lineRule="auto"/>
        <w:ind w:left="1230"/>
        <w:rPr>
          <w:sz w:val="21"/>
          <w:szCs w:val="21"/>
        </w:rPr>
      </w:pPr>
      <w:r>
        <w:rPr>
          <w:spacing w:val="-9"/>
          <w:sz w:val="21"/>
          <w:szCs w:val="21"/>
        </w:rPr>
        <w:t>●</w:t>
      </w:r>
      <w:r>
        <w:rPr>
          <w:spacing w:val="9"/>
          <w:sz w:val="21"/>
          <w:szCs w:val="21"/>
        </w:rPr>
        <w:t xml:space="preserve">  </w:t>
      </w:r>
      <w:r>
        <w:rPr>
          <w:spacing w:val="-9"/>
          <w:sz w:val="21"/>
          <w:szCs w:val="21"/>
        </w:rPr>
        <w:t>销售费用</w:t>
      </w:r>
    </w:p>
    <w:p>
      <w:pPr>
        <w:pStyle w:val="BodyText"/>
        <w:spacing w:before="198" w:line="414" w:lineRule="auto"/>
        <w:ind w:left="809" w:right="751" w:firstLine="420"/>
        <w:rPr>
          <w:sz w:val="21"/>
          <w:szCs w:val="21"/>
        </w:rPr>
      </w:pPr>
      <w:r>
        <w:rPr>
          <w:spacing w:val="-1"/>
          <w:sz w:val="21"/>
          <w:szCs w:val="21"/>
        </w:rPr>
        <w:t>指在营销过程中发生的费用，主要包括广告费、业务宣传费、代办手续费、</w:t>
      </w:r>
      <w:r>
        <w:rPr>
          <w:spacing w:val="-2"/>
          <w:sz w:val="21"/>
          <w:szCs w:val="21"/>
        </w:rPr>
        <w:t>销售佣金、</w:t>
      </w:r>
      <w:r>
        <w:rPr>
          <w:sz w:val="21"/>
          <w:szCs w:val="21"/>
        </w:rPr>
        <w:t xml:space="preserve"> </w:t>
      </w:r>
      <w:r>
        <w:rPr>
          <w:spacing w:val="-3"/>
          <w:sz w:val="21"/>
          <w:szCs w:val="21"/>
        </w:rPr>
        <w:t>营销机构费用、异地充值费、职工薪酬、咨询费、促销费、客户服务费、展览费以及其他销</w:t>
      </w:r>
    </w:p>
    <w:p>
      <w:pPr>
        <w:pStyle w:val="BodyText"/>
        <w:spacing w:line="220" w:lineRule="auto"/>
        <w:ind w:left="809"/>
        <w:rPr>
          <w:sz w:val="21"/>
          <w:szCs w:val="21"/>
        </w:rPr>
      </w:pPr>
      <w:r>
        <w:rPr>
          <w:spacing w:val="-8"/>
          <w:sz w:val="21"/>
          <w:szCs w:val="21"/>
        </w:rPr>
        <w:t>售费用。</w:t>
      </w:r>
    </w:p>
    <w:p>
      <w:pPr>
        <w:pStyle w:val="BodyText"/>
        <w:spacing w:before="219" w:line="219" w:lineRule="auto"/>
        <w:ind w:left="1230"/>
        <w:rPr>
          <w:sz w:val="21"/>
          <w:szCs w:val="21"/>
        </w:rPr>
      </w:pPr>
      <w:r>
        <w:rPr>
          <w:spacing w:val="-1"/>
          <w:sz w:val="21"/>
          <w:szCs w:val="21"/>
        </w:rPr>
        <w:t>销售费用为企业的共同费用，可以根据项目的相关性从企业整体销售费用</w:t>
      </w:r>
      <w:r>
        <w:rPr>
          <w:spacing w:val="-2"/>
          <w:sz w:val="21"/>
          <w:szCs w:val="21"/>
        </w:rPr>
        <w:t>中分摊。</w:t>
      </w:r>
    </w:p>
    <w:p>
      <w:pPr>
        <w:pStyle w:val="BodyText"/>
        <w:spacing w:before="231" w:line="219" w:lineRule="auto"/>
        <w:ind w:left="1230"/>
        <w:rPr>
          <w:sz w:val="21"/>
          <w:szCs w:val="21"/>
        </w:rPr>
      </w:pPr>
      <w:r>
        <w:rPr>
          <w:spacing w:val="-9"/>
          <w:sz w:val="21"/>
          <w:szCs w:val="21"/>
        </w:rPr>
        <w:t>●</w:t>
      </w:r>
      <w:r>
        <w:rPr>
          <w:spacing w:val="9"/>
          <w:sz w:val="21"/>
          <w:szCs w:val="21"/>
        </w:rPr>
        <w:t xml:space="preserve">  </w:t>
      </w:r>
      <w:r>
        <w:rPr>
          <w:spacing w:val="-9"/>
          <w:sz w:val="21"/>
          <w:szCs w:val="21"/>
        </w:rPr>
        <w:t>管理费用</w:t>
      </w:r>
    </w:p>
    <w:p>
      <w:pPr>
        <w:pStyle w:val="BodyText"/>
        <w:spacing w:before="201" w:line="413" w:lineRule="auto"/>
        <w:ind w:left="809" w:right="724" w:firstLine="420"/>
        <w:rPr>
          <w:sz w:val="21"/>
          <w:szCs w:val="21"/>
        </w:rPr>
      </w:pPr>
      <w:r>
        <w:rPr>
          <w:spacing w:val="-9"/>
          <w:sz w:val="21"/>
          <w:szCs w:val="21"/>
        </w:rPr>
        <w:t>指为组织和管理生产经营所发生的费用，主要包括折旧费、维修费、低值易耗品摊销费、</w:t>
      </w:r>
      <w:r>
        <w:rPr>
          <w:spacing w:val="7"/>
          <w:sz w:val="21"/>
          <w:szCs w:val="21"/>
        </w:rPr>
        <w:t xml:space="preserve">  </w:t>
      </w:r>
      <w:r>
        <w:rPr>
          <w:spacing w:val="-3"/>
          <w:sz w:val="21"/>
          <w:szCs w:val="21"/>
        </w:rPr>
        <w:t>办公费、差旅费、咨询费、审计费、诉讼费、业务接待费、劳动保护费、技术转让费、无形</w:t>
      </w:r>
      <w:r>
        <w:rPr>
          <w:spacing w:val="4"/>
          <w:sz w:val="21"/>
          <w:szCs w:val="21"/>
        </w:rPr>
        <w:t xml:space="preserve">  </w:t>
      </w:r>
      <w:r>
        <w:rPr>
          <w:sz w:val="21"/>
          <w:szCs w:val="21"/>
        </w:rPr>
        <w:t>资产及长期资产摊销费、会议费、排污费、存货盘亏毁</w:t>
      </w:r>
      <w:r>
        <w:rPr>
          <w:spacing w:val="-1"/>
          <w:sz w:val="21"/>
          <w:szCs w:val="21"/>
        </w:rPr>
        <w:t>损、残疾人就业保障金、董事会费、</w:t>
      </w:r>
    </w:p>
    <w:p>
      <w:pPr>
        <w:pStyle w:val="BodyText"/>
        <w:spacing w:line="218" w:lineRule="auto"/>
        <w:ind w:left="809"/>
        <w:rPr>
          <w:sz w:val="21"/>
          <w:szCs w:val="21"/>
        </w:rPr>
      </w:pPr>
      <w:r>
        <w:rPr>
          <w:spacing w:val="-3"/>
          <w:sz w:val="21"/>
          <w:szCs w:val="21"/>
        </w:rPr>
        <w:t>聘请中介机构费用、招聘费、软件使用费、绿化费、仓储费、租赁费、车辆运行费、物业管</w:t>
      </w:r>
    </w:p>
    <w:p>
      <w:pPr>
        <w:spacing w:line="218" w:lineRule="auto"/>
        <w:sectPr>
          <w:headerReference w:type="default" r:id="rId46"/>
          <w:footerReference w:type="default" r:id="rId47"/>
          <w:pgSz w:w="11910" w:h="16840"/>
          <w:pgMar w:top="400" w:right="999" w:bottom="1182" w:left="989" w:header="0" w:footer="969" w:gutter="0"/>
          <w:pgNumType w:start="19"/>
          <w:cols w:space="708"/>
        </w:sectPr>
      </w:pPr>
    </w:p>
    <w:p>
      <w:pPr>
        <w:spacing w:before="193"/>
      </w:pPr>
    </w:p>
    <w:tbl>
      <w:tblPr>
        <w:tblStyle w:val="TableNormal14"/>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69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20" w:type="dxa"/>
            <w:tcBorders>
              <w:left w:val="nil"/>
            </w:tcBorders>
          </w:tcPr>
          <w:p>
            <w:pPr>
              <w:pStyle w:val="TableText"/>
              <w:spacing w:before="51" w:line="215" w:lineRule="auto"/>
              <w:ind w:left="123"/>
            </w:pPr>
            <w:bookmarkStart w:id="23" w:name="bookmark24"/>
            <w:bookmarkEnd w:id="23"/>
            <w:r>
              <w:rPr>
                <w:b/>
                <w:bCs/>
                <w:spacing w:val="-5"/>
              </w:rPr>
              <w:t>编号：</w:t>
            </w:r>
          </w:p>
          <w:p>
            <w:pPr>
              <w:pStyle w:val="TableText"/>
              <w:spacing w:line="219" w:lineRule="auto"/>
              <w:ind w:left="143"/>
            </w:pPr>
            <w:r>
              <w:rPr>
                <w:b/>
                <w:bCs/>
              </w:rPr>
              <w:t>时间：2021年x月x日</w:t>
            </w:r>
          </w:p>
        </w:tc>
        <w:tc>
          <w:tcPr>
            <w:tcW w:w="4690" w:type="dxa"/>
          </w:tcPr>
          <w:p>
            <w:pPr>
              <w:spacing w:line="250" w:lineRule="auto"/>
            </w:pPr>
          </w:p>
          <w:p>
            <w:pPr>
              <w:pStyle w:val="TableText"/>
              <w:spacing w:before="78" w:line="219" w:lineRule="auto"/>
              <w:ind w:left="278"/>
            </w:pPr>
            <w:r>
              <w:rPr>
                <w:b/>
                <w:bCs/>
                <w:color w:val="F30000"/>
                <w:spacing w:val="-4"/>
              </w:rPr>
              <w:t>书山有路勤为径，学海无涯苦作舟</w:t>
            </w:r>
          </w:p>
        </w:tc>
        <w:tc>
          <w:tcPr>
            <w:tcW w:w="2690" w:type="dxa"/>
            <w:tcBorders>
              <w:right w:val="nil"/>
            </w:tcBorders>
          </w:tcPr>
          <w:p>
            <w:pPr>
              <w:spacing w:line="252" w:lineRule="auto"/>
            </w:pPr>
          </w:p>
          <w:p>
            <w:pPr>
              <w:pStyle w:val="TableText"/>
              <w:spacing w:before="78" w:line="219" w:lineRule="auto"/>
              <w:ind w:left="128"/>
            </w:pPr>
            <w:r>
              <w:rPr>
                <w:b/>
                <w:bCs/>
                <w:spacing w:val="-2"/>
              </w:rPr>
              <w:t>页码：第15页共70页</w:t>
            </w:r>
          </w:p>
        </w:tc>
      </w:tr>
    </w:tbl>
    <w:p>
      <w:pPr>
        <w:spacing w:line="303" w:lineRule="auto"/>
      </w:pPr>
    </w:p>
    <w:p>
      <w:pPr>
        <w:pStyle w:val="BodyText"/>
        <w:spacing w:before="68" w:line="413" w:lineRule="auto"/>
        <w:ind w:left="799" w:right="781"/>
        <w:jc w:val="both"/>
        <w:rPr>
          <w:sz w:val="21"/>
          <w:szCs w:val="21"/>
        </w:rPr>
      </w:pPr>
      <w:r>
        <w:rPr>
          <w:spacing w:val="-2"/>
          <w:sz w:val="21"/>
          <w:szCs w:val="21"/>
        </w:rPr>
        <w:t>理费、出国人员费、通讯费、水电取暖费、警卫费、保险费、上缴管理服务费、职工</w:t>
      </w:r>
      <w:r>
        <w:rPr>
          <w:spacing w:val="-3"/>
          <w:sz w:val="21"/>
          <w:szCs w:val="21"/>
        </w:rPr>
        <w:t>薪酬以</w:t>
      </w:r>
      <w:r>
        <w:rPr>
          <w:sz w:val="21"/>
          <w:szCs w:val="21"/>
        </w:rPr>
        <w:t xml:space="preserve"> </w:t>
      </w:r>
      <w:r>
        <w:rPr>
          <w:spacing w:val="-2"/>
          <w:sz w:val="21"/>
          <w:szCs w:val="21"/>
        </w:rPr>
        <w:t>及其他管理相关费用。管理费用为企业的共同费用，可以根据项</w:t>
      </w:r>
      <w:r>
        <w:rPr>
          <w:spacing w:val="-3"/>
          <w:sz w:val="21"/>
          <w:szCs w:val="21"/>
        </w:rPr>
        <w:t>目的相关性从企业整体管理</w:t>
      </w:r>
    </w:p>
    <w:p>
      <w:pPr>
        <w:pStyle w:val="BodyText"/>
        <w:spacing w:line="219" w:lineRule="auto"/>
        <w:ind w:left="799"/>
        <w:rPr>
          <w:sz w:val="21"/>
          <w:szCs w:val="21"/>
        </w:rPr>
      </w:pPr>
      <w:r>
        <w:rPr>
          <w:spacing w:val="-7"/>
          <w:sz w:val="21"/>
          <w:szCs w:val="21"/>
        </w:rPr>
        <w:t>费用中分摊。</w:t>
      </w:r>
    </w:p>
    <w:p>
      <w:pPr>
        <w:pStyle w:val="BodyText"/>
        <w:spacing w:before="220" w:line="219" w:lineRule="auto"/>
        <w:ind w:left="1230"/>
        <w:rPr>
          <w:sz w:val="21"/>
          <w:szCs w:val="21"/>
        </w:rPr>
      </w:pPr>
      <w:r>
        <w:rPr>
          <w:spacing w:val="-1"/>
          <w:sz w:val="21"/>
          <w:szCs w:val="21"/>
        </w:rPr>
        <w:t>管理费用为企业的共同费用，可以根据项目的相关性从企业整体</w:t>
      </w:r>
      <w:r>
        <w:rPr>
          <w:spacing w:val="-2"/>
          <w:sz w:val="21"/>
          <w:szCs w:val="21"/>
        </w:rPr>
        <w:t>管理费用中分摊。</w:t>
      </w:r>
    </w:p>
    <w:p>
      <w:pPr>
        <w:pStyle w:val="BodyText"/>
        <w:spacing w:before="221" w:line="219" w:lineRule="auto"/>
        <w:ind w:left="1230"/>
        <w:rPr>
          <w:sz w:val="21"/>
          <w:szCs w:val="21"/>
        </w:rPr>
      </w:pPr>
      <w:r>
        <w:rPr>
          <w:spacing w:val="-13"/>
          <w:sz w:val="21"/>
          <w:szCs w:val="21"/>
        </w:rPr>
        <w:t>●</w:t>
      </w:r>
      <w:r>
        <w:rPr>
          <w:spacing w:val="13"/>
          <w:sz w:val="21"/>
          <w:szCs w:val="21"/>
        </w:rPr>
        <w:t xml:space="preserve">  </w:t>
      </w:r>
      <w:r>
        <w:rPr>
          <w:spacing w:val="-13"/>
          <w:sz w:val="21"/>
          <w:szCs w:val="21"/>
        </w:rPr>
        <w:t>财务费用</w:t>
      </w:r>
    </w:p>
    <w:p>
      <w:pPr>
        <w:pStyle w:val="BodyText"/>
        <w:spacing w:before="211" w:line="470" w:lineRule="exact"/>
        <w:ind w:left="1230"/>
        <w:rPr>
          <w:sz w:val="21"/>
          <w:szCs w:val="21"/>
        </w:rPr>
      </w:pPr>
      <w:r>
        <w:rPr>
          <w:spacing w:val="6"/>
          <w:position w:val="20"/>
          <w:sz w:val="21"/>
          <w:szCs w:val="21"/>
        </w:rPr>
        <w:t>指为筹集所需资金等而发生的费用，包括利息支出(</w:t>
      </w:r>
      <w:r>
        <w:rPr>
          <w:spacing w:val="5"/>
          <w:position w:val="20"/>
          <w:sz w:val="21"/>
          <w:szCs w:val="21"/>
        </w:rPr>
        <w:t>减利息收入)、汇兑损失(减汇兑</w:t>
      </w:r>
    </w:p>
    <w:p>
      <w:pPr>
        <w:pStyle w:val="BodyText"/>
        <w:spacing w:line="219" w:lineRule="auto"/>
        <w:ind w:left="799"/>
        <w:rPr>
          <w:sz w:val="21"/>
          <w:szCs w:val="21"/>
        </w:rPr>
      </w:pPr>
      <w:r>
        <w:rPr>
          <w:spacing w:val="3"/>
          <w:sz w:val="21"/>
          <w:szCs w:val="21"/>
        </w:rPr>
        <w:t>收益)以及相关的手续费等。</w:t>
      </w:r>
    </w:p>
    <w:p>
      <w:pPr>
        <w:spacing w:line="424" w:lineRule="auto"/>
      </w:pPr>
    </w:p>
    <w:p>
      <w:pPr>
        <w:spacing w:before="69" w:line="221" w:lineRule="auto"/>
        <w:ind w:left="1672"/>
        <w:outlineLvl w:val="1"/>
        <w:rPr>
          <w:rFonts w:ascii="黑体" w:eastAsia="黑体" w:hAnsi="黑体" w:cs="黑体"/>
        </w:rPr>
      </w:pPr>
      <w:hyperlink r:id="rId48" w:history="1">
        <w:r>
          <w:rPr>
            <w:rFonts w:ascii="黑体" w:eastAsia="黑体" w:hAnsi="黑体" w:cs="黑体"/>
            <w:b/>
            <w:bCs/>
            <w:spacing w:val="-12"/>
            <w:sz w:val="21"/>
            <w:szCs w:val="21"/>
          </w:rPr>
          <w:t>3.3.4.2</w:t>
        </w:r>
      </w:hyperlink>
      <w:r>
        <w:rPr>
          <w:rFonts w:ascii="黑体" w:eastAsia="黑体" w:hAnsi="黑体" w:cs="黑体"/>
          <w:spacing w:val="-12"/>
          <w:sz w:val="21"/>
          <w:szCs w:val="21"/>
        </w:rPr>
        <w:t xml:space="preserve">  </w:t>
      </w:r>
      <w:r>
        <w:rPr>
          <w:rFonts w:ascii="黑体" w:eastAsia="黑体" w:hAnsi="黑体" w:cs="黑体"/>
          <w:b/>
          <w:bCs/>
          <w:spacing w:val="-12"/>
          <w:sz w:val="21"/>
          <w:szCs w:val="21"/>
        </w:rPr>
        <w:t>总成本费用估算方法</w:t>
      </w:r>
    </w:p>
    <w:p>
      <w:pPr>
        <w:spacing w:line="440" w:lineRule="auto"/>
      </w:pPr>
    </w:p>
    <w:p>
      <w:pPr>
        <w:pStyle w:val="BodyText"/>
        <w:spacing w:before="69" w:line="405" w:lineRule="auto"/>
        <w:ind w:left="799" w:right="791" w:firstLine="430"/>
        <w:jc w:val="both"/>
        <w:rPr>
          <w:sz w:val="21"/>
          <w:szCs w:val="21"/>
        </w:rPr>
      </w:pPr>
      <w:r>
        <w:rPr>
          <w:spacing w:val="-3"/>
          <w:sz w:val="21"/>
          <w:szCs w:val="21"/>
        </w:rPr>
        <w:t>总成本费用的估算应遵循“有无对比”的原则，根据中国移动现行的财务会计制度和会</w:t>
      </w:r>
      <w:r>
        <w:rPr>
          <w:spacing w:val="11"/>
          <w:sz w:val="21"/>
          <w:szCs w:val="21"/>
        </w:rPr>
        <w:t xml:space="preserve"> </w:t>
      </w:r>
      <w:r>
        <w:rPr>
          <w:spacing w:val="-3"/>
          <w:sz w:val="21"/>
          <w:szCs w:val="21"/>
        </w:rPr>
        <w:t>计核算办法，以调研的项目建设单位历史数</w:t>
      </w:r>
      <w:r>
        <w:rPr>
          <w:spacing w:val="-4"/>
          <w:sz w:val="21"/>
          <w:szCs w:val="21"/>
        </w:rPr>
        <w:t>据为依据，并结合项目特点，测算本项目建设所</w:t>
      </w:r>
    </w:p>
    <w:p>
      <w:pPr>
        <w:pStyle w:val="BodyText"/>
        <w:spacing w:line="218" w:lineRule="auto"/>
        <w:ind w:left="799"/>
        <w:rPr>
          <w:sz w:val="21"/>
          <w:szCs w:val="21"/>
        </w:rPr>
      </w:pPr>
      <w:r>
        <w:rPr>
          <w:spacing w:val="-4"/>
          <w:sz w:val="21"/>
          <w:szCs w:val="21"/>
        </w:rPr>
        <w:t>产生的相关成本费用。</w:t>
      </w:r>
    </w:p>
    <w:p>
      <w:pPr>
        <w:pStyle w:val="BodyText"/>
        <w:spacing w:before="231" w:line="219" w:lineRule="auto"/>
        <w:ind w:left="1230"/>
        <w:rPr>
          <w:sz w:val="21"/>
          <w:szCs w:val="21"/>
        </w:rPr>
      </w:pPr>
      <w:r>
        <w:rPr>
          <w:spacing w:val="-4"/>
          <w:sz w:val="21"/>
          <w:szCs w:val="21"/>
        </w:rPr>
        <w:t>各项成本费用测算一般方法如下：</w:t>
      </w:r>
    </w:p>
    <w:p>
      <w:pPr>
        <w:pStyle w:val="BodyText"/>
        <w:spacing w:before="290" w:line="222" w:lineRule="auto"/>
        <w:ind w:left="3492"/>
        <w:rPr>
          <w:sz w:val="21"/>
          <w:szCs w:val="21"/>
        </w:rPr>
      </w:pPr>
      <w:r>
        <w:rPr>
          <w:rFonts w:ascii="黑体" w:eastAsia="黑体" w:hAnsi="黑体" w:cs="黑体"/>
          <w:b/>
          <w:bCs/>
          <w:spacing w:val="-1"/>
          <w:sz w:val="21"/>
          <w:szCs w:val="21"/>
        </w:rPr>
        <w:t>表3.3-1</w:t>
      </w:r>
      <w:r>
        <w:rPr>
          <w:rFonts w:ascii="黑体" w:eastAsia="黑体" w:hAnsi="黑体" w:cs="黑体"/>
          <w:spacing w:val="-1"/>
          <w:sz w:val="21"/>
          <w:szCs w:val="21"/>
        </w:rPr>
        <w:t xml:space="preserve"> </w:t>
      </w:r>
      <w:r>
        <w:rPr>
          <w:spacing w:val="-1"/>
          <w:sz w:val="21"/>
          <w:szCs w:val="21"/>
        </w:rPr>
        <w:t>各项成本费用测算方法</w:t>
      </w:r>
    </w:p>
    <w:p>
      <w:pPr>
        <w:spacing w:line="176" w:lineRule="exact"/>
      </w:pPr>
    </w:p>
    <w:tbl>
      <w:tblPr>
        <w:tblStyle w:val="TableNormal14"/>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153"/>
        <w:gridCol w:w="2347"/>
        <w:gridCol w:w="5019"/>
      </w:tblGrid>
      <w:tr>
        <w:tblPrEx>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64"/>
        </w:trPr>
        <w:tc>
          <w:tcPr>
            <w:tcW w:w="1153" w:type="dxa"/>
            <w:vMerge w:val="restart"/>
            <w:tcBorders>
              <w:bottom w:val="nil"/>
            </w:tcBorders>
          </w:tcPr>
          <w:p>
            <w:pPr>
              <w:spacing w:line="275" w:lineRule="auto"/>
            </w:pPr>
          </w:p>
          <w:p>
            <w:pPr>
              <w:spacing w:line="275" w:lineRule="auto"/>
            </w:pPr>
          </w:p>
          <w:p>
            <w:pPr>
              <w:spacing w:line="276" w:lineRule="auto"/>
            </w:pPr>
          </w:p>
          <w:p>
            <w:pPr>
              <w:spacing w:line="276" w:lineRule="auto"/>
            </w:pPr>
          </w:p>
          <w:p>
            <w:pPr>
              <w:spacing w:line="276" w:lineRule="auto"/>
            </w:pPr>
          </w:p>
          <w:p>
            <w:pPr>
              <w:spacing w:line="276" w:lineRule="auto"/>
            </w:pPr>
          </w:p>
          <w:p>
            <w:pPr>
              <w:pStyle w:val="TableText"/>
              <w:spacing w:before="69" w:line="399" w:lineRule="exact"/>
              <w:ind w:left="144"/>
              <w:rPr>
                <w:sz w:val="21"/>
                <w:szCs w:val="21"/>
              </w:rPr>
            </w:pPr>
            <w:r>
              <w:rPr>
                <w:spacing w:val="-2"/>
                <w:position w:val="14"/>
                <w:sz w:val="21"/>
                <w:szCs w:val="21"/>
              </w:rPr>
              <w:t>主营业务</w:t>
            </w:r>
          </w:p>
          <w:p>
            <w:pPr>
              <w:pStyle w:val="TableText"/>
              <w:spacing w:line="218" w:lineRule="auto"/>
              <w:ind w:left="354"/>
              <w:rPr>
                <w:sz w:val="21"/>
                <w:szCs w:val="21"/>
              </w:rPr>
            </w:pPr>
            <w:r>
              <w:rPr>
                <w:spacing w:val="-3"/>
                <w:sz w:val="21"/>
                <w:szCs w:val="21"/>
              </w:rPr>
              <w:t>成本</w:t>
            </w:r>
          </w:p>
        </w:tc>
        <w:tc>
          <w:tcPr>
            <w:tcW w:w="2347" w:type="dxa"/>
          </w:tcPr>
          <w:p>
            <w:pPr>
              <w:pStyle w:val="TableText"/>
              <w:spacing w:before="133" w:line="219" w:lineRule="auto"/>
              <w:ind w:left="151"/>
              <w:rPr>
                <w:sz w:val="21"/>
                <w:szCs w:val="21"/>
              </w:rPr>
            </w:pPr>
            <w:r>
              <w:rPr>
                <w:spacing w:val="3"/>
                <w:sz w:val="21"/>
                <w:szCs w:val="21"/>
              </w:rPr>
              <w:t>职工薪酬</w:t>
            </w:r>
          </w:p>
        </w:tc>
        <w:tc>
          <w:tcPr>
            <w:tcW w:w="5019" w:type="dxa"/>
          </w:tcPr>
          <w:p>
            <w:pPr>
              <w:pStyle w:val="TableText"/>
              <w:spacing w:before="63" w:line="219" w:lineRule="auto"/>
              <w:ind w:left="144"/>
              <w:rPr>
                <w:sz w:val="21"/>
                <w:szCs w:val="21"/>
              </w:rPr>
            </w:pPr>
            <w:r>
              <w:rPr>
                <w:spacing w:val="-1"/>
                <w:sz w:val="21"/>
                <w:szCs w:val="21"/>
              </w:rPr>
              <w:t>=职工薪酬占固定资产原值比例×项目固定资产投资</w:t>
            </w:r>
          </w:p>
        </w:tc>
      </w:tr>
      <w:tr>
        <w:tblPrEx>
          <w:tblInd w:w="690" w:type="dxa"/>
          <w:tblLayout w:type="fixed"/>
          <w:tblCellMar>
            <w:top w:w="0" w:type="dxa"/>
            <w:left w:w="0" w:type="dxa"/>
            <w:bottom w:w="0" w:type="dxa"/>
            <w:right w:w="0" w:type="dxa"/>
          </w:tblCellMar>
          <w:tblLook w:val="0000"/>
        </w:tblPrEx>
        <w:trPr>
          <w:trHeight w:val="469"/>
        </w:trPr>
        <w:tc>
          <w:tcPr>
            <w:tcW w:w="1153" w:type="dxa"/>
            <w:vMerge/>
            <w:tcBorders>
              <w:top w:val="nil"/>
              <w:bottom w:val="nil"/>
            </w:tcBorders>
          </w:tcPr>
          <w:p/>
        </w:tc>
        <w:tc>
          <w:tcPr>
            <w:tcW w:w="2347" w:type="dxa"/>
          </w:tcPr>
          <w:p>
            <w:pPr>
              <w:pStyle w:val="TableText"/>
              <w:spacing w:before="129" w:line="219" w:lineRule="auto"/>
              <w:ind w:left="151"/>
              <w:rPr>
                <w:sz w:val="21"/>
                <w:szCs w:val="21"/>
              </w:rPr>
            </w:pPr>
            <w:r>
              <w:rPr>
                <w:spacing w:val="4"/>
                <w:sz w:val="21"/>
                <w:szCs w:val="21"/>
              </w:rPr>
              <w:t>维修费</w:t>
            </w:r>
          </w:p>
        </w:tc>
        <w:tc>
          <w:tcPr>
            <w:tcW w:w="5019" w:type="dxa"/>
          </w:tcPr>
          <w:p>
            <w:pPr>
              <w:pStyle w:val="TableText"/>
              <w:spacing w:before="129" w:line="219" w:lineRule="auto"/>
              <w:ind w:left="144"/>
              <w:rPr>
                <w:sz w:val="21"/>
                <w:szCs w:val="21"/>
              </w:rPr>
            </w:pPr>
            <w:r>
              <w:rPr>
                <w:spacing w:val="-1"/>
                <w:sz w:val="21"/>
                <w:szCs w:val="21"/>
              </w:rPr>
              <w:t>=维修费占固定资产原值比例×项目固定资产投资</w:t>
            </w:r>
          </w:p>
        </w:tc>
      </w:tr>
      <w:tr>
        <w:tblPrEx>
          <w:tblInd w:w="690" w:type="dxa"/>
          <w:tblLayout w:type="fixed"/>
          <w:tblCellMar>
            <w:top w:w="0" w:type="dxa"/>
            <w:left w:w="0" w:type="dxa"/>
            <w:bottom w:w="0" w:type="dxa"/>
            <w:right w:w="0" w:type="dxa"/>
          </w:tblCellMar>
          <w:tblLook w:val="0000"/>
        </w:tblPrEx>
        <w:trPr>
          <w:trHeight w:val="469"/>
        </w:trPr>
        <w:tc>
          <w:tcPr>
            <w:tcW w:w="1153" w:type="dxa"/>
            <w:vMerge/>
            <w:tcBorders>
              <w:top w:val="nil"/>
              <w:bottom w:val="nil"/>
            </w:tcBorders>
          </w:tcPr>
          <w:p/>
        </w:tc>
        <w:tc>
          <w:tcPr>
            <w:tcW w:w="2347" w:type="dxa"/>
          </w:tcPr>
          <w:p>
            <w:pPr>
              <w:pStyle w:val="TableText"/>
              <w:spacing w:before="130" w:line="219" w:lineRule="auto"/>
              <w:ind w:left="151"/>
              <w:rPr>
                <w:sz w:val="21"/>
                <w:szCs w:val="21"/>
              </w:rPr>
            </w:pPr>
            <w:r>
              <w:rPr>
                <w:spacing w:val="4"/>
                <w:sz w:val="21"/>
                <w:szCs w:val="21"/>
              </w:rPr>
              <w:t>业务费</w:t>
            </w:r>
          </w:p>
        </w:tc>
        <w:tc>
          <w:tcPr>
            <w:tcW w:w="5019" w:type="dxa"/>
          </w:tcPr>
          <w:p>
            <w:pPr>
              <w:pStyle w:val="TableText"/>
              <w:spacing w:before="130" w:line="219" w:lineRule="auto"/>
              <w:ind w:left="144"/>
              <w:rPr>
                <w:sz w:val="21"/>
                <w:szCs w:val="21"/>
              </w:rPr>
            </w:pPr>
            <w:r>
              <w:rPr>
                <w:spacing w:val="-1"/>
                <w:sz w:val="21"/>
                <w:szCs w:val="21"/>
              </w:rPr>
              <w:t>=业务费占固定资产原值比例×项目固定资产投资</w:t>
            </w:r>
          </w:p>
        </w:tc>
      </w:tr>
      <w:tr>
        <w:tblPrEx>
          <w:tblInd w:w="690" w:type="dxa"/>
          <w:tblLayout w:type="fixed"/>
          <w:tblCellMar>
            <w:top w:w="0" w:type="dxa"/>
            <w:left w:w="0" w:type="dxa"/>
            <w:bottom w:w="0" w:type="dxa"/>
            <w:right w:w="0" w:type="dxa"/>
          </w:tblCellMar>
          <w:tblLook w:val="0000"/>
        </w:tblPrEx>
        <w:trPr>
          <w:trHeight w:val="469"/>
        </w:trPr>
        <w:tc>
          <w:tcPr>
            <w:tcW w:w="1153" w:type="dxa"/>
            <w:vMerge/>
            <w:tcBorders>
              <w:top w:val="nil"/>
              <w:bottom w:val="nil"/>
            </w:tcBorders>
          </w:tcPr>
          <w:p/>
        </w:tc>
        <w:tc>
          <w:tcPr>
            <w:tcW w:w="2347" w:type="dxa"/>
          </w:tcPr>
          <w:p>
            <w:pPr>
              <w:pStyle w:val="TableText"/>
              <w:spacing w:before="132" w:line="220" w:lineRule="auto"/>
              <w:ind w:left="151"/>
              <w:rPr>
                <w:sz w:val="21"/>
                <w:szCs w:val="21"/>
              </w:rPr>
            </w:pPr>
            <w:r>
              <w:rPr>
                <w:spacing w:val="4"/>
                <w:sz w:val="21"/>
                <w:szCs w:val="21"/>
              </w:rPr>
              <w:t>折旧费</w:t>
            </w:r>
          </w:p>
        </w:tc>
        <w:tc>
          <w:tcPr>
            <w:tcW w:w="5019" w:type="dxa"/>
          </w:tcPr>
          <w:p>
            <w:pPr>
              <w:pStyle w:val="TableText"/>
              <w:spacing w:before="71" w:line="219" w:lineRule="auto"/>
              <w:ind w:left="144"/>
              <w:rPr>
                <w:sz w:val="21"/>
                <w:szCs w:val="21"/>
              </w:rPr>
            </w:pPr>
            <w:r>
              <w:rPr>
                <w:spacing w:val="-1"/>
                <w:sz w:val="21"/>
                <w:szCs w:val="21"/>
              </w:rPr>
              <w:t>=固定资产原值×(1-净残值率)/折旧年限</w:t>
            </w:r>
          </w:p>
        </w:tc>
      </w:tr>
      <w:tr>
        <w:tblPrEx>
          <w:tblInd w:w="690" w:type="dxa"/>
          <w:tblLayout w:type="fixed"/>
          <w:tblCellMar>
            <w:top w:w="0" w:type="dxa"/>
            <w:left w:w="0" w:type="dxa"/>
            <w:bottom w:w="0" w:type="dxa"/>
            <w:right w:w="0" w:type="dxa"/>
          </w:tblCellMar>
          <w:tblLook w:val="0000"/>
        </w:tblPrEx>
        <w:trPr>
          <w:trHeight w:val="919"/>
        </w:trPr>
        <w:tc>
          <w:tcPr>
            <w:tcW w:w="1153" w:type="dxa"/>
            <w:vMerge/>
            <w:tcBorders>
              <w:top w:val="nil"/>
              <w:bottom w:val="nil"/>
            </w:tcBorders>
          </w:tcPr>
          <w:p/>
        </w:tc>
        <w:tc>
          <w:tcPr>
            <w:tcW w:w="2347" w:type="dxa"/>
          </w:tcPr>
          <w:p>
            <w:pPr>
              <w:pStyle w:val="TableText"/>
              <w:spacing w:before="142" w:line="219" w:lineRule="auto"/>
              <w:ind w:left="151"/>
              <w:rPr>
                <w:sz w:val="21"/>
                <w:szCs w:val="21"/>
              </w:rPr>
            </w:pPr>
            <w:r>
              <w:rPr>
                <w:spacing w:val="3"/>
                <w:sz w:val="21"/>
                <w:szCs w:val="21"/>
              </w:rPr>
              <w:t>网内网间结算支出</w:t>
            </w:r>
          </w:p>
        </w:tc>
        <w:tc>
          <w:tcPr>
            <w:tcW w:w="5019" w:type="dxa"/>
          </w:tcPr>
          <w:p>
            <w:pPr>
              <w:pStyle w:val="TableText"/>
              <w:spacing w:before="52" w:line="251" w:lineRule="auto"/>
              <w:ind w:left="124" w:right="166"/>
              <w:jc w:val="both"/>
              <w:rPr>
                <w:sz w:val="21"/>
                <w:szCs w:val="21"/>
              </w:rPr>
            </w:pPr>
            <w:r>
              <w:rPr>
                <w:sz w:val="21"/>
                <w:szCs w:val="21"/>
              </w:rPr>
              <w:t>网内网间结算费用占相关收入比例×项目再分配收</w:t>
            </w:r>
            <w:r>
              <w:rPr>
                <w:spacing w:val="3"/>
                <w:sz w:val="21"/>
                <w:szCs w:val="21"/>
              </w:rPr>
              <w:t xml:space="preserve">  </w:t>
            </w:r>
            <w:r>
              <w:rPr>
                <w:spacing w:val="-1"/>
                <w:sz w:val="21"/>
                <w:szCs w:val="21"/>
              </w:rPr>
              <w:t>入(参考网内网间结算办法测算网内网间结算支出占</w:t>
            </w:r>
            <w:r>
              <w:rPr>
                <w:spacing w:val="14"/>
                <w:sz w:val="21"/>
                <w:szCs w:val="21"/>
              </w:rPr>
              <w:t xml:space="preserve"> </w:t>
            </w:r>
            <w:r>
              <w:rPr>
                <w:spacing w:val="10"/>
                <w:sz w:val="21"/>
                <w:szCs w:val="21"/>
              </w:rPr>
              <w:t>收入的比例)</w:t>
            </w:r>
          </w:p>
        </w:tc>
      </w:tr>
      <w:tr>
        <w:tblPrEx>
          <w:tblInd w:w="690" w:type="dxa"/>
          <w:tblLayout w:type="fixed"/>
          <w:tblCellMar>
            <w:top w:w="0" w:type="dxa"/>
            <w:left w:w="0" w:type="dxa"/>
            <w:bottom w:w="0" w:type="dxa"/>
            <w:right w:w="0" w:type="dxa"/>
          </w:tblCellMar>
          <w:tblLook w:val="0000"/>
        </w:tblPrEx>
        <w:trPr>
          <w:trHeight w:val="479"/>
        </w:trPr>
        <w:tc>
          <w:tcPr>
            <w:tcW w:w="1153" w:type="dxa"/>
            <w:vMerge/>
            <w:tcBorders>
              <w:top w:val="nil"/>
              <w:bottom w:val="nil"/>
            </w:tcBorders>
          </w:tcPr>
          <w:p/>
        </w:tc>
        <w:tc>
          <w:tcPr>
            <w:tcW w:w="2347" w:type="dxa"/>
          </w:tcPr>
          <w:p>
            <w:pPr>
              <w:pStyle w:val="TableText"/>
              <w:spacing w:before="143" w:line="219" w:lineRule="auto"/>
              <w:ind w:left="151"/>
              <w:rPr>
                <w:sz w:val="21"/>
                <w:szCs w:val="21"/>
              </w:rPr>
            </w:pPr>
            <w:r>
              <w:rPr>
                <w:spacing w:val="1"/>
                <w:sz w:val="21"/>
                <w:szCs w:val="21"/>
              </w:rPr>
              <w:t>电路及网元租赁费</w:t>
            </w:r>
          </w:p>
        </w:tc>
        <w:tc>
          <w:tcPr>
            <w:tcW w:w="5019" w:type="dxa"/>
          </w:tcPr>
          <w:p>
            <w:pPr>
              <w:pStyle w:val="TableText"/>
              <w:spacing w:before="83" w:line="219" w:lineRule="auto"/>
              <w:ind w:left="144"/>
              <w:rPr>
                <w:sz w:val="21"/>
                <w:szCs w:val="21"/>
              </w:rPr>
            </w:pPr>
            <w:r>
              <w:rPr>
                <w:spacing w:val="-1"/>
                <w:sz w:val="21"/>
                <w:szCs w:val="21"/>
              </w:rPr>
              <w:t>根据项目实际情况测算</w:t>
            </w:r>
          </w:p>
        </w:tc>
      </w:tr>
      <w:tr>
        <w:tblPrEx>
          <w:tblInd w:w="690" w:type="dxa"/>
          <w:tblLayout w:type="fixed"/>
          <w:tblCellMar>
            <w:top w:w="0" w:type="dxa"/>
            <w:left w:w="0" w:type="dxa"/>
            <w:bottom w:w="0" w:type="dxa"/>
            <w:right w:w="0" w:type="dxa"/>
          </w:tblCellMar>
          <w:tblLook w:val="0000"/>
        </w:tblPrEx>
        <w:trPr>
          <w:trHeight w:val="629"/>
        </w:trPr>
        <w:tc>
          <w:tcPr>
            <w:tcW w:w="1153" w:type="dxa"/>
            <w:vMerge/>
            <w:tcBorders>
              <w:top w:val="nil"/>
            </w:tcBorders>
          </w:tcPr>
          <w:p/>
        </w:tc>
        <w:tc>
          <w:tcPr>
            <w:tcW w:w="2347" w:type="dxa"/>
          </w:tcPr>
          <w:p>
            <w:pPr>
              <w:pStyle w:val="TableText"/>
              <w:spacing w:before="125" w:line="220" w:lineRule="auto"/>
              <w:ind w:left="151"/>
              <w:rPr>
                <w:sz w:val="21"/>
                <w:szCs w:val="21"/>
              </w:rPr>
            </w:pPr>
            <w:r>
              <w:rPr>
                <w:spacing w:val="-3"/>
                <w:sz w:val="21"/>
                <w:szCs w:val="21"/>
              </w:rPr>
              <w:t>其他</w:t>
            </w:r>
          </w:p>
        </w:tc>
        <w:tc>
          <w:tcPr>
            <w:tcW w:w="5019" w:type="dxa"/>
          </w:tcPr>
          <w:p>
            <w:pPr>
              <w:pStyle w:val="TableText"/>
              <w:spacing w:before="84" w:line="235" w:lineRule="auto"/>
              <w:ind w:left="144" w:right="39"/>
              <w:rPr>
                <w:sz w:val="21"/>
                <w:szCs w:val="21"/>
              </w:rPr>
            </w:pPr>
            <w:r>
              <w:rPr>
                <w:spacing w:val="-1"/>
                <w:sz w:val="21"/>
                <w:szCs w:val="21"/>
              </w:rPr>
              <w:t>项目投资如有形成无形资产应计算无形资产摊销费，</w:t>
            </w:r>
            <w:r>
              <w:rPr>
                <w:spacing w:val="16"/>
                <w:sz w:val="21"/>
                <w:szCs w:val="21"/>
              </w:rPr>
              <w:t xml:space="preserve"> </w:t>
            </w:r>
            <w:r>
              <w:rPr>
                <w:spacing w:val="-1"/>
                <w:sz w:val="21"/>
                <w:szCs w:val="21"/>
              </w:rPr>
              <w:t>其他费用可忽略不计</w:t>
            </w:r>
          </w:p>
        </w:tc>
      </w:tr>
      <w:tr>
        <w:tblPrEx>
          <w:tblInd w:w="690" w:type="dxa"/>
          <w:tblLayout w:type="fixed"/>
          <w:tblCellMar>
            <w:top w:w="0" w:type="dxa"/>
            <w:left w:w="0" w:type="dxa"/>
            <w:bottom w:w="0" w:type="dxa"/>
            <w:right w:w="0" w:type="dxa"/>
          </w:tblCellMar>
          <w:tblLook w:val="0000"/>
        </w:tblPrEx>
        <w:trPr>
          <w:trHeight w:val="459"/>
        </w:trPr>
        <w:tc>
          <w:tcPr>
            <w:tcW w:w="1153" w:type="dxa"/>
          </w:tcPr>
          <w:p>
            <w:pPr>
              <w:pStyle w:val="TableText"/>
              <w:spacing w:before="206" w:line="213" w:lineRule="auto"/>
              <w:ind w:left="144"/>
              <w:rPr>
                <w:sz w:val="21"/>
                <w:szCs w:val="21"/>
              </w:rPr>
            </w:pPr>
            <w:r>
              <w:rPr>
                <w:spacing w:val="6"/>
                <w:sz w:val="21"/>
                <w:szCs w:val="21"/>
              </w:rPr>
              <w:t>销售费用</w:t>
            </w:r>
          </w:p>
        </w:tc>
        <w:tc>
          <w:tcPr>
            <w:tcW w:w="2347" w:type="dxa"/>
          </w:tcPr>
          <w:p>
            <w:pPr>
              <w:pStyle w:val="TableText"/>
              <w:spacing w:before="136" w:line="220" w:lineRule="auto"/>
              <w:ind w:left="151"/>
              <w:rPr>
                <w:sz w:val="21"/>
                <w:szCs w:val="21"/>
              </w:rPr>
            </w:pPr>
            <w:r>
              <w:rPr>
                <w:spacing w:val="6"/>
                <w:sz w:val="21"/>
                <w:szCs w:val="21"/>
              </w:rPr>
              <w:t>销售费用</w:t>
            </w:r>
          </w:p>
        </w:tc>
        <w:tc>
          <w:tcPr>
            <w:tcW w:w="5019" w:type="dxa"/>
          </w:tcPr>
          <w:p>
            <w:pPr>
              <w:pStyle w:val="TableText"/>
              <w:spacing w:before="135" w:line="219" w:lineRule="auto"/>
              <w:ind w:left="144"/>
              <w:rPr>
                <w:sz w:val="21"/>
                <w:szCs w:val="21"/>
              </w:rPr>
            </w:pPr>
            <w:r>
              <w:rPr>
                <w:spacing w:val="-1"/>
                <w:sz w:val="21"/>
                <w:szCs w:val="21"/>
              </w:rPr>
              <w:t>=销售费用占主营业务收入比例×项目再分配收入</w:t>
            </w:r>
          </w:p>
        </w:tc>
      </w:tr>
      <w:tr>
        <w:tblPrEx>
          <w:tblInd w:w="690" w:type="dxa"/>
          <w:tblLayout w:type="fixed"/>
          <w:tblCellMar>
            <w:top w:w="0" w:type="dxa"/>
            <w:left w:w="0" w:type="dxa"/>
            <w:bottom w:w="0" w:type="dxa"/>
            <w:right w:w="0" w:type="dxa"/>
          </w:tblCellMar>
          <w:tblLook w:val="0000"/>
        </w:tblPrEx>
        <w:trPr>
          <w:trHeight w:val="469"/>
        </w:trPr>
        <w:tc>
          <w:tcPr>
            <w:tcW w:w="1153" w:type="dxa"/>
          </w:tcPr>
          <w:p>
            <w:pPr>
              <w:pStyle w:val="TableText"/>
              <w:spacing w:before="136" w:line="219" w:lineRule="auto"/>
              <w:ind w:left="144"/>
              <w:rPr>
                <w:sz w:val="21"/>
                <w:szCs w:val="21"/>
              </w:rPr>
            </w:pPr>
            <w:r>
              <w:rPr>
                <w:spacing w:val="6"/>
                <w:sz w:val="21"/>
                <w:szCs w:val="21"/>
              </w:rPr>
              <w:t>管理费用</w:t>
            </w:r>
          </w:p>
        </w:tc>
        <w:tc>
          <w:tcPr>
            <w:tcW w:w="2347" w:type="dxa"/>
          </w:tcPr>
          <w:p>
            <w:pPr>
              <w:pStyle w:val="TableText"/>
              <w:spacing w:before="136" w:line="219" w:lineRule="auto"/>
              <w:ind w:left="151"/>
              <w:rPr>
                <w:sz w:val="21"/>
                <w:szCs w:val="21"/>
              </w:rPr>
            </w:pPr>
            <w:r>
              <w:rPr>
                <w:spacing w:val="6"/>
                <w:sz w:val="21"/>
                <w:szCs w:val="21"/>
              </w:rPr>
              <w:t>管理费用</w:t>
            </w:r>
          </w:p>
        </w:tc>
        <w:tc>
          <w:tcPr>
            <w:tcW w:w="5019" w:type="dxa"/>
          </w:tcPr>
          <w:p>
            <w:pPr>
              <w:pStyle w:val="TableText"/>
              <w:spacing w:before="136" w:line="219" w:lineRule="auto"/>
              <w:ind w:left="144"/>
              <w:rPr>
                <w:sz w:val="21"/>
                <w:szCs w:val="21"/>
              </w:rPr>
            </w:pPr>
            <w:r>
              <w:rPr>
                <w:spacing w:val="-1"/>
                <w:sz w:val="21"/>
                <w:szCs w:val="21"/>
              </w:rPr>
              <w:t>=管理费用占主营业务收入比例×项目再分配收入</w:t>
            </w:r>
          </w:p>
        </w:tc>
      </w:tr>
      <w:tr>
        <w:tblPrEx>
          <w:tblInd w:w="690" w:type="dxa"/>
          <w:tblLayout w:type="fixed"/>
          <w:tblCellMar>
            <w:top w:w="0" w:type="dxa"/>
            <w:left w:w="0" w:type="dxa"/>
            <w:bottom w:w="0" w:type="dxa"/>
            <w:right w:w="0" w:type="dxa"/>
          </w:tblCellMar>
          <w:tblLook w:val="0000"/>
        </w:tblPrEx>
        <w:trPr>
          <w:trHeight w:val="474"/>
        </w:trPr>
        <w:tc>
          <w:tcPr>
            <w:tcW w:w="1153" w:type="dxa"/>
          </w:tcPr>
          <w:p>
            <w:pPr>
              <w:pStyle w:val="TableText"/>
              <w:spacing w:before="137" w:line="219" w:lineRule="auto"/>
              <w:ind w:left="144"/>
              <w:rPr>
                <w:sz w:val="21"/>
                <w:szCs w:val="21"/>
              </w:rPr>
            </w:pPr>
            <w:r>
              <w:rPr>
                <w:spacing w:val="6"/>
                <w:sz w:val="21"/>
                <w:szCs w:val="21"/>
              </w:rPr>
              <w:t>财务费用</w:t>
            </w:r>
          </w:p>
        </w:tc>
        <w:tc>
          <w:tcPr>
            <w:tcW w:w="2347" w:type="dxa"/>
          </w:tcPr>
          <w:p>
            <w:pPr>
              <w:pStyle w:val="TableText"/>
              <w:spacing w:before="137" w:line="219" w:lineRule="auto"/>
              <w:ind w:left="151"/>
              <w:rPr>
                <w:sz w:val="21"/>
                <w:szCs w:val="21"/>
              </w:rPr>
            </w:pPr>
            <w:r>
              <w:rPr>
                <w:spacing w:val="6"/>
                <w:sz w:val="21"/>
                <w:szCs w:val="21"/>
              </w:rPr>
              <w:t>财务费用</w:t>
            </w:r>
          </w:p>
        </w:tc>
        <w:tc>
          <w:tcPr>
            <w:tcW w:w="5019" w:type="dxa"/>
          </w:tcPr>
          <w:p>
            <w:pPr>
              <w:pStyle w:val="TableText"/>
              <w:spacing w:before="137" w:line="219" w:lineRule="auto"/>
              <w:ind w:left="144"/>
              <w:rPr>
                <w:sz w:val="21"/>
                <w:szCs w:val="21"/>
              </w:rPr>
            </w:pPr>
            <w:r>
              <w:rPr>
                <w:spacing w:val="-1"/>
                <w:sz w:val="21"/>
                <w:szCs w:val="21"/>
              </w:rPr>
              <w:t>根据项目融资方案计算</w:t>
            </w:r>
          </w:p>
        </w:tc>
      </w:tr>
    </w:tbl>
    <w:p>
      <w:pPr>
        <w:pStyle w:val="BodyText"/>
        <w:spacing w:before="113" w:line="480" w:lineRule="exact"/>
        <w:ind w:left="1230"/>
        <w:rPr>
          <w:sz w:val="21"/>
          <w:szCs w:val="21"/>
        </w:rPr>
      </w:pPr>
      <w:r>
        <w:rPr>
          <w:spacing w:val="-3"/>
          <w:position w:val="20"/>
          <w:sz w:val="21"/>
          <w:szCs w:val="21"/>
        </w:rPr>
        <w:t>以上是各项成本费用测算的一般方法，具体项目中应根据成本的</w:t>
      </w:r>
      <w:r>
        <w:rPr>
          <w:spacing w:val="-4"/>
          <w:position w:val="20"/>
          <w:sz w:val="21"/>
          <w:szCs w:val="21"/>
        </w:rPr>
        <w:t>驱动因素，结合收集到</w:t>
      </w:r>
    </w:p>
    <w:p>
      <w:pPr>
        <w:pStyle w:val="BodyText"/>
        <w:spacing w:before="1" w:line="218" w:lineRule="auto"/>
        <w:ind w:left="799"/>
        <w:rPr>
          <w:sz w:val="21"/>
          <w:szCs w:val="21"/>
        </w:rPr>
      </w:pPr>
      <w:r>
        <w:rPr>
          <w:spacing w:val="-3"/>
          <w:sz w:val="21"/>
          <w:szCs w:val="21"/>
        </w:rPr>
        <w:t>的资料测算成本费用计算参数，进行详细测算。</w:t>
      </w:r>
    </w:p>
    <w:p>
      <w:pPr>
        <w:spacing w:line="218" w:lineRule="auto"/>
        <w:sectPr>
          <w:headerReference w:type="default" r:id="rId49"/>
          <w:footerReference w:type="default" r:id="rId50"/>
          <w:pgSz w:w="11910" w:h="16840"/>
          <w:pgMar w:top="400" w:right="1019" w:bottom="1182" w:left="989" w:header="0" w:footer="969" w:gutter="0"/>
          <w:pgNumType w:start="20"/>
          <w:cols w:space="708"/>
        </w:sectPr>
      </w:pPr>
    </w:p>
    <w:p>
      <w:pPr>
        <w:spacing w:before="193"/>
      </w:pPr>
    </w:p>
    <w:tbl>
      <w:tblPr>
        <w:tblStyle w:val="TableNormal15"/>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80"/>
        <w:gridCol w:w="271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51" w:line="215" w:lineRule="auto"/>
              <w:ind w:left="123"/>
            </w:pPr>
            <w:bookmarkStart w:id="24" w:name="bookmark25"/>
            <w:bookmarkStart w:id="25" w:name="bookmark26"/>
            <w:bookmarkEnd w:id="24"/>
            <w:bookmarkEnd w:id="25"/>
            <w:r>
              <w:rPr>
                <w:b/>
                <w:bCs/>
                <w:spacing w:val="-5"/>
              </w:rPr>
              <w:t>编号：</w:t>
            </w:r>
          </w:p>
          <w:p>
            <w:pPr>
              <w:pStyle w:val="TableText"/>
              <w:spacing w:line="219" w:lineRule="auto"/>
              <w:ind w:left="133"/>
            </w:pPr>
            <w:r>
              <w:rPr>
                <w:b/>
                <w:bCs/>
              </w:rPr>
              <w:t>时间：2021年x月x日</w:t>
            </w:r>
          </w:p>
        </w:tc>
        <w:tc>
          <w:tcPr>
            <w:tcW w:w="4680" w:type="dxa"/>
          </w:tcPr>
          <w:p>
            <w:pPr>
              <w:spacing w:line="250" w:lineRule="auto"/>
            </w:pPr>
          </w:p>
          <w:p>
            <w:pPr>
              <w:pStyle w:val="TableText"/>
              <w:spacing w:before="78" w:line="219" w:lineRule="auto"/>
              <w:ind w:left="268"/>
            </w:pPr>
            <w:r>
              <w:rPr>
                <w:b/>
                <w:bCs/>
                <w:color w:val="F30000"/>
                <w:spacing w:val="-4"/>
              </w:rPr>
              <w:t>书山有路勤为径，学海无涯苦作舟</w:t>
            </w:r>
          </w:p>
        </w:tc>
        <w:tc>
          <w:tcPr>
            <w:tcW w:w="2710" w:type="dxa"/>
            <w:tcBorders>
              <w:right w:val="nil"/>
            </w:tcBorders>
          </w:tcPr>
          <w:p>
            <w:pPr>
              <w:spacing w:line="252" w:lineRule="auto"/>
            </w:pPr>
          </w:p>
          <w:p>
            <w:pPr>
              <w:pStyle w:val="TableText"/>
              <w:spacing w:before="78" w:line="219" w:lineRule="auto"/>
              <w:ind w:left="128"/>
            </w:pPr>
            <w:r>
              <w:rPr>
                <w:b/>
                <w:bCs/>
                <w:spacing w:val="-2"/>
              </w:rPr>
              <w:t>页码：第16页共70页</w:t>
            </w:r>
          </w:p>
        </w:tc>
      </w:tr>
    </w:tbl>
    <w:p>
      <w:pPr>
        <w:spacing w:line="300" w:lineRule="auto"/>
      </w:pPr>
    </w:p>
    <w:p>
      <w:pPr>
        <w:spacing w:before="68" w:line="222" w:lineRule="auto"/>
        <w:ind w:left="2522"/>
        <w:outlineLvl w:val="2"/>
        <w:rPr>
          <w:rFonts w:ascii="黑体" w:eastAsia="黑体" w:hAnsi="黑体" w:cs="黑体"/>
        </w:rPr>
      </w:pPr>
      <w:r>
        <w:rPr>
          <w:rFonts w:ascii="黑体" w:eastAsia="黑体" w:hAnsi="黑体" w:cs="黑体"/>
          <w:b/>
          <w:bCs/>
          <w:spacing w:val="-13"/>
          <w:sz w:val="21"/>
          <w:szCs w:val="21"/>
        </w:rPr>
        <w:t>3.3.5</w:t>
      </w:r>
      <w:r>
        <w:rPr>
          <w:rFonts w:ascii="黑体" w:eastAsia="黑体" w:hAnsi="黑体" w:cs="黑体"/>
          <w:spacing w:val="16"/>
          <w:sz w:val="21"/>
          <w:szCs w:val="21"/>
        </w:rPr>
        <w:t xml:space="preserve">   </w:t>
      </w:r>
      <w:r>
        <w:rPr>
          <w:rFonts w:ascii="黑体" w:eastAsia="黑体" w:hAnsi="黑体" w:cs="黑体"/>
          <w:b/>
          <w:bCs/>
          <w:spacing w:val="-13"/>
          <w:sz w:val="21"/>
          <w:szCs w:val="21"/>
        </w:rPr>
        <w:t>经营成本</w:t>
      </w:r>
    </w:p>
    <w:p>
      <w:pPr>
        <w:spacing w:line="428" w:lineRule="auto"/>
      </w:pPr>
    </w:p>
    <w:p>
      <w:pPr>
        <w:pStyle w:val="BodyText"/>
        <w:spacing w:before="68" w:line="470" w:lineRule="exact"/>
        <w:ind w:left="1210"/>
        <w:rPr>
          <w:sz w:val="21"/>
          <w:szCs w:val="21"/>
        </w:rPr>
      </w:pPr>
      <w:r>
        <w:rPr>
          <w:spacing w:val="-4"/>
          <w:position w:val="20"/>
          <w:sz w:val="21"/>
          <w:szCs w:val="21"/>
        </w:rPr>
        <w:t>经营成本是财务分析的现金流量分析中使用的特定概念，是项目运营期现金流出的主体。</w:t>
      </w:r>
    </w:p>
    <w:p>
      <w:pPr>
        <w:pStyle w:val="BodyText"/>
        <w:spacing w:line="218" w:lineRule="auto"/>
        <w:ind w:left="809"/>
        <w:rPr>
          <w:sz w:val="21"/>
          <w:szCs w:val="21"/>
        </w:rPr>
      </w:pPr>
      <w:r>
        <w:rPr>
          <w:spacing w:val="-4"/>
          <w:sz w:val="21"/>
          <w:szCs w:val="21"/>
        </w:rPr>
        <w:t>经营成本与总成本费用的关系如下：</w:t>
      </w:r>
    </w:p>
    <w:p>
      <w:pPr>
        <w:pStyle w:val="BodyText"/>
        <w:spacing w:before="212" w:line="480" w:lineRule="exact"/>
        <w:ind w:left="1210"/>
        <w:rPr>
          <w:sz w:val="21"/>
          <w:szCs w:val="21"/>
        </w:rPr>
      </w:pPr>
      <w:r>
        <w:rPr>
          <w:spacing w:val="12"/>
          <w:position w:val="20"/>
          <w:sz w:val="21"/>
          <w:szCs w:val="21"/>
        </w:rPr>
        <w:t>经营成本=主营业务成本+销售费用+管理费用一</w:t>
      </w:r>
      <w:r>
        <w:rPr>
          <w:spacing w:val="11"/>
          <w:position w:val="20"/>
          <w:sz w:val="21"/>
          <w:szCs w:val="21"/>
        </w:rPr>
        <w:t>折旧及摊销</w:t>
      </w:r>
    </w:p>
    <w:p>
      <w:pPr>
        <w:pStyle w:val="BodyText"/>
        <w:spacing w:before="1" w:line="218" w:lineRule="auto"/>
        <w:ind w:left="1210"/>
        <w:rPr>
          <w:sz w:val="21"/>
          <w:szCs w:val="21"/>
        </w:rPr>
      </w:pPr>
      <w:r>
        <w:rPr>
          <w:spacing w:val="14"/>
          <w:sz w:val="21"/>
          <w:szCs w:val="21"/>
        </w:rPr>
        <w:t>总成本费用=经营成本+折旧及摊销+财务费用</w:t>
      </w:r>
    </w:p>
    <w:p>
      <w:pPr>
        <w:spacing w:line="436" w:lineRule="auto"/>
      </w:pPr>
    </w:p>
    <w:p>
      <w:pPr>
        <w:spacing w:before="68" w:line="221" w:lineRule="auto"/>
        <w:ind w:left="2532"/>
        <w:outlineLvl w:val="2"/>
        <w:rPr>
          <w:rFonts w:ascii="黑体" w:eastAsia="黑体" w:hAnsi="黑体" w:cs="黑体"/>
        </w:rPr>
      </w:pPr>
      <w:r>
        <w:rPr>
          <w:rFonts w:ascii="黑体" w:eastAsia="黑体" w:hAnsi="黑体" w:cs="黑体"/>
          <w:b/>
          <w:bCs/>
          <w:spacing w:val="-14"/>
          <w:sz w:val="21"/>
          <w:szCs w:val="21"/>
        </w:rPr>
        <w:t>3.3.6</w:t>
      </w:r>
      <w:r>
        <w:rPr>
          <w:rFonts w:ascii="黑体" w:eastAsia="黑体" w:hAnsi="黑体" w:cs="黑体"/>
          <w:spacing w:val="12"/>
          <w:sz w:val="21"/>
          <w:szCs w:val="21"/>
        </w:rPr>
        <w:t xml:space="preserve">   </w:t>
      </w:r>
      <w:r>
        <w:rPr>
          <w:rFonts w:ascii="黑体" w:eastAsia="黑体" w:hAnsi="黑体" w:cs="黑体"/>
          <w:b/>
          <w:bCs/>
          <w:spacing w:val="-14"/>
          <w:sz w:val="21"/>
          <w:szCs w:val="21"/>
        </w:rPr>
        <w:t>相关税金</w:t>
      </w:r>
    </w:p>
    <w:p>
      <w:pPr>
        <w:spacing w:line="401" w:lineRule="auto"/>
      </w:pPr>
    </w:p>
    <w:p>
      <w:pPr>
        <w:pStyle w:val="BodyText"/>
        <w:spacing w:before="68" w:line="423" w:lineRule="auto"/>
        <w:ind w:left="809" w:right="812" w:firstLine="400"/>
        <w:jc w:val="both"/>
        <w:rPr>
          <w:sz w:val="21"/>
          <w:szCs w:val="21"/>
        </w:rPr>
      </w:pPr>
      <w:r>
        <w:rPr>
          <w:spacing w:val="-3"/>
          <w:sz w:val="21"/>
          <w:szCs w:val="21"/>
        </w:rPr>
        <w:t>项目评价中各项税金是项目现金流出的组成部分。中国移动建设项目经济评价所涉及的</w:t>
      </w:r>
      <w:r>
        <w:rPr>
          <w:spacing w:val="9"/>
          <w:sz w:val="21"/>
          <w:szCs w:val="21"/>
        </w:rPr>
        <w:t xml:space="preserve"> </w:t>
      </w:r>
      <w:r>
        <w:rPr>
          <w:spacing w:val="-3"/>
          <w:sz w:val="21"/>
          <w:szCs w:val="21"/>
        </w:rPr>
        <w:t>税金包括增值税、城市维护建设税及教育费附加、所得税等，各项税的税率应根据相关税法</w:t>
      </w:r>
    </w:p>
    <w:p>
      <w:pPr>
        <w:pStyle w:val="BodyText"/>
        <w:spacing w:line="220" w:lineRule="auto"/>
        <w:ind w:left="809"/>
        <w:rPr>
          <w:sz w:val="21"/>
          <w:szCs w:val="21"/>
        </w:rPr>
      </w:pPr>
      <w:r>
        <w:rPr>
          <w:spacing w:val="-4"/>
          <w:sz w:val="21"/>
          <w:szCs w:val="21"/>
        </w:rPr>
        <w:t>和项目的具体情况确定。</w:t>
      </w:r>
    </w:p>
    <w:p>
      <w:pPr>
        <w:pStyle w:val="BodyText"/>
        <w:spacing w:before="220" w:line="219" w:lineRule="auto"/>
        <w:ind w:left="1210"/>
        <w:rPr>
          <w:sz w:val="21"/>
          <w:szCs w:val="21"/>
        </w:rPr>
      </w:pPr>
      <w:r>
        <w:rPr>
          <w:spacing w:val="-6"/>
          <w:sz w:val="21"/>
          <w:szCs w:val="21"/>
        </w:rPr>
        <w:t>主要税金的计算如下：</w:t>
      </w:r>
    </w:p>
    <w:p>
      <w:pPr>
        <w:pStyle w:val="BodyText"/>
        <w:spacing w:before="221" w:line="219" w:lineRule="auto"/>
        <w:ind w:left="1210"/>
        <w:rPr>
          <w:sz w:val="21"/>
          <w:szCs w:val="21"/>
        </w:rPr>
      </w:pPr>
      <w:r>
        <w:rPr>
          <w:spacing w:val="2"/>
          <w:sz w:val="21"/>
          <w:szCs w:val="21"/>
        </w:rPr>
        <w:t>√</w:t>
      </w:r>
      <w:r>
        <w:rPr>
          <w:spacing w:val="33"/>
          <w:sz w:val="21"/>
          <w:szCs w:val="21"/>
        </w:rPr>
        <w:t xml:space="preserve">  </w:t>
      </w:r>
      <w:r>
        <w:rPr>
          <w:spacing w:val="2"/>
          <w:sz w:val="21"/>
          <w:szCs w:val="21"/>
        </w:rPr>
        <w:t>增值税应纳税额=销项税额一进项税额</w:t>
      </w:r>
    </w:p>
    <w:p>
      <w:pPr>
        <w:pStyle w:val="BodyText"/>
        <w:spacing w:before="209" w:line="219" w:lineRule="auto"/>
        <w:ind w:left="1630"/>
        <w:rPr>
          <w:sz w:val="21"/>
          <w:szCs w:val="21"/>
        </w:rPr>
      </w:pPr>
      <w:r>
        <w:rPr>
          <w:spacing w:val="4"/>
          <w:sz w:val="21"/>
          <w:szCs w:val="21"/>
        </w:rPr>
        <w:t>■  提供电信服务的增值税销项税额=不含税销售额×税率</w:t>
      </w:r>
    </w:p>
    <w:p>
      <w:pPr>
        <w:pStyle w:val="BodyText"/>
        <w:spacing w:before="212" w:line="219" w:lineRule="auto"/>
        <w:ind w:left="1630"/>
        <w:rPr>
          <w:sz w:val="21"/>
          <w:szCs w:val="21"/>
        </w:rPr>
      </w:pPr>
      <w:r>
        <w:rPr>
          <w:spacing w:val="6"/>
          <w:sz w:val="21"/>
          <w:szCs w:val="21"/>
        </w:rPr>
        <w:t>■  不含税销售额=含税销售额÷(1+税率)</w:t>
      </w:r>
    </w:p>
    <w:p>
      <w:pPr>
        <w:pStyle w:val="BodyText"/>
        <w:spacing w:before="212" w:line="413" w:lineRule="auto"/>
        <w:ind w:left="809" w:right="759" w:firstLine="400"/>
        <w:jc w:val="both"/>
        <w:rPr>
          <w:sz w:val="21"/>
          <w:szCs w:val="21"/>
        </w:rPr>
      </w:pPr>
      <w:r>
        <w:rPr>
          <w:spacing w:val="8"/>
          <w:sz w:val="21"/>
          <w:szCs w:val="21"/>
        </w:rPr>
        <w:t>提供基础电信服务，税率为11%;提供增值电信服务</w:t>
      </w:r>
      <w:r>
        <w:rPr>
          <w:spacing w:val="7"/>
          <w:sz w:val="21"/>
          <w:szCs w:val="21"/>
        </w:rPr>
        <w:t xml:space="preserve">，税率为6%。基础电信服务，是 </w:t>
      </w:r>
      <w:r>
        <w:rPr>
          <w:spacing w:val="-2"/>
          <w:sz w:val="21"/>
          <w:szCs w:val="21"/>
        </w:rPr>
        <w:t>指利用固网、移动网、卫星、互联网，提供</w:t>
      </w:r>
      <w:r>
        <w:rPr>
          <w:spacing w:val="-3"/>
          <w:sz w:val="21"/>
          <w:szCs w:val="21"/>
        </w:rPr>
        <w:t>语音通话服务的业务活动，以及出租或者出售带</w:t>
      </w:r>
      <w:r>
        <w:rPr>
          <w:sz w:val="21"/>
          <w:szCs w:val="21"/>
        </w:rPr>
        <w:t xml:space="preserve"> </w:t>
      </w:r>
      <w:r>
        <w:rPr>
          <w:spacing w:val="-1"/>
          <w:sz w:val="21"/>
          <w:szCs w:val="21"/>
        </w:rPr>
        <w:t>宽、波长等网络元素的业务活动。增值电信服务，是指利用固网、</w:t>
      </w:r>
      <w:r>
        <w:rPr>
          <w:spacing w:val="-2"/>
          <w:sz w:val="21"/>
          <w:szCs w:val="21"/>
        </w:rPr>
        <w:t>移动网、卫星、互联网、</w:t>
      </w:r>
      <w:r>
        <w:rPr>
          <w:sz w:val="21"/>
          <w:szCs w:val="21"/>
        </w:rPr>
        <w:t xml:space="preserve"> </w:t>
      </w:r>
      <w:r>
        <w:rPr>
          <w:spacing w:val="-2"/>
          <w:sz w:val="21"/>
          <w:szCs w:val="21"/>
        </w:rPr>
        <w:t>有线电视网络，提供短信和彩信服务、电子数据</w:t>
      </w:r>
      <w:r>
        <w:rPr>
          <w:spacing w:val="-3"/>
          <w:sz w:val="21"/>
          <w:szCs w:val="21"/>
        </w:rPr>
        <w:t>和信息的传输及应用服务、互联网接入服务</w:t>
      </w:r>
    </w:p>
    <w:p>
      <w:pPr>
        <w:pStyle w:val="BodyText"/>
        <w:spacing w:line="219" w:lineRule="auto"/>
        <w:ind w:left="809"/>
        <w:rPr>
          <w:sz w:val="21"/>
          <w:szCs w:val="21"/>
        </w:rPr>
      </w:pPr>
      <w:r>
        <w:rPr>
          <w:spacing w:val="-1"/>
          <w:sz w:val="21"/>
          <w:szCs w:val="21"/>
        </w:rPr>
        <w:t>等业务活动。卫星电视信号落地转接服务，按照增值电信服务计算</w:t>
      </w:r>
      <w:r>
        <w:rPr>
          <w:spacing w:val="-2"/>
          <w:sz w:val="21"/>
          <w:szCs w:val="21"/>
        </w:rPr>
        <w:t>缴纳增值税。</w:t>
      </w:r>
    </w:p>
    <w:p>
      <w:pPr>
        <w:pStyle w:val="BodyText"/>
        <w:spacing w:before="230" w:line="219" w:lineRule="auto"/>
        <w:ind w:left="1210"/>
        <w:rPr>
          <w:sz w:val="21"/>
          <w:szCs w:val="21"/>
        </w:rPr>
      </w:pPr>
      <w:r>
        <w:rPr>
          <w:spacing w:val="-4"/>
          <w:sz w:val="21"/>
          <w:szCs w:val="21"/>
        </w:rPr>
        <w:t>√  城市维护建设税及教育费附加：</w:t>
      </w:r>
    </w:p>
    <w:p>
      <w:pPr>
        <w:pStyle w:val="BodyText"/>
        <w:spacing w:before="219" w:line="310" w:lineRule="auto"/>
        <w:ind w:left="2070" w:right="905" w:hanging="440"/>
        <w:rPr>
          <w:sz w:val="21"/>
          <w:szCs w:val="21"/>
        </w:rPr>
      </w:pPr>
      <w:r>
        <w:rPr>
          <w:spacing w:val="4"/>
          <w:sz w:val="21"/>
          <w:szCs w:val="21"/>
        </w:rPr>
        <w:t>■</w:t>
      </w:r>
      <w:r>
        <w:rPr>
          <w:spacing w:val="104"/>
          <w:sz w:val="21"/>
          <w:szCs w:val="21"/>
        </w:rPr>
        <w:t xml:space="preserve"> </w:t>
      </w:r>
      <w:r>
        <w:rPr>
          <w:spacing w:val="4"/>
          <w:sz w:val="21"/>
          <w:szCs w:val="21"/>
        </w:rPr>
        <w:t>城市维护建设税为应纳增值税的7%、5%、1%三档</w:t>
      </w:r>
      <w:r>
        <w:rPr>
          <w:spacing w:val="3"/>
          <w:sz w:val="21"/>
          <w:szCs w:val="21"/>
        </w:rPr>
        <w:t>税率，所在地在市区的7%,</w:t>
      </w:r>
      <w:r>
        <w:rPr>
          <w:sz w:val="21"/>
          <w:szCs w:val="21"/>
        </w:rPr>
        <w:t xml:space="preserve"> </w:t>
      </w:r>
      <w:r>
        <w:rPr>
          <w:spacing w:val="7"/>
          <w:sz w:val="21"/>
          <w:szCs w:val="21"/>
        </w:rPr>
        <w:t>所在地在县城、镇的5%,所在地不在市区、县城、镇的1%。</w:t>
      </w:r>
    </w:p>
    <w:p>
      <w:pPr>
        <w:pStyle w:val="BodyText"/>
        <w:spacing w:before="216" w:line="219" w:lineRule="auto"/>
        <w:ind w:left="1630"/>
        <w:rPr>
          <w:sz w:val="21"/>
          <w:szCs w:val="21"/>
        </w:rPr>
      </w:pPr>
      <w:r>
        <w:rPr>
          <w:sz w:val="21"/>
          <w:szCs w:val="21"/>
        </w:rPr>
        <w:t>■  教育费附加为应纳增值税的3%。</w:t>
      </w:r>
    </w:p>
    <w:p>
      <w:pPr>
        <w:pStyle w:val="BodyText"/>
        <w:spacing w:before="231" w:line="219" w:lineRule="auto"/>
        <w:ind w:left="1630"/>
        <w:rPr>
          <w:sz w:val="21"/>
          <w:szCs w:val="21"/>
        </w:rPr>
      </w:pPr>
      <w:r>
        <w:rPr>
          <w:spacing w:val="1"/>
          <w:sz w:val="21"/>
          <w:szCs w:val="21"/>
        </w:rPr>
        <w:t>■</w:t>
      </w:r>
      <w:r>
        <w:rPr>
          <w:spacing w:val="104"/>
          <w:sz w:val="21"/>
          <w:szCs w:val="21"/>
        </w:rPr>
        <w:t xml:space="preserve"> </w:t>
      </w:r>
      <w:r>
        <w:rPr>
          <w:spacing w:val="1"/>
          <w:sz w:val="21"/>
          <w:szCs w:val="21"/>
        </w:rPr>
        <w:t>为简化计算一般按照应纳增值税的10%计算城市维护建设税及</w:t>
      </w:r>
      <w:r>
        <w:rPr>
          <w:sz w:val="21"/>
          <w:szCs w:val="21"/>
        </w:rPr>
        <w:t>教育费附加。</w:t>
      </w:r>
    </w:p>
    <w:p>
      <w:pPr>
        <w:pStyle w:val="BodyText"/>
        <w:spacing w:before="212" w:line="219" w:lineRule="auto"/>
        <w:ind w:left="1210"/>
        <w:rPr>
          <w:sz w:val="21"/>
          <w:szCs w:val="21"/>
        </w:rPr>
      </w:pPr>
      <w:r>
        <w:rPr>
          <w:spacing w:val="-17"/>
          <w:sz w:val="21"/>
          <w:szCs w:val="21"/>
        </w:rPr>
        <w:t>√</w:t>
      </w:r>
      <w:r>
        <w:rPr>
          <w:spacing w:val="25"/>
          <w:sz w:val="21"/>
          <w:szCs w:val="21"/>
        </w:rPr>
        <w:t xml:space="preserve">  </w:t>
      </w:r>
      <w:r>
        <w:rPr>
          <w:spacing w:val="-17"/>
          <w:sz w:val="21"/>
          <w:szCs w:val="21"/>
        </w:rPr>
        <w:t>所得税</w:t>
      </w:r>
    </w:p>
    <w:p>
      <w:pPr>
        <w:pStyle w:val="BodyText"/>
        <w:spacing w:before="229" w:line="310" w:lineRule="auto"/>
        <w:ind w:left="2080" w:right="824" w:hanging="450"/>
        <w:rPr>
          <w:sz w:val="21"/>
          <w:szCs w:val="21"/>
        </w:rPr>
      </w:pPr>
      <w:r>
        <w:rPr>
          <w:spacing w:val="3"/>
          <w:sz w:val="21"/>
          <w:szCs w:val="21"/>
        </w:rPr>
        <w:t>■  根据2007年3月16日颁布的《中华人民共和国企业所得税法》,</w:t>
      </w:r>
      <w:r>
        <w:rPr>
          <w:spacing w:val="2"/>
          <w:sz w:val="21"/>
          <w:szCs w:val="21"/>
        </w:rPr>
        <w:t>中国移动适用</w:t>
      </w:r>
      <w:r>
        <w:rPr>
          <w:sz w:val="21"/>
          <w:szCs w:val="21"/>
        </w:rPr>
        <w:t xml:space="preserve"> </w:t>
      </w:r>
      <w:r>
        <w:rPr>
          <w:spacing w:val="4"/>
          <w:sz w:val="21"/>
          <w:szCs w:val="21"/>
        </w:rPr>
        <w:t>的企业所得税率应为25%,享受税收优惠的企业从其规定。</w:t>
      </w:r>
    </w:p>
    <w:p>
      <w:pPr>
        <w:pStyle w:val="BodyText"/>
        <w:spacing w:before="227" w:line="219" w:lineRule="auto"/>
        <w:ind w:left="1630"/>
        <w:rPr>
          <w:sz w:val="21"/>
          <w:szCs w:val="21"/>
        </w:rPr>
      </w:pPr>
      <w:r>
        <w:rPr>
          <w:spacing w:val="4"/>
          <w:sz w:val="21"/>
          <w:szCs w:val="21"/>
        </w:rPr>
        <w:t>■</w:t>
      </w:r>
      <w:r>
        <w:rPr>
          <w:spacing w:val="106"/>
          <w:sz w:val="21"/>
          <w:szCs w:val="21"/>
        </w:rPr>
        <w:t xml:space="preserve"> </w:t>
      </w:r>
      <w:r>
        <w:rPr>
          <w:spacing w:val="4"/>
          <w:sz w:val="21"/>
          <w:szCs w:val="21"/>
        </w:rPr>
        <w:t>应纳所得税=应纳税所得额×适用税率</w:t>
      </w:r>
    </w:p>
    <w:p>
      <w:pPr>
        <w:spacing w:line="219" w:lineRule="auto"/>
        <w:sectPr>
          <w:headerReference w:type="default" r:id="rId51"/>
          <w:footerReference w:type="default" r:id="rId52"/>
          <w:pgSz w:w="11910" w:h="16840"/>
          <w:pgMar w:top="400" w:right="999" w:bottom="1211" w:left="989" w:header="0" w:footer="962" w:gutter="0"/>
          <w:pgNumType w:start="21"/>
          <w:cols w:space="708"/>
        </w:sectPr>
      </w:pPr>
    </w:p>
    <w:p>
      <w:pPr>
        <w:spacing w:before="203"/>
      </w:pPr>
    </w:p>
    <w:tbl>
      <w:tblPr>
        <w:tblStyle w:val="TableNormal16"/>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80"/>
        <w:gridCol w:w="271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89"/>
        </w:trPr>
        <w:tc>
          <w:tcPr>
            <w:tcW w:w="2530" w:type="dxa"/>
            <w:tcBorders>
              <w:left w:val="nil"/>
            </w:tcBorders>
          </w:tcPr>
          <w:p>
            <w:pPr>
              <w:pStyle w:val="TableText"/>
              <w:spacing w:before="41" w:line="215" w:lineRule="auto"/>
              <w:ind w:left="123"/>
            </w:pPr>
            <w:r>
              <w:rPr>
                <w:b/>
                <w:bCs/>
                <w:spacing w:val="-5"/>
              </w:rPr>
              <w:t>编号：</w:t>
            </w:r>
          </w:p>
          <w:p>
            <w:pPr>
              <w:pStyle w:val="TableText"/>
              <w:spacing w:line="219" w:lineRule="auto"/>
              <w:ind w:left="143"/>
            </w:pPr>
            <w:r>
              <w:rPr>
                <w:b/>
                <w:bCs/>
              </w:rPr>
              <w:t>时间：2021年x月x日</w:t>
            </w:r>
          </w:p>
        </w:tc>
        <w:tc>
          <w:tcPr>
            <w:tcW w:w="4680" w:type="dxa"/>
          </w:tcPr>
          <w:p>
            <w:pPr>
              <w:spacing w:line="250" w:lineRule="auto"/>
            </w:pPr>
          </w:p>
          <w:p>
            <w:pPr>
              <w:pStyle w:val="TableText"/>
              <w:spacing w:before="78" w:line="219" w:lineRule="auto"/>
              <w:ind w:left="268"/>
            </w:pPr>
            <w:r>
              <w:rPr>
                <w:b/>
                <w:bCs/>
                <w:color w:val="F40000"/>
                <w:spacing w:val="-4"/>
              </w:rPr>
              <w:t>书山有路勤为径，学海无涯苦作舟</w:t>
            </w:r>
          </w:p>
        </w:tc>
        <w:tc>
          <w:tcPr>
            <w:tcW w:w="2710" w:type="dxa"/>
            <w:tcBorders>
              <w:right w:val="nil"/>
            </w:tcBorders>
          </w:tcPr>
          <w:p>
            <w:pPr>
              <w:spacing w:line="251" w:lineRule="auto"/>
            </w:pPr>
          </w:p>
          <w:p>
            <w:pPr>
              <w:pStyle w:val="TableText"/>
              <w:spacing w:before="78" w:line="219" w:lineRule="auto"/>
              <w:ind w:left="128"/>
            </w:pPr>
            <w:r>
              <w:rPr>
                <w:b/>
                <w:bCs/>
                <w:spacing w:val="-2"/>
              </w:rPr>
              <w:t>页码：第17页共70页</w:t>
            </w:r>
          </w:p>
        </w:tc>
      </w:tr>
    </w:tbl>
    <w:p>
      <w:pPr>
        <w:spacing w:line="346" w:lineRule="auto"/>
      </w:pPr>
    </w:p>
    <w:p>
      <w:pPr>
        <w:spacing w:before="62" w:line="223" w:lineRule="auto"/>
        <w:ind w:left="2522"/>
        <w:outlineLvl w:val="2"/>
        <w:rPr>
          <w:rFonts w:ascii="黑体" w:eastAsia="黑体" w:hAnsi="黑体" w:cs="黑体"/>
          <w:sz w:val="19"/>
          <w:szCs w:val="19"/>
        </w:rPr>
      </w:pPr>
      <w:r>
        <w:rPr>
          <w:rFonts w:ascii="黑体" w:eastAsia="黑体" w:hAnsi="黑体" w:cs="黑体"/>
          <w:b/>
          <w:bCs/>
          <w:spacing w:val="1"/>
          <w:sz w:val="19"/>
          <w:szCs w:val="19"/>
        </w:rPr>
        <w:t>3.3.7</w:t>
      </w:r>
      <w:r>
        <w:rPr>
          <w:rFonts w:ascii="黑体" w:eastAsia="黑体" w:hAnsi="黑体" w:cs="黑体"/>
          <w:spacing w:val="28"/>
          <w:sz w:val="19"/>
          <w:szCs w:val="19"/>
        </w:rPr>
        <w:t xml:space="preserve">   </w:t>
      </w:r>
      <w:r>
        <w:rPr>
          <w:rFonts w:ascii="黑体" w:eastAsia="黑体" w:hAnsi="黑体" w:cs="黑体"/>
          <w:b/>
          <w:bCs/>
          <w:spacing w:val="1"/>
          <w:sz w:val="19"/>
          <w:szCs w:val="19"/>
        </w:rPr>
        <w:t>相关表格</w:t>
      </w:r>
    </w:p>
    <w:p>
      <w:pPr>
        <w:spacing w:before="221"/>
      </w:pPr>
    </w:p>
    <w:p>
      <w:pPr>
        <w:sectPr>
          <w:headerReference w:type="default" r:id="rId53"/>
          <w:footerReference w:type="default" r:id="rId54"/>
          <w:pgSz w:w="11910" w:h="16840"/>
          <w:pgMar w:top="400" w:right="999" w:bottom="1192" w:left="989" w:header="0" w:footer="966" w:gutter="0"/>
          <w:pgNumType w:start="22"/>
          <w:cols w:space="708"/>
        </w:sectPr>
      </w:pPr>
    </w:p>
    <w:p>
      <w:pPr>
        <w:pStyle w:val="BodyText"/>
        <w:spacing w:before="38" w:line="218" w:lineRule="auto"/>
        <w:ind w:left="1230"/>
        <w:rPr>
          <w:sz w:val="19"/>
          <w:szCs w:val="19"/>
        </w:rPr>
      </w:pPr>
      <w:r>
        <w:rPr>
          <w:spacing w:val="16"/>
          <w:sz w:val="19"/>
          <w:szCs w:val="19"/>
        </w:rPr>
        <w:t>进行收入和成本费用估算，应编制以下财务分析辅助表格：</w:t>
      </w:r>
    </w:p>
    <w:p>
      <w:pPr>
        <w:spacing w:line="250" w:lineRule="auto"/>
      </w:pPr>
    </w:p>
    <w:p>
      <w:pPr>
        <w:spacing w:before="62" w:line="188" w:lineRule="auto"/>
        <w:ind w:left="3302"/>
        <w:rPr>
          <w:rFonts w:ascii="黑体" w:eastAsia="黑体" w:hAnsi="黑体" w:cs="黑体"/>
          <w:sz w:val="19"/>
          <w:szCs w:val="19"/>
        </w:rPr>
      </w:pPr>
      <w:r>
        <w:rPr>
          <w:rFonts w:ascii="黑体" w:eastAsia="黑体" w:hAnsi="黑体" w:cs="黑体"/>
          <w:b/>
          <w:bCs/>
          <w:spacing w:val="-9"/>
          <w:sz w:val="19"/>
          <w:szCs w:val="19"/>
        </w:rPr>
        <w:t>表</w:t>
      </w:r>
      <w:r>
        <w:rPr>
          <w:rFonts w:ascii="黑体" w:eastAsia="黑体" w:hAnsi="黑体" w:cs="黑体"/>
          <w:spacing w:val="-28"/>
          <w:sz w:val="19"/>
          <w:szCs w:val="19"/>
        </w:rPr>
        <w:t xml:space="preserve"> </w:t>
      </w:r>
      <w:r>
        <w:rPr>
          <w:rFonts w:ascii="黑体" w:eastAsia="黑体" w:hAnsi="黑体" w:cs="黑体"/>
          <w:b/>
          <w:bCs/>
          <w:spacing w:val="-9"/>
          <w:sz w:val="19"/>
          <w:szCs w:val="19"/>
        </w:rPr>
        <w:t>3</w:t>
      </w:r>
      <w:r>
        <w:rPr>
          <w:rFonts w:ascii="黑体" w:eastAsia="黑体" w:hAnsi="黑体" w:cs="黑体"/>
          <w:spacing w:val="-21"/>
          <w:sz w:val="19"/>
          <w:szCs w:val="19"/>
        </w:rPr>
        <w:t xml:space="preserve"> </w:t>
      </w:r>
      <w:r>
        <w:rPr>
          <w:rFonts w:ascii="黑体" w:eastAsia="黑体" w:hAnsi="黑体" w:cs="黑体"/>
          <w:b/>
          <w:bCs/>
          <w:spacing w:val="-9"/>
          <w:sz w:val="19"/>
          <w:szCs w:val="19"/>
        </w:rPr>
        <w:t>.</w:t>
      </w:r>
      <w:r>
        <w:rPr>
          <w:rFonts w:ascii="黑体" w:eastAsia="黑体" w:hAnsi="黑体" w:cs="黑体"/>
          <w:spacing w:val="-28"/>
          <w:sz w:val="19"/>
          <w:szCs w:val="19"/>
        </w:rPr>
        <w:t xml:space="preserve"> </w:t>
      </w:r>
      <w:r>
        <w:rPr>
          <w:rFonts w:ascii="黑体" w:eastAsia="黑体" w:hAnsi="黑体" w:cs="黑体"/>
          <w:b/>
          <w:bCs/>
          <w:spacing w:val="-9"/>
          <w:sz w:val="19"/>
          <w:szCs w:val="19"/>
        </w:rPr>
        <w:t>3</w:t>
      </w:r>
      <w:r>
        <w:rPr>
          <w:rFonts w:ascii="黑体" w:eastAsia="黑体" w:hAnsi="黑体" w:cs="黑体"/>
          <w:spacing w:val="-31"/>
          <w:sz w:val="19"/>
          <w:szCs w:val="19"/>
        </w:rPr>
        <w:t xml:space="preserve"> </w:t>
      </w:r>
      <w:r>
        <w:rPr>
          <w:rFonts w:ascii="黑体" w:eastAsia="黑体" w:hAnsi="黑体" w:cs="黑体"/>
          <w:b/>
          <w:bCs/>
          <w:spacing w:val="-9"/>
          <w:sz w:val="19"/>
          <w:szCs w:val="19"/>
        </w:rPr>
        <w:t>-</w:t>
      </w:r>
      <w:r>
        <w:rPr>
          <w:rFonts w:ascii="黑体" w:eastAsia="黑体" w:hAnsi="黑体" w:cs="黑体"/>
          <w:spacing w:val="-30"/>
          <w:sz w:val="19"/>
          <w:szCs w:val="19"/>
        </w:rPr>
        <w:t xml:space="preserve"> </w:t>
      </w:r>
      <w:r>
        <w:rPr>
          <w:rFonts w:ascii="黑体" w:eastAsia="黑体" w:hAnsi="黑体" w:cs="黑体"/>
          <w:b/>
          <w:bCs/>
          <w:spacing w:val="-9"/>
          <w:sz w:val="19"/>
          <w:szCs w:val="19"/>
        </w:rPr>
        <w:t>2</w:t>
      </w:r>
      <w:r>
        <w:rPr>
          <w:rFonts w:ascii="黑体" w:eastAsia="黑体" w:hAnsi="黑体" w:cs="黑体"/>
          <w:spacing w:val="-28"/>
          <w:sz w:val="19"/>
          <w:szCs w:val="19"/>
        </w:rPr>
        <w:t xml:space="preserve"> </w:t>
      </w:r>
      <w:r>
        <w:rPr>
          <w:rFonts w:ascii="黑体" w:eastAsia="黑体" w:hAnsi="黑体" w:cs="黑体"/>
          <w:b/>
          <w:bCs/>
          <w:spacing w:val="-9"/>
          <w:sz w:val="19"/>
          <w:szCs w:val="19"/>
        </w:rPr>
        <w:t>收</w:t>
      </w:r>
      <w:r>
        <w:rPr>
          <w:rFonts w:ascii="黑体" w:eastAsia="黑体" w:hAnsi="黑体" w:cs="黑体"/>
          <w:spacing w:val="-29"/>
          <w:sz w:val="19"/>
          <w:szCs w:val="19"/>
        </w:rPr>
        <w:t xml:space="preserve"> </w:t>
      </w:r>
      <w:r>
        <w:rPr>
          <w:rFonts w:ascii="黑体" w:eastAsia="黑体" w:hAnsi="黑体" w:cs="黑体"/>
          <w:b/>
          <w:bCs/>
          <w:spacing w:val="-9"/>
          <w:sz w:val="19"/>
          <w:szCs w:val="19"/>
        </w:rPr>
        <w:t>入</w:t>
      </w:r>
      <w:r>
        <w:rPr>
          <w:rFonts w:ascii="黑体" w:eastAsia="黑体" w:hAnsi="黑体" w:cs="黑体"/>
          <w:spacing w:val="-29"/>
          <w:sz w:val="19"/>
          <w:szCs w:val="19"/>
        </w:rPr>
        <w:t xml:space="preserve"> </w:t>
      </w:r>
      <w:r>
        <w:rPr>
          <w:rFonts w:ascii="黑体" w:eastAsia="黑体" w:hAnsi="黑体" w:cs="黑体"/>
          <w:b/>
          <w:bCs/>
          <w:spacing w:val="-9"/>
          <w:sz w:val="19"/>
          <w:szCs w:val="19"/>
        </w:rPr>
        <w:t>估</w:t>
      </w:r>
      <w:r>
        <w:rPr>
          <w:rFonts w:ascii="黑体" w:eastAsia="黑体" w:hAnsi="黑体" w:cs="黑体"/>
          <w:spacing w:val="-28"/>
          <w:sz w:val="19"/>
          <w:szCs w:val="19"/>
        </w:rPr>
        <w:t xml:space="preserve"> </w:t>
      </w:r>
      <w:r>
        <w:rPr>
          <w:rFonts w:ascii="黑体" w:eastAsia="黑体" w:hAnsi="黑体" w:cs="黑体"/>
          <w:b/>
          <w:bCs/>
          <w:spacing w:val="-9"/>
          <w:sz w:val="19"/>
          <w:szCs w:val="19"/>
        </w:rPr>
        <w:t>算</w:t>
      </w:r>
      <w:r>
        <w:rPr>
          <w:rFonts w:ascii="黑体" w:eastAsia="黑体" w:hAnsi="黑体" w:cs="黑体"/>
          <w:spacing w:val="-25"/>
          <w:sz w:val="19"/>
          <w:szCs w:val="19"/>
        </w:rPr>
        <w:t xml:space="preserve"> </w:t>
      </w:r>
      <w:r>
        <w:rPr>
          <w:rFonts w:ascii="黑体" w:eastAsia="黑体" w:hAnsi="黑体" w:cs="黑体"/>
          <w:b/>
          <w:bCs/>
          <w:spacing w:val="-9"/>
          <w:sz w:val="19"/>
          <w:szCs w:val="19"/>
        </w:rPr>
        <w:t>表</w:t>
      </w:r>
    </w:p>
    <w:p>
      <w:pPr>
        <w:spacing w:line="14" w:lineRule="auto"/>
        <w:rPr>
          <w:sz w:val="2"/>
        </w:rPr>
      </w:pPr>
      <w:r>
        <w:rPr>
          <w:rFonts w:ascii="Arial" w:eastAsia="Arial" w:hAnsi="Arial" w:cs="Arial"/>
          <w:sz w:val="2"/>
          <w:szCs w:val="2"/>
        </w:rPr>
        <w:br w:type="column"/>
      </w:r>
    </w:p>
    <w:p>
      <w:pPr>
        <w:spacing w:line="255" w:lineRule="auto"/>
      </w:pPr>
    </w:p>
    <w:p>
      <w:pPr>
        <w:spacing w:line="256" w:lineRule="auto"/>
      </w:pPr>
    </w:p>
    <w:p>
      <w:pPr>
        <w:spacing w:before="61" w:line="187" w:lineRule="auto"/>
        <w:rPr>
          <w:rFonts w:ascii="黑体" w:eastAsia="黑体" w:hAnsi="黑体" w:cs="黑体"/>
          <w:sz w:val="19"/>
          <w:szCs w:val="19"/>
        </w:rPr>
      </w:pPr>
      <w:r>
        <w:rPr>
          <w:rFonts w:ascii="黑体" w:eastAsia="黑体" w:hAnsi="黑体" w:cs="黑体"/>
          <w:b/>
          <w:bCs/>
          <w:spacing w:val="4"/>
          <w:sz w:val="19"/>
          <w:szCs w:val="19"/>
        </w:rPr>
        <w:t>单位：万元</w:t>
      </w:r>
    </w:p>
    <w:p>
      <w:pPr>
        <w:spacing w:line="187" w:lineRule="auto"/>
        <w:rPr>
          <w:rFonts w:ascii="黑体" w:eastAsia="黑体" w:hAnsi="黑体" w:cs="黑体"/>
          <w:sz w:val="19"/>
          <w:szCs w:val="19"/>
        </w:rPr>
        <w:sectPr>
          <w:headerReference w:type="default" r:id="rId55"/>
          <w:footerReference w:type="default" r:id="rId56"/>
          <w:type w:val="continuous"/>
          <w:pgSz w:w="11910" w:h="16840"/>
          <w:pgMar w:top="400" w:right="999" w:bottom="1192" w:left="989" w:header="0" w:footer="966" w:gutter="0"/>
          <w:pgNumType w:start="23"/>
          <w:cols w:num="2" w:space="100" w:equalWidth="0">
            <w:col w:w="8023" w:space="100"/>
            <w:col w:w="1798" w:space="0"/>
          </w:cols>
        </w:sectPr>
      </w:pPr>
    </w:p>
    <w:p>
      <w:pPr>
        <w:spacing w:line="217" w:lineRule="exact"/>
      </w:pPr>
    </w:p>
    <w:tbl>
      <w:tblPr>
        <w:tblStyle w:val="TableNormal16"/>
        <w:tblInd w:w="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54"/>
        <w:gridCol w:w="1269"/>
        <w:gridCol w:w="929"/>
        <w:gridCol w:w="929"/>
        <w:gridCol w:w="629"/>
        <w:gridCol w:w="619"/>
        <w:gridCol w:w="639"/>
        <w:gridCol w:w="1468"/>
        <w:gridCol w:w="1273"/>
      </w:tblGrid>
      <w:tr>
        <w:tblPrEx>
          <w:tblInd w:w="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34"/>
        </w:trPr>
        <w:tc>
          <w:tcPr>
            <w:tcW w:w="754" w:type="dxa"/>
            <w:vMerge w:val="restart"/>
            <w:tcBorders>
              <w:bottom w:val="nil"/>
            </w:tcBorders>
          </w:tcPr>
          <w:p>
            <w:pPr>
              <w:pStyle w:val="TableText"/>
              <w:spacing w:before="234" w:line="221" w:lineRule="auto"/>
              <w:ind w:left="114"/>
              <w:rPr>
                <w:sz w:val="20"/>
                <w:szCs w:val="20"/>
              </w:rPr>
            </w:pPr>
            <w:r>
              <w:rPr>
                <w:spacing w:val="-2"/>
                <w:sz w:val="20"/>
                <w:szCs w:val="20"/>
              </w:rPr>
              <w:t>序号</w:t>
            </w:r>
          </w:p>
        </w:tc>
        <w:tc>
          <w:tcPr>
            <w:tcW w:w="1269" w:type="dxa"/>
            <w:vMerge w:val="restart"/>
            <w:tcBorders>
              <w:bottom w:val="nil"/>
            </w:tcBorders>
          </w:tcPr>
          <w:p>
            <w:pPr>
              <w:pStyle w:val="TableText"/>
              <w:spacing w:before="233" w:line="220" w:lineRule="auto"/>
              <w:ind w:right="13"/>
              <w:jc w:val="right"/>
              <w:rPr>
                <w:sz w:val="20"/>
                <w:szCs w:val="20"/>
              </w:rPr>
            </w:pPr>
            <w:r>
              <w:rPr>
                <w:spacing w:val="-6"/>
                <w:sz w:val="20"/>
                <w:szCs w:val="20"/>
              </w:rPr>
              <w:t>项</w:t>
            </w:r>
            <w:r>
              <w:rPr>
                <w:spacing w:val="15"/>
                <w:sz w:val="20"/>
                <w:szCs w:val="20"/>
              </w:rPr>
              <w:t xml:space="preserve">      </w:t>
            </w:r>
            <w:r>
              <w:rPr>
                <w:spacing w:val="-6"/>
                <w:sz w:val="20"/>
                <w:szCs w:val="20"/>
              </w:rPr>
              <w:t>目</w:t>
            </w:r>
          </w:p>
        </w:tc>
        <w:tc>
          <w:tcPr>
            <w:tcW w:w="929" w:type="dxa"/>
            <w:vMerge w:val="restart"/>
            <w:tcBorders>
              <w:bottom w:val="nil"/>
            </w:tcBorders>
          </w:tcPr>
          <w:p>
            <w:pPr>
              <w:pStyle w:val="TableText"/>
              <w:spacing w:before="234" w:line="221" w:lineRule="auto"/>
              <w:ind w:left="261"/>
              <w:rPr>
                <w:sz w:val="20"/>
                <w:szCs w:val="20"/>
              </w:rPr>
            </w:pPr>
            <w:r>
              <w:rPr>
                <w:spacing w:val="-3"/>
                <w:sz w:val="20"/>
                <w:szCs w:val="20"/>
              </w:rPr>
              <w:t>合计</w:t>
            </w:r>
          </w:p>
        </w:tc>
        <w:tc>
          <w:tcPr>
            <w:tcW w:w="929" w:type="dxa"/>
          </w:tcPr>
          <w:p>
            <w:pPr>
              <w:pStyle w:val="TableText"/>
              <w:spacing w:before="73" w:line="220" w:lineRule="auto"/>
              <w:ind w:left="152"/>
              <w:rPr>
                <w:sz w:val="20"/>
                <w:szCs w:val="20"/>
              </w:rPr>
            </w:pPr>
            <w:r>
              <w:rPr>
                <w:spacing w:val="4"/>
                <w:sz w:val="20"/>
                <w:szCs w:val="20"/>
              </w:rPr>
              <w:t>建设期</w:t>
            </w:r>
          </w:p>
        </w:tc>
        <w:tc>
          <w:tcPr>
            <w:tcW w:w="4628" w:type="dxa"/>
            <w:gridSpan w:val="5"/>
          </w:tcPr>
          <w:p>
            <w:pPr>
              <w:pStyle w:val="TableText"/>
              <w:spacing w:before="73" w:line="219" w:lineRule="auto"/>
              <w:ind w:left="2013"/>
              <w:rPr>
                <w:sz w:val="20"/>
                <w:szCs w:val="20"/>
              </w:rPr>
            </w:pPr>
            <w:r>
              <w:rPr>
                <w:spacing w:val="4"/>
                <w:sz w:val="20"/>
                <w:szCs w:val="20"/>
              </w:rPr>
              <w:t>生产期</w:t>
            </w:r>
          </w:p>
        </w:tc>
      </w:tr>
      <w:tr>
        <w:tblPrEx>
          <w:tblInd w:w="700" w:type="dxa"/>
          <w:tblLayout w:type="fixed"/>
          <w:tblCellMar>
            <w:top w:w="0" w:type="dxa"/>
            <w:left w:w="0" w:type="dxa"/>
            <w:bottom w:w="0" w:type="dxa"/>
            <w:right w:w="0" w:type="dxa"/>
          </w:tblCellMar>
          <w:tblLook w:val="0000"/>
        </w:tblPrEx>
        <w:trPr>
          <w:trHeight w:val="309"/>
        </w:trPr>
        <w:tc>
          <w:tcPr>
            <w:tcW w:w="754" w:type="dxa"/>
            <w:vMerge/>
            <w:tcBorders>
              <w:top w:val="nil"/>
            </w:tcBorders>
          </w:tcPr>
          <w:p/>
        </w:tc>
        <w:tc>
          <w:tcPr>
            <w:tcW w:w="1269" w:type="dxa"/>
            <w:vMerge/>
            <w:tcBorders>
              <w:top w:val="nil"/>
            </w:tcBorders>
          </w:tcPr>
          <w:p/>
        </w:tc>
        <w:tc>
          <w:tcPr>
            <w:tcW w:w="929" w:type="dxa"/>
            <w:vMerge/>
            <w:tcBorders>
              <w:top w:val="nil"/>
            </w:tcBorders>
          </w:tcPr>
          <w:p/>
        </w:tc>
        <w:tc>
          <w:tcPr>
            <w:tcW w:w="929" w:type="dxa"/>
          </w:tcPr>
          <w:p/>
        </w:tc>
        <w:tc>
          <w:tcPr>
            <w:tcW w:w="629" w:type="dxa"/>
          </w:tcPr>
          <w:p>
            <w:pPr>
              <w:pStyle w:val="TableText"/>
              <w:spacing w:before="110" w:line="174" w:lineRule="auto"/>
              <w:ind w:left="234"/>
              <w:rPr>
                <w:sz w:val="20"/>
                <w:szCs w:val="20"/>
              </w:rPr>
            </w:pPr>
            <w:r>
              <w:rPr>
                <w:sz w:val="20"/>
                <w:szCs w:val="20"/>
              </w:rPr>
              <w:t>2</w:t>
            </w:r>
          </w:p>
        </w:tc>
        <w:tc>
          <w:tcPr>
            <w:tcW w:w="619" w:type="dxa"/>
          </w:tcPr>
          <w:p>
            <w:pPr>
              <w:pStyle w:val="TableText"/>
              <w:spacing w:before="110" w:line="174" w:lineRule="auto"/>
              <w:ind w:left="254"/>
              <w:rPr>
                <w:sz w:val="20"/>
                <w:szCs w:val="20"/>
              </w:rPr>
            </w:pPr>
            <w:r>
              <w:rPr>
                <w:sz w:val="20"/>
                <w:szCs w:val="20"/>
              </w:rPr>
              <w:t>3</w:t>
            </w:r>
          </w:p>
        </w:tc>
        <w:tc>
          <w:tcPr>
            <w:tcW w:w="639" w:type="dxa"/>
          </w:tcPr>
          <w:p>
            <w:pPr>
              <w:pStyle w:val="TableText"/>
              <w:spacing w:before="110" w:line="174" w:lineRule="auto"/>
              <w:ind w:left="255"/>
              <w:rPr>
                <w:sz w:val="20"/>
                <w:szCs w:val="20"/>
              </w:rPr>
            </w:pPr>
            <w:r>
              <w:rPr>
                <w:sz w:val="20"/>
                <w:szCs w:val="20"/>
              </w:rPr>
              <w:t>4</w:t>
            </w:r>
          </w:p>
        </w:tc>
        <w:tc>
          <w:tcPr>
            <w:tcW w:w="1468" w:type="dxa"/>
          </w:tcPr>
          <w:p>
            <w:pPr>
              <w:pStyle w:val="TableText"/>
              <w:spacing w:before="122" w:line="126" w:lineRule="exact"/>
              <w:ind w:left="596"/>
              <w:rPr>
                <w:sz w:val="8"/>
                <w:szCs w:val="8"/>
              </w:rPr>
            </w:pPr>
            <w:r>
              <w:rPr>
                <w:spacing w:val="-3"/>
                <w:position w:val="1"/>
                <w:sz w:val="8"/>
                <w:szCs w:val="8"/>
              </w:rPr>
              <w:t>……</w:t>
            </w:r>
          </w:p>
        </w:tc>
        <w:tc>
          <w:tcPr>
            <w:tcW w:w="1273" w:type="dxa"/>
          </w:tcPr>
          <w:p>
            <w:pPr>
              <w:pStyle w:val="TableText"/>
              <w:spacing w:before="175" w:line="124" w:lineRule="exact"/>
              <w:ind w:left="578"/>
              <w:rPr>
                <w:sz w:val="20"/>
                <w:szCs w:val="20"/>
              </w:rPr>
            </w:pPr>
            <w:r>
              <w:rPr>
                <w:position w:val="-1"/>
                <w:sz w:val="20"/>
                <w:szCs w:val="20"/>
              </w:rPr>
              <w:t>n</w:t>
            </w:r>
          </w:p>
        </w:tc>
      </w:tr>
      <w:tr>
        <w:tblPrEx>
          <w:tblInd w:w="700" w:type="dxa"/>
          <w:tblLayout w:type="fixed"/>
          <w:tblCellMar>
            <w:top w:w="0" w:type="dxa"/>
            <w:left w:w="0" w:type="dxa"/>
            <w:bottom w:w="0" w:type="dxa"/>
            <w:right w:w="0" w:type="dxa"/>
          </w:tblCellMar>
          <w:tblLook w:val="0000"/>
        </w:tblPrEx>
        <w:trPr>
          <w:trHeight w:val="319"/>
        </w:trPr>
        <w:tc>
          <w:tcPr>
            <w:tcW w:w="754" w:type="dxa"/>
          </w:tcPr>
          <w:p/>
        </w:tc>
        <w:tc>
          <w:tcPr>
            <w:tcW w:w="1269" w:type="dxa"/>
          </w:tcPr>
          <w:p>
            <w:pPr>
              <w:pStyle w:val="TableText"/>
              <w:spacing w:before="60" w:line="219" w:lineRule="auto"/>
              <w:ind w:left="121"/>
              <w:rPr>
                <w:sz w:val="20"/>
                <w:szCs w:val="20"/>
              </w:rPr>
            </w:pPr>
            <w:r>
              <w:rPr>
                <w:spacing w:val="-2"/>
                <w:sz w:val="20"/>
                <w:szCs w:val="20"/>
              </w:rPr>
              <w:t>业务收入</w:t>
            </w:r>
          </w:p>
        </w:tc>
        <w:tc>
          <w:tcPr>
            <w:tcW w:w="929" w:type="dxa"/>
          </w:tcPr>
          <w:p/>
        </w:tc>
        <w:tc>
          <w:tcPr>
            <w:tcW w:w="929" w:type="dxa"/>
          </w:tcPr>
          <w:p/>
        </w:tc>
        <w:tc>
          <w:tcPr>
            <w:tcW w:w="629" w:type="dxa"/>
          </w:tcPr>
          <w:p/>
        </w:tc>
        <w:tc>
          <w:tcPr>
            <w:tcW w:w="619" w:type="dxa"/>
          </w:tcPr>
          <w:p/>
        </w:tc>
        <w:tc>
          <w:tcPr>
            <w:tcW w:w="639" w:type="dxa"/>
          </w:tcPr>
          <w:p/>
        </w:tc>
        <w:tc>
          <w:tcPr>
            <w:tcW w:w="1468" w:type="dxa"/>
          </w:tcPr>
          <w:p/>
        </w:tc>
        <w:tc>
          <w:tcPr>
            <w:tcW w:w="1273" w:type="dxa"/>
          </w:tcPr>
          <w:p/>
        </w:tc>
      </w:tr>
      <w:tr>
        <w:tblPrEx>
          <w:tblInd w:w="700" w:type="dxa"/>
          <w:tblLayout w:type="fixed"/>
          <w:tblCellMar>
            <w:top w:w="0" w:type="dxa"/>
            <w:left w:w="0" w:type="dxa"/>
            <w:bottom w:w="0" w:type="dxa"/>
            <w:right w:w="0" w:type="dxa"/>
          </w:tblCellMar>
          <w:tblLook w:val="0000"/>
        </w:tblPrEx>
        <w:trPr>
          <w:trHeight w:val="338"/>
        </w:trPr>
        <w:tc>
          <w:tcPr>
            <w:tcW w:w="754" w:type="dxa"/>
          </w:tcPr>
          <w:p>
            <w:pPr>
              <w:pStyle w:val="TableText"/>
              <w:spacing w:before="121" w:line="184" w:lineRule="auto"/>
              <w:ind w:left="114"/>
              <w:rPr>
                <w:sz w:val="20"/>
                <w:szCs w:val="20"/>
              </w:rPr>
            </w:pPr>
            <w:r>
              <w:rPr>
                <w:spacing w:val="-6"/>
                <w:sz w:val="20"/>
                <w:szCs w:val="20"/>
              </w:rPr>
              <w:t>1.1</w:t>
            </w:r>
          </w:p>
        </w:tc>
        <w:tc>
          <w:tcPr>
            <w:tcW w:w="1269" w:type="dxa"/>
          </w:tcPr>
          <w:p>
            <w:pPr>
              <w:pStyle w:val="TableText"/>
              <w:spacing w:before="71" w:line="219" w:lineRule="auto"/>
              <w:ind w:left="121"/>
              <w:rPr>
                <w:sz w:val="20"/>
                <w:szCs w:val="20"/>
              </w:rPr>
            </w:pPr>
            <w:r>
              <w:rPr>
                <w:spacing w:val="-2"/>
                <w:sz w:val="20"/>
                <w:szCs w:val="20"/>
              </w:rPr>
              <w:t>业务量</w:t>
            </w:r>
          </w:p>
        </w:tc>
        <w:tc>
          <w:tcPr>
            <w:tcW w:w="929" w:type="dxa"/>
          </w:tcPr>
          <w:p/>
        </w:tc>
        <w:tc>
          <w:tcPr>
            <w:tcW w:w="929" w:type="dxa"/>
          </w:tcPr>
          <w:p/>
        </w:tc>
        <w:tc>
          <w:tcPr>
            <w:tcW w:w="629" w:type="dxa"/>
          </w:tcPr>
          <w:p/>
        </w:tc>
        <w:tc>
          <w:tcPr>
            <w:tcW w:w="619" w:type="dxa"/>
          </w:tcPr>
          <w:p/>
        </w:tc>
        <w:tc>
          <w:tcPr>
            <w:tcW w:w="639" w:type="dxa"/>
          </w:tcPr>
          <w:p/>
        </w:tc>
        <w:tc>
          <w:tcPr>
            <w:tcW w:w="1468" w:type="dxa"/>
          </w:tcPr>
          <w:p/>
        </w:tc>
        <w:tc>
          <w:tcPr>
            <w:tcW w:w="1273" w:type="dxa"/>
          </w:tcPr>
          <w:p/>
        </w:tc>
      </w:tr>
      <w:tr>
        <w:tblPrEx>
          <w:tblInd w:w="700" w:type="dxa"/>
          <w:tblLayout w:type="fixed"/>
          <w:tblCellMar>
            <w:top w:w="0" w:type="dxa"/>
            <w:left w:w="0" w:type="dxa"/>
            <w:bottom w:w="0" w:type="dxa"/>
            <w:right w:w="0" w:type="dxa"/>
          </w:tblCellMar>
          <w:tblLook w:val="0000"/>
        </w:tblPrEx>
        <w:trPr>
          <w:trHeight w:val="309"/>
        </w:trPr>
        <w:tc>
          <w:tcPr>
            <w:tcW w:w="754" w:type="dxa"/>
          </w:tcPr>
          <w:p>
            <w:pPr>
              <w:pStyle w:val="TableText"/>
              <w:spacing w:before="113" w:line="171" w:lineRule="auto"/>
              <w:ind w:left="104"/>
              <w:rPr>
                <w:sz w:val="20"/>
                <w:szCs w:val="20"/>
              </w:rPr>
            </w:pPr>
            <w:r>
              <w:rPr>
                <w:spacing w:val="-6"/>
                <w:sz w:val="20"/>
                <w:szCs w:val="20"/>
              </w:rPr>
              <w:t>1.2</w:t>
            </w:r>
          </w:p>
        </w:tc>
        <w:tc>
          <w:tcPr>
            <w:tcW w:w="1269" w:type="dxa"/>
          </w:tcPr>
          <w:p>
            <w:pPr>
              <w:pStyle w:val="TableText"/>
              <w:spacing w:before="61" w:line="218" w:lineRule="auto"/>
              <w:ind w:left="121"/>
              <w:rPr>
                <w:sz w:val="20"/>
                <w:szCs w:val="20"/>
              </w:rPr>
            </w:pPr>
            <w:r>
              <w:rPr>
                <w:spacing w:val="-3"/>
                <w:sz w:val="20"/>
                <w:szCs w:val="20"/>
              </w:rPr>
              <w:t>单价</w:t>
            </w:r>
          </w:p>
        </w:tc>
        <w:tc>
          <w:tcPr>
            <w:tcW w:w="929" w:type="dxa"/>
          </w:tcPr>
          <w:p/>
        </w:tc>
        <w:tc>
          <w:tcPr>
            <w:tcW w:w="929" w:type="dxa"/>
          </w:tcPr>
          <w:p/>
        </w:tc>
        <w:tc>
          <w:tcPr>
            <w:tcW w:w="629" w:type="dxa"/>
          </w:tcPr>
          <w:p/>
        </w:tc>
        <w:tc>
          <w:tcPr>
            <w:tcW w:w="619" w:type="dxa"/>
          </w:tcPr>
          <w:p/>
        </w:tc>
        <w:tc>
          <w:tcPr>
            <w:tcW w:w="639" w:type="dxa"/>
          </w:tcPr>
          <w:p/>
        </w:tc>
        <w:tc>
          <w:tcPr>
            <w:tcW w:w="1468" w:type="dxa"/>
          </w:tcPr>
          <w:p/>
        </w:tc>
        <w:tc>
          <w:tcPr>
            <w:tcW w:w="1273" w:type="dxa"/>
          </w:tcPr>
          <w:p/>
        </w:tc>
      </w:tr>
      <w:tr>
        <w:tblPrEx>
          <w:tblInd w:w="700" w:type="dxa"/>
          <w:tblLayout w:type="fixed"/>
          <w:tblCellMar>
            <w:top w:w="0" w:type="dxa"/>
            <w:left w:w="0" w:type="dxa"/>
            <w:bottom w:w="0" w:type="dxa"/>
            <w:right w:w="0" w:type="dxa"/>
          </w:tblCellMar>
          <w:tblLook w:val="0000"/>
        </w:tblPrEx>
        <w:trPr>
          <w:trHeight w:val="339"/>
        </w:trPr>
        <w:tc>
          <w:tcPr>
            <w:tcW w:w="754" w:type="dxa"/>
          </w:tcPr>
          <w:p>
            <w:pPr>
              <w:pStyle w:val="TableText"/>
              <w:spacing w:before="124" w:line="184" w:lineRule="auto"/>
              <w:ind w:left="104"/>
              <w:rPr>
                <w:sz w:val="20"/>
                <w:szCs w:val="20"/>
              </w:rPr>
            </w:pPr>
            <w:r>
              <w:rPr>
                <w:spacing w:val="-6"/>
                <w:sz w:val="20"/>
                <w:szCs w:val="20"/>
              </w:rPr>
              <w:t>1.3</w:t>
            </w:r>
          </w:p>
        </w:tc>
        <w:tc>
          <w:tcPr>
            <w:tcW w:w="1269" w:type="dxa"/>
          </w:tcPr>
          <w:p>
            <w:pPr>
              <w:pStyle w:val="TableText"/>
              <w:spacing w:before="74" w:line="219" w:lineRule="auto"/>
              <w:ind w:left="121"/>
              <w:rPr>
                <w:sz w:val="20"/>
                <w:szCs w:val="20"/>
              </w:rPr>
            </w:pPr>
            <w:r>
              <w:rPr>
                <w:spacing w:val="-2"/>
                <w:sz w:val="20"/>
                <w:szCs w:val="20"/>
              </w:rPr>
              <w:t>增值税率</w:t>
            </w:r>
          </w:p>
        </w:tc>
        <w:tc>
          <w:tcPr>
            <w:tcW w:w="929" w:type="dxa"/>
          </w:tcPr>
          <w:p/>
        </w:tc>
        <w:tc>
          <w:tcPr>
            <w:tcW w:w="929" w:type="dxa"/>
          </w:tcPr>
          <w:p/>
        </w:tc>
        <w:tc>
          <w:tcPr>
            <w:tcW w:w="629" w:type="dxa"/>
          </w:tcPr>
          <w:p/>
        </w:tc>
        <w:tc>
          <w:tcPr>
            <w:tcW w:w="619" w:type="dxa"/>
          </w:tcPr>
          <w:p/>
        </w:tc>
        <w:tc>
          <w:tcPr>
            <w:tcW w:w="639" w:type="dxa"/>
          </w:tcPr>
          <w:p/>
        </w:tc>
        <w:tc>
          <w:tcPr>
            <w:tcW w:w="1468" w:type="dxa"/>
          </w:tcPr>
          <w:p/>
        </w:tc>
        <w:tc>
          <w:tcPr>
            <w:tcW w:w="1273" w:type="dxa"/>
          </w:tcPr>
          <w:p/>
        </w:tc>
      </w:tr>
      <w:tr>
        <w:tblPrEx>
          <w:tblInd w:w="700" w:type="dxa"/>
          <w:tblLayout w:type="fixed"/>
          <w:tblCellMar>
            <w:top w:w="0" w:type="dxa"/>
            <w:left w:w="0" w:type="dxa"/>
            <w:bottom w:w="0" w:type="dxa"/>
            <w:right w:w="0" w:type="dxa"/>
          </w:tblCellMar>
          <w:tblLook w:val="0000"/>
        </w:tblPrEx>
        <w:trPr>
          <w:trHeight w:val="309"/>
        </w:trPr>
        <w:tc>
          <w:tcPr>
            <w:tcW w:w="754" w:type="dxa"/>
          </w:tcPr>
          <w:p>
            <w:pPr>
              <w:pStyle w:val="TableText"/>
              <w:spacing w:before="115" w:line="169" w:lineRule="auto"/>
              <w:ind w:left="104"/>
              <w:rPr>
                <w:sz w:val="20"/>
                <w:szCs w:val="20"/>
              </w:rPr>
            </w:pPr>
            <w:r>
              <w:rPr>
                <w:spacing w:val="-6"/>
                <w:sz w:val="20"/>
                <w:szCs w:val="20"/>
              </w:rPr>
              <w:t>1.4</w:t>
            </w:r>
          </w:p>
        </w:tc>
        <w:tc>
          <w:tcPr>
            <w:tcW w:w="1269" w:type="dxa"/>
          </w:tcPr>
          <w:p>
            <w:pPr>
              <w:pStyle w:val="TableText"/>
              <w:spacing w:before="65" w:line="216" w:lineRule="auto"/>
              <w:ind w:left="121"/>
              <w:rPr>
                <w:sz w:val="20"/>
                <w:szCs w:val="20"/>
              </w:rPr>
            </w:pPr>
            <w:r>
              <w:rPr>
                <w:spacing w:val="-2"/>
                <w:sz w:val="20"/>
                <w:szCs w:val="20"/>
              </w:rPr>
              <w:t>销项税额</w:t>
            </w:r>
          </w:p>
        </w:tc>
        <w:tc>
          <w:tcPr>
            <w:tcW w:w="929" w:type="dxa"/>
          </w:tcPr>
          <w:p/>
        </w:tc>
        <w:tc>
          <w:tcPr>
            <w:tcW w:w="929" w:type="dxa"/>
          </w:tcPr>
          <w:p/>
        </w:tc>
        <w:tc>
          <w:tcPr>
            <w:tcW w:w="629" w:type="dxa"/>
          </w:tcPr>
          <w:p/>
        </w:tc>
        <w:tc>
          <w:tcPr>
            <w:tcW w:w="619" w:type="dxa"/>
          </w:tcPr>
          <w:p/>
        </w:tc>
        <w:tc>
          <w:tcPr>
            <w:tcW w:w="639" w:type="dxa"/>
          </w:tcPr>
          <w:p/>
        </w:tc>
        <w:tc>
          <w:tcPr>
            <w:tcW w:w="1468" w:type="dxa"/>
          </w:tcPr>
          <w:p/>
        </w:tc>
        <w:tc>
          <w:tcPr>
            <w:tcW w:w="1273" w:type="dxa"/>
          </w:tcPr>
          <w:p/>
        </w:tc>
      </w:tr>
      <w:tr>
        <w:tblPrEx>
          <w:tblInd w:w="700" w:type="dxa"/>
          <w:tblLayout w:type="fixed"/>
          <w:tblCellMar>
            <w:top w:w="0" w:type="dxa"/>
            <w:left w:w="0" w:type="dxa"/>
            <w:bottom w:w="0" w:type="dxa"/>
            <w:right w:w="0" w:type="dxa"/>
          </w:tblCellMar>
          <w:tblLook w:val="0000"/>
        </w:tblPrEx>
        <w:trPr>
          <w:trHeight w:val="339"/>
        </w:trPr>
        <w:tc>
          <w:tcPr>
            <w:tcW w:w="754" w:type="dxa"/>
          </w:tcPr>
          <w:p>
            <w:pPr>
              <w:pStyle w:val="TableText"/>
              <w:spacing w:before="127" w:line="183" w:lineRule="auto"/>
              <w:ind w:left="84"/>
              <w:rPr>
                <w:sz w:val="20"/>
                <w:szCs w:val="20"/>
              </w:rPr>
            </w:pPr>
            <w:r>
              <w:rPr>
                <w:sz w:val="20"/>
                <w:szCs w:val="20"/>
              </w:rPr>
              <w:t>2</w:t>
            </w:r>
          </w:p>
        </w:tc>
        <w:tc>
          <w:tcPr>
            <w:tcW w:w="1269" w:type="dxa"/>
          </w:tcPr>
          <w:p>
            <w:pPr>
              <w:pStyle w:val="TableText"/>
              <w:spacing w:before="76" w:line="219" w:lineRule="auto"/>
              <w:ind w:left="121"/>
              <w:rPr>
                <w:sz w:val="20"/>
                <w:szCs w:val="20"/>
              </w:rPr>
            </w:pPr>
            <w:r>
              <w:rPr>
                <w:spacing w:val="-2"/>
                <w:sz w:val="20"/>
                <w:szCs w:val="20"/>
              </w:rPr>
              <w:t>再分配系数</w:t>
            </w:r>
          </w:p>
        </w:tc>
        <w:tc>
          <w:tcPr>
            <w:tcW w:w="929" w:type="dxa"/>
          </w:tcPr>
          <w:p/>
        </w:tc>
        <w:tc>
          <w:tcPr>
            <w:tcW w:w="929" w:type="dxa"/>
          </w:tcPr>
          <w:p/>
        </w:tc>
        <w:tc>
          <w:tcPr>
            <w:tcW w:w="629" w:type="dxa"/>
          </w:tcPr>
          <w:p/>
        </w:tc>
        <w:tc>
          <w:tcPr>
            <w:tcW w:w="619" w:type="dxa"/>
          </w:tcPr>
          <w:p/>
        </w:tc>
        <w:tc>
          <w:tcPr>
            <w:tcW w:w="639" w:type="dxa"/>
          </w:tcPr>
          <w:p/>
        </w:tc>
        <w:tc>
          <w:tcPr>
            <w:tcW w:w="1468" w:type="dxa"/>
          </w:tcPr>
          <w:p/>
        </w:tc>
        <w:tc>
          <w:tcPr>
            <w:tcW w:w="1273" w:type="dxa"/>
          </w:tcPr>
          <w:p/>
        </w:tc>
      </w:tr>
      <w:tr>
        <w:tblPrEx>
          <w:tblInd w:w="700" w:type="dxa"/>
          <w:tblLayout w:type="fixed"/>
          <w:tblCellMar>
            <w:top w:w="0" w:type="dxa"/>
            <w:left w:w="0" w:type="dxa"/>
            <w:bottom w:w="0" w:type="dxa"/>
            <w:right w:w="0" w:type="dxa"/>
          </w:tblCellMar>
          <w:tblLook w:val="0000"/>
        </w:tblPrEx>
        <w:trPr>
          <w:trHeight w:val="314"/>
        </w:trPr>
        <w:tc>
          <w:tcPr>
            <w:tcW w:w="754" w:type="dxa"/>
          </w:tcPr>
          <w:p>
            <w:pPr>
              <w:pStyle w:val="TableText"/>
              <w:spacing w:before="118" w:line="171" w:lineRule="auto"/>
              <w:ind w:left="64"/>
              <w:rPr>
                <w:sz w:val="20"/>
                <w:szCs w:val="20"/>
              </w:rPr>
            </w:pPr>
            <w:r>
              <w:rPr>
                <w:sz w:val="20"/>
                <w:szCs w:val="20"/>
              </w:rPr>
              <w:t>3</w:t>
            </w:r>
          </w:p>
        </w:tc>
        <w:tc>
          <w:tcPr>
            <w:tcW w:w="1269" w:type="dxa"/>
          </w:tcPr>
          <w:p>
            <w:pPr>
              <w:pStyle w:val="TableText"/>
              <w:spacing w:before="66" w:line="219" w:lineRule="auto"/>
              <w:ind w:left="121"/>
              <w:rPr>
                <w:sz w:val="20"/>
                <w:szCs w:val="20"/>
              </w:rPr>
            </w:pPr>
            <w:r>
              <w:rPr>
                <w:spacing w:val="-2"/>
                <w:sz w:val="20"/>
                <w:szCs w:val="20"/>
              </w:rPr>
              <w:t>再分配收入</w:t>
            </w:r>
          </w:p>
        </w:tc>
        <w:tc>
          <w:tcPr>
            <w:tcW w:w="929" w:type="dxa"/>
          </w:tcPr>
          <w:p/>
        </w:tc>
        <w:tc>
          <w:tcPr>
            <w:tcW w:w="929" w:type="dxa"/>
          </w:tcPr>
          <w:p/>
        </w:tc>
        <w:tc>
          <w:tcPr>
            <w:tcW w:w="629" w:type="dxa"/>
          </w:tcPr>
          <w:p/>
        </w:tc>
        <w:tc>
          <w:tcPr>
            <w:tcW w:w="619" w:type="dxa"/>
          </w:tcPr>
          <w:p/>
        </w:tc>
        <w:tc>
          <w:tcPr>
            <w:tcW w:w="639" w:type="dxa"/>
          </w:tcPr>
          <w:p/>
        </w:tc>
        <w:tc>
          <w:tcPr>
            <w:tcW w:w="1468" w:type="dxa"/>
          </w:tcPr>
          <w:p/>
        </w:tc>
        <w:tc>
          <w:tcPr>
            <w:tcW w:w="1273" w:type="dxa"/>
          </w:tcPr>
          <w:p/>
        </w:tc>
      </w:tr>
    </w:tbl>
    <w:p>
      <w:pPr>
        <w:pStyle w:val="BodyText"/>
        <w:spacing w:before="141" w:line="219" w:lineRule="auto"/>
        <w:ind w:left="5700"/>
        <w:rPr>
          <w:sz w:val="19"/>
          <w:szCs w:val="19"/>
        </w:rPr>
      </w:pPr>
      <w:r>
        <w:rPr>
          <w:spacing w:val="-10"/>
          <w:sz w:val="19"/>
          <w:szCs w:val="19"/>
        </w:rPr>
        <w:t>注：表格各项目因不同的预测方法会有差异</w:t>
      </w:r>
    </w:p>
    <w:p>
      <w:pPr>
        <w:spacing w:before="13"/>
      </w:pPr>
    </w:p>
    <w:p>
      <w:pPr>
        <w:spacing w:before="13"/>
      </w:pPr>
    </w:p>
    <w:p>
      <w:pPr>
        <w:spacing w:before="13"/>
      </w:pPr>
    </w:p>
    <w:p>
      <w:pPr>
        <w:sectPr>
          <w:headerReference w:type="default" r:id="rId57"/>
          <w:footerReference w:type="default" r:id="rId58"/>
          <w:type w:val="continuous"/>
          <w:pgSz w:w="11910" w:h="16840"/>
          <w:pgMar w:top="400" w:right="999" w:bottom="1192" w:left="989" w:header="0" w:footer="966" w:gutter="0"/>
          <w:pgNumType w:start="24"/>
          <w:cols w:space="708"/>
        </w:sectPr>
      </w:pPr>
    </w:p>
    <w:p>
      <w:pPr>
        <w:spacing w:before="39" w:line="188" w:lineRule="auto"/>
        <w:ind w:left="2562"/>
        <w:rPr>
          <w:rFonts w:ascii="黑体" w:eastAsia="黑体" w:hAnsi="黑体" w:cs="黑体"/>
          <w:sz w:val="19"/>
          <w:szCs w:val="19"/>
        </w:rPr>
      </w:pPr>
      <w:r>
        <w:rPr>
          <w:rFonts w:ascii="黑体" w:eastAsia="黑体" w:hAnsi="黑体" w:cs="黑体"/>
          <w:b/>
          <w:bCs/>
          <w:spacing w:val="2"/>
          <w:sz w:val="19"/>
          <w:szCs w:val="19"/>
        </w:rPr>
        <w:t>表3</w:t>
      </w:r>
      <w:r>
        <w:rPr>
          <w:rFonts w:ascii="黑体" w:eastAsia="黑体" w:hAnsi="黑体" w:cs="黑体"/>
          <w:spacing w:val="-48"/>
          <w:sz w:val="19"/>
          <w:szCs w:val="19"/>
        </w:rPr>
        <w:t xml:space="preserve"> </w:t>
      </w:r>
      <w:r>
        <w:rPr>
          <w:rFonts w:ascii="黑体" w:eastAsia="黑体" w:hAnsi="黑体" w:cs="黑体"/>
          <w:b/>
          <w:bCs/>
          <w:spacing w:val="2"/>
          <w:sz w:val="19"/>
          <w:szCs w:val="19"/>
        </w:rPr>
        <w:t>.3-3总</w:t>
      </w:r>
      <w:r>
        <w:rPr>
          <w:rFonts w:ascii="黑体" w:eastAsia="黑体" w:hAnsi="黑体" w:cs="黑体"/>
          <w:spacing w:val="56"/>
          <w:sz w:val="19"/>
          <w:szCs w:val="19"/>
        </w:rPr>
        <w:t xml:space="preserve"> </w:t>
      </w:r>
      <w:r>
        <w:rPr>
          <w:rFonts w:ascii="黑体" w:eastAsia="黑体" w:hAnsi="黑体" w:cs="黑体"/>
          <w:b/>
          <w:bCs/>
          <w:spacing w:val="2"/>
          <w:sz w:val="19"/>
          <w:szCs w:val="19"/>
        </w:rPr>
        <w:t>成</w:t>
      </w:r>
      <w:r>
        <w:rPr>
          <w:rFonts w:ascii="黑体" w:eastAsia="黑体" w:hAnsi="黑体" w:cs="黑体"/>
          <w:spacing w:val="41"/>
          <w:sz w:val="19"/>
          <w:szCs w:val="19"/>
        </w:rPr>
        <w:t xml:space="preserve">  </w:t>
      </w:r>
      <w:r>
        <w:rPr>
          <w:rFonts w:ascii="黑体" w:eastAsia="黑体" w:hAnsi="黑体" w:cs="黑体"/>
          <w:b/>
          <w:bCs/>
          <w:spacing w:val="2"/>
          <w:sz w:val="19"/>
          <w:szCs w:val="19"/>
        </w:rPr>
        <w:t>本</w:t>
      </w:r>
      <w:r>
        <w:rPr>
          <w:rFonts w:ascii="黑体" w:eastAsia="黑体" w:hAnsi="黑体" w:cs="黑体"/>
          <w:spacing w:val="2"/>
          <w:sz w:val="19"/>
          <w:szCs w:val="19"/>
        </w:rPr>
        <w:t xml:space="preserve">  </w:t>
      </w:r>
      <w:r>
        <w:rPr>
          <w:rFonts w:ascii="黑体" w:eastAsia="黑体" w:hAnsi="黑体" w:cs="黑体"/>
          <w:b/>
          <w:bCs/>
          <w:spacing w:val="2"/>
          <w:sz w:val="19"/>
          <w:szCs w:val="19"/>
        </w:rPr>
        <w:t>费</w:t>
      </w:r>
      <w:r>
        <w:rPr>
          <w:rFonts w:ascii="黑体" w:eastAsia="黑体" w:hAnsi="黑体" w:cs="黑体"/>
          <w:spacing w:val="15"/>
          <w:sz w:val="19"/>
          <w:szCs w:val="19"/>
        </w:rPr>
        <w:t xml:space="preserve">  </w:t>
      </w:r>
      <w:r>
        <w:rPr>
          <w:rFonts w:ascii="黑体" w:eastAsia="黑体" w:hAnsi="黑体" w:cs="黑体"/>
          <w:b/>
          <w:bCs/>
          <w:spacing w:val="2"/>
          <w:sz w:val="19"/>
          <w:szCs w:val="19"/>
        </w:rPr>
        <w:t>用</w:t>
      </w:r>
      <w:r>
        <w:rPr>
          <w:rFonts w:ascii="黑体" w:eastAsia="黑体" w:hAnsi="黑体" w:cs="黑体"/>
          <w:spacing w:val="10"/>
          <w:sz w:val="19"/>
          <w:szCs w:val="19"/>
        </w:rPr>
        <w:t xml:space="preserve">  </w:t>
      </w:r>
      <w:r>
        <w:rPr>
          <w:rFonts w:ascii="黑体" w:eastAsia="黑体" w:hAnsi="黑体" w:cs="黑体"/>
          <w:b/>
          <w:bCs/>
          <w:spacing w:val="2"/>
          <w:sz w:val="19"/>
          <w:szCs w:val="19"/>
        </w:rPr>
        <w:t>估</w:t>
      </w:r>
      <w:r>
        <w:rPr>
          <w:rFonts w:ascii="黑体" w:eastAsia="黑体" w:hAnsi="黑体" w:cs="黑体"/>
          <w:spacing w:val="18"/>
          <w:sz w:val="19"/>
          <w:szCs w:val="19"/>
        </w:rPr>
        <w:t xml:space="preserve">  </w:t>
      </w:r>
      <w:r>
        <w:rPr>
          <w:rFonts w:ascii="黑体" w:eastAsia="黑体" w:hAnsi="黑体" w:cs="黑体"/>
          <w:b/>
          <w:bCs/>
          <w:spacing w:val="2"/>
          <w:sz w:val="19"/>
          <w:szCs w:val="19"/>
        </w:rPr>
        <w:t>算</w:t>
      </w:r>
      <w:r>
        <w:rPr>
          <w:rFonts w:ascii="黑体" w:eastAsia="黑体" w:hAnsi="黑体" w:cs="黑体"/>
          <w:spacing w:val="20"/>
          <w:sz w:val="19"/>
          <w:szCs w:val="19"/>
        </w:rPr>
        <w:t xml:space="preserve">  </w:t>
      </w:r>
      <w:r>
        <w:rPr>
          <w:rFonts w:ascii="黑体" w:eastAsia="黑体" w:hAnsi="黑体" w:cs="黑体"/>
          <w:b/>
          <w:bCs/>
          <w:spacing w:val="2"/>
          <w:sz w:val="19"/>
          <w:szCs w:val="19"/>
        </w:rPr>
        <w:t>表</w:t>
      </w:r>
    </w:p>
    <w:p>
      <w:pPr>
        <w:spacing w:line="14" w:lineRule="auto"/>
        <w:rPr>
          <w:sz w:val="2"/>
        </w:rPr>
      </w:pPr>
      <w:r>
        <w:rPr>
          <w:rFonts w:ascii="Arial" w:eastAsia="Arial" w:hAnsi="Arial" w:cs="Arial"/>
          <w:sz w:val="2"/>
          <w:szCs w:val="2"/>
        </w:rPr>
        <w:br w:type="column"/>
      </w:r>
    </w:p>
    <w:p>
      <w:pPr>
        <w:spacing w:before="39" w:line="187" w:lineRule="auto"/>
        <w:rPr>
          <w:rFonts w:ascii="黑体" w:eastAsia="黑体" w:hAnsi="黑体" w:cs="黑体"/>
          <w:sz w:val="19"/>
          <w:szCs w:val="19"/>
        </w:rPr>
      </w:pPr>
      <w:r>
        <w:rPr>
          <w:rFonts w:ascii="黑体" w:eastAsia="黑体" w:hAnsi="黑体" w:cs="黑体"/>
          <w:b/>
          <w:bCs/>
          <w:spacing w:val="4"/>
          <w:sz w:val="19"/>
          <w:szCs w:val="19"/>
        </w:rPr>
        <w:t>单位：万元</w:t>
      </w:r>
    </w:p>
    <w:p>
      <w:pPr>
        <w:spacing w:line="187" w:lineRule="auto"/>
        <w:rPr>
          <w:rFonts w:ascii="黑体" w:eastAsia="黑体" w:hAnsi="黑体" w:cs="黑体"/>
          <w:sz w:val="19"/>
          <w:szCs w:val="19"/>
        </w:rPr>
        <w:sectPr>
          <w:headerReference w:type="default" r:id="rId59"/>
          <w:footerReference w:type="default" r:id="rId60"/>
          <w:type w:val="continuous"/>
          <w:pgSz w:w="11910" w:h="16840"/>
          <w:pgMar w:top="400" w:right="999" w:bottom="1192" w:left="989" w:header="0" w:footer="966" w:gutter="0"/>
          <w:pgNumType w:start="25"/>
          <w:cols w:num="2" w:space="100" w:equalWidth="0">
            <w:col w:w="7983" w:space="100"/>
            <w:col w:w="1838" w:space="0"/>
          </w:cols>
        </w:sectPr>
      </w:pPr>
    </w:p>
    <w:p>
      <w:pPr>
        <w:spacing w:line="217" w:lineRule="exact"/>
      </w:pPr>
    </w:p>
    <w:tbl>
      <w:tblPr>
        <w:tblStyle w:val="TableNormal16"/>
        <w:tblInd w:w="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34"/>
        <w:gridCol w:w="2667"/>
        <w:gridCol w:w="679"/>
        <w:gridCol w:w="869"/>
        <w:gridCol w:w="679"/>
        <w:gridCol w:w="709"/>
        <w:gridCol w:w="689"/>
        <w:gridCol w:w="709"/>
        <w:gridCol w:w="874"/>
      </w:tblGrid>
      <w:tr>
        <w:tblPrEx>
          <w:tblInd w:w="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294"/>
        </w:trPr>
        <w:tc>
          <w:tcPr>
            <w:tcW w:w="634" w:type="dxa"/>
            <w:vMerge w:val="restart"/>
            <w:tcBorders>
              <w:bottom w:val="nil"/>
            </w:tcBorders>
          </w:tcPr>
          <w:p>
            <w:pPr>
              <w:pStyle w:val="TableText"/>
              <w:spacing w:before="214" w:line="221" w:lineRule="auto"/>
              <w:ind w:left="104"/>
              <w:rPr>
                <w:sz w:val="20"/>
                <w:szCs w:val="20"/>
              </w:rPr>
            </w:pPr>
            <w:r>
              <w:rPr>
                <w:spacing w:val="-2"/>
                <w:sz w:val="20"/>
                <w:szCs w:val="20"/>
              </w:rPr>
              <w:t>序号</w:t>
            </w:r>
          </w:p>
        </w:tc>
        <w:tc>
          <w:tcPr>
            <w:tcW w:w="2667" w:type="dxa"/>
            <w:vMerge w:val="restart"/>
            <w:tcBorders>
              <w:bottom w:val="nil"/>
            </w:tcBorders>
          </w:tcPr>
          <w:p>
            <w:pPr>
              <w:pStyle w:val="TableText"/>
              <w:spacing w:before="213" w:line="220" w:lineRule="auto"/>
              <w:ind w:left="1070"/>
              <w:rPr>
                <w:sz w:val="20"/>
                <w:szCs w:val="20"/>
              </w:rPr>
            </w:pPr>
            <w:r>
              <w:rPr>
                <w:spacing w:val="-6"/>
                <w:sz w:val="20"/>
                <w:szCs w:val="20"/>
              </w:rPr>
              <w:t>项 目</w:t>
            </w:r>
          </w:p>
        </w:tc>
        <w:tc>
          <w:tcPr>
            <w:tcW w:w="679" w:type="dxa"/>
            <w:vMerge w:val="restart"/>
            <w:tcBorders>
              <w:bottom w:val="nil"/>
            </w:tcBorders>
          </w:tcPr>
          <w:p>
            <w:pPr>
              <w:pStyle w:val="TableText"/>
              <w:spacing w:before="214" w:line="221" w:lineRule="auto"/>
              <w:ind w:left="113"/>
              <w:rPr>
                <w:sz w:val="20"/>
                <w:szCs w:val="20"/>
              </w:rPr>
            </w:pPr>
            <w:r>
              <w:rPr>
                <w:spacing w:val="-3"/>
                <w:sz w:val="20"/>
                <w:szCs w:val="20"/>
              </w:rPr>
              <w:t>合计</w:t>
            </w:r>
          </w:p>
        </w:tc>
        <w:tc>
          <w:tcPr>
            <w:tcW w:w="869" w:type="dxa"/>
          </w:tcPr>
          <w:p>
            <w:pPr>
              <w:pStyle w:val="TableText"/>
              <w:spacing w:before="53" w:line="213" w:lineRule="auto"/>
              <w:ind w:left="95"/>
              <w:rPr>
                <w:sz w:val="20"/>
                <w:szCs w:val="20"/>
              </w:rPr>
            </w:pPr>
            <w:r>
              <w:rPr>
                <w:spacing w:val="4"/>
                <w:sz w:val="20"/>
                <w:szCs w:val="20"/>
              </w:rPr>
              <w:t>建设期</w:t>
            </w:r>
          </w:p>
        </w:tc>
        <w:tc>
          <w:tcPr>
            <w:tcW w:w="3660" w:type="dxa"/>
            <w:gridSpan w:val="5"/>
          </w:tcPr>
          <w:p>
            <w:pPr>
              <w:pStyle w:val="TableText"/>
              <w:spacing w:before="53" w:line="213" w:lineRule="auto"/>
              <w:ind w:left="1515"/>
              <w:rPr>
                <w:sz w:val="20"/>
                <w:szCs w:val="20"/>
              </w:rPr>
            </w:pPr>
            <w:r>
              <w:rPr>
                <w:spacing w:val="4"/>
                <w:sz w:val="20"/>
                <w:szCs w:val="20"/>
              </w:rPr>
              <w:t>生产期</w:t>
            </w:r>
          </w:p>
        </w:tc>
      </w:tr>
      <w:tr>
        <w:tblPrEx>
          <w:tblInd w:w="700" w:type="dxa"/>
          <w:tblLayout w:type="fixed"/>
          <w:tblCellMar>
            <w:top w:w="0" w:type="dxa"/>
            <w:left w:w="0" w:type="dxa"/>
            <w:bottom w:w="0" w:type="dxa"/>
            <w:right w:w="0" w:type="dxa"/>
          </w:tblCellMar>
          <w:tblLook w:val="0000"/>
        </w:tblPrEx>
        <w:trPr>
          <w:trHeight w:val="320"/>
        </w:trPr>
        <w:tc>
          <w:tcPr>
            <w:tcW w:w="634" w:type="dxa"/>
            <w:vMerge/>
            <w:tcBorders>
              <w:top w:val="nil"/>
            </w:tcBorders>
          </w:tcPr>
          <w:p/>
        </w:tc>
        <w:tc>
          <w:tcPr>
            <w:tcW w:w="2667" w:type="dxa"/>
            <w:vMerge/>
            <w:tcBorders>
              <w:top w:val="nil"/>
            </w:tcBorders>
          </w:tcPr>
          <w:p/>
        </w:tc>
        <w:tc>
          <w:tcPr>
            <w:tcW w:w="679" w:type="dxa"/>
            <w:vMerge/>
            <w:tcBorders>
              <w:top w:val="nil"/>
            </w:tcBorders>
          </w:tcPr>
          <w:p/>
        </w:tc>
        <w:tc>
          <w:tcPr>
            <w:tcW w:w="869" w:type="dxa"/>
          </w:tcPr>
          <w:p/>
        </w:tc>
        <w:tc>
          <w:tcPr>
            <w:tcW w:w="679" w:type="dxa"/>
          </w:tcPr>
          <w:p>
            <w:pPr>
              <w:pStyle w:val="TableText"/>
              <w:spacing w:before="110" w:line="183" w:lineRule="auto"/>
              <w:ind w:left="265"/>
              <w:rPr>
                <w:sz w:val="20"/>
                <w:szCs w:val="20"/>
              </w:rPr>
            </w:pPr>
            <w:r>
              <w:rPr>
                <w:sz w:val="20"/>
                <w:szCs w:val="20"/>
              </w:rPr>
              <w:t>2</w:t>
            </w:r>
          </w:p>
        </w:tc>
        <w:tc>
          <w:tcPr>
            <w:tcW w:w="709" w:type="dxa"/>
          </w:tcPr>
          <w:p>
            <w:pPr>
              <w:pStyle w:val="TableText"/>
              <w:spacing w:before="110" w:line="183" w:lineRule="auto"/>
              <w:ind w:left="276"/>
              <w:rPr>
                <w:sz w:val="20"/>
                <w:szCs w:val="20"/>
              </w:rPr>
            </w:pPr>
            <w:r>
              <w:rPr>
                <w:sz w:val="20"/>
                <w:szCs w:val="20"/>
              </w:rPr>
              <w:t>3</w:t>
            </w:r>
          </w:p>
        </w:tc>
        <w:tc>
          <w:tcPr>
            <w:tcW w:w="689" w:type="dxa"/>
          </w:tcPr>
          <w:p>
            <w:pPr>
              <w:pStyle w:val="TableText"/>
              <w:spacing w:before="110" w:line="183" w:lineRule="auto"/>
              <w:ind w:left="278"/>
              <w:rPr>
                <w:sz w:val="20"/>
                <w:szCs w:val="20"/>
              </w:rPr>
            </w:pPr>
            <w:r>
              <w:rPr>
                <w:sz w:val="20"/>
                <w:szCs w:val="20"/>
              </w:rPr>
              <w:t>4</w:t>
            </w:r>
          </w:p>
        </w:tc>
        <w:tc>
          <w:tcPr>
            <w:tcW w:w="709" w:type="dxa"/>
          </w:tcPr>
          <w:p>
            <w:pPr>
              <w:pStyle w:val="TableText"/>
              <w:spacing w:before="129" w:line="94" w:lineRule="exact"/>
              <w:ind w:left="228"/>
              <w:rPr>
                <w:sz w:val="6"/>
                <w:szCs w:val="6"/>
              </w:rPr>
            </w:pPr>
            <w:r>
              <w:rPr>
                <w:spacing w:val="-2"/>
                <w:position w:val="1"/>
                <w:sz w:val="6"/>
                <w:szCs w:val="6"/>
              </w:rPr>
              <w:t>……</w:t>
            </w:r>
          </w:p>
        </w:tc>
        <w:tc>
          <w:tcPr>
            <w:tcW w:w="874" w:type="dxa"/>
          </w:tcPr>
          <w:p>
            <w:pPr>
              <w:pStyle w:val="TableText"/>
              <w:spacing w:before="158" w:line="116" w:lineRule="exact"/>
              <w:ind w:left="359"/>
              <w:rPr>
                <w:sz w:val="15"/>
                <w:szCs w:val="15"/>
              </w:rPr>
            </w:pPr>
            <w:r>
              <w:rPr>
                <w:sz w:val="15"/>
                <w:szCs w:val="15"/>
              </w:rPr>
              <w:t>n</w:t>
            </w:r>
          </w:p>
        </w:tc>
      </w:tr>
      <w:tr>
        <w:tblPrEx>
          <w:tblInd w:w="700" w:type="dxa"/>
          <w:tblLayout w:type="fixed"/>
          <w:tblCellMar>
            <w:top w:w="0" w:type="dxa"/>
            <w:left w:w="0" w:type="dxa"/>
            <w:bottom w:w="0" w:type="dxa"/>
            <w:right w:w="0" w:type="dxa"/>
          </w:tblCellMar>
          <w:tblLook w:val="0000"/>
        </w:tblPrEx>
        <w:trPr>
          <w:trHeight w:val="319"/>
        </w:trPr>
        <w:tc>
          <w:tcPr>
            <w:tcW w:w="634" w:type="dxa"/>
          </w:tcPr>
          <w:p/>
        </w:tc>
        <w:tc>
          <w:tcPr>
            <w:tcW w:w="2667" w:type="dxa"/>
          </w:tcPr>
          <w:p>
            <w:pPr>
              <w:pStyle w:val="TableText"/>
              <w:spacing w:before="57" w:line="219" w:lineRule="auto"/>
              <w:ind w:left="110"/>
              <w:rPr>
                <w:sz w:val="20"/>
                <w:szCs w:val="20"/>
              </w:rPr>
            </w:pPr>
            <w:r>
              <w:rPr>
                <w:spacing w:val="-2"/>
                <w:sz w:val="20"/>
                <w:szCs w:val="20"/>
              </w:rPr>
              <w:t>主营业务成本</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299"/>
        </w:trPr>
        <w:tc>
          <w:tcPr>
            <w:tcW w:w="634" w:type="dxa"/>
          </w:tcPr>
          <w:p>
            <w:pPr>
              <w:pStyle w:val="TableText"/>
              <w:spacing w:before="100" w:line="174" w:lineRule="auto"/>
              <w:ind w:left="154"/>
              <w:rPr>
                <w:sz w:val="20"/>
                <w:szCs w:val="20"/>
              </w:rPr>
            </w:pPr>
            <w:r>
              <w:rPr>
                <w:spacing w:val="-6"/>
                <w:sz w:val="20"/>
                <w:szCs w:val="20"/>
              </w:rPr>
              <w:t>1.1</w:t>
            </w:r>
          </w:p>
        </w:tc>
        <w:tc>
          <w:tcPr>
            <w:tcW w:w="2667" w:type="dxa"/>
          </w:tcPr>
          <w:p>
            <w:pPr>
              <w:pStyle w:val="TableText"/>
              <w:spacing w:before="50" w:line="219" w:lineRule="auto"/>
              <w:ind w:left="110"/>
              <w:rPr>
                <w:sz w:val="20"/>
                <w:szCs w:val="20"/>
              </w:rPr>
            </w:pPr>
            <w:r>
              <w:rPr>
                <w:spacing w:val="3"/>
                <w:sz w:val="20"/>
                <w:szCs w:val="20"/>
              </w:rPr>
              <w:t>职工薪酬</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310"/>
        </w:trPr>
        <w:tc>
          <w:tcPr>
            <w:tcW w:w="634" w:type="dxa"/>
          </w:tcPr>
          <w:p>
            <w:pPr>
              <w:pStyle w:val="TableText"/>
              <w:spacing w:before="111" w:line="174" w:lineRule="auto"/>
              <w:ind w:left="154"/>
              <w:rPr>
                <w:sz w:val="20"/>
                <w:szCs w:val="20"/>
              </w:rPr>
            </w:pPr>
            <w:r>
              <w:rPr>
                <w:spacing w:val="-6"/>
                <w:sz w:val="20"/>
                <w:szCs w:val="20"/>
              </w:rPr>
              <w:t>1.2</w:t>
            </w:r>
          </w:p>
        </w:tc>
        <w:tc>
          <w:tcPr>
            <w:tcW w:w="2667" w:type="dxa"/>
          </w:tcPr>
          <w:p>
            <w:pPr>
              <w:pStyle w:val="TableText"/>
              <w:spacing w:before="61" w:line="220" w:lineRule="auto"/>
              <w:ind w:left="110"/>
              <w:rPr>
                <w:sz w:val="20"/>
                <w:szCs w:val="20"/>
              </w:rPr>
            </w:pPr>
            <w:r>
              <w:rPr>
                <w:spacing w:val="4"/>
                <w:sz w:val="20"/>
                <w:szCs w:val="20"/>
              </w:rPr>
              <w:t>折旧费</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319"/>
        </w:trPr>
        <w:tc>
          <w:tcPr>
            <w:tcW w:w="634" w:type="dxa"/>
          </w:tcPr>
          <w:p>
            <w:pPr>
              <w:pStyle w:val="TableText"/>
              <w:spacing w:before="111" w:line="182" w:lineRule="auto"/>
              <w:ind w:left="154"/>
              <w:rPr>
                <w:sz w:val="20"/>
                <w:szCs w:val="20"/>
              </w:rPr>
            </w:pPr>
            <w:r>
              <w:rPr>
                <w:spacing w:val="-6"/>
                <w:sz w:val="20"/>
                <w:szCs w:val="20"/>
              </w:rPr>
              <w:t>1.3</w:t>
            </w:r>
          </w:p>
        </w:tc>
        <w:tc>
          <w:tcPr>
            <w:tcW w:w="2667" w:type="dxa"/>
          </w:tcPr>
          <w:p>
            <w:pPr>
              <w:pStyle w:val="TableText"/>
              <w:spacing w:before="61" w:line="219" w:lineRule="auto"/>
              <w:ind w:left="110"/>
              <w:rPr>
                <w:sz w:val="20"/>
                <w:szCs w:val="20"/>
              </w:rPr>
            </w:pPr>
            <w:r>
              <w:rPr>
                <w:spacing w:val="-2"/>
                <w:sz w:val="20"/>
                <w:szCs w:val="20"/>
              </w:rPr>
              <w:t>业务费</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300"/>
        </w:trPr>
        <w:tc>
          <w:tcPr>
            <w:tcW w:w="634" w:type="dxa"/>
          </w:tcPr>
          <w:p>
            <w:pPr>
              <w:pStyle w:val="TableText"/>
              <w:spacing w:before="102" w:line="173" w:lineRule="auto"/>
              <w:ind w:left="154"/>
              <w:rPr>
                <w:sz w:val="20"/>
                <w:szCs w:val="20"/>
              </w:rPr>
            </w:pPr>
            <w:r>
              <w:rPr>
                <w:spacing w:val="-6"/>
                <w:sz w:val="20"/>
                <w:szCs w:val="20"/>
              </w:rPr>
              <w:t>1.4</w:t>
            </w:r>
          </w:p>
        </w:tc>
        <w:tc>
          <w:tcPr>
            <w:tcW w:w="2667" w:type="dxa"/>
          </w:tcPr>
          <w:p>
            <w:pPr>
              <w:pStyle w:val="TableText"/>
              <w:spacing w:before="52" w:line="219" w:lineRule="auto"/>
              <w:ind w:left="110"/>
              <w:rPr>
                <w:sz w:val="20"/>
                <w:szCs w:val="20"/>
              </w:rPr>
            </w:pPr>
            <w:r>
              <w:rPr>
                <w:spacing w:val="1"/>
                <w:sz w:val="20"/>
                <w:szCs w:val="20"/>
              </w:rPr>
              <w:t>电路及网元租赁费</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320"/>
        </w:trPr>
        <w:tc>
          <w:tcPr>
            <w:tcW w:w="634" w:type="dxa"/>
          </w:tcPr>
          <w:p>
            <w:pPr>
              <w:pStyle w:val="TableText"/>
              <w:spacing w:before="112" w:line="182" w:lineRule="auto"/>
              <w:ind w:left="154"/>
              <w:rPr>
                <w:sz w:val="20"/>
                <w:szCs w:val="20"/>
              </w:rPr>
            </w:pPr>
            <w:r>
              <w:rPr>
                <w:spacing w:val="-6"/>
                <w:sz w:val="20"/>
                <w:szCs w:val="20"/>
              </w:rPr>
              <w:t>1.5</w:t>
            </w:r>
          </w:p>
        </w:tc>
        <w:tc>
          <w:tcPr>
            <w:tcW w:w="2667" w:type="dxa"/>
          </w:tcPr>
          <w:p>
            <w:pPr>
              <w:pStyle w:val="TableText"/>
              <w:spacing w:before="62" w:line="219" w:lineRule="auto"/>
              <w:ind w:left="110"/>
              <w:rPr>
                <w:sz w:val="20"/>
                <w:szCs w:val="20"/>
              </w:rPr>
            </w:pPr>
            <w:r>
              <w:rPr>
                <w:spacing w:val="1"/>
                <w:sz w:val="20"/>
                <w:szCs w:val="20"/>
              </w:rPr>
              <w:t>网内网间结算费</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319"/>
        </w:trPr>
        <w:tc>
          <w:tcPr>
            <w:tcW w:w="634" w:type="dxa"/>
          </w:tcPr>
          <w:p>
            <w:pPr>
              <w:pStyle w:val="TableText"/>
              <w:spacing w:before="112" w:line="181" w:lineRule="auto"/>
              <w:ind w:left="154"/>
              <w:rPr>
                <w:sz w:val="20"/>
                <w:szCs w:val="20"/>
              </w:rPr>
            </w:pPr>
            <w:r>
              <w:rPr>
                <w:spacing w:val="-6"/>
                <w:sz w:val="20"/>
                <w:szCs w:val="20"/>
              </w:rPr>
              <w:t>1.6</w:t>
            </w:r>
          </w:p>
        </w:tc>
        <w:tc>
          <w:tcPr>
            <w:tcW w:w="2667" w:type="dxa"/>
          </w:tcPr>
          <w:p>
            <w:pPr>
              <w:pStyle w:val="TableText"/>
              <w:spacing w:before="62" w:line="219" w:lineRule="auto"/>
              <w:ind w:left="110"/>
              <w:rPr>
                <w:sz w:val="20"/>
                <w:szCs w:val="20"/>
              </w:rPr>
            </w:pPr>
            <w:r>
              <w:rPr>
                <w:spacing w:val="4"/>
                <w:sz w:val="20"/>
                <w:szCs w:val="20"/>
              </w:rPr>
              <w:t>维修费</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300"/>
        </w:trPr>
        <w:tc>
          <w:tcPr>
            <w:tcW w:w="634" w:type="dxa"/>
          </w:tcPr>
          <w:p>
            <w:pPr>
              <w:pStyle w:val="TableText"/>
              <w:spacing w:before="103" w:line="172" w:lineRule="auto"/>
              <w:ind w:left="154"/>
              <w:rPr>
                <w:sz w:val="20"/>
                <w:szCs w:val="20"/>
              </w:rPr>
            </w:pPr>
            <w:r>
              <w:rPr>
                <w:spacing w:val="-6"/>
                <w:sz w:val="20"/>
                <w:szCs w:val="20"/>
              </w:rPr>
              <w:t>1.7</w:t>
            </w:r>
          </w:p>
        </w:tc>
        <w:tc>
          <w:tcPr>
            <w:tcW w:w="2667" w:type="dxa"/>
          </w:tcPr>
          <w:p>
            <w:pPr>
              <w:pStyle w:val="TableText"/>
              <w:spacing w:before="53" w:line="218" w:lineRule="auto"/>
              <w:ind w:left="110"/>
              <w:rPr>
                <w:sz w:val="20"/>
                <w:szCs w:val="20"/>
              </w:rPr>
            </w:pPr>
            <w:r>
              <w:rPr>
                <w:spacing w:val="-3"/>
                <w:sz w:val="20"/>
                <w:szCs w:val="20"/>
              </w:rPr>
              <w:t>其他</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320"/>
        </w:trPr>
        <w:tc>
          <w:tcPr>
            <w:tcW w:w="634" w:type="dxa"/>
          </w:tcPr>
          <w:p>
            <w:pPr>
              <w:pStyle w:val="TableText"/>
              <w:spacing w:before="115" w:line="180" w:lineRule="auto"/>
              <w:ind w:left="84"/>
              <w:rPr>
                <w:sz w:val="20"/>
                <w:szCs w:val="20"/>
              </w:rPr>
            </w:pPr>
            <w:r>
              <w:rPr>
                <w:sz w:val="20"/>
                <w:szCs w:val="20"/>
              </w:rPr>
              <w:t>2</w:t>
            </w:r>
          </w:p>
        </w:tc>
        <w:tc>
          <w:tcPr>
            <w:tcW w:w="2667" w:type="dxa"/>
          </w:tcPr>
          <w:p>
            <w:pPr>
              <w:pStyle w:val="TableText"/>
              <w:spacing w:before="63" w:line="220" w:lineRule="auto"/>
              <w:ind w:left="110"/>
              <w:rPr>
                <w:sz w:val="20"/>
                <w:szCs w:val="20"/>
              </w:rPr>
            </w:pPr>
            <w:r>
              <w:rPr>
                <w:spacing w:val="6"/>
                <w:sz w:val="20"/>
                <w:szCs w:val="20"/>
              </w:rPr>
              <w:t>销售费用</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309"/>
        </w:trPr>
        <w:tc>
          <w:tcPr>
            <w:tcW w:w="634" w:type="dxa"/>
          </w:tcPr>
          <w:p>
            <w:pPr>
              <w:pStyle w:val="TableText"/>
              <w:spacing w:before="114" w:line="170" w:lineRule="auto"/>
              <w:ind w:left="94"/>
              <w:rPr>
                <w:sz w:val="20"/>
                <w:szCs w:val="20"/>
              </w:rPr>
            </w:pPr>
            <w:r>
              <w:rPr>
                <w:sz w:val="20"/>
                <w:szCs w:val="20"/>
              </w:rPr>
              <w:t>3</w:t>
            </w:r>
          </w:p>
        </w:tc>
        <w:tc>
          <w:tcPr>
            <w:tcW w:w="2667" w:type="dxa"/>
          </w:tcPr>
          <w:p>
            <w:pPr>
              <w:pStyle w:val="TableText"/>
              <w:spacing w:before="62" w:line="218" w:lineRule="auto"/>
              <w:ind w:left="110"/>
              <w:rPr>
                <w:sz w:val="20"/>
                <w:szCs w:val="20"/>
              </w:rPr>
            </w:pPr>
            <w:r>
              <w:rPr>
                <w:spacing w:val="6"/>
                <w:sz w:val="20"/>
                <w:szCs w:val="20"/>
              </w:rPr>
              <w:t>管理费用</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309"/>
        </w:trPr>
        <w:tc>
          <w:tcPr>
            <w:tcW w:w="634" w:type="dxa"/>
          </w:tcPr>
          <w:p>
            <w:pPr>
              <w:pStyle w:val="TableText"/>
              <w:spacing w:before="115" w:line="169" w:lineRule="auto"/>
              <w:ind w:left="84"/>
              <w:rPr>
                <w:sz w:val="20"/>
                <w:szCs w:val="20"/>
              </w:rPr>
            </w:pPr>
            <w:r>
              <w:rPr>
                <w:sz w:val="20"/>
                <w:szCs w:val="20"/>
              </w:rPr>
              <w:t>4</w:t>
            </w:r>
          </w:p>
        </w:tc>
        <w:tc>
          <w:tcPr>
            <w:tcW w:w="2667" w:type="dxa"/>
          </w:tcPr>
          <w:p>
            <w:pPr>
              <w:pStyle w:val="TableText"/>
              <w:spacing w:before="63" w:line="217" w:lineRule="auto"/>
              <w:ind w:left="110"/>
              <w:rPr>
                <w:sz w:val="20"/>
                <w:szCs w:val="20"/>
              </w:rPr>
            </w:pPr>
            <w:r>
              <w:rPr>
                <w:spacing w:val="6"/>
                <w:sz w:val="20"/>
                <w:szCs w:val="20"/>
              </w:rPr>
              <w:t>财务费用</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309"/>
        </w:trPr>
        <w:tc>
          <w:tcPr>
            <w:tcW w:w="634" w:type="dxa"/>
          </w:tcPr>
          <w:p>
            <w:pPr>
              <w:pStyle w:val="TableText"/>
              <w:spacing w:before="115" w:line="169" w:lineRule="auto"/>
              <w:ind w:left="154"/>
              <w:rPr>
                <w:sz w:val="20"/>
                <w:szCs w:val="20"/>
              </w:rPr>
            </w:pPr>
            <w:r>
              <w:rPr>
                <w:spacing w:val="-2"/>
                <w:sz w:val="20"/>
                <w:szCs w:val="20"/>
              </w:rPr>
              <w:t>4.1</w:t>
            </w:r>
          </w:p>
        </w:tc>
        <w:tc>
          <w:tcPr>
            <w:tcW w:w="2667" w:type="dxa"/>
          </w:tcPr>
          <w:p>
            <w:pPr>
              <w:pStyle w:val="TableText"/>
              <w:spacing w:before="66" w:line="215" w:lineRule="auto"/>
              <w:ind w:left="110"/>
              <w:rPr>
                <w:sz w:val="20"/>
                <w:szCs w:val="20"/>
              </w:rPr>
            </w:pPr>
            <w:r>
              <w:rPr>
                <w:spacing w:val="6"/>
                <w:sz w:val="20"/>
                <w:szCs w:val="20"/>
              </w:rPr>
              <w:t>利息支出</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320"/>
        </w:trPr>
        <w:tc>
          <w:tcPr>
            <w:tcW w:w="634" w:type="dxa"/>
          </w:tcPr>
          <w:p>
            <w:pPr>
              <w:pStyle w:val="TableText"/>
              <w:spacing w:before="117" w:line="178" w:lineRule="auto"/>
              <w:ind w:left="154"/>
              <w:rPr>
                <w:sz w:val="20"/>
                <w:szCs w:val="20"/>
              </w:rPr>
            </w:pPr>
            <w:r>
              <w:rPr>
                <w:spacing w:val="-2"/>
                <w:sz w:val="20"/>
                <w:szCs w:val="20"/>
              </w:rPr>
              <w:t>4.2</w:t>
            </w:r>
          </w:p>
        </w:tc>
        <w:tc>
          <w:tcPr>
            <w:tcW w:w="2667" w:type="dxa"/>
          </w:tcPr>
          <w:p>
            <w:pPr>
              <w:pStyle w:val="TableText"/>
              <w:spacing w:before="66" w:line="219" w:lineRule="auto"/>
              <w:ind w:left="110"/>
              <w:rPr>
                <w:sz w:val="20"/>
                <w:szCs w:val="20"/>
              </w:rPr>
            </w:pPr>
            <w:r>
              <w:rPr>
                <w:spacing w:val="2"/>
                <w:sz w:val="20"/>
                <w:szCs w:val="20"/>
              </w:rPr>
              <w:t>其他财务费</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309"/>
        </w:trPr>
        <w:tc>
          <w:tcPr>
            <w:tcW w:w="634" w:type="dxa"/>
          </w:tcPr>
          <w:p>
            <w:pPr>
              <w:pStyle w:val="TableText"/>
              <w:spacing w:before="119" w:line="166" w:lineRule="auto"/>
              <w:ind w:left="84"/>
              <w:rPr>
                <w:sz w:val="20"/>
                <w:szCs w:val="20"/>
              </w:rPr>
            </w:pPr>
            <w:r>
              <w:rPr>
                <w:sz w:val="20"/>
                <w:szCs w:val="20"/>
              </w:rPr>
              <w:t>5</w:t>
            </w:r>
          </w:p>
        </w:tc>
        <w:tc>
          <w:tcPr>
            <w:tcW w:w="2667" w:type="dxa"/>
          </w:tcPr>
          <w:p>
            <w:pPr>
              <w:pStyle w:val="TableText"/>
              <w:spacing w:before="64" w:line="216" w:lineRule="auto"/>
              <w:ind w:left="110"/>
              <w:rPr>
                <w:sz w:val="20"/>
                <w:szCs w:val="20"/>
              </w:rPr>
            </w:pPr>
            <w:r>
              <w:rPr>
                <w:spacing w:val="1"/>
                <w:sz w:val="20"/>
                <w:szCs w:val="20"/>
              </w:rPr>
              <w:t>总成本费用合计</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310"/>
        </w:trPr>
        <w:tc>
          <w:tcPr>
            <w:tcW w:w="634" w:type="dxa"/>
          </w:tcPr>
          <w:p>
            <w:pPr>
              <w:pStyle w:val="TableText"/>
              <w:spacing w:before="119" w:line="167" w:lineRule="auto"/>
              <w:ind w:left="74"/>
              <w:rPr>
                <w:sz w:val="20"/>
                <w:szCs w:val="20"/>
              </w:rPr>
            </w:pPr>
            <w:r>
              <w:rPr>
                <w:sz w:val="20"/>
                <w:szCs w:val="20"/>
              </w:rPr>
              <w:t>6</w:t>
            </w:r>
          </w:p>
        </w:tc>
        <w:tc>
          <w:tcPr>
            <w:tcW w:w="2667" w:type="dxa"/>
          </w:tcPr>
          <w:p>
            <w:pPr>
              <w:pStyle w:val="TableText"/>
              <w:spacing w:before="66" w:line="216" w:lineRule="auto"/>
              <w:ind w:left="110"/>
              <w:rPr>
                <w:sz w:val="20"/>
                <w:szCs w:val="20"/>
              </w:rPr>
            </w:pPr>
            <w:r>
              <w:rPr>
                <w:spacing w:val="-2"/>
                <w:sz w:val="20"/>
                <w:szCs w:val="20"/>
              </w:rPr>
              <w:t>经营成本</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319"/>
        </w:trPr>
        <w:tc>
          <w:tcPr>
            <w:tcW w:w="634" w:type="dxa"/>
          </w:tcPr>
          <w:p>
            <w:pPr>
              <w:pStyle w:val="TableText"/>
              <w:spacing w:before="120" w:line="174" w:lineRule="auto"/>
              <w:ind w:left="84"/>
              <w:rPr>
                <w:sz w:val="20"/>
                <w:szCs w:val="20"/>
              </w:rPr>
            </w:pPr>
            <w:r>
              <w:rPr>
                <w:sz w:val="20"/>
                <w:szCs w:val="20"/>
              </w:rPr>
              <w:t>7</w:t>
            </w:r>
          </w:p>
        </w:tc>
        <w:tc>
          <w:tcPr>
            <w:tcW w:w="2667" w:type="dxa"/>
          </w:tcPr>
          <w:p>
            <w:pPr>
              <w:pStyle w:val="TableText"/>
              <w:spacing w:before="63" w:line="219" w:lineRule="auto"/>
              <w:ind w:left="113"/>
              <w:rPr>
                <w:sz w:val="20"/>
                <w:szCs w:val="20"/>
              </w:rPr>
            </w:pPr>
            <w:r>
              <w:rPr>
                <w:b/>
                <w:bCs/>
                <w:spacing w:val="-4"/>
                <w:sz w:val="20"/>
                <w:szCs w:val="20"/>
              </w:rPr>
              <w:t>可变成本</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r>
        <w:tblPrEx>
          <w:tblInd w:w="700" w:type="dxa"/>
          <w:tblLayout w:type="fixed"/>
          <w:tblCellMar>
            <w:top w:w="0" w:type="dxa"/>
            <w:left w:w="0" w:type="dxa"/>
            <w:bottom w:w="0" w:type="dxa"/>
            <w:right w:w="0" w:type="dxa"/>
          </w:tblCellMar>
          <w:tblLook w:val="0000"/>
        </w:tblPrEx>
        <w:trPr>
          <w:trHeight w:val="304"/>
        </w:trPr>
        <w:tc>
          <w:tcPr>
            <w:tcW w:w="634" w:type="dxa"/>
          </w:tcPr>
          <w:p>
            <w:pPr>
              <w:pStyle w:val="TableText"/>
              <w:spacing w:before="109" w:line="170" w:lineRule="auto"/>
              <w:ind w:left="84"/>
              <w:rPr>
                <w:sz w:val="20"/>
                <w:szCs w:val="20"/>
              </w:rPr>
            </w:pPr>
            <w:r>
              <w:rPr>
                <w:sz w:val="20"/>
                <w:szCs w:val="20"/>
              </w:rPr>
              <w:t>8</w:t>
            </w:r>
          </w:p>
        </w:tc>
        <w:tc>
          <w:tcPr>
            <w:tcW w:w="2667" w:type="dxa"/>
          </w:tcPr>
          <w:p>
            <w:pPr>
              <w:pStyle w:val="TableText"/>
              <w:spacing w:before="54" w:line="219" w:lineRule="auto"/>
              <w:ind w:left="113"/>
              <w:rPr>
                <w:sz w:val="20"/>
                <w:szCs w:val="20"/>
              </w:rPr>
            </w:pPr>
            <w:r>
              <w:rPr>
                <w:b/>
                <w:bCs/>
                <w:spacing w:val="-2"/>
                <w:sz w:val="20"/>
                <w:szCs w:val="20"/>
              </w:rPr>
              <w:t>固定成本</w:t>
            </w:r>
          </w:p>
        </w:tc>
        <w:tc>
          <w:tcPr>
            <w:tcW w:w="679" w:type="dxa"/>
          </w:tcPr>
          <w:p/>
        </w:tc>
        <w:tc>
          <w:tcPr>
            <w:tcW w:w="869" w:type="dxa"/>
          </w:tcPr>
          <w:p/>
        </w:tc>
        <w:tc>
          <w:tcPr>
            <w:tcW w:w="679" w:type="dxa"/>
          </w:tcPr>
          <w:p/>
        </w:tc>
        <w:tc>
          <w:tcPr>
            <w:tcW w:w="709" w:type="dxa"/>
          </w:tcPr>
          <w:p/>
        </w:tc>
        <w:tc>
          <w:tcPr>
            <w:tcW w:w="689" w:type="dxa"/>
          </w:tcPr>
          <w:p/>
        </w:tc>
        <w:tc>
          <w:tcPr>
            <w:tcW w:w="709" w:type="dxa"/>
          </w:tcPr>
          <w:p/>
        </w:tc>
        <w:tc>
          <w:tcPr>
            <w:tcW w:w="874" w:type="dxa"/>
          </w:tcPr>
          <w:p/>
        </w:tc>
      </w:tr>
    </w:tbl>
    <w:p>
      <w:pPr>
        <w:pStyle w:val="BodyText"/>
        <w:spacing w:before="142" w:line="184" w:lineRule="auto"/>
        <w:ind w:left="1170"/>
        <w:rPr>
          <w:sz w:val="19"/>
          <w:szCs w:val="19"/>
        </w:rPr>
      </w:pPr>
      <w:r>
        <w:rPr>
          <w:spacing w:val="-10"/>
          <w:sz w:val="19"/>
          <w:szCs w:val="19"/>
        </w:rPr>
        <w:t>注：可变成本和固定成本可根据项目是否需要进行盈亏平衡点分析选择填列</w:t>
      </w:r>
    </w:p>
    <w:p>
      <w:pPr>
        <w:spacing w:line="184" w:lineRule="auto"/>
        <w:rPr>
          <w:sz w:val="19"/>
          <w:szCs w:val="19"/>
        </w:rPr>
        <w:sectPr>
          <w:headerReference w:type="default" r:id="rId61"/>
          <w:footerReference w:type="default" r:id="rId62"/>
          <w:type w:val="continuous"/>
          <w:pgSz w:w="11910" w:h="16840"/>
          <w:pgMar w:top="400" w:right="999" w:bottom="1192" w:left="989" w:header="0" w:footer="966" w:gutter="0"/>
          <w:pgNumType w:start="26"/>
          <w:cols w:space="708"/>
        </w:sectPr>
      </w:pPr>
    </w:p>
    <w:p>
      <w:pPr>
        <w:spacing w:before="193"/>
      </w:pPr>
    </w:p>
    <w:tbl>
      <w:tblPr>
        <w:tblStyle w:val="TableNormal17"/>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80"/>
        <w:gridCol w:w="271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21" w:line="219" w:lineRule="auto"/>
              <w:ind w:left="123"/>
            </w:pPr>
            <w:bookmarkStart w:id="26" w:name="bookmark27"/>
            <w:bookmarkStart w:id="27" w:name="bookmark28"/>
            <w:bookmarkStart w:id="28" w:name="bookmark29"/>
            <w:bookmarkEnd w:id="26"/>
            <w:bookmarkEnd w:id="27"/>
            <w:bookmarkEnd w:id="28"/>
            <w:r>
              <w:rPr>
                <w:b/>
                <w:bCs/>
                <w:spacing w:val="-5"/>
              </w:rPr>
              <w:t>编号：</w:t>
            </w:r>
          </w:p>
          <w:p>
            <w:pPr>
              <w:pStyle w:val="TableText"/>
              <w:spacing w:before="25" w:line="219" w:lineRule="auto"/>
              <w:ind w:left="143"/>
            </w:pPr>
            <w:r>
              <w:rPr>
                <w:b/>
                <w:bCs/>
              </w:rPr>
              <w:t>时间：2021年x月x日</w:t>
            </w:r>
          </w:p>
        </w:tc>
        <w:tc>
          <w:tcPr>
            <w:tcW w:w="4680" w:type="dxa"/>
          </w:tcPr>
          <w:p>
            <w:pPr>
              <w:spacing w:line="250" w:lineRule="auto"/>
            </w:pPr>
          </w:p>
          <w:p>
            <w:pPr>
              <w:pStyle w:val="TableText"/>
              <w:spacing w:before="78" w:line="219" w:lineRule="auto"/>
              <w:ind w:left="268"/>
            </w:pPr>
            <w:r>
              <w:rPr>
                <w:b/>
                <w:bCs/>
                <w:color w:val="F30000"/>
                <w:spacing w:val="-4"/>
              </w:rPr>
              <w:t>书山有路勤为径，学海无涯苦作舟</w:t>
            </w:r>
          </w:p>
        </w:tc>
        <w:tc>
          <w:tcPr>
            <w:tcW w:w="2710" w:type="dxa"/>
            <w:tcBorders>
              <w:right w:val="nil"/>
            </w:tcBorders>
          </w:tcPr>
          <w:p>
            <w:pPr>
              <w:spacing w:line="252" w:lineRule="auto"/>
            </w:pPr>
          </w:p>
          <w:p>
            <w:pPr>
              <w:pStyle w:val="TableText"/>
              <w:spacing w:before="78" w:line="219" w:lineRule="auto"/>
              <w:ind w:left="128"/>
            </w:pPr>
            <w:r>
              <w:rPr>
                <w:b/>
                <w:bCs/>
                <w:spacing w:val="-2"/>
              </w:rPr>
              <w:t>页码：第18页共70页</w:t>
            </w:r>
          </w:p>
        </w:tc>
      </w:tr>
    </w:tbl>
    <w:p>
      <w:pPr>
        <w:spacing w:line="334" w:lineRule="auto"/>
      </w:pPr>
    </w:p>
    <w:p>
      <w:pPr>
        <w:spacing w:before="65" w:line="222" w:lineRule="auto"/>
        <w:ind w:left="799"/>
        <w:rPr>
          <w:rFonts w:ascii="黑体" w:eastAsia="黑体" w:hAnsi="黑体" w:cs="黑体"/>
          <w:sz w:val="20"/>
          <w:szCs w:val="20"/>
        </w:rPr>
      </w:pPr>
      <w:r>
        <w:rPr>
          <w:rFonts w:ascii="黑体" w:eastAsia="黑体" w:hAnsi="黑体" w:cs="黑体"/>
          <w:spacing w:val="9"/>
          <w:sz w:val="20"/>
          <w:szCs w:val="20"/>
        </w:rPr>
        <w:t>4.  不确定性与风险分析</w:t>
      </w:r>
    </w:p>
    <w:p>
      <w:pPr>
        <w:spacing w:before="209" w:line="222" w:lineRule="auto"/>
        <w:ind w:left="1380"/>
        <w:rPr>
          <w:rFonts w:ascii="黑体" w:eastAsia="黑体" w:hAnsi="黑体" w:cs="黑体"/>
          <w:sz w:val="20"/>
          <w:szCs w:val="20"/>
        </w:rPr>
      </w:pPr>
      <w:r>
        <w:rPr>
          <w:rFonts w:ascii="黑体" w:eastAsia="黑体" w:hAnsi="黑体" w:cs="黑体"/>
          <w:spacing w:val="7"/>
          <w:sz w:val="20"/>
          <w:szCs w:val="20"/>
        </w:rPr>
        <w:t>4.1</w:t>
      </w:r>
      <w:r>
        <w:rPr>
          <w:rFonts w:ascii="黑体" w:eastAsia="黑体" w:hAnsi="黑体" w:cs="黑体"/>
          <w:spacing w:val="27"/>
          <w:sz w:val="20"/>
          <w:szCs w:val="20"/>
        </w:rPr>
        <w:t xml:space="preserve">   </w:t>
      </w:r>
      <w:r>
        <w:rPr>
          <w:rFonts w:ascii="黑体" w:eastAsia="黑体" w:hAnsi="黑体" w:cs="黑体"/>
          <w:spacing w:val="7"/>
          <w:sz w:val="20"/>
          <w:szCs w:val="20"/>
        </w:rPr>
        <w:t>不确定性分析</w:t>
      </w:r>
    </w:p>
    <w:p>
      <w:pPr>
        <w:spacing w:line="442" w:lineRule="auto"/>
      </w:pPr>
    </w:p>
    <w:p>
      <w:pPr>
        <w:pStyle w:val="BodyText"/>
        <w:spacing w:before="65" w:line="434" w:lineRule="auto"/>
        <w:ind w:left="809" w:right="801" w:firstLine="440"/>
        <w:jc w:val="both"/>
      </w:pPr>
      <w:r>
        <w:rPr>
          <w:spacing w:val="7"/>
        </w:rPr>
        <w:t>不确定性分析是通过对拟建项目具有较大影</w:t>
      </w:r>
      <w:r>
        <w:rPr>
          <w:spacing w:val="6"/>
        </w:rPr>
        <w:t>响的不确定性因素进行分析，计算基本变量</w:t>
      </w:r>
      <w:r>
        <w:t xml:space="preserve"> </w:t>
      </w:r>
      <w:r>
        <w:rPr>
          <w:spacing w:val="7"/>
        </w:rPr>
        <w:t>的增减变化引起项目财务效益指标的变化，找出最敏感的因素及其临界点，预测项目可能承</w:t>
      </w:r>
      <w:r>
        <w:rPr>
          <w:spacing w:val="18"/>
        </w:rPr>
        <w:t xml:space="preserve"> </w:t>
      </w:r>
      <w:r>
        <w:rPr>
          <w:spacing w:val="8"/>
        </w:rPr>
        <w:t>担的风险，以使项目的投资决策建立在较为稳妥的基础上。不</w:t>
      </w:r>
      <w:r>
        <w:rPr>
          <w:spacing w:val="7"/>
        </w:rPr>
        <w:t>确定性分析主要包括盈亏平衡</w:t>
      </w:r>
    </w:p>
    <w:p>
      <w:pPr>
        <w:pStyle w:val="BodyText"/>
        <w:spacing w:line="219" w:lineRule="auto"/>
        <w:ind w:left="820"/>
      </w:pPr>
      <w:r>
        <w:rPr>
          <w:spacing w:val="4"/>
        </w:rPr>
        <w:t>分析和敏感性分析。</w:t>
      </w:r>
    </w:p>
    <w:p>
      <w:pPr>
        <w:spacing w:line="444" w:lineRule="auto"/>
      </w:pPr>
    </w:p>
    <w:p>
      <w:pPr>
        <w:spacing w:before="66" w:line="222" w:lineRule="auto"/>
        <w:ind w:left="2500"/>
        <w:rPr>
          <w:rFonts w:ascii="黑体" w:eastAsia="黑体" w:hAnsi="黑体" w:cs="黑体"/>
          <w:sz w:val="20"/>
          <w:szCs w:val="20"/>
        </w:rPr>
      </w:pPr>
      <w:r>
        <w:rPr>
          <w:rFonts w:ascii="黑体" w:eastAsia="黑体" w:hAnsi="黑体" w:cs="黑体"/>
          <w:spacing w:val="6"/>
          <w:sz w:val="20"/>
          <w:szCs w:val="20"/>
        </w:rPr>
        <w:t>4.1.1</w:t>
      </w:r>
      <w:r>
        <w:rPr>
          <w:rFonts w:ascii="黑体" w:eastAsia="黑体" w:hAnsi="黑体" w:cs="黑体"/>
          <w:spacing w:val="50"/>
          <w:sz w:val="20"/>
          <w:szCs w:val="20"/>
        </w:rPr>
        <w:t xml:space="preserve">  </w:t>
      </w:r>
      <w:r>
        <w:rPr>
          <w:rFonts w:ascii="黑体" w:eastAsia="黑体" w:hAnsi="黑体" w:cs="黑体"/>
          <w:spacing w:val="6"/>
          <w:sz w:val="20"/>
          <w:szCs w:val="20"/>
        </w:rPr>
        <w:t>盈亏平衡分析</w:t>
      </w:r>
    </w:p>
    <w:p>
      <w:pPr>
        <w:spacing w:line="408" w:lineRule="auto"/>
      </w:pPr>
    </w:p>
    <w:p>
      <w:pPr>
        <w:pStyle w:val="BodyText"/>
        <w:spacing w:before="65" w:line="444" w:lineRule="auto"/>
        <w:ind w:left="809" w:right="804" w:firstLine="420"/>
        <w:jc w:val="both"/>
      </w:pPr>
      <w:r>
        <w:rPr>
          <w:spacing w:val="10"/>
        </w:rPr>
        <w:t>盈亏平衡分析是指通过计算项目达产年的盈亏平衡点</w:t>
      </w:r>
      <w:r>
        <w:rPr>
          <w:spacing w:val="-18"/>
        </w:rPr>
        <w:t xml:space="preserve"> </w:t>
      </w:r>
      <w:r>
        <w:rPr>
          <w:rFonts w:ascii="Times New Roman" w:eastAsia="Times New Roman" w:hAnsi="Times New Roman" w:cs="Times New Roman"/>
          <w:spacing w:val="10"/>
        </w:rPr>
        <w:t>(</w:t>
      </w:r>
      <w:r>
        <w:rPr>
          <w:rFonts w:ascii="Times New Roman" w:eastAsia="Times New Roman" w:hAnsi="Times New Roman" w:cs="Times New Roman"/>
        </w:rPr>
        <w:t>BEP</w:t>
      </w:r>
      <w:r>
        <w:rPr>
          <w:rFonts w:ascii="Times New Roman" w:eastAsia="Times New Roman" w:hAnsi="Times New Roman" w:cs="Times New Roman"/>
          <w:spacing w:val="10"/>
        </w:rPr>
        <w:t xml:space="preserve">),     </w:t>
      </w:r>
      <w:r>
        <w:rPr>
          <w:spacing w:val="10"/>
        </w:rPr>
        <w:t>分析</w:t>
      </w:r>
      <w:r>
        <w:rPr>
          <w:spacing w:val="9"/>
        </w:rPr>
        <w:t>项目成本与收入的</w:t>
      </w:r>
      <w:r>
        <w:t xml:space="preserve"> </w:t>
      </w:r>
      <w:r>
        <w:rPr>
          <w:spacing w:val="7"/>
        </w:rPr>
        <w:t>平衡关系，判断项目对产出品数量变化的适应能力和抗风险能力。盈亏平衡点一般采用公式</w:t>
      </w:r>
      <w:r>
        <w:rPr>
          <w:spacing w:val="16"/>
        </w:rPr>
        <w:t xml:space="preserve"> </w:t>
      </w:r>
      <w:r>
        <w:rPr>
          <w:spacing w:val="8"/>
        </w:rPr>
        <w:t>计算，也可利用盈亏平衡图求取。考虑中国移动</w:t>
      </w:r>
      <w:r>
        <w:rPr>
          <w:spacing w:val="7"/>
        </w:rPr>
        <w:t>建设项目的特殊性，盈亏平衡点可采用生产</w:t>
      </w:r>
    </w:p>
    <w:p>
      <w:pPr>
        <w:pStyle w:val="BodyText"/>
        <w:spacing w:before="1" w:line="218" w:lineRule="auto"/>
        <w:ind w:left="809"/>
      </w:pPr>
      <w:r>
        <w:rPr>
          <w:spacing w:val="8"/>
        </w:rPr>
        <w:t>能力利用率或业务量表示，如果采用公式进行计算，则有以下两种常用的计算公式：</w:t>
      </w:r>
    </w:p>
    <w:p>
      <w:pPr>
        <w:spacing w:line="244" w:lineRule="auto"/>
      </w:pPr>
    </w:p>
    <w:p>
      <w:pPr>
        <w:spacing w:line="610" w:lineRule="exact"/>
        <w:ind w:firstLine="2630"/>
      </w:pPr>
      <w:r>
        <w:rPr>
          <w:position w:val="-12"/>
        </w:rPr>
        <w:pict>
          <v:shape id="IM 20" o:spid="_x0000_i1034" type="#_x0000_t75" style="width:251.45pt;height:30.46pt;mso-wrap-distance-left:0;mso-wrap-distance-right:0" o:preferrelative="t" filled="f" stroked="f">
            <v:fill o:detectmouseclick="t"/>
            <v:imagedata r:id="rId63" o:title=""/>
            <v:path o:extrusionok="f"/>
            <o:lock v:ext="edit" aspectratio="f"/>
          </v:shape>
        </w:pict>
      </w:r>
    </w:p>
    <w:p>
      <w:pPr>
        <w:spacing w:line="318" w:lineRule="auto"/>
      </w:pPr>
    </w:p>
    <w:p>
      <w:pPr>
        <w:spacing w:line="620" w:lineRule="exact"/>
        <w:ind w:firstLine="2490"/>
      </w:pPr>
      <w:r>
        <w:rPr>
          <w:position w:val="-12"/>
        </w:rPr>
        <w:pict>
          <v:shape id="IM 22" o:spid="_x0000_i1035" type="#_x0000_t75" style="width:247.01pt;height:30.94pt;mso-wrap-distance-left:0;mso-wrap-distance-right:0" o:preferrelative="t" filled="f" stroked="f">
            <v:fill o:detectmouseclick="t"/>
            <v:imagedata r:id="rId64" o:title=""/>
            <v:path o:extrusionok="f"/>
            <o:lock v:ext="edit" aspectratio="f"/>
          </v:shape>
        </w:pict>
      </w:r>
    </w:p>
    <w:p>
      <w:pPr>
        <w:spacing w:line="246" w:lineRule="auto"/>
      </w:pPr>
    </w:p>
    <w:p>
      <w:pPr>
        <w:spacing w:line="247" w:lineRule="auto"/>
      </w:pPr>
    </w:p>
    <w:p>
      <w:pPr>
        <w:spacing w:line="247" w:lineRule="auto"/>
      </w:pPr>
    </w:p>
    <w:p>
      <w:pPr>
        <w:spacing w:line="247" w:lineRule="auto"/>
      </w:pPr>
    </w:p>
    <w:p>
      <w:pPr>
        <w:spacing w:before="65" w:line="222" w:lineRule="auto"/>
        <w:ind w:left="2500"/>
        <w:rPr>
          <w:rFonts w:ascii="黑体" w:eastAsia="黑体" w:hAnsi="黑体" w:cs="黑体"/>
          <w:sz w:val="20"/>
          <w:szCs w:val="20"/>
        </w:rPr>
      </w:pPr>
      <w:r>
        <w:rPr>
          <w:rFonts w:ascii="黑体" w:eastAsia="黑体" w:hAnsi="黑体" w:cs="黑体"/>
          <w:spacing w:val="-3"/>
          <w:sz w:val="20"/>
          <w:szCs w:val="20"/>
        </w:rPr>
        <w:t>4.1.2</w:t>
      </w:r>
      <w:r>
        <w:rPr>
          <w:rFonts w:ascii="黑体" w:eastAsia="黑体" w:hAnsi="黑体" w:cs="黑体"/>
          <w:spacing w:val="22"/>
          <w:sz w:val="20"/>
          <w:szCs w:val="20"/>
        </w:rPr>
        <w:t xml:space="preserve">   </w:t>
      </w:r>
      <w:r>
        <w:rPr>
          <w:rFonts w:ascii="黑体" w:eastAsia="黑体" w:hAnsi="黑体" w:cs="黑体"/>
          <w:spacing w:val="-3"/>
          <w:sz w:val="20"/>
          <w:szCs w:val="20"/>
        </w:rPr>
        <w:t>敏感性分析</w:t>
      </w:r>
    </w:p>
    <w:p>
      <w:pPr>
        <w:spacing w:line="431" w:lineRule="auto"/>
      </w:pPr>
    </w:p>
    <w:p>
      <w:pPr>
        <w:pStyle w:val="BodyText"/>
        <w:spacing w:before="65" w:line="434" w:lineRule="auto"/>
        <w:ind w:left="830" w:right="759" w:firstLine="400"/>
        <w:jc w:val="both"/>
      </w:pPr>
      <w:r>
        <w:rPr>
          <w:spacing w:val="9"/>
        </w:rPr>
        <w:t>敏感性分析指通过分析不确定性因素发生增减变化时，对</w:t>
      </w:r>
      <w:r>
        <w:rPr>
          <w:spacing w:val="8"/>
        </w:rPr>
        <w:t>财务或经济评价指标的影响，</w:t>
      </w:r>
      <w:r>
        <w:t xml:space="preserve"> </w:t>
      </w:r>
      <w:r>
        <w:rPr>
          <w:spacing w:val="7"/>
        </w:rPr>
        <w:t>并计算敏感度系数和临界点，找出敏感因素。</w:t>
      </w:r>
      <w:r>
        <w:rPr>
          <w:spacing w:val="6"/>
        </w:rPr>
        <w:t>通常只进行单因素敏感性分析，仅在有需求时</w:t>
      </w:r>
    </w:p>
    <w:p>
      <w:pPr>
        <w:pStyle w:val="BodyText"/>
        <w:spacing w:before="1" w:line="219" w:lineRule="auto"/>
        <w:ind w:left="820"/>
      </w:pPr>
      <w:r>
        <w:rPr>
          <w:spacing w:val="5"/>
        </w:rPr>
        <w:t>进行多因素敏感性分析。</w:t>
      </w:r>
    </w:p>
    <w:p>
      <w:pPr>
        <w:pStyle w:val="BodyText"/>
        <w:spacing w:before="210" w:line="212" w:lineRule="auto"/>
        <w:ind w:left="1339"/>
        <w:rPr>
          <w:rFonts w:ascii="Times New Roman" w:eastAsia="Times New Roman" w:hAnsi="Times New Roman" w:cs="Times New Roman"/>
        </w:rPr>
      </w:pPr>
      <w:r>
        <w:rPr>
          <w:spacing w:val="2"/>
        </w:rPr>
        <w:t>(1)</w:t>
      </w:r>
      <w:r>
        <w:rPr>
          <w:spacing w:val="12"/>
        </w:rPr>
        <w:t xml:space="preserve">    </w:t>
      </w:r>
      <w:r>
        <w:rPr>
          <w:spacing w:val="2"/>
        </w:rPr>
        <w:t>敏感性系数</w:t>
      </w:r>
      <w:r>
        <w:rPr>
          <w:spacing w:val="-18"/>
        </w:rPr>
        <w:t xml:space="preserve"> </w:t>
      </w:r>
      <w:r>
        <w:rPr>
          <w:rFonts w:ascii="Times New Roman" w:eastAsia="Times New Roman" w:hAnsi="Times New Roman" w:cs="Times New Roman"/>
          <w:spacing w:val="2"/>
        </w:rPr>
        <w:t>(</w:t>
      </w:r>
      <w:r>
        <w:rPr>
          <w:rFonts w:ascii="Times New Roman" w:eastAsia="Times New Roman" w:hAnsi="Times New Roman" w:cs="Times New Roman"/>
        </w:rPr>
        <w:t>SAF</w:t>
      </w:r>
      <w:r>
        <w:rPr>
          <w:rFonts w:ascii="Times New Roman" w:eastAsia="Times New Roman" w:hAnsi="Times New Roman" w:cs="Times New Roman"/>
          <w:spacing w:val="2"/>
        </w:rPr>
        <w:t>)</w:t>
      </w:r>
    </w:p>
    <w:p>
      <w:pPr>
        <w:pStyle w:val="BodyText"/>
        <w:spacing w:before="240" w:line="483" w:lineRule="exact"/>
        <w:ind w:left="1240"/>
      </w:pPr>
      <w:r>
        <w:rPr>
          <w:spacing w:val="10"/>
          <w:position w:val="22"/>
        </w:rPr>
        <w:t>敏感性系数</w:t>
      </w:r>
      <w:r>
        <w:rPr>
          <w:spacing w:val="-19"/>
          <w:position w:val="22"/>
        </w:rPr>
        <w:t xml:space="preserve"> </w:t>
      </w:r>
      <w:r>
        <w:rPr>
          <w:rFonts w:ascii="Times New Roman" w:eastAsia="Times New Roman" w:hAnsi="Times New Roman" w:cs="Times New Roman"/>
          <w:spacing w:val="10"/>
          <w:position w:val="22"/>
        </w:rPr>
        <w:t>(</w:t>
      </w:r>
      <w:r>
        <w:rPr>
          <w:rFonts w:ascii="Times New Roman" w:eastAsia="Times New Roman" w:hAnsi="Times New Roman" w:cs="Times New Roman"/>
          <w:position w:val="22"/>
        </w:rPr>
        <w:t>SAF</w:t>
      </w:r>
      <w:r>
        <w:rPr>
          <w:rFonts w:ascii="Times New Roman" w:eastAsia="Times New Roman" w:hAnsi="Times New Roman" w:cs="Times New Roman"/>
          <w:spacing w:val="10"/>
          <w:position w:val="22"/>
        </w:rPr>
        <w:t xml:space="preserve">)  </w:t>
      </w:r>
      <w:r>
        <w:rPr>
          <w:spacing w:val="10"/>
          <w:position w:val="22"/>
        </w:rPr>
        <w:t>指项目评价指标变化的百分率与不确</w:t>
      </w:r>
      <w:r>
        <w:rPr>
          <w:spacing w:val="9"/>
          <w:position w:val="22"/>
        </w:rPr>
        <w:t>定因素变化率的百分率之比。</w:t>
      </w:r>
    </w:p>
    <w:p>
      <w:pPr>
        <w:pStyle w:val="BodyText"/>
        <w:spacing w:line="219" w:lineRule="auto"/>
        <w:ind w:left="809"/>
      </w:pPr>
      <w:r>
        <w:rPr>
          <w:spacing w:val="-2"/>
        </w:rPr>
        <w:t>计算公式为：</w:t>
      </w:r>
    </w:p>
    <w:p>
      <w:pPr>
        <w:spacing w:line="282" w:lineRule="auto"/>
      </w:pPr>
    </w:p>
    <w:p>
      <w:pPr>
        <w:spacing w:before="1" w:line="570" w:lineRule="exact"/>
        <w:ind w:firstLine="4410"/>
      </w:pPr>
      <w:r>
        <w:rPr>
          <w:position w:val="-11"/>
        </w:rPr>
        <w:pict>
          <v:shape id="IM 24" o:spid="_x0000_i1036" type="#_x0000_t75" style="width:54.5pt;height:28.44pt;mso-wrap-distance-left:0;mso-wrap-distance-right:0" o:preferrelative="t" filled="f" stroked="f">
            <v:fill o:detectmouseclick="t"/>
            <v:imagedata r:id="rId65" o:title=""/>
            <v:path o:extrusionok="f"/>
            <o:lock v:ext="edit" aspectratio="f"/>
          </v:shape>
        </w:pict>
      </w:r>
    </w:p>
    <w:p>
      <w:pPr>
        <w:spacing w:line="570" w:lineRule="exact"/>
        <w:sectPr>
          <w:headerReference w:type="default" r:id="rId66"/>
          <w:footerReference w:type="default" r:id="rId67"/>
          <w:pgSz w:w="11910" w:h="16840"/>
          <w:pgMar w:top="400" w:right="999" w:bottom="1202" w:left="989" w:header="0" w:footer="964" w:gutter="0"/>
          <w:pgNumType w:start="27"/>
          <w:cols w:space="708"/>
        </w:sectPr>
      </w:pPr>
    </w:p>
    <w:p>
      <w:pPr>
        <w:spacing w:before="193"/>
      </w:pPr>
    </w:p>
    <w:tbl>
      <w:tblPr>
        <w:tblStyle w:val="TableNormal18"/>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80"/>
        <w:gridCol w:w="269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51" w:line="215" w:lineRule="auto"/>
              <w:ind w:left="123"/>
            </w:pPr>
            <w:bookmarkStart w:id="29" w:name="bookmark30"/>
            <w:bookmarkStart w:id="30" w:name="bookmark31"/>
            <w:bookmarkEnd w:id="29"/>
            <w:bookmarkEnd w:id="30"/>
            <w:r>
              <w:rPr>
                <w:b/>
                <w:bCs/>
                <w:spacing w:val="-5"/>
              </w:rPr>
              <w:t>编号：</w:t>
            </w:r>
          </w:p>
          <w:p>
            <w:pPr>
              <w:pStyle w:val="TableText"/>
              <w:spacing w:line="219" w:lineRule="auto"/>
              <w:ind w:left="143"/>
            </w:pPr>
            <w:r>
              <w:rPr>
                <w:b/>
                <w:bCs/>
              </w:rPr>
              <w:t>时间：2021年x月x日</w:t>
            </w:r>
          </w:p>
        </w:tc>
        <w:tc>
          <w:tcPr>
            <w:tcW w:w="4680" w:type="dxa"/>
          </w:tcPr>
          <w:p>
            <w:pPr>
              <w:spacing w:line="250" w:lineRule="auto"/>
            </w:pPr>
          </w:p>
          <w:p>
            <w:pPr>
              <w:pStyle w:val="TableText"/>
              <w:spacing w:before="78" w:line="219" w:lineRule="auto"/>
              <w:ind w:left="268"/>
            </w:pPr>
            <w:r>
              <w:rPr>
                <w:b/>
                <w:bCs/>
                <w:color w:val="F40000"/>
                <w:spacing w:val="-4"/>
              </w:rPr>
              <w:t>书山有路勤为径，学海无涯苦作舟</w:t>
            </w:r>
          </w:p>
        </w:tc>
        <w:tc>
          <w:tcPr>
            <w:tcW w:w="2690" w:type="dxa"/>
            <w:tcBorders>
              <w:right w:val="nil"/>
            </w:tcBorders>
          </w:tcPr>
          <w:p>
            <w:pPr>
              <w:spacing w:line="252" w:lineRule="auto"/>
            </w:pPr>
          </w:p>
          <w:p>
            <w:pPr>
              <w:pStyle w:val="TableText"/>
              <w:spacing w:before="78" w:line="219" w:lineRule="auto"/>
              <w:ind w:left="128"/>
            </w:pPr>
            <w:r>
              <w:rPr>
                <w:b/>
                <w:bCs/>
                <w:spacing w:val="-2"/>
              </w:rPr>
              <w:t>页码：第19页共70页</w:t>
            </w:r>
          </w:p>
        </w:tc>
      </w:tr>
    </w:tbl>
    <w:p>
      <w:pPr>
        <w:spacing w:line="311" w:lineRule="auto"/>
      </w:pPr>
    </w:p>
    <w:p>
      <w:pPr>
        <w:pStyle w:val="BodyText"/>
        <w:spacing w:before="68" w:line="462" w:lineRule="exact"/>
        <w:ind w:left="1240"/>
        <w:rPr>
          <w:sz w:val="21"/>
          <w:szCs w:val="21"/>
        </w:rPr>
      </w:pPr>
      <w:r>
        <w:rPr>
          <w:spacing w:val="-6"/>
          <w:position w:val="19"/>
          <w:sz w:val="21"/>
          <w:szCs w:val="21"/>
        </w:rPr>
        <w:t>式中</w:t>
      </w:r>
      <w:r>
        <w:rPr>
          <w:rFonts w:ascii="Times New Roman" w:eastAsia="Times New Roman" w:hAnsi="Times New Roman" w:cs="Times New Roman"/>
          <w:spacing w:val="-6"/>
          <w:position w:val="19"/>
          <w:sz w:val="21"/>
          <w:szCs w:val="21"/>
        </w:rPr>
        <w:t xml:space="preserve">SArF:  </w:t>
      </w:r>
      <w:r>
        <w:rPr>
          <w:spacing w:val="-6"/>
          <w:position w:val="19"/>
          <w:sz w:val="21"/>
          <w:szCs w:val="21"/>
        </w:rPr>
        <w:t>评价指标</w:t>
      </w:r>
      <w:r>
        <w:rPr>
          <w:rFonts w:ascii="Times New Roman" w:eastAsia="Times New Roman" w:hAnsi="Times New Roman" w:cs="Times New Roman"/>
          <w:spacing w:val="-6"/>
          <w:position w:val="19"/>
          <w:sz w:val="21"/>
          <w:szCs w:val="21"/>
        </w:rPr>
        <w:t>A</w:t>
      </w:r>
      <w:r>
        <w:rPr>
          <w:spacing w:val="-6"/>
          <w:position w:val="19"/>
          <w:sz w:val="21"/>
          <w:szCs w:val="21"/>
        </w:rPr>
        <w:t>对于不确定因素</w:t>
      </w:r>
      <w:r>
        <w:rPr>
          <w:rFonts w:ascii="Times New Roman" w:eastAsia="Times New Roman" w:hAnsi="Times New Roman" w:cs="Times New Roman"/>
          <w:spacing w:val="-6"/>
          <w:position w:val="19"/>
          <w:sz w:val="21"/>
          <w:szCs w:val="21"/>
        </w:rPr>
        <w:t>F</w:t>
      </w:r>
      <w:r>
        <w:rPr>
          <w:spacing w:val="-6"/>
          <w:position w:val="19"/>
          <w:sz w:val="21"/>
          <w:szCs w:val="21"/>
        </w:rPr>
        <w:t>的敏感系数；</w:t>
      </w:r>
    </w:p>
    <w:p>
      <w:pPr>
        <w:pStyle w:val="BodyText"/>
        <w:spacing w:line="219" w:lineRule="auto"/>
        <w:ind w:left="1750"/>
        <w:rPr>
          <w:sz w:val="21"/>
          <w:szCs w:val="21"/>
        </w:rPr>
      </w:pPr>
      <w:r>
        <w:rPr>
          <w:spacing w:val="-6"/>
          <w:sz w:val="21"/>
          <w:szCs w:val="21"/>
        </w:rPr>
        <w:t>△</w:t>
      </w:r>
      <w:r>
        <w:rPr>
          <w:rFonts w:ascii="Times New Roman" w:eastAsia="Times New Roman" w:hAnsi="Times New Roman" w:cs="Times New Roman"/>
          <w:spacing w:val="-6"/>
          <w:sz w:val="21"/>
          <w:szCs w:val="21"/>
        </w:rPr>
        <w:t xml:space="preserve">F/F:  </w:t>
      </w:r>
      <w:r>
        <w:rPr>
          <w:spacing w:val="-6"/>
          <w:sz w:val="21"/>
          <w:szCs w:val="21"/>
        </w:rPr>
        <w:t>不确定因素</w:t>
      </w:r>
      <w:r>
        <w:rPr>
          <w:rFonts w:ascii="Times New Roman" w:eastAsia="Times New Roman" w:hAnsi="Times New Roman" w:cs="Times New Roman"/>
          <w:spacing w:val="-6"/>
          <w:sz w:val="21"/>
          <w:szCs w:val="21"/>
        </w:rPr>
        <w:t>F</w:t>
      </w:r>
      <w:r>
        <w:rPr>
          <w:spacing w:val="-6"/>
          <w:sz w:val="21"/>
          <w:szCs w:val="21"/>
        </w:rPr>
        <w:t>的变化率；</w:t>
      </w:r>
    </w:p>
    <w:p>
      <w:pPr>
        <w:pStyle w:val="BodyText"/>
        <w:spacing w:before="228" w:line="218" w:lineRule="auto"/>
        <w:ind w:left="1750"/>
        <w:rPr>
          <w:sz w:val="21"/>
          <w:szCs w:val="21"/>
        </w:rPr>
      </w:pPr>
      <w:r>
        <w:rPr>
          <w:spacing w:val="-2"/>
          <w:sz w:val="21"/>
          <w:szCs w:val="21"/>
        </w:rPr>
        <w:t>△</w:t>
      </w:r>
      <w:r>
        <w:rPr>
          <w:rFonts w:ascii="Times New Roman" w:eastAsia="Times New Roman" w:hAnsi="Times New Roman" w:cs="Times New Roman"/>
          <w:spacing w:val="-2"/>
          <w:sz w:val="21"/>
          <w:szCs w:val="21"/>
        </w:rPr>
        <w:t xml:space="preserve">A/A:  </w:t>
      </w:r>
      <w:r>
        <w:rPr>
          <w:spacing w:val="-2"/>
          <w:sz w:val="21"/>
          <w:szCs w:val="21"/>
        </w:rPr>
        <w:t>不确定因素</w:t>
      </w:r>
      <w:r>
        <w:rPr>
          <w:rFonts w:ascii="Times New Roman" w:eastAsia="Times New Roman" w:hAnsi="Times New Roman" w:cs="Times New Roman"/>
          <w:spacing w:val="-2"/>
          <w:sz w:val="21"/>
          <w:szCs w:val="21"/>
        </w:rPr>
        <w:t>F</w:t>
      </w:r>
      <w:r>
        <w:rPr>
          <w:spacing w:val="-2"/>
          <w:sz w:val="21"/>
          <w:szCs w:val="21"/>
        </w:rPr>
        <w:t>发生变化时，评价指标</w:t>
      </w:r>
      <w:r>
        <w:rPr>
          <w:rFonts w:ascii="Times New Roman" w:eastAsia="Times New Roman" w:hAnsi="Times New Roman" w:cs="Times New Roman"/>
          <w:spacing w:val="-2"/>
          <w:sz w:val="21"/>
          <w:szCs w:val="21"/>
        </w:rPr>
        <w:t>A</w:t>
      </w:r>
      <w:r>
        <w:rPr>
          <w:spacing w:val="-2"/>
          <w:sz w:val="21"/>
          <w:szCs w:val="21"/>
        </w:rPr>
        <w:t>的相应变化率。</w:t>
      </w:r>
    </w:p>
    <w:p>
      <w:pPr>
        <w:pStyle w:val="BodyText"/>
        <w:spacing w:before="180" w:line="428" w:lineRule="auto"/>
        <w:ind w:left="809" w:right="694" w:firstLine="430"/>
        <w:jc w:val="both"/>
        <w:rPr>
          <w:sz w:val="21"/>
          <w:szCs w:val="21"/>
        </w:rPr>
      </w:pPr>
      <w:r>
        <w:rPr>
          <w:sz w:val="21"/>
          <w:szCs w:val="21"/>
        </w:rPr>
        <w:t xml:space="preserve">敏感度系数 </w:t>
      </w:r>
      <w:r>
        <w:rPr>
          <w:rFonts w:ascii="Times New Roman" w:eastAsia="Times New Roman" w:hAnsi="Times New Roman" w:cs="Times New Roman"/>
          <w:sz w:val="21"/>
          <w:szCs w:val="21"/>
        </w:rPr>
        <w:t>(SAF)</w:t>
      </w:r>
      <w:r>
        <w:rPr>
          <w:rFonts w:ascii="Times New Roman" w:eastAsia="Times New Roman" w:hAnsi="Times New Roman" w:cs="Times New Roman"/>
          <w:spacing w:val="33"/>
          <w:sz w:val="21"/>
          <w:szCs w:val="21"/>
        </w:rPr>
        <w:t xml:space="preserve"> </w:t>
      </w:r>
      <w:r>
        <w:rPr>
          <w:sz w:val="21"/>
          <w:szCs w:val="21"/>
        </w:rPr>
        <w:t>越高，表示项目效益对该不确定因素的敏感程度越高。</w:t>
      </w:r>
      <w:r>
        <w:rPr>
          <w:rFonts w:ascii="Times New Roman" w:eastAsia="Times New Roman" w:hAnsi="Times New Roman" w:cs="Times New Roman"/>
          <w:sz w:val="21"/>
          <w:szCs w:val="21"/>
        </w:rPr>
        <w:t>SAr</w:t>
      </w:r>
      <w:r>
        <w:rPr>
          <w:sz w:val="21"/>
          <w:szCs w:val="21"/>
        </w:rPr>
        <w:t xml:space="preserve">大于0,  </w:t>
      </w:r>
      <w:r>
        <w:rPr>
          <w:spacing w:val="-4"/>
          <w:sz w:val="21"/>
          <w:szCs w:val="21"/>
        </w:rPr>
        <w:t>表示评价指标与不确定因素同方向变化；</w:t>
      </w:r>
      <w:r>
        <w:rPr>
          <w:rFonts w:ascii="Times New Roman" w:eastAsia="Times New Roman" w:hAnsi="Times New Roman" w:cs="Times New Roman"/>
          <w:spacing w:val="-4"/>
          <w:sz w:val="21"/>
          <w:szCs w:val="21"/>
        </w:rPr>
        <w:t>SAF</w:t>
      </w:r>
      <w:r>
        <w:rPr>
          <w:spacing w:val="-4"/>
          <w:sz w:val="21"/>
          <w:szCs w:val="21"/>
        </w:rPr>
        <w:t>小于0,表示评价指标与不确</w:t>
      </w:r>
      <w:r>
        <w:rPr>
          <w:spacing w:val="-5"/>
          <w:sz w:val="21"/>
          <w:szCs w:val="21"/>
        </w:rPr>
        <w:t>定因素反方向变化。</w:t>
      </w:r>
    </w:p>
    <w:p>
      <w:pPr>
        <w:pStyle w:val="BodyText"/>
        <w:spacing w:line="215" w:lineRule="auto"/>
        <w:ind w:left="880"/>
        <w:rPr>
          <w:sz w:val="21"/>
          <w:szCs w:val="21"/>
        </w:rPr>
      </w:pPr>
      <w:r>
        <w:rPr>
          <w:spacing w:val="-5"/>
          <w:sz w:val="21"/>
          <w:szCs w:val="21"/>
        </w:rPr>
        <w:t>|SAF|</w:t>
      </w:r>
      <w:r>
        <w:rPr>
          <w:spacing w:val="50"/>
          <w:sz w:val="21"/>
          <w:szCs w:val="21"/>
        </w:rPr>
        <w:t xml:space="preserve"> </w:t>
      </w:r>
      <w:r>
        <w:rPr>
          <w:spacing w:val="-5"/>
          <w:sz w:val="21"/>
          <w:szCs w:val="21"/>
        </w:rPr>
        <w:t>较大者敏感度系数高。</w:t>
      </w:r>
    </w:p>
    <w:p>
      <w:pPr>
        <w:pStyle w:val="BodyText"/>
        <w:spacing w:before="223" w:line="219" w:lineRule="auto"/>
        <w:ind w:left="1332"/>
        <w:rPr>
          <w:sz w:val="21"/>
          <w:szCs w:val="21"/>
        </w:rPr>
      </w:pPr>
      <w:r>
        <w:rPr>
          <w:b/>
          <w:bCs/>
          <w:spacing w:val="-10"/>
          <w:sz w:val="21"/>
          <w:szCs w:val="21"/>
        </w:rPr>
        <w:t>(2)</w:t>
      </w:r>
      <w:r>
        <w:rPr>
          <w:spacing w:val="10"/>
          <w:sz w:val="21"/>
          <w:szCs w:val="21"/>
        </w:rPr>
        <w:t xml:space="preserve">    </w:t>
      </w:r>
      <w:r>
        <w:rPr>
          <w:b/>
          <w:bCs/>
          <w:spacing w:val="-10"/>
          <w:sz w:val="21"/>
          <w:szCs w:val="21"/>
        </w:rPr>
        <w:t>临界点</w:t>
      </w:r>
    </w:p>
    <w:p>
      <w:pPr>
        <w:pStyle w:val="BodyText"/>
        <w:spacing w:before="224" w:line="413" w:lineRule="auto"/>
        <w:ind w:left="809" w:right="791" w:firstLine="430"/>
        <w:jc w:val="both"/>
        <w:rPr>
          <w:sz w:val="21"/>
          <w:szCs w:val="21"/>
        </w:rPr>
      </w:pPr>
      <w:r>
        <w:rPr>
          <w:spacing w:val="-7"/>
          <w:sz w:val="21"/>
          <w:szCs w:val="21"/>
        </w:rPr>
        <w:t>临界点是指不确定因素的变化使项目由可行变为不可行的临界数值</w:t>
      </w:r>
      <w:r>
        <w:rPr>
          <w:spacing w:val="-8"/>
          <w:sz w:val="21"/>
          <w:szCs w:val="21"/>
        </w:rPr>
        <w:t>，</w:t>
      </w:r>
      <w:r>
        <w:rPr>
          <w:spacing w:val="57"/>
          <w:sz w:val="21"/>
          <w:szCs w:val="21"/>
        </w:rPr>
        <w:t xml:space="preserve"> </w:t>
      </w:r>
      <w:r>
        <w:rPr>
          <w:spacing w:val="-8"/>
          <w:sz w:val="21"/>
          <w:szCs w:val="21"/>
        </w:rPr>
        <w:t>一般采用不确定性</w:t>
      </w:r>
      <w:r>
        <w:rPr>
          <w:sz w:val="21"/>
          <w:szCs w:val="21"/>
        </w:rPr>
        <w:t xml:space="preserve"> </w:t>
      </w:r>
      <w:r>
        <w:rPr>
          <w:spacing w:val="-3"/>
          <w:sz w:val="21"/>
          <w:szCs w:val="21"/>
        </w:rPr>
        <w:t>因素相对基本方案的变化率或其对应的具体数值表示。临界点可通过敏感性分析图得到近似</w:t>
      </w:r>
      <w:r>
        <w:rPr>
          <w:spacing w:val="18"/>
          <w:sz w:val="21"/>
          <w:szCs w:val="21"/>
        </w:rPr>
        <w:t xml:space="preserve"> </w:t>
      </w:r>
      <w:r>
        <w:rPr>
          <w:spacing w:val="-3"/>
          <w:sz w:val="21"/>
          <w:szCs w:val="21"/>
        </w:rPr>
        <w:t>值，也可采用试算法求解，其计算结果采用敏感性分析表表示。当不确定因素的变化超过了</w:t>
      </w:r>
    </w:p>
    <w:p>
      <w:pPr>
        <w:pStyle w:val="BodyText"/>
        <w:spacing w:line="219" w:lineRule="auto"/>
        <w:ind w:left="809"/>
        <w:rPr>
          <w:sz w:val="21"/>
          <w:szCs w:val="21"/>
        </w:rPr>
      </w:pPr>
      <w:r>
        <w:rPr>
          <w:spacing w:val="-2"/>
          <w:sz w:val="21"/>
          <w:szCs w:val="21"/>
        </w:rPr>
        <w:t>临界点所表示的不确定因素的极限变化时，项目将由可行变为不可行。</w:t>
      </w:r>
    </w:p>
    <w:p>
      <w:pPr>
        <w:pStyle w:val="BodyText"/>
        <w:spacing w:before="191" w:line="413" w:lineRule="auto"/>
        <w:ind w:left="809" w:right="634" w:firstLine="430"/>
        <w:jc w:val="both"/>
        <w:rPr>
          <w:sz w:val="21"/>
          <w:szCs w:val="21"/>
        </w:rPr>
      </w:pPr>
      <w:r>
        <w:rPr>
          <w:spacing w:val="-4"/>
          <w:sz w:val="21"/>
          <w:szCs w:val="21"/>
        </w:rPr>
        <w:t>临界点的高低与计算临界点指标的初始值有关。若选取基准收益率</w:t>
      </w:r>
      <w:r>
        <w:rPr>
          <w:spacing w:val="-5"/>
          <w:sz w:val="21"/>
          <w:szCs w:val="21"/>
        </w:rPr>
        <w:t>为计算临界点的指标，</w:t>
      </w:r>
      <w:r>
        <w:rPr>
          <w:sz w:val="21"/>
          <w:szCs w:val="21"/>
        </w:rPr>
        <w:t xml:space="preserve"> </w:t>
      </w:r>
      <w:r>
        <w:rPr>
          <w:spacing w:val="-1"/>
          <w:sz w:val="21"/>
          <w:szCs w:val="21"/>
        </w:rPr>
        <w:t xml:space="preserve">对于同一个项目，随着基准收益率的提高，临界点就会变低(即临界点表示的不确定因素的  </w:t>
      </w:r>
      <w:r>
        <w:rPr>
          <w:spacing w:val="3"/>
          <w:sz w:val="21"/>
          <w:szCs w:val="21"/>
        </w:rPr>
        <w:t>极限变化变小);而在一定的基准收益率下，临界点越低，说明该因素对项目评价</w:t>
      </w:r>
      <w:r>
        <w:rPr>
          <w:spacing w:val="2"/>
          <w:sz w:val="21"/>
          <w:szCs w:val="21"/>
        </w:rPr>
        <w:t>指标影响</w:t>
      </w:r>
    </w:p>
    <w:p>
      <w:pPr>
        <w:pStyle w:val="BodyText"/>
        <w:spacing w:before="1" w:line="219" w:lineRule="auto"/>
        <w:ind w:left="809"/>
        <w:rPr>
          <w:sz w:val="21"/>
          <w:szCs w:val="21"/>
        </w:rPr>
      </w:pPr>
      <w:r>
        <w:rPr>
          <w:spacing w:val="-3"/>
          <w:sz w:val="21"/>
          <w:szCs w:val="21"/>
        </w:rPr>
        <w:t>越大，项目对该因素就越敏感。</w:t>
      </w:r>
    </w:p>
    <w:p>
      <w:pPr>
        <w:spacing w:line="445" w:lineRule="auto"/>
      </w:pPr>
    </w:p>
    <w:p>
      <w:pPr>
        <w:spacing w:before="68" w:line="222" w:lineRule="auto"/>
        <w:ind w:left="2532"/>
        <w:outlineLvl w:val="2"/>
        <w:rPr>
          <w:rFonts w:ascii="黑体" w:eastAsia="黑体" w:hAnsi="黑体" w:cs="黑体"/>
        </w:rPr>
      </w:pPr>
      <w:r>
        <w:rPr>
          <w:rFonts w:ascii="黑体" w:eastAsia="黑体" w:hAnsi="黑体" w:cs="黑体"/>
          <w:b/>
          <w:bCs/>
          <w:spacing w:val="-10"/>
          <w:sz w:val="21"/>
          <w:szCs w:val="21"/>
        </w:rPr>
        <w:t>4.1.3</w:t>
      </w:r>
      <w:r>
        <w:rPr>
          <w:rFonts w:ascii="黑体" w:eastAsia="黑体" w:hAnsi="黑体" w:cs="黑体"/>
          <w:spacing w:val="17"/>
          <w:sz w:val="21"/>
          <w:szCs w:val="21"/>
        </w:rPr>
        <w:t xml:space="preserve">   </w:t>
      </w:r>
      <w:r>
        <w:rPr>
          <w:rFonts w:ascii="黑体" w:eastAsia="黑体" w:hAnsi="黑体" w:cs="黑体"/>
          <w:b/>
          <w:bCs/>
          <w:spacing w:val="-10"/>
          <w:sz w:val="21"/>
          <w:szCs w:val="21"/>
        </w:rPr>
        <w:t>不确定性分析报表</w:t>
      </w:r>
    </w:p>
    <w:p>
      <w:pPr>
        <w:spacing w:line="339" w:lineRule="auto"/>
      </w:pPr>
    </w:p>
    <w:p>
      <w:pPr>
        <w:pStyle w:val="BodyText"/>
        <w:spacing w:before="69" w:line="223" w:lineRule="auto"/>
        <w:ind w:left="3823"/>
        <w:rPr>
          <w:sz w:val="21"/>
          <w:szCs w:val="21"/>
        </w:rPr>
      </w:pPr>
      <w:r>
        <w:rPr>
          <w:rFonts w:ascii="黑体" w:eastAsia="黑体" w:hAnsi="黑体" w:cs="黑体"/>
          <w:b/>
          <w:bCs/>
          <w:spacing w:val="-1"/>
          <w:sz w:val="21"/>
          <w:szCs w:val="21"/>
        </w:rPr>
        <w:t>表4.1-1</w:t>
      </w:r>
      <w:r>
        <w:rPr>
          <w:rFonts w:ascii="黑体" w:eastAsia="黑体" w:hAnsi="黑体" w:cs="黑体"/>
          <w:spacing w:val="-42"/>
          <w:sz w:val="21"/>
          <w:szCs w:val="21"/>
        </w:rPr>
        <w:t xml:space="preserve"> </w:t>
      </w:r>
      <w:r>
        <w:rPr>
          <w:spacing w:val="-1"/>
          <w:sz w:val="21"/>
          <w:szCs w:val="21"/>
        </w:rPr>
        <w:t>盈亏平衡分析表</w:t>
      </w:r>
    </w:p>
    <w:p>
      <w:pPr>
        <w:spacing w:line="165" w:lineRule="exact"/>
      </w:pPr>
    </w:p>
    <w:tbl>
      <w:tblPr>
        <w:tblStyle w:val="TableNormal18"/>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64"/>
        <w:gridCol w:w="3316"/>
        <w:gridCol w:w="919"/>
        <w:gridCol w:w="908"/>
        <w:gridCol w:w="909"/>
        <w:gridCol w:w="909"/>
        <w:gridCol w:w="894"/>
      </w:tblGrid>
      <w:tr>
        <w:tblPrEx>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14"/>
        </w:trPr>
        <w:tc>
          <w:tcPr>
            <w:tcW w:w="664" w:type="dxa"/>
            <w:vMerge w:val="restart"/>
            <w:tcBorders>
              <w:bottom w:val="nil"/>
            </w:tcBorders>
          </w:tcPr>
          <w:p>
            <w:pPr>
              <w:pStyle w:val="TableText"/>
              <w:spacing w:before="224" w:line="221" w:lineRule="auto"/>
              <w:ind w:left="124"/>
              <w:rPr>
                <w:sz w:val="20"/>
                <w:szCs w:val="20"/>
              </w:rPr>
            </w:pPr>
            <w:r>
              <w:rPr>
                <w:spacing w:val="-2"/>
                <w:sz w:val="20"/>
                <w:szCs w:val="20"/>
              </w:rPr>
              <w:t>序号</w:t>
            </w:r>
          </w:p>
        </w:tc>
        <w:tc>
          <w:tcPr>
            <w:tcW w:w="3316" w:type="dxa"/>
            <w:vMerge w:val="restart"/>
            <w:tcBorders>
              <w:bottom w:val="nil"/>
            </w:tcBorders>
          </w:tcPr>
          <w:p>
            <w:pPr>
              <w:pStyle w:val="TableText"/>
              <w:spacing w:before="223" w:line="220" w:lineRule="auto"/>
              <w:ind w:left="1450"/>
              <w:rPr>
                <w:sz w:val="20"/>
                <w:szCs w:val="20"/>
              </w:rPr>
            </w:pPr>
            <w:r>
              <w:rPr>
                <w:spacing w:val="-6"/>
                <w:sz w:val="20"/>
                <w:szCs w:val="20"/>
              </w:rPr>
              <w:t>项 目</w:t>
            </w:r>
          </w:p>
        </w:tc>
        <w:tc>
          <w:tcPr>
            <w:tcW w:w="919" w:type="dxa"/>
            <w:vMerge w:val="restart"/>
            <w:tcBorders>
              <w:bottom w:val="nil"/>
            </w:tcBorders>
          </w:tcPr>
          <w:p>
            <w:pPr>
              <w:pStyle w:val="TableText"/>
              <w:spacing w:before="224" w:line="221" w:lineRule="auto"/>
              <w:ind w:left="244"/>
              <w:rPr>
                <w:sz w:val="20"/>
                <w:szCs w:val="20"/>
              </w:rPr>
            </w:pPr>
            <w:r>
              <w:rPr>
                <w:spacing w:val="-3"/>
                <w:sz w:val="20"/>
                <w:szCs w:val="20"/>
              </w:rPr>
              <w:t>合计</w:t>
            </w:r>
          </w:p>
        </w:tc>
        <w:tc>
          <w:tcPr>
            <w:tcW w:w="908" w:type="dxa"/>
          </w:tcPr>
          <w:p>
            <w:pPr>
              <w:pStyle w:val="TableText"/>
              <w:spacing w:before="63" w:line="220" w:lineRule="auto"/>
              <w:ind w:left="145"/>
              <w:rPr>
                <w:sz w:val="20"/>
                <w:szCs w:val="20"/>
              </w:rPr>
            </w:pPr>
            <w:r>
              <w:rPr>
                <w:spacing w:val="4"/>
                <w:sz w:val="20"/>
                <w:szCs w:val="20"/>
              </w:rPr>
              <w:t>建设期</w:t>
            </w:r>
          </w:p>
        </w:tc>
        <w:tc>
          <w:tcPr>
            <w:tcW w:w="2712" w:type="dxa"/>
            <w:gridSpan w:val="3"/>
          </w:tcPr>
          <w:p>
            <w:pPr>
              <w:pStyle w:val="TableText"/>
              <w:spacing w:before="63" w:line="219" w:lineRule="auto"/>
              <w:ind w:left="1037"/>
              <w:rPr>
                <w:sz w:val="20"/>
                <w:szCs w:val="20"/>
              </w:rPr>
            </w:pPr>
            <w:r>
              <w:rPr>
                <w:spacing w:val="4"/>
                <w:sz w:val="20"/>
                <w:szCs w:val="20"/>
              </w:rPr>
              <w:t>生产期</w:t>
            </w:r>
          </w:p>
        </w:tc>
      </w:tr>
      <w:tr>
        <w:tblPrEx>
          <w:tblInd w:w="690" w:type="dxa"/>
          <w:tblLayout w:type="fixed"/>
          <w:tblCellMar>
            <w:top w:w="0" w:type="dxa"/>
            <w:left w:w="0" w:type="dxa"/>
            <w:bottom w:w="0" w:type="dxa"/>
            <w:right w:w="0" w:type="dxa"/>
          </w:tblCellMar>
          <w:tblLook w:val="0000"/>
        </w:tblPrEx>
        <w:trPr>
          <w:trHeight w:val="319"/>
        </w:trPr>
        <w:tc>
          <w:tcPr>
            <w:tcW w:w="664" w:type="dxa"/>
            <w:vMerge/>
            <w:tcBorders>
              <w:top w:val="nil"/>
            </w:tcBorders>
          </w:tcPr>
          <w:p/>
        </w:tc>
        <w:tc>
          <w:tcPr>
            <w:tcW w:w="3316" w:type="dxa"/>
            <w:vMerge/>
            <w:tcBorders>
              <w:top w:val="nil"/>
            </w:tcBorders>
          </w:tcPr>
          <w:p/>
        </w:tc>
        <w:tc>
          <w:tcPr>
            <w:tcW w:w="919" w:type="dxa"/>
            <w:vMerge/>
            <w:tcBorders>
              <w:top w:val="nil"/>
            </w:tcBorders>
          </w:tcPr>
          <w:p/>
        </w:tc>
        <w:tc>
          <w:tcPr>
            <w:tcW w:w="908" w:type="dxa"/>
          </w:tcPr>
          <w:p>
            <w:pPr>
              <w:pStyle w:val="TableText"/>
              <w:spacing w:before="109" w:line="184" w:lineRule="auto"/>
              <w:ind w:left="395"/>
              <w:rPr>
                <w:sz w:val="20"/>
                <w:szCs w:val="20"/>
              </w:rPr>
            </w:pPr>
            <w:r>
              <w:rPr>
                <w:sz w:val="20"/>
                <w:szCs w:val="20"/>
              </w:rPr>
              <w:t>1</w:t>
            </w:r>
          </w:p>
        </w:tc>
        <w:tc>
          <w:tcPr>
            <w:tcW w:w="909" w:type="dxa"/>
          </w:tcPr>
          <w:p>
            <w:pPr>
              <w:pStyle w:val="TableText"/>
              <w:spacing w:before="110" w:line="183" w:lineRule="auto"/>
              <w:ind w:left="377"/>
              <w:rPr>
                <w:sz w:val="20"/>
                <w:szCs w:val="20"/>
              </w:rPr>
            </w:pPr>
            <w:r>
              <w:rPr>
                <w:sz w:val="20"/>
                <w:szCs w:val="20"/>
              </w:rPr>
              <w:t>2</w:t>
            </w:r>
          </w:p>
        </w:tc>
        <w:tc>
          <w:tcPr>
            <w:tcW w:w="909" w:type="dxa"/>
          </w:tcPr>
          <w:p>
            <w:pPr>
              <w:pStyle w:val="TableText"/>
              <w:spacing w:before="110" w:line="183" w:lineRule="auto"/>
              <w:ind w:left="389"/>
              <w:rPr>
                <w:sz w:val="20"/>
                <w:szCs w:val="20"/>
              </w:rPr>
            </w:pPr>
            <w:r>
              <w:rPr>
                <w:sz w:val="20"/>
                <w:szCs w:val="20"/>
              </w:rPr>
              <w:t>3</w:t>
            </w:r>
          </w:p>
        </w:tc>
        <w:tc>
          <w:tcPr>
            <w:tcW w:w="894" w:type="dxa"/>
          </w:tcPr>
          <w:p>
            <w:pPr>
              <w:pStyle w:val="TableText"/>
              <w:spacing w:before="129" w:line="94" w:lineRule="exact"/>
              <w:ind w:left="449"/>
              <w:rPr>
                <w:sz w:val="6"/>
                <w:szCs w:val="6"/>
              </w:rPr>
            </w:pPr>
            <w:r>
              <w:rPr>
                <w:position w:val="1"/>
                <w:sz w:val="6"/>
                <w:szCs w:val="6"/>
              </w:rPr>
              <w:t>…</w:t>
            </w:r>
          </w:p>
        </w:tc>
      </w:tr>
      <w:tr>
        <w:tblPrEx>
          <w:tblInd w:w="690" w:type="dxa"/>
          <w:tblLayout w:type="fixed"/>
          <w:tblCellMar>
            <w:top w:w="0" w:type="dxa"/>
            <w:left w:w="0" w:type="dxa"/>
            <w:bottom w:w="0" w:type="dxa"/>
            <w:right w:w="0" w:type="dxa"/>
          </w:tblCellMar>
          <w:tblLook w:val="0000"/>
        </w:tblPrEx>
        <w:trPr>
          <w:trHeight w:val="309"/>
        </w:trPr>
        <w:tc>
          <w:tcPr>
            <w:tcW w:w="664" w:type="dxa"/>
          </w:tcPr>
          <w:p>
            <w:pPr>
              <w:pStyle w:val="TableText"/>
              <w:spacing w:before="110" w:line="174" w:lineRule="auto"/>
              <w:ind w:left="275"/>
              <w:rPr>
                <w:sz w:val="20"/>
                <w:szCs w:val="20"/>
              </w:rPr>
            </w:pPr>
            <w:r>
              <w:rPr>
                <w:sz w:val="20"/>
                <w:szCs w:val="20"/>
              </w:rPr>
              <w:t>1</w:t>
            </w:r>
          </w:p>
        </w:tc>
        <w:tc>
          <w:tcPr>
            <w:tcW w:w="3316" w:type="dxa"/>
          </w:tcPr>
          <w:p>
            <w:pPr>
              <w:pStyle w:val="TableText"/>
              <w:spacing w:before="58" w:line="219" w:lineRule="auto"/>
              <w:ind w:left="110"/>
              <w:rPr>
                <w:sz w:val="20"/>
                <w:szCs w:val="20"/>
              </w:rPr>
            </w:pPr>
            <w:r>
              <w:rPr>
                <w:spacing w:val="-2"/>
                <w:sz w:val="20"/>
                <w:szCs w:val="20"/>
              </w:rPr>
              <w:t>年固定成本</w:t>
            </w:r>
          </w:p>
        </w:tc>
        <w:tc>
          <w:tcPr>
            <w:tcW w:w="919" w:type="dxa"/>
          </w:tcPr>
          <w:p/>
        </w:tc>
        <w:tc>
          <w:tcPr>
            <w:tcW w:w="908" w:type="dxa"/>
          </w:tcPr>
          <w:p/>
        </w:tc>
        <w:tc>
          <w:tcPr>
            <w:tcW w:w="90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299"/>
        </w:trPr>
        <w:tc>
          <w:tcPr>
            <w:tcW w:w="664" w:type="dxa"/>
          </w:tcPr>
          <w:p>
            <w:pPr>
              <w:pStyle w:val="TableText"/>
              <w:spacing w:before="102" w:line="172" w:lineRule="auto"/>
              <w:ind w:left="275"/>
              <w:rPr>
                <w:sz w:val="20"/>
                <w:szCs w:val="20"/>
              </w:rPr>
            </w:pPr>
            <w:r>
              <w:rPr>
                <w:sz w:val="20"/>
                <w:szCs w:val="20"/>
              </w:rPr>
              <w:t>2</w:t>
            </w:r>
          </w:p>
        </w:tc>
        <w:tc>
          <w:tcPr>
            <w:tcW w:w="3316" w:type="dxa"/>
          </w:tcPr>
          <w:p>
            <w:pPr>
              <w:pStyle w:val="TableText"/>
              <w:spacing w:before="49" w:line="219" w:lineRule="auto"/>
              <w:ind w:left="110"/>
              <w:rPr>
                <w:sz w:val="20"/>
                <w:szCs w:val="20"/>
              </w:rPr>
            </w:pPr>
            <w:r>
              <w:rPr>
                <w:spacing w:val="-2"/>
                <w:sz w:val="20"/>
                <w:szCs w:val="20"/>
              </w:rPr>
              <w:t>年可变成本</w:t>
            </w:r>
          </w:p>
        </w:tc>
        <w:tc>
          <w:tcPr>
            <w:tcW w:w="919" w:type="dxa"/>
          </w:tcPr>
          <w:p/>
        </w:tc>
        <w:tc>
          <w:tcPr>
            <w:tcW w:w="908" w:type="dxa"/>
          </w:tcPr>
          <w:p/>
        </w:tc>
        <w:tc>
          <w:tcPr>
            <w:tcW w:w="90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319"/>
        </w:trPr>
        <w:tc>
          <w:tcPr>
            <w:tcW w:w="664" w:type="dxa"/>
          </w:tcPr>
          <w:p>
            <w:pPr>
              <w:pStyle w:val="TableText"/>
              <w:spacing w:before="113" w:line="180" w:lineRule="auto"/>
              <w:ind w:left="275"/>
              <w:rPr>
                <w:sz w:val="20"/>
                <w:szCs w:val="20"/>
              </w:rPr>
            </w:pPr>
            <w:r>
              <w:rPr>
                <w:sz w:val="20"/>
                <w:szCs w:val="20"/>
              </w:rPr>
              <w:t>3</w:t>
            </w:r>
          </w:p>
        </w:tc>
        <w:tc>
          <w:tcPr>
            <w:tcW w:w="3316" w:type="dxa"/>
          </w:tcPr>
          <w:p>
            <w:pPr>
              <w:pStyle w:val="TableText"/>
              <w:spacing w:before="62" w:line="219" w:lineRule="auto"/>
              <w:ind w:left="110"/>
              <w:rPr>
                <w:sz w:val="20"/>
                <w:szCs w:val="20"/>
              </w:rPr>
            </w:pPr>
            <w:r>
              <w:rPr>
                <w:spacing w:val="-2"/>
                <w:sz w:val="20"/>
                <w:szCs w:val="20"/>
              </w:rPr>
              <w:t>年营业收入</w:t>
            </w:r>
          </w:p>
        </w:tc>
        <w:tc>
          <w:tcPr>
            <w:tcW w:w="919" w:type="dxa"/>
          </w:tcPr>
          <w:p/>
        </w:tc>
        <w:tc>
          <w:tcPr>
            <w:tcW w:w="908" w:type="dxa"/>
          </w:tcPr>
          <w:p/>
        </w:tc>
        <w:tc>
          <w:tcPr>
            <w:tcW w:w="90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309"/>
        </w:trPr>
        <w:tc>
          <w:tcPr>
            <w:tcW w:w="664" w:type="dxa"/>
          </w:tcPr>
          <w:p>
            <w:pPr>
              <w:pStyle w:val="TableText"/>
              <w:spacing w:before="114" w:line="170" w:lineRule="auto"/>
              <w:ind w:left="275"/>
              <w:rPr>
                <w:sz w:val="20"/>
                <w:szCs w:val="20"/>
              </w:rPr>
            </w:pPr>
            <w:r>
              <w:rPr>
                <w:sz w:val="20"/>
                <w:szCs w:val="20"/>
              </w:rPr>
              <w:t>4</w:t>
            </w:r>
          </w:p>
        </w:tc>
        <w:tc>
          <w:tcPr>
            <w:tcW w:w="3316" w:type="dxa"/>
          </w:tcPr>
          <w:p>
            <w:pPr>
              <w:pStyle w:val="TableText"/>
              <w:spacing w:before="61" w:line="218" w:lineRule="auto"/>
              <w:ind w:left="110"/>
              <w:rPr>
                <w:sz w:val="20"/>
                <w:szCs w:val="20"/>
              </w:rPr>
            </w:pPr>
            <w:r>
              <w:rPr>
                <w:spacing w:val="-2"/>
                <w:sz w:val="20"/>
                <w:szCs w:val="20"/>
              </w:rPr>
              <w:t>单位产品价格</w:t>
            </w:r>
          </w:p>
        </w:tc>
        <w:tc>
          <w:tcPr>
            <w:tcW w:w="919" w:type="dxa"/>
          </w:tcPr>
          <w:p/>
        </w:tc>
        <w:tc>
          <w:tcPr>
            <w:tcW w:w="908" w:type="dxa"/>
          </w:tcPr>
          <w:p/>
        </w:tc>
        <w:tc>
          <w:tcPr>
            <w:tcW w:w="90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309"/>
        </w:trPr>
        <w:tc>
          <w:tcPr>
            <w:tcW w:w="664" w:type="dxa"/>
          </w:tcPr>
          <w:p>
            <w:pPr>
              <w:pStyle w:val="TableText"/>
              <w:spacing w:before="116" w:line="168" w:lineRule="auto"/>
              <w:ind w:left="275"/>
              <w:rPr>
                <w:sz w:val="20"/>
                <w:szCs w:val="20"/>
              </w:rPr>
            </w:pPr>
            <w:r>
              <w:rPr>
                <w:sz w:val="20"/>
                <w:szCs w:val="20"/>
              </w:rPr>
              <w:t>5</w:t>
            </w:r>
          </w:p>
        </w:tc>
        <w:tc>
          <w:tcPr>
            <w:tcW w:w="3316" w:type="dxa"/>
          </w:tcPr>
          <w:p>
            <w:pPr>
              <w:pStyle w:val="TableText"/>
              <w:spacing w:before="62" w:line="218" w:lineRule="auto"/>
              <w:ind w:left="110"/>
              <w:rPr>
                <w:sz w:val="20"/>
                <w:szCs w:val="20"/>
              </w:rPr>
            </w:pPr>
            <w:r>
              <w:rPr>
                <w:spacing w:val="-2"/>
                <w:sz w:val="20"/>
                <w:szCs w:val="20"/>
              </w:rPr>
              <w:t>单位产品可变成本</w:t>
            </w:r>
          </w:p>
        </w:tc>
        <w:tc>
          <w:tcPr>
            <w:tcW w:w="919" w:type="dxa"/>
          </w:tcPr>
          <w:p/>
        </w:tc>
        <w:tc>
          <w:tcPr>
            <w:tcW w:w="908" w:type="dxa"/>
          </w:tcPr>
          <w:p/>
        </w:tc>
        <w:tc>
          <w:tcPr>
            <w:tcW w:w="90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309"/>
        </w:trPr>
        <w:tc>
          <w:tcPr>
            <w:tcW w:w="664" w:type="dxa"/>
          </w:tcPr>
          <w:p>
            <w:pPr>
              <w:pStyle w:val="TableText"/>
              <w:spacing w:before="116" w:line="168" w:lineRule="auto"/>
              <w:ind w:left="275"/>
              <w:rPr>
                <w:sz w:val="20"/>
                <w:szCs w:val="20"/>
              </w:rPr>
            </w:pPr>
            <w:r>
              <w:rPr>
                <w:sz w:val="20"/>
                <w:szCs w:val="20"/>
              </w:rPr>
              <w:t>6</w:t>
            </w:r>
          </w:p>
        </w:tc>
        <w:tc>
          <w:tcPr>
            <w:tcW w:w="3316" w:type="dxa"/>
          </w:tcPr>
          <w:p>
            <w:pPr>
              <w:pStyle w:val="TableText"/>
              <w:spacing w:before="63" w:line="217" w:lineRule="auto"/>
              <w:ind w:left="110"/>
              <w:rPr>
                <w:sz w:val="20"/>
                <w:szCs w:val="20"/>
              </w:rPr>
            </w:pPr>
            <w:r>
              <w:rPr>
                <w:spacing w:val="1"/>
                <w:sz w:val="20"/>
                <w:szCs w:val="20"/>
              </w:rPr>
              <w:t>单位产品增值税附加</w:t>
            </w:r>
          </w:p>
        </w:tc>
        <w:tc>
          <w:tcPr>
            <w:tcW w:w="919" w:type="dxa"/>
          </w:tcPr>
          <w:p/>
        </w:tc>
        <w:tc>
          <w:tcPr>
            <w:tcW w:w="908" w:type="dxa"/>
          </w:tcPr>
          <w:p/>
        </w:tc>
        <w:tc>
          <w:tcPr>
            <w:tcW w:w="909" w:type="dxa"/>
          </w:tcPr>
          <w:p/>
        </w:tc>
        <w:tc>
          <w:tcPr>
            <w:tcW w:w="909" w:type="dxa"/>
          </w:tcPr>
          <w:p/>
        </w:tc>
        <w:tc>
          <w:tcPr>
            <w:tcW w:w="894" w:type="dxa"/>
          </w:tcPr>
          <w:p/>
        </w:tc>
      </w:tr>
      <w:tr>
        <w:tblPrEx>
          <w:tblInd w:w="690" w:type="dxa"/>
          <w:tblLayout w:type="fixed"/>
          <w:tblCellMar>
            <w:top w:w="0" w:type="dxa"/>
            <w:left w:w="0" w:type="dxa"/>
            <w:bottom w:w="0" w:type="dxa"/>
            <w:right w:w="0" w:type="dxa"/>
          </w:tblCellMar>
          <w:tblLook w:val="0000"/>
        </w:tblPrEx>
        <w:trPr>
          <w:trHeight w:val="942"/>
        </w:trPr>
        <w:tc>
          <w:tcPr>
            <w:tcW w:w="8519" w:type="dxa"/>
            <w:gridSpan w:val="7"/>
          </w:tcPr>
          <w:p>
            <w:pPr>
              <w:pStyle w:val="TableText"/>
              <w:spacing w:before="66" w:line="219" w:lineRule="auto"/>
              <w:ind w:left="114"/>
              <w:rPr>
                <w:sz w:val="20"/>
                <w:szCs w:val="20"/>
              </w:rPr>
            </w:pPr>
            <w:r>
              <w:rPr>
                <w:sz w:val="20"/>
                <w:szCs w:val="20"/>
              </w:rPr>
              <w:t>计算指标：</w:t>
            </w:r>
          </w:p>
          <w:p>
            <w:pPr>
              <w:pStyle w:val="TableText"/>
              <w:spacing w:before="102" w:line="238" w:lineRule="auto"/>
              <w:ind w:left="1044"/>
              <w:rPr>
                <w:sz w:val="20"/>
                <w:szCs w:val="20"/>
              </w:rPr>
            </w:pPr>
            <w:r>
              <w:rPr>
                <w:spacing w:val="-11"/>
                <w:sz w:val="20"/>
                <w:szCs w:val="20"/>
              </w:rPr>
              <w:t xml:space="preserve">生产利用率：       </w:t>
            </w:r>
            <w:r>
              <w:rPr>
                <w:spacing w:val="-11"/>
                <w:position w:val="-1"/>
                <w:sz w:val="20"/>
                <w:szCs w:val="20"/>
              </w:rPr>
              <w:t>%</w:t>
            </w:r>
          </w:p>
          <w:p>
            <w:pPr>
              <w:pStyle w:val="TableText"/>
              <w:spacing w:before="31" w:line="209" w:lineRule="auto"/>
              <w:ind w:left="1044"/>
              <w:rPr>
                <w:sz w:val="20"/>
                <w:szCs w:val="20"/>
              </w:rPr>
            </w:pPr>
            <w:r>
              <w:rPr>
                <w:spacing w:val="-1"/>
                <w:sz w:val="20"/>
                <w:szCs w:val="20"/>
              </w:rPr>
              <w:t>业务量：</w:t>
            </w:r>
          </w:p>
        </w:tc>
      </w:tr>
    </w:tbl>
    <w:p>
      <w:pPr>
        <w:spacing w:line="284" w:lineRule="auto"/>
      </w:pPr>
    </w:p>
    <w:p>
      <w:pPr>
        <w:spacing w:line="285" w:lineRule="auto"/>
      </w:pPr>
    </w:p>
    <w:p>
      <w:pPr>
        <w:pStyle w:val="BodyText"/>
        <w:spacing w:before="69" w:line="222" w:lineRule="auto"/>
        <w:ind w:left="3933"/>
        <w:rPr>
          <w:sz w:val="21"/>
          <w:szCs w:val="21"/>
        </w:rPr>
      </w:pPr>
      <w:r>
        <w:rPr>
          <w:rFonts w:ascii="黑体" w:eastAsia="黑体" w:hAnsi="黑体" w:cs="黑体"/>
          <w:b/>
          <w:bCs/>
          <w:spacing w:val="-1"/>
          <w:sz w:val="21"/>
          <w:szCs w:val="21"/>
        </w:rPr>
        <w:t>表4.1-2</w:t>
      </w:r>
      <w:r>
        <w:rPr>
          <w:rFonts w:ascii="黑体" w:eastAsia="黑体" w:hAnsi="黑体" w:cs="黑体"/>
          <w:spacing w:val="-53"/>
          <w:sz w:val="21"/>
          <w:szCs w:val="21"/>
        </w:rPr>
        <w:t xml:space="preserve"> </w:t>
      </w:r>
      <w:r>
        <w:rPr>
          <w:spacing w:val="-1"/>
          <w:sz w:val="21"/>
          <w:szCs w:val="21"/>
        </w:rPr>
        <w:t>敏感性分析表</w:t>
      </w:r>
    </w:p>
    <w:p>
      <w:pPr>
        <w:spacing w:line="222" w:lineRule="auto"/>
        <w:sectPr>
          <w:headerReference w:type="default" r:id="rId68"/>
          <w:footerReference w:type="default" r:id="rId69"/>
          <w:pgSz w:w="11910" w:h="16840"/>
          <w:pgMar w:top="400" w:right="1019" w:bottom="1182" w:left="989" w:header="0" w:footer="969" w:gutter="0"/>
          <w:pgNumType w:start="28"/>
          <w:cols w:space="708"/>
        </w:sectPr>
      </w:pPr>
    </w:p>
    <w:p>
      <w:pPr>
        <w:spacing w:before="193"/>
      </w:pPr>
    </w:p>
    <w:tbl>
      <w:tblPr>
        <w:tblStyle w:val="TableNormal19"/>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70"/>
        <w:gridCol w:w="273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20" w:type="dxa"/>
            <w:tcBorders>
              <w:left w:val="nil"/>
            </w:tcBorders>
          </w:tcPr>
          <w:p>
            <w:pPr>
              <w:pStyle w:val="TableText"/>
              <w:spacing w:before="51" w:line="215" w:lineRule="auto"/>
              <w:ind w:left="113"/>
            </w:pPr>
            <w:bookmarkStart w:id="31" w:name="bookmark34"/>
            <w:bookmarkStart w:id="32" w:name="bookmark32"/>
            <w:bookmarkStart w:id="33" w:name="bookmark33"/>
            <w:bookmarkEnd w:id="31"/>
            <w:bookmarkEnd w:id="32"/>
            <w:bookmarkEnd w:id="33"/>
            <w:r>
              <w:rPr>
                <w:b/>
                <w:bCs/>
                <w:spacing w:val="-5"/>
              </w:rPr>
              <w:t>编号：</w:t>
            </w:r>
          </w:p>
          <w:p>
            <w:pPr>
              <w:pStyle w:val="TableText"/>
              <w:spacing w:line="219" w:lineRule="auto"/>
              <w:ind w:left="123"/>
            </w:pPr>
            <w:r>
              <w:rPr>
                <w:b/>
                <w:bCs/>
              </w:rPr>
              <w:t>时间：2021年x月x日</w:t>
            </w:r>
          </w:p>
        </w:tc>
        <w:tc>
          <w:tcPr>
            <w:tcW w:w="4670" w:type="dxa"/>
          </w:tcPr>
          <w:p>
            <w:pPr>
              <w:spacing w:line="250" w:lineRule="auto"/>
            </w:pPr>
          </w:p>
          <w:p>
            <w:pPr>
              <w:pStyle w:val="TableText"/>
              <w:spacing w:before="78" w:line="219" w:lineRule="auto"/>
              <w:ind w:left="268"/>
            </w:pPr>
            <w:r>
              <w:rPr>
                <w:b/>
                <w:bCs/>
                <w:color w:val="F30000"/>
                <w:spacing w:val="-4"/>
              </w:rPr>
              <w:t>书山有路勤为径，学海无涯苦作舟</w:t>
            </w:r>
          </w:p>
        </w:tc>
        <w:tc>
          <w:tcPr>
            <w:tcW w:w="2730" w:type="dxa"/>
            <w:tcBorders>
              <w:right w:val="nil"/>
            </w:tcBorders>
          </w:tcPr>
          <w:p>
            <w:pPr>
              <w:spacing w:line="252" w:lineRule="auto"/>
            </w:pPr>
          </w:p>
          <w:p>
            <w:pPr>
              <w:pStyle w:val="TableText"/>
              <w:spacing w:before="78" w:line="219" w:lineRule="auto"/>
              <w:ind w:left="128"/>
            </w:pPr>
            <w:r>
              <w:rPr>
                <w:b/>
                <w:bCs/>
                <w:spacing w:val="-2"/>
              </w:rPr>
              <w:t>页码：第20页共70页</w:t>
            </w:r>
          </w:p>
        </w:tc>
      </w:tr>
    </w:tbl>
    <w:p>
      <w:pPr>
        <w:spacing w:before="18"/>
      </w:pPr>
    </w:p>
    <w:tbl>
      <w:tblPr>
        <w:tblStyle w:val="TableNormal19"/>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394"/>
        <w:gridCol w:w="2127"/>
        <w:gridCol w:w="739"/>
        <w:gridCol w:w="879"/>
        <w:gridCol w:w="879"/>
        <w:gridCol w:w="1179"/>
        <w:gridCol w:w="569"/>
        <w:gridCol w:w="879"/>
        <w:gridCol w:w="874"/>
      </w:tblGrid>
      <w:tr>
        <w:tblPrEx>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04"/>
        </w:trPr>
        <w:tc>
          <w:tcPr>
            <w:tcW w:w="394" w:type="dxa"/>
            <w:vMerge w:val="restart"/>
            <w:tcBorders>
              <w:bottom w:val="nil"/>
            </w:tcBorders>
            <w:textDirection w:val="tbRlV"/>
          </w:tcPr>
          <w:p>
            <w:pPr>
              <w:pStyle w:val="TableText"/>
              <w:spacing w:before="99" w:line="217" w:lineRule="auto"/>
              <w:ind w:left="14"/>
              <w:rPr>
                <w:sz w:val="20"/>
                <w:szCs w:val="20"/>
              </w:rPr>
            </w:pPr>
            <w:r>
              <w:rPr>
                <w:sz w:val="20"/>
                <w:szCs w:val="20"/>
              </w:rPr>
              <w:t>序</w:t>
            </w:r>
            <w:r>
              <w:rPr>
                <w:spacing w:val="75"/>
                <w:sz w:val="20"/>
                <w:szCs w:val="20"/>
              </w:rPr>
              <w:t xml:space="preserve"> </w:t>
            </w:r>
            <w:r>
              <w:rPr>
                <w:sz w:val="20"/>
                <w:szCs w:val="20"/>
              </w:rPr>
              <w:t>号</w:t>
            </w:r>
          </w:p>
        </w:tc>
        <w:tc>
          <w:tcPr>
            <w:tcW w:w="2127" w:type="dxa"/>
            <w:vMerge w:val="restart"/>
            <w:tcBorders>
              <w:bottom w:val="nil"/>
            </w:tcBorders>
          </w:tcPr>
          <w:p>
            <w:pPr>
              <w:pStyle w:val="TableText"/>
              <w:spacing w:before="213" w:line="220" w:lineRule="auto"/>
              <w:ind w:left="850"/>
              <w:rPr>
                <w:sz w:val="20"/>
                <w:szCs w:val="20"/>
              </w:rPr>
            </w:pPr>
            <w:r>
              <w:rPr>
                <w:spacing w:val="-6"/>
                <w:sz w:val="20"/>
                <w:szCs w:val="20"/>
              </w:rPr>
              <w:t>项 目</w:t>
            </w:r>
          </w:p>
        </w:tc>
        <w:tc>
          <w:tcPr>
            <w:tcW w:w="5998" w:type="dxa"/>
            <w:gridSpan w:val="7"/>
          </w:tcPr>
          <w:p>
            <w:pPr>
              <w:pStyle w:val="TableText"/>
              <w:spacing w:before="52" w:line="221" w:lineRule="auto"/>
              <w:ind w:left="1153"/>
              <w:rPr>
                <w:sz w:val="20"/>
                <w:szCs w:val="20"/>
              </w:rPr>
            </w:pPr>
            <w:r>
              <w:rPr>
                <w:spacing w:val="-6"/>
                <w:sz w:val="20"/>
                <w:szCs w:val="20"/>
              </w:rPr>
              <w:t>变</w:t>
            </w:r>
            <w:r>
              <w:rPr>
                <w:spacing w:val="6"/>
                <w:sz w:val="20"/>
                <w:szCs w:val="20"/>
              </w:rPr>
              <w:t xml:space="preserve">             </w:t>
            </w:r>
            <w:r>
              <w:rPr>
                <w:spacing w:val="-6"/>
                <w:sz w:val="20"/>
                <w:szCs w:val="20"/>
              </w:rPr>
              <w:t>化</w:t>
            </w:r>
            <w:r>
              <w:rPr>
                <w:spacing w:val="6"/>
                <w:sz w:val="20"/>
                <w:szCs w:val="20"/>
              </w:rPr>
              <w:t xml:space="preserve">                </w:t>
            </w:r>
            <w:r>
              <w:rPr>
                <w:spacing w:val="-6"/>
                <w:sz w:val="20"/>
                <w:szCs w:val="20"/>
              </w:rPr>
              <w:t>率</w:t>
            </w:r>
          </w:p>
        </w:tc>
      </w:tr>
      <w:tr>
        <w:tblPrEx>
          <w:tblInd w:w="680" w:type="dxa"/>
          <w:tblLayout w:type="fixed"/>
          <w:tblCellMar>
            <w:top w:w="0" w:type="dxa"/>
            <w:left w:w="0" w:type="dxa"/>
            <w:bottom w:w="0" w:type="dxa"/>
            <w:right w:w="0" w:type="dxa"/>
          </w:tblCellMar>
          <w:tblLook w:val="0000"/>
        </w:tblPrEx>
        <w:trPr>
          <w:trHeight w:val="309"/>
        </w:trPr>
        <w:tc>
          <w:tcPr>
            <w:tcW w:w="394" w:type="dxa"/>
            <w:vMerge/>
            <w:tcBorders>
              <w:top w:val="nil"/>
            </w:tcBorders>
            <w:textDirection w:val="tbRlV"/>
          </w:tcPr>
          <w:p/>
        </w:tc>
        <w:tc>
          <w:tcPr>
            <w:tcW w:w="2127" w:type="dxa"/>
            <w:vMerge/>
            <w:tcBorders>
              <w:top w:val="nil"/>
            </w:tcBorders>
          </w:tcPr>
          <w:p/>
        </w:tc>
        <w:tc>
          <w:tcPr>
            <w:tcW w:w="739" w:type="dxa"/>
          </w:tcPr>
          <w:p>
            <w:pPr>
              <w:pStyle w:val="TableText"/>
              <w:spacing w:before="110" w:line="174" w:lineRule="auto"/>
              <w:ind w:left="143"/>
              <w:rPr>
                <w:sz w:val="20"/>
                <w:szCs w:val="20"/>
              </w:rPr>
            </w:pPr>
            <w:r>
              <w:rPr>
                <w:spacing w:val="-2"/>
                <w:sz w:val="20"/>
                <w:szCs w:val="20"/>
              </w:rPr>
              <w:t>-30%</w:t>
            </w:r>
          </w:p>
        </w:tc>
        <w:tc>
          <w:tcPr>
            <w:tcW w:w="879" w:type="dxa"/>
          </w:tcPr>
          <w:p>
            <w:pPr>
              <w:pStyle w:val="TableText"/>
              <w:spacing w:before="110" w:line="174" w:lineRule="auto"/>
              <w:ind w:left="204"/>
              <w:rPr>
                <w:sz w:val="20"/>
                <w:szCs w:val="20"/>
              </w:rPr>
            </w:pPr>
            <w:r>
              <w:rPr>
                <w:spacing w:val="-2"/>
                <w:sz w:val="20"/>
                <w:szCs w:val="20"/>
              </w:rPr>
              <w:t>-20%</w:t>
            </w:r>
          </w:p>
        </w:tc>
        <w:tc>
          <w:tcPr>
            <w:tcW w:w="879" w:type="dxa"/>
          </w:tcPr>
          <w:p>
            <w:pPr>
              <w:pStyle w:val="TableText"/>
              <w:spacing w:before="110" w:line="174" w:lineRule="auto"/>
              <w:ind w:left="206"/>
              <w:rPr>
                <w:sz w:val="20"/>
                <w:szCs w:val="20"/>
              </w:rPr>
            </w:pPr>
            <w:r>
              <w:rPr>
                <w:spacing w:val="-2"/>
                <w:sz w:val="20"/>
                <w:szCs w:val="20"/>
              </w:rPr>
              <w:t>-10%</w:t>
            </w:r>
          </w:p>
        </w:tc>
        <w:tc>
          <w:tcPr>
            <w:tcW w:w="1179" w:type="dxa"/>
          </w:tcPr>
          <w:p>
            <w:pPr>
              <w:pStyle w:val="TableText"/>
              <w:spacing w:before="58" w:line="219" w:lineRule="auto"/>
              <w:ind w:left="177"/>
              <w:rPr>
                <w:sz w:val="20"/>
                <w:szCs w:val="20"/>
              </w:rPr>
            </w:pPr>
            <w:r>
              <w:rPr>
                <w:spacing w:val="-2"/>
                <w:sz w:val="20"/>
                <w:szCs w:val="20"/>
              </w:rPr>
              <w:t>基本方案</w:t>
            </w:r>
          </w:p>
        </w:tc>
        <w:tc>
          <w:tcPr>
            <w:tcW w:w="569" w:type="dxa"/>
          </w:tcPr>
          <w:p>
            <w:pPr>
              <w:pStyle w:val="TableText"/>
              <w:spacing w:before="110" w:line="174" w:lineRule="auto"/>
              <w:ind w:left="137"/>
              <w:rPr>
                <w:sz w:val="20"/>
                <w:szCs w:val="20"/>
              </w:rPr>
            </w:pPr>
            <w:r>
              <w:rPr>
                <w:spacing w:val="-6"/>
                <w:sz w:val="20"/>
                <w:szCs w:val="20"/>
              </w:rPr>
              <w:t>10%</w:t>
            </w:r>
          </w:p>
        </w:tc>
        <w:tc>
          <w:tcPr>
            <w:tcW w:w="879" w:type="dxa"/>
          </w:tcPr>
          <w:p>
            <w:pPr>
              <w:pStyle w:val="TableText"/>
              <w:spacing w:before="110" w:line="174" w:lineRule="auto"/>
              <w:ind w:left="279"/>
              <w:rPr>
                <w:sz w:val="20"/>
                <w:szCs w:val="20"/>
              </w:rPr>
            </w:pPr>
            <w:r>
              <w:rPr>
                <w:spacing w:val="-3"/>
                <w:sz w:val="20"/>
                <w:szCs w:val="20"/>
              </w:rPr>
              <w:t>20%</w:t>
            </w:r>
          </w:p>
        </w:tc>
        <w:tc>
          <w:tcPr>
            <w:tcW w:w="874" w:type="dxa"/>
          </w:tcPr>
          <w:p>
            <w:pPr>
              <w:pStyle w:val="TableText"/>
              <w:spacing w:before="110" w:line="174" w:lineRule="auto"/>
              <w:ind w:left="289"/>
              <w:rPr>
                <w:sz w:val="20"/>
                <w:szCs w:val="20"/>
              </w:rPr>
            </w:pPr>
            <w:r>
              <w:rPr>
                <w:spacing w:val="-3"/>
                <w:sz w:val="20"/>
                <w:szCs w:val="20"/>
              </w:rPr>
              <w:t>30%</w:t>
            </w:r>
          </w:p>
        </w:tc>
      </w:tr>
      <w:tr>
        <w:tblPrEx>
          <w:tblInd w:w="680" w:type="dxa"/>
          <w:tblLayout w:type="fixed"/>
          <w:tblCellMar>
            <w:top w:w="0" w:type="dxa"/>
            <w:left w:w="0" w:type="dxa"/>
            <w:bottom w:w="0" w:type="dxa"/>
            <w:right w:w="0" w:type="dxa"/>
          </w:tblCellMar>
          <w:tblLook w:val="0000"/>
        </w:tblPrEx>
        <w:trPr>
          <w:trHeight w:val="319"/>
        </w:trPr>
        <w:tc>
          <w:tcPr>
            <w:tcW w:w="394" w:type="dxa"/>
          </w:tcPr>
          <w:p/>
        </w:tc>
        <w:tc>
          <w:tcPr>
            <w:tcW w:w="2127" w:type="dxa"/>
          </w:tcPr>
          <w:p>
            <w:pPr>
              <w:pStyle w:val="TableText"/>
              <w:spacing w:before="60" w:line="219" w:lineRule="auto"/>
              <w:ind w:left="850"/>
              <w:rPr>
                <w:sz w:val="20"/>
                <w:szCs w:val="20"/>
              </w:rPr>
            </w:pPr>
            <w:r>
              <w:rPr>
                <w:spacing w:val="4"/>
                <w:sz w:val="20"/>
                <w:szCs w:val="20"/>
              </w:rPr>
              <w:t>收入</w:t>
            </w:r>
          </w:p>
        </w:tc>
        <w:tc>
          <w:tcPr>
            <w:tcW w:w="739" w:type="dxa"/>
          </w:tcPr>
          <w:p/>
        </w:tc>
        <w:tc>
          <w:tcPr>
            <w:tcW w:w="879" w:type="dxa"/>
          </w:tcPr>
          <w:p/>
        </w:tc>
        <w:tc>
          <w:tcPr>
            <w:tcW w:w="879" w:type="dxa"/>
          </w:tcPr>
          <w:p/>
        </w:tc>
        <w:tc>
          <w:tcPr>
            <w:tcW w:w="1179" w:type="dxa"/>
          </w:tcPr>
          <w:p/>
        </w:tc>
        <w:tc>
          <w:tcPr>
            <w:tcW w:w="569" w:type="dxa"/>
          </w:tcPr>
          <w:p/>
        </w:tc>
        <w:tc>
          <w:tcPr>
            <w:tcW w:w="879" w:type="dxa"/>
          </w:tcPr>
          <w:p/>
        </w:tc>
        <w:tc>
          <w:tcPr>
            <w:tcW w:w="874" w:type="dxa"/>
          </w:tcPr>
          <w:p/>
        </w:tc>
      </w:tr>
      <w:tr>
        <w:tblPrEx>
          <w:tblInd w:w="680" w:type="dxa"/>
          <w:tblLayout w:type="fixed"/>
          <w:tblCellMar>
            <w:top w:w="0" w:type="dxa"/>
            <w:left w:w="0" w:type="dxa"/>
            <w:bottom w:w="0" w:type="dxa"/>
            <w:right w:w="0" w:type="dxa"/>
          </w:tblCellMar>
          <w:tblLook w:val="0000"/>
        </w:tblPrEx>
        <w:trPr>
          <w:trHeight w:val="300"/>
        </w:trPr>
        <w:tc>
          <w:tcPr>
            <w:tcW w:w="394" w:type="dxa"/>
          </w:tcPr>
          <w:p>
            <w:pPr>
              <w:pStyle w:val="TableText"/>
              <w:spacing w:before="102" w:line="173" w:lineRule="auto"/>
              <w:ind w:left="134"/>
              <w:rPr>
                <w:sz w:val="20"/>
                <w:szCs w:val="20"/>
              </w:rPr>
            </w:pPr>
            <w:r>
              <w:rPr>
                <w:sz w:val="20"/>
                <w:szCs w:val="20"/>
              </w:rPr>
              <w:t>1</w:t>
            </w:r>
          </w:p>
        </w:tc>
        <w:tc>
          <w:tcPr>
            <w:tcW w:w="2127" w:type="dxa"/>
          </w:tcPr>
          <w:p>
            <w:pPr>
              <w:pStyle w:val="TableText"/>
              <w:spacing w:before="51" w:line="219" w:lineRule="auto"/>
              <w:ind w:left="350"/>
              <w:rPr>
                <w:sz w:val="20"/>
                <w:szCs w:val="20"/>
              </w:rPr>
            </w:pPr>
            <w:r>
              <w:rPr>
                <w:spacing w:val="-2"/>
                <w:sz w:val="20"/>
                <w:szCs w:val="20"/>
              </w:rPr>
              <w:t>财务内部收益率</w:t>
            </w:r>
          </w:p>
        </w:tc>
        <w:tc>
          <w:tcPr>
            <w:tcW w:w="739" w:type="dxa"/>
          </w:tcPr>
          <w:p/>
        </w:tc>
        <w:tc>
          <w:tcPr>
            <w:tcW w:w="879" w:type="dxa"/>
          </w:tcPr>
          <w:p/>
        </w:tc>
        <w:tc>
          <w:tcPr>
            <w:tcW w:w="879" w:type="dxa"/>
          </w:tcPr>
          <w:p/>
        </w:tc>
        <w:tc>
          <w:tcPr>
            <w:tcW w:w="1179" w:type="dxa"/>
          </w:tcPr>
          <w:p/>
        </w:tc>
        <w:tc>
          <w:tcPr>
            <w:tcW w:w="569" w:type="dxa"/>
          </w:tcPr>
          <w:p/>
        </w:tc>
        <w:tc>
          <w:tcPr>
            <w:tcW w:w="879" w:type="dxa"/>
          </w:tcPr>
          <w:p/>
        </w:tc>
        <w:tc>
          <w:tcPr>
            <w:tcW w:w="874" w:type="dxa"/>
          </w:tcPr>
          <w:p/>
        </w:tc>
      </w:tr>
      <w:tr>
        <w:tblPrEx>
          <w:tblInd w:w="680" w:type="dxa"/>
          <w:tblLayout w:type="fixed"/>
          <w:tblCellMar>
            <w:top w:w="0" w:type="dxa"/>
            <w:left w:w="0" w:type="dxa"/>
            <w:bottom w:w="0" w:type="dxa"/>
            <w:right w:w="0" w:type="dxa"/>
          </w:tblCellMar>
          <w:tblLook w:val="0000"/>
        </w:tblPrEx>
        <w:trPr>
          <w:trHeight w:val="309"/>
        </w:trPr>
        <w:tc>
          <w:tcPr>
            <w:tcW w:w="394" w:type="dxa"/>
          </w:tcPr>
          <w:p>
            <w:pPr>
              <w:pStyle w:val="TableText"/>
              <w:spacing w:before="112" w:line="172" w:lineRule="auto"/>
              <w:ind w:left="134"/>
              <w:rPr>
                <w:sz w:val="20"/>
                <w:szCs w:val="20"/>
              </w:rPr>
            </w:pPr>
            <w:r>
              <w:rPr>
                <w:sz w:val="20"/>
                <w:szCs w:val="20"/>
              </w:rPr>
              <w:t>2</w:t>
            </w:r>
          </w:p>
        </w:tc>
        <w:tc>
          <w:tcPr>
            <w:tcW w:w="2127" w:type="dxa"/>
          </w:tcPr>
          <w:p>
            <w:pPr>
              <w:pStyle w:val="TableText"/>
              <w:spacing w:before="61" w:line="219" w:lineRule="auto"/>
              <w:ind w:left="250"/>
              <w:rPr>
                <w:sz w:val="20"/>
                <w:szCs w:val="20"/>
              </w:rPr>
            </w:pPr>
            <w:r>
              <w:rPr>
                <w:spacing w:val="4"/>
                <w:sz w:val="20"/>
                <w:szCs w:val="20"/>
              </w:rPr>
              <w:t>财务净现值(万元)</w:t>
            </w:r>
          </w:p>
        </w:tc>
        <w:tc>
          <w:tcPr>
            <w:tcW w:w="739" w:type="dxa"/>
          </w:tcPr>
          <w:p/>
        </w:tc>
        <w:tc>
          <w:tcPr>
            <w:tcW w:w="879" w:type="dxa"/>
          </w:tcPr>
          <w:p/>
        </w:tc>
        <w:tc>
          <w:tcPr>
            <w:tcW w:w="879" w:type="dxa"/>
          </w:tcPr>
          <w:p/>
        </w:tc>
        <w:tc>
          <w:tcPr>
            <w:tcW w:w="1179" w:type="dxa"/>
          </w:tcPr>
          <w:p/>
        </w:tc>
        <w:tc>
          <w:tcPr>
            <w:tcW w:w="569" w:type="dxa"/>
          </w:tcPr>
          <w:p/>
        </w:tc>
        <w:tc>
          <w:tcPr>
            <w:tcW w:w="879" w:type="dxa"/>
          </w:tcPr>
          <w:p/>
        </w:tc>
        <w:tc>
          <w:tcPr>
            <w:tcW w:w="874" w:type="dxa"/>
          </w:tcPr>
          <w:p/>
        </w:tc>
      </w:tr>
      <w:tr>
        <w:tblPrEx>
          <w:tblInd w:w="680" w:type="dxa"/>
          <w:tblLayout w:type="fixed"/>
          <w:tblCellMar>
            <w:top w:w="0" w:type="dxa"/>
            <w:left w:w="0" w:type="dxa"/>
            <w:bottom w:w="0" w:type="dxa"/>
            <w:right w:w="0" w:type="dxa"/>
          </w:tblCellMar>
          <w:tblLook w:val="0000"/>
        </w:tblPrEx>
        <w:trPr>
          <w:trHeight w:val="319"/>
        </w:trPr>
        <w:tc>
          <w:tcPr>
            <w:tcW w:w="394" w:type="dxa"/>
          </w:tcPr>
          <w:p>
            <w:pPr>
              <w:pStyle w:val="TableText"/>
              <w:spacing w:before="114" w:line="180" w:lineRule="auto"/>
              <w:ind w:left="134"/>
              <w:rPr>
                <w:sz w:val="20"/>
                <w:szCs w:val="20"/>
              </w:rPr>
            </w:pPr>
            <w:r>
              <w:rPr>
                <w:sz w:val="20"/>
                <w:szCs w:val="20"/>
              </w:rPr>
              <w:t>3</w:t>
            </w:r>
          </w:p>
        </w:tc>
        <w:tc>
          <w:tcPr>
            <w:tcW w:w="2127" w:type="dxa"/>
          </w:tcPr>
          <w:p>
            <w:pPr>
              <w:pStyle w:val="TableText"/>
              <w:spacing w:before="61" w:line="219" w:lineRule="auto"/>
              <w:ind w:left="151"/>
              <w:rPr>
                <w:sz w:val="20"/>
                <w:szCs w:val="20"/>
              </w:rPr>
            </w:pPr>
            <w:r>
              <w:rPr>
                <w:spacing w:val="4"/>
                <w:sz w:val="20"/>
                <w:szCs w:val="20"/>
              </w:rPr>
              <w:t>静态投资回收期(年)</w:t>
            </w:r>
          </w:p>
        </w:tc>
        <w:tc>
          <w:tcPr>
            <w:tcW w:w="739" w:type="dxa"/>
          </w:tcPr>
          <w:p/>
        </w:tc>
        <w:tc>
          <w:tcPr>
            <w:tcW w:w="879" w:type="dxa"/>
          </w:tcPr>
          <w:p/>
        </w:tc>
        <w:tc>
          <w:tcPr>
            <w:tcW w:w="879" w:type="dxa"/>
          </w:tcPr>
          <w:p/>
        </w:tc>
        <w:tc>
          <w:tcPr>
            <w:tcW w:w="1179" w:type="dxa"/>
          </w:tcPr>
          <w:p/>
        </w:tc>
        <w:tc>
          <w:tcPr>
            <w:tcW w:w="569" w:type="dxa"/>
          </w:tcPr>
          <w:p/>
        </w:tc>
        <w:tc>
          <w:tcPr>
            <w:tcW w:w="879" w:type="dxa"/>
          </w:tcPr>
          <w:p/>
        </w:tc>
        <w:tc>
          <w:tcPr>
            <w:tcW w:w="874" w:type="dxa"/>
          </w:tcPr>
          <w:p/>
        </w:tc>
      </w:tr>
      <w:tr>
        <w:tblPrEx>
          <w:tblInd w:w="680" w:type="dxa"/>
          <w:tblLayout w:type="fixed"/>
          <w:tblCellMar>
            <w:top w:w="0" w:type="dxa"/>
            <w:left w:w="0" w:type="dxa"/>
            <w:bottom w:w="0" w:type="dxa"/>
            <w:right w:w="0" w:type="dxa"/>
          </w:tblCellMar>
          <w:tblLook w:val="0000"/>
        </w:tblPrEx>
        <w:trPr>
          <w:trHeight w:val="319"/>
        </w:trPr>
        <w:tc>
          <w:tcPr>
            <w:tcW w:w="394" w:type="dxa"/>
          </w:tcPr>
          <w:p>
            <w:pPr>
              <w:pStyle w:val="TableText"/>
              <w:spacing w:before="120" w:line="174" w:lineRule="auto"/>
              <w:ind w:left="84"/>
              <w:rPr>
                <w:sz w:val="20"/>
                <w:szCs w:val="20"/>
              </w:rPr>
            </w:pPr>
            <w:r>
              <w:rPr>
                <w:sz w:val="20"/>
                <w:szCs w:val="20"/>
              </w:rPr>
              <w:t>二</w:t>
            </w:r>
          </w:p>
        </w:tc>
        <w:tc>
          <w:tcPr>
            <w:tcW w:w="2127" w:type="dxa"/>
          </w:tcPr>
          <w:p>
            <w:pPr>
              <w:pStyle w:val="TableText"/>
              <w:spacing w:before="63" w:line="219" w:lineRule="auto"/>
              <w:ind w:left="451"/>
              <w:rPr>
                <w:sz w:val="20"/>
                <w:szCs w:val="20"/>
              </w:rPr>
            </w:pPr>
            <w:r>
              <w:rPr>
                <w:spacing w:val="2"/>
                <w:sz w:val="20"/>
                <w:szCs w:val="20"/>
              </w:rPr>
              <w:t>固定资产投资</w:t>
            </w:r>
          </w:p>
        </w:tc>
        <w:tc>
          <w:tcPr>
            <w:tcW w:w="739" w:type="dxa"/>
          </w:tcPr>
          <w:p/>
        </w:tc>
        <w:tc>
          <w:tcPr>
            <w:tcW w:w="879" w:type="dxa"/>
          </w:tcPr>
          <w:p/>
        </w:tc>
        <w:tc>
          <w:tcPr>
            <w:tcW w:w="879" w:type="dxa"/>
          </w:tcPr>
          <w:p/>
        </w:tc>
        <w:tc>
          <w:tcPr>
            <w:tcW w:w="1179" w:type="dxa"/>
          </w:tcPr>
          <w:p/>
        </w:tc>
        <w:tc>
          <w:tcPr>
            <w:tcW w:w="569" w:type="dxa"/>
          </w:tcPr>
          <w:p/>
        </w:tc>
        <w:tc>
          <w:tcPr>
            <w:tcW w:w="879" w:type="dxa"/>
          </w:tcPr>
          <w:p/>
        </w:tc>
        <w:tc>
          <w:tcPr>
            <w:tcW w:w="874" w:type="dxa"/>
          </w:tcPr>
          <w:p/>
        </w:tc>
      </w:tr>
      <w:tr>
        <w:tblPrEx>
          <w:tblInd w:w="680" w:type="dxa"/>
          <w:tblLayout w:type="fixed"/>
          <w:tblCellMar>
            <w:top w:w="0" w:type="dxa"/>
            <w:left w:w="0" w:type="dxa"/>
            <w:bottom w:w="0" w:type="dxa"/>
            <w:right w:w="0" w:type="dxa"/>
          </w:tblCellMar>
          <w:tblLook w:val="0000"/>
        </w:tblPrEx>
        <w:trPr>
          <w:trHeight w:val="300"/>
        </w:trPr>
        <w:tc>
          <w:tcPr>
            <w:tcW w:w="394" w:type="dxa"/>
          </w:tcPr>
          <w:p>
            <w:pPr>
              <w:pStyle w:val="TableText"/>
              <w:spacing w:before="104" w:line="171" w:lineRule="auto"/>
              <w:ind w:left="134"/>
              <w:rPr>
                <w:sz w:val="20"/>
                <w:szCs w:val="20"/>
              </w:rPr>
            </w:pPr>
            <w:r>
              <w:rPr>
                <w:sz w:val="20"/>
                <w:szCs w:val="20"/>
              </w:rPr>
              <w:t>1</w:t>
            </w:r>
          </w:p>
        </w:tc>
        <w:tc>
          <w:tcPr>
            <w:tcW w:w="2127" w:type="dxa"/>
          </w:tcPr>
          <w:p>
            <w:pPr>
              <w:pStyle w:val="TableText"/>
              <w:spacing w:before="53" w:line="218" w:lineRule="auto"/>
              <w:ind w:left="350"/>
              <w:rPr>
                <w:sz w:val="20"/>
                <w:szCs w:val="20"/>
              </w:rPr>
            </w:pPr>
            <w:r>
              <w:rPr>
                <w:spacing w:val="-2"/>
                <w:sz w:val="20"/>
                <w:szCs w:val="20"/>
              </w:rPr>
              <w:t>财务内部收益率</w:t>
            </w:r>
          </w:p>
        </w:tc>
        <w:tc>
          <w:tcPr>
            <w:tcW w:w="739" w:type="dxa"/>
          </w:tcPr>
          <w:p/>
        </w:tc>
        <w:tc>
          <w:tcPr>
            <w:tcW w:w="879" w:type="dxa"/>
          </w:tcPr>
          <w:p/>
        </w:tc>
        <w:tc>
          <w:tcPr>
            <w:tcW w:w="879" w:type="dxa"/>
          </w:tcPr>
          <w:p/>
        </w:tc>
        <w:tc>
          <w:tcPr>
            <w:tcW w:w="1179" w:type="dxa"/>
          </w:tcPr>
          <w:p/>
        </w:tc>
        <w:tc>
          <w:tcPr>
            <w:tcW w:w="569" w:type="dxa"/>
          </w:tcPr>
          <w:p/>
        </w:tc>
        <w:tc>
          <w:tcPr>
            <w:tcW w:w="879" w:type="dxa"/>
          </w:tcPr>
          <w:p/>
        </w:tc>
        <w:tc>
          <w:tcPr>
            <w:tcW w:w="874" w:type="dxa"/>
          </w:tcPr>
          <w:p/>
        </w:tc>
      </w:tr>
      <w:tr>
        <w:tblPrEx>
          <w:tblInd w:w="680" w:type="dxa"/>
          <w:tblLayout w:type="fixed"/>
          <w:tblCellMar>
            <w:top w:w="0" w:type="dxa"/>
            <w:left w:w="0" w:type="dxa"/>
            <w:bottom w:w="0" w:type="dxa"/>
            <w:right w:w="0" w:type="dxa"/>
          </w:tblCellMar>
          <w:tblLook w:val="0000"/>
        </w:tblPrEx>
        <w:trPr>
          <w:trHeight w:val="319"/>
        </w:trPr>
        <w:tc>
          <w:tcPr>
            <w:tcW w:w="394" w:type="dxa"/>
          </w:tcPr>
          <w:p>
            <w:pPr>
              <w:pStyle w:val="TableText"/>
              <w:spacing w:before="116" w:line="178" w:lineRule="auto"/>
              <w:ind w:left="134"/>
              <w:rPr>
                <w:sz w:val="20"/>
                <w:szCs w:val="20"/>
              </w:rPr>
            </w:pPr>
            <w:r>
              <w:rPr>
                <w:sz w:val="20"/>
                <w:szCs w:val="20"/>
              </w:rPr>
              <w:t>2</w:t>
            </w:r>
          </w:p>
        </w:tc>
        <w:tc>
          <w:tcPr>
            <w:tcW w:w="2127" w:type="dxa"/>
          </w:tcPr>
          <w:p>
            <w:pPr>
              <w:pStyle w:val="TableText"/>
              <w:spacing w:before="64" w:line="219" w:lineRule="auto"/>
              <w:ind w:left="250"/>
              <w:rPr>
                <w:sz w:val="20"/>
                <w:szCs w:val="20"/>
              </w:rPr>
            </w:pPr>
            <w:r>
              <w:rPr>
                <w:spacing w:val="4"/>
                <w:sz w:val="20"/>
                <w:szCs w:val="20"/>
              </w:rPr>
              <w:t>财务净现值(万元)</w:t>
            </w:r>
          </w:p>
        </w:tc>
        <w:tc>
          <w:tcPr>
            <w:tcW w:w="739" w:type="dxa"/>
          </w:tcPr>
          <w:p/>
        </w:tc>
        <w:tc>
          <w:tcPr>
            <w:tcW w:w="879" w:type="dxa"/>
          </w:tcPr>
          <w:p/>
        </w:tc>
        <w:tc>
          <w:tcPr>
            <w:tcW w:w="879" w:type="dxa"/>
          </w:tcPr>
          <w:p/>
        </w:tc>
        <w:tc>
          <w:tcPr>
            <w:tcW w:w="1179" w:type="dxa"/>
          </w:tcPr>
          <w:p/>
        </w:tc>
        <w:tc>
          <w:tcPr>
            <w:tcW w:w="569" w:type="dxa"/>
          </w:tcPr>
          <w:p/>
        </w:tc>
        <w:tc>
          <w:tcPr>
            <w:tcW w:w="879" w:type="dxa"/>
          </w:tcPr>
          <w:p/>
        </w:tc>
        <w:tc>
          <w:tcPr>
            <w:tcW w:w="874" w:type="dxa"/>
          </w:tcPr>
          <w:p/>
        </w:tc>
      </w:tr>
      <w:tr>
        <w:tblPrEx>
          <w:tblInd w:w="680" w:type="dxa"/>
          <w:tblLayout w:type="fixed"/>
          <w:tblCellMar>
            <w:top w:w="0" w:type="dxa"/>
            <w:left w:w="0" w:type="dxa"/>
            <w:bottom w:w="0" w:type="dxa"/>
            <w:right w:w="0" w:type="dxa"/>
          </w:tblCellMar>
          <w:tblLook w:val="0000"/>
        </w:tblPrEx>
        <w:trPr>
          <w:trHeight w:val="309"/>
        </w:trPr>
        <w:tc>
          <w:tcPr>
            <w:tcW w:w="394" w:type="dxa"/>
          </w:tcPr>
          <w:p>
            <w:pPr>
              <w:pStyle w:val="TableText"/>
              <w:spacing w:before="117" w:line="168" w:lineRule="auto"/>
              <w:ind w:left="134"/>
              <w:rPr>
                <w:sz w:val="20"/>
                <w:szCs w:val="20"/>
              </w:rPr>
            </w:pPr>
            <w:r>
              <w:rPr>
                <w:sz w:val="20"/>
                <w:szCs w:val="20"/>
              </w:rPr>
              <w:t>3</w:t>
            </w:r>
          </w:p>
        </w:tc>
        <w:tc>
          <w:tcPr>
            <w:tcW w:w="2127" w:type="dxa"/>
          </w:tcPr>
          <w:p>
            <w:pPr>
              <w:pStyle w:val="TableText"/>
              <w:spacing w:before="65" w:line="216" w:lineRule="auto"/>
              <w:ind w:left="151"/>
              <w:rPr>
                <w:sz w:val="20"/>
                <w:szCs w:val="20"/>
              </w:rPr>
            </w:pPr>
            <w:r>
              <w:rPr>
                <w:spacing w:val="4"/>
                <w:sz w:val="20"/>
                <w:szCs w:val="20"/>
              </w:rPr>
              <w:t>静态投资回收期(年)</w:t>
            </w:r>
          </w:p>
        </w:tc>
        <w:tc>
          <w:tcPr>
            <w:tcW w:w="739" w:type="dxa"/>
          </w:tcPr>
          <w:p/>
        </w:tc>
        <w:tc>
          <w:tcPr>
            <w:tcW w:w="879" w:type="dxa"/>
          </w:tcPr>
          <w:p/>
        </w:tc>
        <w:tc>
          <w:tcPr>
            <w:tcW w:w="879" w:type="dxa"/>
          </w:tcPr>
          <w:p/>
        </w:tc>
        <w:tc>
          <w:tcPr>
            <w:tcW w:w="1179" w:type="dxa"/>
          </w:tcPr>
          <w:p/>
        </w:tc>
        <w:tc>
          <w:tcPr>
            <w:tcW w:w="569" w:type="dxa"/>
          </w:tcPr>
          <w:p/>
        </w:tc>
        <w:tc>
          <w:tcPr>
            <w:tcW w:w="879" w:type="dxa"/>
          </w:tcPr>
          <w:p/>
        </w:tc>
        <w:tc>
          <w:tcPr>
            <w:tcW w:w="874" w:type="dxa"/>
          </w:tcPr>
          <w:p/>
        </w:tc>
      </w:tr>
      <w:tr>
        <w:tblPrEx>
          <w:tblInd w:w="680" w:type="dxa"/>
          <w:tblLayout w:type="fixed"/>
          <w:tblCellMar>
            <w:top w:w="0" w:type="dxa"/>
            <w:left w:w="0" w:type="dxa"/>
            <w:bottom w:w="0" w:type="dxa"/>
            <w:right w:w="0" w:type="dxa"/>
          </w:tblCellMar>
          <w:tblLook w:val="0000"/>
        </w:tblPrEx>
        <w:trPr>
          <w:trHeight w:val="300"/>
        </w:trPr>
        <w:tc>
          <w:tcPr>
            <w:tcW w:w="394" w:type="dxa"/>
          </w:tcPr>
          <w:p>
            <w:pPr>
              <w:pStyle w:val="TableText"/>
              <w:spacing w:before="74" w:line="199" w:lineRule="auto"/>
              <w:ind w:left="84"/>
              <w:rPr>
                <w:sz w:val="20"/>
                <w:szCs w:val="20"/>
              </w:rPr>
            </w:pPr>
            <w:r>
              <w:rPr>
                <w:sz w:val="20"/>
                <w:szCs w:val="20"/>
              </w:rPr>
              <w:t>三</w:t>
            </w:r>
          </w:p>
        </w:tc>
        <w:tc>
          <w:tcPr>
            <w:tcW w:w="2127" w:type="dxa"/>
          </w:tcPr>
          <w:p>
            <w:pPr>
              <w:pStyle w:val="TableText"/>
              <w:spacing w:before="56" w:line="216" w:lineRule="auto"/>
              <w:ind w:left="650"/>
              <w:rPr>
                <w:sz w:val="20"/>
                <w:szCs w:val="20"/>
              </w:rPr>
            </w:pPr>
            <w:r>
              <w:rPr>
                <w:spacing w:val="-2"/>
                <w:sz w:val="20"/>
                <w:szCs w:val="20"/>
              </w:rPr>
              <w:t>经营成本</w:t>
            </w:r>
          </w:p>
        </w:tc>
        <w:tc>
          <w:tcPr>
            <w:tcW w:w="739" w:type="dxa"/>
          </w:tcPr>
          <w:p/>
        </w:tc>
        <w:tc>
          <w:tcPr>
            <w:tcW w:w="879" w:type="dxa"/>
          </w:tcPr>
          <w:p/>
        </w:tc>
        <w:tc>
          <w:tcPr>
            <w:tcW w:w="879" w:type="dxa"/>
          </w:tcPr>
          <w:p/>
        </w:tc>
        <w:tc>
          <w:tcPr>
            <w:tcW w:w="1179" w:type="dxa"/>
          </w:tcPr>
          <w:p/>
        </w:tc>
        <w:tc>
          <w:tcPr>
            <w:tcW w:w="569" w:type="dxa"/>
          </w:tcPr>
          <w:p/>
        </w:tc>
        <w:tc>
          <w:tcPr>
            <w:tcW w:w="879" w:type="dxa"/>
          </w:tcPr>
          <w:p/>
        </w:tc>
        <w:tc>
          <w:tcPr>
            <w:tcW w:w="874" w:type="dxa"/>
          </w:tcPr>
          <w:p/>
        </w:tc>
      </w:tr>
      <w:tr>
        <w:tblPrEx>
          <w:tblInd w:w="680" w:type="dxa"/>
          <w:tblLayout w:type="fixed"/>
          <w:tblCellMar>
            <w:top w:w="0" w:type="dxa"/>
            <w:left w:w="0" w:type="dxa"/>
            <w:bottom w:w="0" w:type="dxa"/>
            <w:right w:w="0" w:type="dxa"/>
          </w:tblCellMar>
          <w:tblLook w:val="0000"/>
        </w:tblPrEx>
        <w:trPr>
          <w:trHeight w:val="319"/>
        </w:trPr>
        <w:tc>
          <w:tcPr>
            <w:tcW w:w="394" w:type="dxa"/>
          </w:tcPr>
          <w:p>
            <w:pPr>
              <w:pStyle w:val="TableText"/>
              <w:spacing w:before="117" w:line="177" w:lineRule="auto"/>
              <w:ind w:left="134"/>
              <w:rPr>
                <w:sz w:val="20"/>
                <w:szCs w:val="20"/>
              </w:rPr>
            </w:pPr>
            <w:r>
              <w:rPr>
                <w:sz w:val="20"/>
                <w:szCs w:val="20"/>
              </w:rPr>
              <w:t>1</w:t>
            </w:r>
          </w:p>
        </w:tc>
        <w:tc>
          <w:tcPr>
            <w:tcW w:w="2127" w:type="dxa"/>
          </w:tcPr>
          <w:p>
            <w:pPr>
              <w:pStyle w:val="TableText"/>
              <w:spacing w:before="66" w:line="219" w:lineRule="auto"/>
              <w:ind w:left="350"/>
              <w:rPr>
                <w:sz w:val="20"/>
                <w:szCs w:val="20"/>
              </w:rPr>
            </w:pPr>
            <w:r>
              <w:rPr>
                <w:spacing w:val="-2"/>
                <w:sz w:val="20"/>
                <w:szCs w:val="20"/>
              </w:rPr>
              <w:t>财务内部收益率</w:t>
            </w:r>
          </w:p>
        </w:tc>
        <w:tc>
          <w:tcPr>
            <w:tcW w:w="739" w:type="dxa"/>
          </w:tcPr>
          <w:p/>
        </w:tc>
        <w:tc>
          <w:tcPr>
            <w:tcW w:w="879" w:type="dxa"/>
          </w:tcPr>
          <w:p/>
        </w:tc>
        <w:tc>
          <w:tcPr>
            <w:tcW w:w="879" w:type="dxa"/>
          </w:tcPr>
          <w:p/>
        </w:tc>
        <w:tc>
          <w:tcPr>
            <w:tcW w:w="1179" w:type="dxa"/>
          </w:tcPr>
          <w:p/>
        </w:tc>
        <w:tc>
          <w:tcPr>
            <w:tcW w:w="569" w:type="dxa"/>
          </w:tcPr>
          <w:p/>
        </w:tc>
        <w:tc>
          <w:tcPr>
            <w:tcW w:w="879" w:type="dxa"/>
          </w:tcPr>
          <w:p/>
        </w:tc>
        <w:tc>
          <w:tcPr>
            <w:tcW w:w="874" w:type="dxa"/>
          </w:tcPr>
          <w:p/>
        </w:tc>
      </w:tr>
      <w:tr>
        <w:tblPrEx>
          <w:tblInd w:w="680" w:type="dxa"/>
          <w:tblLayout w:type="fixed"/>
          <w:tblCellMar>
            <w:top w:w="0" w:type="dxa"/>
            <w:left w:w="0" w:type="dxa"/>
            <w:bottom w:w="0" w:type="dxa"/>
            <w:right w:w="0" w:type="dxa"/>
          </w:tblCellMar>
          <w:tblLook w:val="0000"/>
        </w:tblPrEx>
        <w:trPr>
          <w:trHeight w:val="320"/>
        </w:trPr>
        <w:tc>
          <w:tcPr>
            <w:tcW w:w="394" w:type="dxa"/>
          </w:tcPr>
          <w:p>
            <w:pPr>
              <w:pStyle w:val="TableText"/>
              <w:spacing w:before="118" w:line="177" w:lineRule="auto"/>
              <w:ind w:left="134"/>
              <w:rPr>
                <w:sz w:val="20"/>
                <w:szCs w:val="20"/>
              </w:rPr>
            </w:pPr>
            <w:r>
              <w:rPr>
                <w:sz w:val="20"/>
                <w:szCs w:val="20"/>
              </w:rPr>
              <w:t>2</w:t>
            </w:r>
          </w:p>
        </w:tc>
        <w:tc>
          <w:tcPr>
            <w:tcW w:w="2127" w:type="dxa"/>
          </w:tcPr>
          <w:p>
            <w:pPr>
              <w:pStyle w:val="TableText"/>
              <w:spacing w:before="67" w:line="219" w:lineRule="auto"/>
              <w:ind w:left="250"/>
              <w:rPr>
                <w:sz w:val="20"/>
                <w:szCs w:val="20"/>
              </w:rPr>
            </w:pPr>
            <w:r>
              <w:rPr>
                <w:spacing w:val="4"/>
                <w:sz w:val="20"/>
                <w:szCs w:val="20"/>
              </w:rPr>
              <w:t>财务净现值(万元)</w:t>
            </w:r>
          </w:p>
        </w:tc>
        <w:tc>
          <w:tcPr>
            <w:tcW w:w="739" w:type="dxa"/>
          </w:tcPr>
          <w:p/>
        </w:tc>
        <w:tc>
          <w:tcPr>
            <w:tcW w:w="879" w:type="dxa"/>
          </w:tcPr>
          <w:p/>
        </w:tc>
        <w:tc>
          <w:tcPr>
            <w:tcW w:w="879" w:type="dxa"/>
          </w:tcPr>
          <w:p/>
        </w:tc>
        <w:tc>
          <w:tcPr>
            <w:tcW w:w="1179" w:type="dxa"/>
          </w:tcPr>
          <w:p/>
        </w:tc>
        <w:tc>
          <w:tcPr>
            <w:tcW w:w="569" w:type="dxa"/>
          </w:tcPr>
          <w:p/>
        </w:tc>
        <w:tc>
          <w:tcPr>
            <w:tcW w:w="879" w:type="dxa"/>
          </w:tcPr>
          <w:p/>
        </w:tc>
        <w:tc>
          <w:tcPr>
            <w:tcW w:w="874" w:type="dxa"/>
          </w:tcPr>
          <w:p/>
        </w:tc>
      </w:tr>
      <w:tr>
        <w:tblPrEx>
          <w:tblInd w:w="680" w:type="dxa"/>
          <w:tblLayout w:type="fixed"/>
          <w:tblCellMar>
            <w:top w:w="0" w:type="dxa"/>
            <w:left w:w="0" w:type="dxa"/>
            <w:bottom w:w="0" w:type="dxa"/>
            <w:right w:w="0" w:type="dxa"/>
          </w:tblCellMar>
          <w:tblLook w:val="0000"/>
        </w:tblPrEx>
        <w:trPr>
          <w:trHeight w:val="304"/>
        </w:trPr>
        <w:tc>
          <w:tcPr>
            <w:tcW w:w="394" w:type="dxa"/>
          </w:tcPr>
          <w:p>
            <w:pPr>
              <w:pStyle w:val="TableText"/>
              <w:spacing w:before="108" w:line="171" w:lineRule="auto"/>
              <w:ind w:left="134"/>
              <w:rPr>
                <w:sz w:val="20"/>
                <w:szCs w:val="20"/>
              </w:rPr>
            </w:pPr>
            <w:r>
              <w:rPr>
                <w:sz w:val="20"/>
                <w:szCs w:val="20"/>
              </w:rPr>
              <w:t>3</w:t>
            </w:r>
          </w:p>
        </w:tc>
        <w:tc>
          <w:tcPr>
            <w:tcW w:w="2127" w:type="dxa"/>
          </w:tcPr>
          <w:p>
            <w:pPr>
              <w:pStyle w:val="TableText"/>
              <w:spacing w:before="56" w:line="219" w:lineRule="auto"/>
              <w:ind w:left="151"/>
              <w:rPr>
                <w:sz w:val="20"/>
                <w:szCs w:val="20"/>
              </w:rPr>
            </w:pPr>
            <w:r>
              <w:rPr>
                <w:spacing w:val="4"/>
                <w:sz w:val="20"/>
                <w:szCs w:val="20"/>
              </w:rPr>
              <w:t>静态投资回收期(年)</w:t>
            </w:r>
          </w:p>
        </w:tc>
        <w:tc>
          <w:tcPr>
            <w:tcW w:w="739" w:type="dxa"/>
          </w:tcPr>
          <w:p/>
        </w:tc>
        <w:tc>
          <w:tcPr>
            <w:tcW w:w="879" w:type="dxa"/>
          </w:tcPr>
          <w:p/>
        </w:tc>
        <w:tc>
          <w:tcPr>
            <w:tcW w:w="879" w:type="dxa"/>
          </w:tcPr>
          <w:p/>
        </w:tc>
        <w:tc>
          <w:tcPr>
            <w:tcW w:w="1179" w:type="dxa"/>
          </w:tcPr>
          <w:p/>
        </w:tc>
        <w:tc>
          <w:tcPr>
            <w:tcW w:w="569" w:type="dxa"/>
          </w:tcPr>
          <w:p/>
        </w:tc>
        <w:tc>
          <w:tcPr>
            <w:tcW w:w="879" w:type="dxa"/>
          </w:tcPr>
          <w:p/>
        </w:tc>
        <w:tc>
          <w:tcPr>
            <w:tcW w:w="874" w:type="dxa"/>
          </w:tcPr>
          <w:p/>
        </w:tc>
      </w:tr>
    </w:tbl>
    <w:p>
      <w:pPr>
        <w:spacing w:line="284" w:lineRule="auto"/>
      </w:pPr>
    </w:p>
    <w:p>
      <w:pPr>
        <w:spacing w:line="285" w:lineRule="auto"/>
      </w:pPr>
    </w:p>
    <w:p>
      <w:pPr>
        <w:pStyle w:val="BodyText"/>
        <w:spacing w:before="68" w:line="222" w:lineRule="auto"/>
        <w:ind w:left="3303"/>
        <w:rPr>
          <w:sz w:val="21"/>
          <w:szCs w:val="21"/>
        </w:rPr>
      </w:pPr>
      <w:r>
        <w:rPr>
          <w:rFonts w:ascii="黑体" w:eastAsia="黑体" w:hAnsi="黑体" w:cs="黑体"/>
          <w:b/>
          <w:bCs/>
          <w:spacing w:val="1"/>
          <w:sz w:val="21"/>
          <w:szCs w:val="21"/>
        </w:rPr>
        <w:t>表4.1-3</w:t>
      </w:r>
      <w:r>
        <w:rPr>
          <w:spacing w:val="1"/>
          <w:sz w:val="21"/>
          <w:szCs w:val="21"/>
        </w:rPr>
        <w:t>敏感性系数和临界点分析表</w:t>
      </w:r>
    </w:p>
    <w:p>
      <w:pPr>
        <w:spacing w:line="175" w:lineRule="exact"/>
      </w:pPr>
    </w:p>
    <w:tbl>
      <w:tblPr>
        <w:tblStyle w:val="TableNormal19"/>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64"/>
        <w:gridCol w:w="1768"/>
        <w:gridCol w:w="1528"/>
        <w:gridCol w:w="1518"/>
        <w:gridCol w:w="1528"/>
        <w:gridCol w:w="1503"/>
      </w:tblGrid>
      <w:tr>
        <w:tblPrEx>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73"/>
        </w:trPr>
        <w:tc>
          <w:tcPr>
            <w:tcW w:w="664" w:type="dxa"/>
          </w:tcPr>
          <w:p>
            <w:pPr>
              <w:pStyle w:val="TableText"/>
              <w:spacing w:before="84" w:line="221" w:lineRule="auto"/>
              <w:ind w:left="114"/>
              <w:rPr>
                <w:sz w:val="21"/>
                <w:szCs w:val="21"/>
              </w:rPr>
            </w:pPr>
            <w:r>
              <w:rPr>
                <w:spacing w:val="6"/>
                <w:sz w:val="21"/>
                <w:szCs w:val="21"/>
              </w:rPr>
              <w:t>序号</w:t>
            </w:r>
          </w:p>
        </w:tc>
        <w:tc>
          <w:tcPr>
            <w:tcW w:w="1768" w:type="dxa"/>
          </w:tcPr>
          <w:p>
            <w:pPr>
              <w:pStyle w:val="TableText"/>
              <w:spacing w:before="83" w:line="219" w:lineRule="auto"/>
              <w:ind w:left="240"/>
              <w:rPr>
                <w:sz w:val="21"/>
                <w:szCs w:val="21"/>
              </w:rPr>
            </w:pPr>
            <w:r>
              <w:rPr>
                <w:spacing w:val="1"/>
                <w:sz w:val="21"/>
                <w:szCs w:val="21"/>
              </w:rPr>
              <w:t>不确定性因素</w:t>
            </w:r>
          </w:p>
        </w:tc>
        <w:tc>
          <w:tcPr>
            <w:tcW w:w="1528" w:type="dxa"/>
          </w:tcPr>
          <w:p>
            <w:pPr>
              <w:pStyle w:val="TableText"/>
              <w:spacing w:before="83" w:line="219" w:lineRule="auto"/>
              <w:ind w:left="192"/>
              <w:rPr>
                <w:sz w:val="21"/>
                <w:szCs w:val="21"/>
              </w:rPr>
            </w:pPr>
            <w:r>
              <w:rPr>
                <w:spacing w:val="6"/>
                <w:sz w:val="21"/>
                <w:szCs w:val="21"/>
              </w:rPr>
              <w:t>变化率(%)</w:t>
            </w:r>
          </w:p>
        </w:tc>
        <w:tc>
          <w:tcPr>
            <w:tcW w:w="1518" w:type="dxa"/>
          </w:tcPr>
          <w:p>
            <w:pPr>
              <w:pStyle w:val="TableText"/>
              <w:spacing w:before="83" w:line="219" w:lineRule="auto"/>
              <w:ind w:left="244"/>
              <w:rPr>
                <w:sz w:val="21"/>
                <w:szCs w:val="21"/>
              </w:rPr>
            </w:pPr>
            <w:r>
              <w:rPr>
                <w:spacing w:val="1"/>
                <w:sz w:val="21"/>
                <w:szCs w:val="21"/>
              </w:rPr>
              <w:t>内部收益率</w:t>
            </w:r>
          </w:p>
        </w:tc>
        <w:tc>
          <w:tcPr>
            <w:tcW w:w="1528" w:type="dxa"/>
          </w:tcPr>
          <w:p>
            <w:pPr>
              <w:pStyle w:val="TableText"/>
              <w:spacing w:before="83" w:line="219" w:lineRule="auto"/>
              <w:ind w:left="247"/>
              <w:rPr>
                <w:sz w:val="21"/>
                <w:szCs w:val="21"/>
              </w:rPr>
            </w:pPr>
            <w:r>
              <w:rPr>
                <w:spacing w:val="-2"/>
                <w:sz w:val="21"/>
                <w:szCs w:val="21"/>
              </w:rPr>
              <w:t>敏感度系数</w:t>
            </w:r>
          </w:p>
        </w:tc>
        <w:tc>
          <w:tcPr>
            <w:tcW w:w="1503" w:type="dxa"/>
          </w:tcPr>
          <w:p>
            <w:pPr>
              <w:pStyle w:val="TableText"/>
              <w:spacing w:before="83" w:line="219" w:lineRule="auto"/>
              <w:ind w:left="188"/>
              <w:rPr>
                <w:sz w:val="21"/>
                <w:szCs w:val="21"/>
              </w:rPr>
            </w:pPr>
            <w:r>
              <w:rPr>
                <w:spacing w:val="6"/>
                <w:sz w:val="21"/>
                <w:szCs w:val="21"/>
              </w:rPr>
              <w:t>临界点(%)</w:t>
            </w:r>
          </w:p>
        </w:tc>
      </w:tr>
      <w:tr>
        <w:tblPrEx>
          <w:tblInd w:w="690" w:type="dxa"/>
          <w:tblLayout w:type="fixed"/>
          <w:tblCellMar>
            <w:top w:w="0" w:type="dxa"/>
            <w:left w:w="0" w:type="dxa"/>
            <w:bottom w:w="0" w:type="dxa"/>
            <w:right w:w="0" w:type="dxa"/>
          </w:tblCellMar>
          <w:tblLook w:val="0000"/>
        </w:tblPrEx>
        <w:trPr>
          <w:trHeight w:val="348"/>
        </w:trPr>
        <w:tc>
          <w:tcPr>
            <w:tcW w:w="664" w:type="dxa"/>
          </w:tcPr>
          <w:p>
            <w:pPr>
              <w:pStyle w:val="TableText"/>
              <w:spacing w:before="123" w:line="184" w:lineRule="auto"/>
              <w:ind w:left="265"/>
              <w:rPr>
                <w:sz w:val="21"/>
                <w:szCs w:val="21"/>
              </w:rPr>
            </w:pPr>
            <w:r>
              <w:rPr>
                <w:sz w:val="21"/>
                <w:szCs w:val="21"/>
              </w:rPr>
              <w:t>1</w:t>
            </w:r>
          </w:p>
        </w:tc>
        <w:tc>
          <w:tcPr>
            <w:tcW w:w="1768" w:type="dxa"/>
          </w:tcPr>
          <w:p>
            <w:pPr>
              <w:pStyle w:val="TableText"/>
              <w:spacing w:before="69" w:line="219" w:lineRule="auto"/>
              <w:ind w:left="451"/>
              <w:rPr>
                <w:sz w:val="21"/>
                <w:szCs w:val="21"/>
              </w:rPr>
            </w:pPr>
            <w:r>
              <w:rPr>
                <w:spacing w:val="-2"/>
                <w:sz w:val="21"/>
                <w:szCs w:val="21"/>
              </w:rPr>
              <w:t>基本方案</w:t>
            </w:r>
          </w:p>
        </w:tc>
        <w:tc>
          <w:tcPr>
            <w:tcW w:w="1528" w:type="dxa"/>
          </w:tcPr>
          <w:p/>
        </w:tc>
        <w:tc>
          <w:tcPr>
            <w:tcW w:w="1518" w:type="dxa"/>
          </w:tcPr>
          <w:p/>
        </w:tc>
        <w:tc>
          <w:tcPr>
            <w:tcW w:w="1528" w:type="dxa"/>
          </w:tcPr>
          <w:p/>
        </w:tc>
        <w:tc>
          <w:tcPr>
            <w:tcW w:w="1503" w:type="dxa"/>
          </w:tcPr>
          <w:p/>
        </w:tc>
      </w:tr>
      <w:tr>
        <w:tblPrEx>
          <w:tblInd w:w="690" w:type="dxa"/>
          <w:tblLayout w:type="fixed"/>
          <w:tblCellMar>
            <w:top w:w="0" w:type="dxa"/>
            <w:left w:w="0" w:type="dxa"/>
            <w:bottom w:w="0" w:type="dxa"/>
            <w:right w:w="0" w:type="dxa"/>
          </w:tblCellMar>
          <w:tblLook w:val="0000"/>
        </w:tblPrEx>
        <w:trPr>
          <w:trHeight w:val="348"/>
        </w:trPr>
        <w:tc>
          <w:tcPr>
            <w:tcW w:w="664" w:type="dxa"/>
          </w:tcPr>
          <w:p>
            <w:pPr>
              <w:pStyle w:val="TableText"/>
              <w:spacing w:before="126" w:line="183" w:lineRule="auto"/>
              <w:ind w:left="265"/>
              <w:rPr>
                <w:sz w:val="21"/>
                <w:szCs w:val="21"/>
              </w:rPr>
            </w:pPr>
            <w:r>
              <w:rPr>
                <w:sz w:val="21"/>
                <w:szCs w:val="21"/>
              </w:rPr>
              <w:t>2</w:t>
            </w:r>
          </w:p>
        </w:tc>
        <w:tc>
          <w:tcPr>
            <w:tcW w:w="1768" w:type="dxa"/>
          </w:tcPr>
          <w:p>
            <w:pPr>
              <w:pStyle w:val="TableText"/>
              <w:spacing w:before="72" w:line="219" w:lineRule="auto"/>
              <w:ind w:left="660"/>
              <w:rPr>
                <w:sz w:val="21"/>
                <w:szCs w:val="21"/>
              </w:rPr>
            </w:pPr>
            <w:r>
              <w:rPr>
                <w:spacing w:val="4"/>
                <w:sz w:val="21"/>
                <w:szCs w:val="21"/>
              </w:rPr>
              <w:t>收入</w:t>
            </w:r>
          </w:p>
        </w:tc>
        <w:tc>
          <w:tcPr>
            <w:tcW w:w="1528" w:type="dxa"/>
          </w:tcPr>
          <w:p/>
        </w:tc>
        <w:tc>
          <w:tcPr>
            <w:tcW w:w="1518" w:type="dxa"/>
          </w:tcPr>
          <w:p/>
        </w:tc>
        <w:tc>
          <w:tcPr>
            <w:tcW w:w="1528" w:type="dxa"/>
          </w:tcPr>
          <w:p/>
        </w:tc>
        <w:tc>
          <w:tcPr>
            <w:tcW w:w="1503" w:type="dxa"/>
          </w:tcPr>
          <w:p/>
        </w:tc>
      </w:tr>
      <w:tr>
        <w:tblPrEx>
          <w:tblInd w:w="690" w:type="dxa"/>
          <w:tblLayout w:type="fixed"/>
          <w:tblCellMar>
            <w:top w:w="0" w:type="dxa"/>
            <w:left w:w="0" w:type="dxa"/>
            <w:bottom w:w="0" w:type="dxa"/>
            <w:right w:w="0" w:type="dxa"/>
          </w:tblCellMar>
          <w:tblLook w:val="0000"/>
        </w:tblPrEx>
        <w:trPr>
          <w:trHeight w:val="368"/>
        </w:trPr>
        <w:tc>
          <w:tcPr>
            <w:tcW w:w="664" w:type="dxa"/>
          </w:tcPr>
          <w:p>
            <w:pPr>
              <w:pStyle w:val="TableText"/>
              <w:spacing w:before="138" w:line="183" w:lineRule="auto"/>
              <w:ind w:left="265"/>
              <w:rPr>
                <w:sz w:val="21"/>
                <w:szCs w:val="21"/>
              </w:rPr>
            </w:pPr>
            <w:r>
              <w:rPr>
                <w:sz w:val="21"/>
                <w:szCs w:val="21"/>
              </w:rPr>
              <w:t>3</w:t>
            </w:r>
          </w:p>
        </w:tc>
        <w:tc>
          <w:tcPr>
            <w:tcW w:w="1768" w:type="dxa"/>
          </w:tcPr>
          <w:p>
            <w:pPr>
              <w:pStyle w:val="TableText"/>
              <w:spacing w:before="84" w:line="219" w:lineRule="auto"/>
              <w:ind w:left="240"/>
              <w:rPr>
                <w:sz w:val="21"/>
                <w:szCs w:val="21"/>
              </w:rPr>
            </w:pPr>
            <w:r>
              <w:rPr>
                <w:spacing w:val="2"/>
                <w:sz w:val="21"/>
                <w:szCs w:val="21"/>
              </w:rPr>
              <w:t>固定资产投资</w:t>
            </w:r>
          </w:p>
        </w:tc>
        <w:tc>
          <w:tcPr>
            <w:tcW w:w="1528" w:type="dxa"/>
          </w:tcPr>
          <w:p/>
        </w:tc>
        <w:tc>
          <w:tcPr>
            <w:tcW w:w="1518" w:type="dxa"/>
          </w:tcPr>
          <w:p/>
        </w:tc>
        <w:tc>
          <w:tcPr>
            <w:tcW w:w="1528" w:type="dxa"/>
          </w:tcPr>
          <w:p/>
        </w:tc>
        <w:tc>
          <w:tcPr>
            <w:tcW w:w="1503" w:type="dxa"/>
          </w:tcPr>
          <w:p/>
        </w:tc>
      </w:tr>
      <w:tr>
        <w:tblPrEx>
          <w:tblInd w:w="690" w:type="dxa"/>
          <w:tblLayout w:type="fixed"/>
          <w:tblCellMar>
            <w:top w:w="0" w:type="dxa"/>
            <w:left w:w="0" w:type="dxa"/>
            <w:bottom w:w="0" w:type="dxa"/>
            <w:right w:w="0" w:type="dxa"/>
          </w:tblCellMar>
          <w:tblLook w:val="0000"/>
        </w:tblPrEx>
        <w:trPr>
          <w:trHeight w:val="363"/>
        </w:trPr>
        <w:tc>
          <w:tcPr>
            <w:tcW w:w="664" w:type="dxa"/>
          </w:tcPr>
          <w:p>
            <w:pPr>
              <w:pStyle w:val="TableText"/>
              <w:spacing w:before="140" w:line="183" w:lineRule="auto"/>
              <w:ind w:left="265"/>
              <w:rPr>
                <w:sz w:val="21"/>
                <w:szCs w:val="21"/>
              </w:rPr>
            </w:pPr>
            <w:r>
              <w:rPr>
                <w:sz w:val="21"/>
                <w:szCs w:val="21"/>
              </w:rPr>
              <w:t>4</w:t>
            </w:r>
          </w:p>
        </w:tc>
        <w:tc>
          <w:tcPr>
            <w:tcW w:w="1768" w:type="dxa"/>
          </w:tcPr>
          <w:p>
            <w:pPr>
              <w:pStyle w:val="TableText"/>
              <w:spacing w:before="85" w:line="219" w:lineRule="auto"/>
              <w:ind w:left="451"/>
              <w:rPr>
                <w:sz w:val="21"/>
                <w:szCs w:val="21"/>
              </w:rPr>
            </w:pPr>
            <w:r>
              <w:rPr>
                <w:spacing w:val="-2"/>
                <w:sz w:val="21"/>
                <w:szCs w:val="21"/>
              </w:rPr>
              <w:t>经营成本</w:t>
            </w:r>
          </w:p>
        </w:tc>
        <w:tc>
          <w:tcPr>
            <w:tcW w:w="1528" w:type="dxa"/>
          </w:tcPr>
          <w:p/>
        </w:tc>
        <w:tc>
          <w:tcPr>
            <w:tcW w:w="1518" w:type="dxa"/>
          </w:tcPr>
          <w:p/>
        </w:tc>
        <w:tc>
          <w:tcPr>
            <w:tcW w:w="1528" w:type="dxa"/>
          </w:tcPr>
          <w:p/>
        </w:tc>
        <w:tc>
          <w:tcPr>
            <w:tcW w:w="1503" w:type="dxa"/>
          </w:tcPr>
          <w:p/>
        </w:tc>
      </w:tr>
    </w:tbl>
    <w:p>
      <w:pPr>
        <w:spacing w:line="266" w:lineRule="auto"/>
      </w:pPr>
    </w:p>
    <w:p>
      <w:pPr>
        <w:spacing w:line="266" w:lineRule="auto"/>
      </w:pPr>
    </w:p>
    <w:p>
      <w:pPr>
        <w:spacing w:line="267" w:lineRule="auto"/>
      </w:pPr>
    </w:p>
    <w:p>
      <w:pPr>
        <w:pStyle w:val="BodyText"/>
        <w:spacing w:before="69" w:line="222" w:lineRule="auto"/>
        <w:ind w:left="1390"/>
        <w:rPr>
          <w:rFonts w:ascii="黑体" w:eastAsia="黑体" w:hAnsi="黑体" w:cs="黑体"/>
          <w:sz w:val="21"/>
          <w:szCs w:val="21"/>
        </w:rPr>
      </w:pPr>
      <w:r>
        <w:rPr>
          <w:spacing w:val="-8"/>
          <w:sz w:val="21"/>
          <w:szCs w:val="21"/>
        </w:rPr>
        <w:t>4.2</w:t>
      </w:r>
      <w:r>
        <w:rPr>
          <w:spacing w:val="22"/>
          <w:sz w:val="21"/>
          <w:szCs w:val="21"/>
        </w:rPr>
        <w:t xml:space="preserve">   </w:t>
      </w:r>
      <w:r>
        <w:rPr>
          <w:rFonts w:ascii="黑体" w:eastAsia="黑体" w:hAnsi="黑体" w:cs="黑体"/>
          <w:spacing w:val="-8"/>
          <w:sz w:val="21"/>
          <w:szCs w:val="21"/>
        </w:rPr>
        <w:t>风险分析</w:t>
      </w:r>
    </w:p>
    <w:p>
      <w:pPr>
        <w:spacing w:line="415" w:lineRule="auto"/>
      </w:pPr>
    </w:p>
    <w:p>
      <w:pPr>
        <w:pStyle w:val="BodyText"/>
        <w:spacing w:before="69" w:line="414" w:lineRule="auto"/>
        <w:ind w:left="799" w:right="735" w:firstLine="430"/>
        <w:jc w:val="both"/>
        <w:rPr>
          <w:sz w:val="21"/>
          <w:szCs w:val="21"/>
        </w:rPr>
      </w:pPr>
      <w:r>
        <w:rPr>
          <w:spacing w:val="-3"/>
          <w:sz w:val="21"/>
          <w:szCs w:val="21"/>
        </w:rPr>
        <w:t>风险分析是通过对风险因素的识别，采用定性与定量相结合的方法</w:t>
      </w:r>
      <w:r>
        <w:rPr>
          <w:spacing w:val="-4"/>
          <w:sz w:val="21"/>
          <w:szCs w:val="21"/>
        </w:rPr>
        <w:t>，估计各风险因素发</w:t>
      </w:r>
      <w:r>
        <w:rPr>
          <w:sz w:val="21"/>
          <w:szCs w:val="21"/>
        </w:rPr>
        <w:t xml:space="preserve">  </w:t>
      </w:r>
      <w:r>
        <w:rPr>
          <w:spacing w:val="-5"/>
          <w:sz w:val="21"/>
          <w:szCs w:val="21"/>
        </w:rPr>
        <w:t>生的可能性及对项目的影响程度，揭示影响项</w:t>
      </w:r>
      <w:r>
        <w:rPr>
          <w:spacing w:val="-6"/>
          <w:sz w:val="21"/>
          <w:szCs w:val="21"/>
        </w:rPr>
        <w:t>目成败的关键风险因素，提出项目风险的预警、</w:t>
      </w:r>
      <w:r>
        <w:rPr>
          <w:sz w:val="21"/>
          <w:szCs w:val="21"/>
        </w:rPr>
        <w:t xml:space="preserve"> </w:t>
      </w:r>
      <w:r>
        <w:rPr>
          <w:spacing w:val="-3"/>
          <w:sz w:val="21"/>
          <w:szCs w:val="21"/>
        </w:rPr>
        <w:t>预报和相应的对策，支撑投资决策。风险分析过程包括风险识别、风险估计、风险评价与风</w:t>
      </w:r>
    </w:p>
    <w:p>
      <w:pPr>
        <w:pStyle w:val="BodyText"/>
        <w:spacing w:line="220" w:lineRule="auto"/>
        <w:ind w:left="799"/>
        <w:rPr>
          <w:sz w:val="21"/>
          <w:szCs w:val="21"/>
        </w:rPr>
      </w:pPr>
      <w:r>
        <w:rPr>
          <w:spacing w:val="-5"/>
          <w:sz w:val="21"/>
          <w:szCs w:val="21"/>
        </w:rPr>
        <w:t>险应对。</w:t>
      </w:r>
    </w:p>
    <w:p>
      <w:pPr>
        <w:spacing w:line="443" w:lineRule="auto"/>
      </w:pPr>
    </w:p>
    <w:p>
      <w:pPr>
        <w:spacing w:before="69" w:line="222" w:lineRule="auto"/>
        <w:ind w:left="2512"/>
        <w:outlineLvl w:val="2"/>
        <w:rPr>
          <w:rFonts w:ascii="黑体" w:eastAsia="黑体" w:hAnsi="黑体" w:cs="黑体"/>
        </w:rPr>
      </w:pPr>
      <w:r>
        <w:rPr>
          <w:rFonts w:ascii="黑体" w:eastAsia="黑体" w:hAnsi="黑体" w:cs="黑体"/>
          <w:b/>
          <w:bCs/>
          <w:spacing w:val="-7"/>
          <w:sz w:val="21"/>
          <w:szCs w:val="21"/>
        </w:rPr>
        <w:t>4.2.1</w:t>
      </w:r>
      <w:r>
        <w:rPr>
          <w:rFonts w:ascii="黑体" w:eastAsia="黑体" w:hAnsi="黑体" w:cs="黑体"/>
          <w:spacing w:val="-7"/>
          <w:sz w:val="21"/>
          <w:szCs w:val="21"/>
        </w:rPr>
        <w:t xml:space="preserve">   </w:t>
      </w:r>
      <w:r>
        <w:rPr>
          <w:rFonts w:ascii="黑体" w:eastAsia="黑体" w:hAnsi="黑体" w:cs="黑体"/>
          <w:b/>
          <w:bCs/>
          <w:spacing w:val="-7"/>
          <w:sz w:val="21"/>
          <w:szCs w:val="21"/>
        </w:rPr>
        <w:t>风险分析内容</w:t>
      </w:r>
    </w:p>
    <w:p>
      <w:pPr>
        <w:spacing w:line="428" w:lineRule="auto"/>
      </w:pPr>
    </w:p>
    <w:p>
      <w:pPr>
        <w:pStyle w:val="BodyText"/>
        <w:spacing w:before="69" w:line="220" w:lineRule="auto"/>
        <w:ind w:left="1312"/>
        <w:rPr>
          <w:sz w:val="21"/>
          <w:szCs w:val="21"/>
        </w:rPr>
      </w:pPr>
      <w:r>
        <w:rPr>
          <w:b/>
          <w:bCs/>
          <w:spacing w:val="-6"/>
          <w:sz w:val="21"/>
          <w:szCs w:val="21"/>
        </w:rPr>
        <w:t>(1)</w:t>
      </w:r>
      <w:r>
        <w:rPr>
          <w:spacing w:val="5"/>
          <w:sz w:val="21"/>
          <w:szCs w:val="21"/>
        </w:rPr>
        <w:t xml:space="preserve">    </w:t>
      </w:r>
      <w:r>
        <w:rPr>
          <w:b/>
          <w:bCs/>
          <w:spacing w:val="-6"/>
          <w:sz w:val="21"/>
          <w:szCs w:val="21"/>
        </w:rPr>
        <w:t>风险识别</w:t>
      </w:r>
    </w:p>
    <w:p>
      <w:pPr>
        <w:pStyle w:val="BodyText"/>
        <w:spacing w:before="192" w:line="480" w:lineRule="exact"/>
        <w:ind w:left="1210"/>
        <w:rPr>
          <w:sz w:val="21"/>
          <w:szCs w:val="21"/>
        </w:rPr>
      </w:pPr>
      <w:r>
        <w:rPr>
          <w:spacing w:val="-3"/>
          <w:position w:val="20"/>
          <w:sz w:val="21"/>
          <w:szCs w:val="21"/>
        </w:rPr>
        <w:t>风险识别是风险分析的基础，运用系统论的方法对项目进行全面考察综合分析，找出潜</w:t>
      </w:r>
    </w:p>
    <w:p>
      <w:pPr>
        <w:pStyle w:val="BodyText"/>
        <w:spacing w:line="219" w:lineRule="auto"/>
        <w:ind w:left="799"/>
        <w:rPr>
          <w:sz w:val="21"/>
          <w:szCs w:val="21"/>
        </w:rPr>
      </w:pPr>
      <w:r>
        <w:rPr>
          <w:spacing w:val="-3"/>
          <w:sz w:val="21"/>
          <w:szCs w:val="21"/>
        </w:rPr>
        <w:t>在的各种风险因素，并对各种风险进行比较、分类，确定各因素间的相</w:t>
      </w:r>
      <w:r>
        <w:rPr>
          <w:spacing w:val="-4"/>
          <w:sz w:val="21"/>
          <w:szCs w:val="21"/>
        </w:rPr>
        <w:t>关性与独立性，判断</w:t>
      </w:r>
    </w:p>
    <w:p>
      <w:pPr>
        <w:spacing w:line="219" w:lineRule="auto"/>
        <w:sectPr>
          <w:headerReference w:type="default" r:id="rId70"/>
          <w:footerReference w:type="default" r:id="rId71"/>
          <w:pgSz w:w="11910" w:h="16840"/>
          <w:pgMar w:top="400" w:right="989" w:bottom="1182" w:left="999" w:header="0" w:footer="969" w:gutter="0"/>
          <w:pgNumType w:start="29"/>
          <w:cols w:space="708"/>
        </w:sectPr>
      </w:pPr>
    </w:p>
    <w:p>
      <w:pPr>
        <w:spacing w:before="193"/>
      </w:pPr>
    </w:p>
    <w:tbl>
      <w:tblPr>
        <w:tblStyle w:val="TableNormal2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69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20" w:type="dxa"/>
            <w:tcBorders>
              <w:left w:val="nil"/>
            </w:tcBorders>
          </w:tcPr>
          <w:p>
            <w:pPr>
              <w:pStyle w:val="TableText"/>
              <w:spacing w:before="51" w:line="215" w:lineRule="auto"/>
              <w:ind w:left="123"/>
            </w:pPr>
            <w:bookmarkStart w:id="34" w:name="bookmark35"/>
            <w:bookmarkStart w:id="35" w:name="bookmark36"/>
            <w:bookmarkEnd w:id="34"/>
            <w:bookmarkEnd w:id="35"/>
            <w:r>
              <w:rPr>
                <w:b/>
                <w:bCs/>
                <w:spacing w:val="-5"/>
              </w:rPr>
              <w:t>编号：</w:t>
            </w:r>
          </w:p>
          <w:p>
            <w:pPr>
              <w:pStyle w:val="TableText"/>
              <w:spacing w:line="219" w:lineRule="auto"/>
              <w:ind w:left="143"/>
            </w:pPr>
            <w:r>
              <w:rPr>
                <w:b/>
                <w:bCs/>
              </w:rPr>
              <w:t>时间：2021年x月x日</w:t>
            </w:r>
          </w:p>
        </w:tc>
        <w:tc>
          <w:tcPr>
            <w:tcW w:w="4690" w:type="dxa"/>
          </w:tcPr>
          <w:p>
            <w:pPr>
              <w:spacing w:line="250" w:lineRule="auto"/>
            </w:pPr>
          </w:p>
          <w:p>
            <w:pPr>
              <w:pStyle w:val="TableText"/>
              <w:spacing w:before="78" w:line="219" w:lineRule="auto"/>
              <w:ind w:left="298"/>
            </w:pPr>
            <w:r>
              <w:rPr>
                <w:b/>
                <w:bCs/>
                <w:color w:val="F30000"/>
                <w:spacing w:val="-4"/>
              </w:rPr>
              <w:t>书山有路勤为径，学海无涯苦作舟</w:t>
            </w:r>
          </w:p>
        </w:tc>
        <w:tc>
          <w:tcPr>
            <w:tcW w:w="2690" w:type="dxa"/>
            <w:tcBorders>
              <w:right w:val="nil"/>
            </w:tcBorders>
          </w:tcPr>
          <w:p>
            <w:pPr>
              <w:spacing w:line="252" w:lineRule="auto"/>
            </w:pPr>
          </w:p>
          <w:p>
            <w:pPr>
              <w:pStyle w:val="TableText"/>
              <w:spacing w:before="78" w:line="219" w:lineRule="auto"/>
              <w:ind w:left="128"/>
            </w:pPr>
            <w:r>
              <w:rPr>
                <w:b/>
                <w:bCs/>
                <w:spacing w:val="-2"/>
              </w:rPr>
              <w:t>页码：第21页共70页</w:t>
            </w:r>
          </w:p>
        </w:tc>
      </w:tr>
    </w:tbl>
    <w:p>
      <w:pPr>
        <w:spacing w:line="304" w:lineRule="auto"/>
      </w:pPr>
    </w:p>
    <w:p>
      <w:pPr>
        <w:pStyle w:val="BodyText"/>
        <w:spacing w:before="68" w:line="220" w:lineRule="auto"/>
        <w:ind w:left="799"/>
        <w:rPr>
          <w:sz w:val="21"/>
          <w:szCs w:val="21"/>
        </w:rPr>
      </w:pPr>
      <w:r>
        <w:rPr>
          <w:spacing w:val="-3"/>
          <w:sz w:val="21"/>
          <w:szCs w:val="21"/>
        </w:rPr>
        <w:t>其发生的可能性及对项目的影响程度。</w:t>
      </w:r>
    </w:p>
    <w:p>
      <w:pPr>
        <w:pStyle w:val="BodyText"/>
        <w:spacing w:before="204" w:line="424" w:lineRule="auto"/>
        <w:ind w:left="799" w:right="787" w:firstLine="420"/>
        <w:jc w:val="both"/>
        <w:rPr>
          <w:sz w:val="21"/>
          <w:szCs w:val="21"/>
        </w:rPr>
      </w:pPr>
      <w:r>
        <w:rPr>
          <w:spacing w:val="-1"/>
          <w:sz w:val="21"/>
          <w:szCs w:val="21"/>
        </w:rPr>
        <w:t xml:space="preserve">风险识别方法主要有专家调查法、历史记录统计法、现场调查法、故障树分析法 </w:t>
      </w:r>
      <w:r>
        <w:rPr>
          <w:rFonts w:ascii="Times New Roman" w:eastAsia="Times New Roman" w:hAnsi="Times New Roman" w:cs="Times New Roman"/>
          <w:spacing w:val="-1"/>
          <w:sz w:val="21"/>
          <w:szCs w:val="21"/>
        </w:rPr>
        <w:t>(FTA</w:t>
      </w:r>
      <w:r>
        <w:rPr>
          <w:rFonts w:ascii="Times New Roman" w:eastAsia="Times New Roman" w:hAnsi="Times New Roman" w:cs="Times New Roman"/>
          <w:spacing w:val="9"/>
          <w:sz w:val="21"/>
          <w:szCs w:val="21"/>
        </w:rPr>
        <w:t xml:space="preserve"> </w:t>
      </w:r>
      <w:r>
        <w:rPr>
          <w:sz w:val="21"/>
          <w:szCs w:val="21"/>
        </w:rPr>
        <w:t>法)、流程图法、聚类分析法、模糊识别法以及人工神经网络法等，</w:t>
      </w:r>
      <w:r>
        <w:rPr>
          <w:spacing w:val="-1"/>
          <w:sz w:val="21"/>
          <w:szCs w:val="21"/>
        </w:rPr>
        <w:t>应根据中国移动不同类</w:t>
      </w:r>
    </w:p>
    <w:p>
      <w:pPr>
        <w:pStyle w:val="BodyText"/>
        <w:spacing w:line="219" w:lineRule="auto"/>
        <w:ind w:left="799"/>
        <w:rPr>
          <w:sz w:val="21"/>
          <w:szCs w:val="21"/>
        </w:rPr>
      </w:pPr>
      <w:r>
        <w:rPr>
          <w:spacing w:val="-3"/>
          <w:sz w:val="21"/>
          <w:szCs w:val="21"/>
        </w:rPr>
        <w:t>型建设项目的特点选用适当的方法。</w:t>
      </w:r>
    </w:p>
    <w:p>
      <w:pPr>
        <w:pStyle w:val="BodyText"/>
        <w:spacing w:before="205" w:line="218" w:lineRule="auto"/>
        <w:ind w:left="1342"/>
        <w:rPr>
          <w:sz w:val="21"/>
          <w:szCs w:val="21"/>
        </w:rPr>
      </w:pPr>
      <w:r>
        <w:rPr>
          <w:b/>
          <w:bCs/>
          <w:spacing w:val="-10"/>
          <w:sz w:val="21"/>
          <w:szCs w:val="21"/>
        </w:rPr>
        <w:t>(2)</w:t>
      </w:r>
      <w:r>
        <w:rPr>
          <w:spacing w:val="5"/>
          <w:sz w:val="21"/>
          <w:szCs w:val="21"/>
        </w:rPr>
        <w:t xml:space="preserve">    </w:t>
      </w:r>
      <w:r>
        <w:rPr>
          <w:b/>
          <w:bCs/>
          <w:spacing w:val="-10"/>
          <w:sz w:val="21"/>
          <w:szCs w:val="21"/>
        </w:rPr>
        <w:t>风险估计</w:t>
      </w:r>
    </w:p>
    <w:p>
      <w:pPr>
        <w:pStyle w:val="BodyText"/>
        <w:spacing w:before="216" w:line="413" w:lineRule="auto"/>
        <w:ind w:left="799" w:right="770" w:firstLine="420"/>
        <w:jc w:val="both"/>
        <w:rPr>
          <w:sz w:val="21"/>
          <w:szCs w:val="21"/>
        </w:rPr>
      </w:pPr>
      <w:r>
        <w:rPr>
          <w:spacing w:val="-3"/>
          <w:sz w:val="21"/>
          <w:szCs w:val="21"/>
        </w:rPr>
        <w:t>风险估计又称风险测定、测试、衡量和估算等。风险估计是在风险识别</w:t>
      </w:r>
      <w:r>
        <w:rPr>
          <w:spacing w:val="-4"/>
          <w:sz w:val="21"/>
          <w:szCs w:val="21"/>
        </w:rPr>
        <w:t>之后，采用主观</w:t>
      </w:r>
      <w:r>
        <w:rPr>
          <w:sz w:val="21"/>
          <w:szCs w:val="21"/>
        </w:rPr>
        <w:t xml:space="preserve"> </w:t>
      </w:r>
      <w:r>
        <w:rPr>
          <w:spacing w:val="-2"/>
          <w:sz w:val="21"/>
          <w:szCs w:val="21"/>
        </w:rPr>
        <w:t>概率和客观概率的统计方法，确定风险因素的概率分布，运用数理统计分析方法，计算项目</w:t>
      </w:r>
    </w:p>
    <w:p>
      <w:pPr>
        <w:pStyle w:val="BodyText"/>
        <w:spacing w:before="1" w:line="217" w:lineRule="auto"/>
        <w:ind w:left="799"/>
        <w:rPr>
          <w:sz w:val="21"/>
          <w:szCs w:val="21"/>
        </w:rPr>
      </w:pPr>
      <w:r>
        <w:rPr>
          <w:spacing w:val="-2"/>
          <w:sz w:val="21"/>
          <w:szCs w:val="21"/>
        </w:rPr>
        <w:t>评价指标相应的概率分布或累计概率、期望值、标准差。</w:t>
      </w:r>
    </w:p>
    <w:p>
      <w:pPr>
        <w:pStyle w:val="BodyText"/>
        <w:spacing w:before="219" w:line="218" w:lineRule="auto"/>
        <w:ind w:left="1332"/>
        <w:rPr>
          <w:sz w:val="21"/>
          <w:szCs w:val="21"/>
        </w:rPr>
      </w:pPr>
      <w:r>
        <w:rPr>
          <w:b/>
          <w:bCs/>
          <w:spacing w:val="-10"/>
          <w:sz w:val="21"/>
          <w:szCs w:val="21"/>
        </w:rPr>
        <w:t>(3)</w:t>
      </w:r>
      <w:r>
        <w:rPr>
          <w:spacing w:val="7"/>
          <w:sz w:val="21"/>
          <w:szCs w:val="21"/>
        </w:rPr>
        <w:t xml:space="preserve">    </w:t>
      </w:r>
      <w:r>
        <w:rPr>
          <w:b/>
          <w:bCs/>
          <w:spacing w:val="-10"/>
          <w:sz w:val="21"/>
          <w:szCs w:val="21"/>
        </w:rPr>
        <w:t>风险评价</w:t>
      </w:r>
    </w:p>
    <w:p>
      <w:pPr>
        <w:pStyle w:val="BodyText"/>
        <w:spacing w:before="235" w:line="460" w:lineRule="exact"/>
        <w:ind w:left="1220"/>
        <w:rPr>
          <w:sz w:val="21"/>
          <w:szCs w:val="21"/>
        </w:rPr>
      </w:pPr>
      <w:r>
        <w:rPr>
          <w:spacing w:val="-3"/>
          <w:position w:val="19"/>
          <w:sz w:val="21"/>
          <w:szCs w:val="21"/>
        </w:rPr>
        <w:t>风险评价是在风险估计的基础上，通过相应的指标体系和评价标准，对项目风险分级排</w:t>
      </w:r>
    </w:p>
    <w:p>
      <w:pPr>
        <w:pStyle w:val="BodyText"/>
        <w:spacing w:before="1" w:line="218" w:lineRule="auto"/>
        <w:ind w:left="799"/>
        <w:rPr>
          <w:sz w:val="21"/>
          <w:szCs w:val="21"/>
        </w:rPr>
      </w:pPr>
      <w:r>
        <w:rPr>
          <w:spacing w:val="-1"/>
          <w:sz w:val="21"/>
          <w:szCs w:val="21"/>
        </w:rPr>
        <w:t>序，从而找到项目的关键风险因素，确定项目的整体风险水平，以便采取防范措施。</w:t>
      </w:r>
    </w:p>
    <w:p>
      <w:pPr>
        <w:pStyle w:val="BodyText"/>
        <w:spacing w:before="211" w:line="413" w:lineRule="auto"/>
        <w:ind w:left="799" w:right="770" w:firstLine="420"/>
        <w:rPr>
          <w:sz w:val="21"/>
          <w:szCs w:val="21"/>
        </w:rPr>
      </w:pPr>
      <w:r>
        <w:rPr>
          <w:spacing w:val="-2"/>
          <w:sz w:val="21"/>
          <w:szCs w:val="21"/>
        </w:rPr>
        <w:t>风险评价包括单因素评价和整体风险评价。对于单</w:t>
      </w:r>
      <w:r>
        <w:rPr>
          <w:spacing w:val="-3"/>
          <w:sz w:val="21"/>
          <w:szCs w:val="21"/>
        </w:rPr>
        <w:t>因素评价即评价单个风险因素对项目</w:t>
      </w:r>
      <w:r>
        <w:rPr>
          <w:sz w:val="21"/>
          <w:szCs w:val="21"/>
        </w:rPr>
        <w:t xml:space="preserve"> </w:t>
      </w:r>
      <w:r>
        <w:rPr>
          <w:spacing w:val="-2"/>
          <w:sz w:val="21"/>
          <w:szCs w:val="21"/>
        </w:rPr>
        <w:t>的影响程度，以找出影响项目的关键风险因</w:t>
      </w:r>
      <w:r>
        <w:rPr>
          <w:spacing w:val="-3"/>
          <w:sz w:val="21"/>
          <w:szCs w:val="21"/>
        </w:rPr>
        <w:t>素；项目整体风险评价，即综合评价若干个主要</w:t>
      </w:r>
      <w:r>
        <w:rPr>
          <w:sz w:val="21"/>
          <w:szCs w:val="21"/>
        </w:rPr>
        <w:t xml:space="preserve"> </w:t>
      </w:r>
      <w:r>
        <w:rPr>
          <w:spacing w:val="-2"/>
          <w:sz w:val="21"/>
          <w:szCs w:val="21"/>
        </w:rPr>
        <w:t>风险因素对项目整体的影响程度。在中国移动通信建设项目经济评价中，对于重大投资项目</w:t>
      </w:r>
    </w:p>
    <w:p>
      <w:pPr>
        <w:pStyle w:val="BodyText"/>
        <w:spacing w:before="1" w:line="217" w:lineRule="auto"/>
        <w:ind w:left="799"/>
        <w:rPr>
          <w:sz w:val="21"/>
          <w:szCs w:val="21"/>
        </w:rPr>
      </w:pPr>
      <w:r>
        <w:rPr>
          <w:spacing w:val="-2"/>
          <w:sz w:val="21"/>
          <w:szCs w:val="21"/>
        </w:rPr>
        <w:t>或估计风险很大的项目，应进行投资项目整体风险分析。</w:t>
      </w:r>
    </w:p>
    <w:p>
      <w:pPr>
        <w:pStyle w:val="BodyText"/>
        <w:spacing w:before="213" w:line="414" w:lineRule="auto"/>
        <w:ind w:left="799" w:right="797" w:firstLine="420"/>
        <w:rPr>
          <w:sz w:val="21"/>
          <w:szCs w:val="21"/>
        </w:rPr>
      </w:pPr>
      <w:r>
        <w:rPr>
          <w:spacing w:val="-7"/>
          <w:sz w:val="21"/>
          <w:szCs w:val="21"/>
        </w:rPr>
        <w:t>项目风险大小的评价标准应根据风险因素发生的可能性及其造成的损失来确定，</w:t>
      </w:r>
      <w:r>
        <w:rPr>
          <w:spacing w:val="58"/>
          <w:sz w:val="21"/>
          <w:szCs w:val="21"/>
        </w:rPr>
        <w:t xml:space="preserve"> </w:t>
      </w:r>
      <w:r>
        <w:rPr>
          <w:spacing w:val="-7"/>
          <w:sz w:val="21"/>
          <w:szCs w:val="21"/>
        </w:rPr>
        <w:t>一般采</w:t>
      </w:r>
      <w:r>
        <w:rPr>
          <w:sz w:val="21"/>
          <w:szCs w:val="21"/>
        </w:rPr>
        <w:t xml:space="preserve"> </w:t>
      </w:r>
      <w:r>
        <w:rPr>
          <w:spacing w:val="-2"/>
          <w:sz w:val="21"/>
          <w:szCs w:val="21"/>
        </w:rPr>
        <w:t>用评价指标的概率分布或累计概率、期望值、标</w:t>
      </w:r>
      <w:r>
        <w:rPr>
          <w:spacing w:val="-3"/>
          <w:sz w:val="21"/>
          <w:szCs w:val="21"/>
        </w:rPr>
        <w:t>准差作为判别标准，也可采用综合风险等级</w:t>
      </w:r>
    </w:p>
    <w:p>
      <w:pPr>
        <w:pStyle w:val="BodyText"/>
        <w:spacing w:line="220" w:lineRule="auto"/>
        <w:ind w:left="799"/>
        <w:rPr>
          <w:sz w:val="21"/>
          <w:szCs w:val="21"/>
        </w:rPr>
      </w:pPr>
      <w:r>
        <w:rPr>
          <w:spacing w:val="-5"/>
          <w:sz w:val="21"/>
          <w:szCs w:val="21"/>
        </w:rPr>
        <w:t>作为判别标准。</w:t>
      </w:r>
    </w:p>
    <w:p>
      <w:pPr>
        <w:pStyle w:val="BodyText"/>
        <w:spacing w:before="207" w:line="414" w:lineRule="auto"/>
        <w:ind w:left="1649" w:right="786" w:hanging="429"/>
        <w:rPr>
          <w:sz w:val="21"/>
          <w:szCs w:val="21"/>
        </w:rPr>
      </w:pPr>
      <w:r>
        <w:rPr>
          <w:spacing w:val="6"/>
          <w:sz w:val="21"/>
          <w:szCs w:val="21"/>
        </w:rPr>
        <w:t>①.以评价指标作判别标准。财务(经济)内部收益</w:t>
      </w:r>
      <w:r>
        <w:rPr>
          <w:spacing w:val="5"/>
          <w:sz w:val="21"/>
          <w:szCs w:val="21"/>
        </w:rPr>
        <w:t>率大于等于基准收益率的累计概率</w:t>
      </w:r>
      <w:r>
        <w:rPr>
          <w:sz w:val="21"/>
          <w:szCs w:val="21"/>
        </w:rPr>
        <w:t xml:space="preserve"> </w:t>
      </w:r>
      <w:r>
        <w:rPr>
          <w:spacing w:val="3"/>
          <w:sz w:val="21"/>
          <w:szCs w:val="21"/>
        </w:rPr>
        <w:t>值越大，风险越小；标准差越小，风险越小。财务(经济)净现值大于等于零的累</w:t>
      </w:r>
    </w:p>
    <w:p>
      <w:pPr>
        <w:pStyle w:val="BodyText"/>
        <w:spacing w:line="219" w:lineRule="auto"/>
        <w:ind w:left="1650"/>
        <w:rPr>
          <w:sz w:val="21"/>
          <w:szCs w:val="21"/>
        </w:rPr>
      </w:pPr>
      <w:r>
        <w:rPr>
          <w:spacing w:val="-2"/>
          <w:sz w:val="21"/>
          <w:szCs w:val="21"/>
        </w:rPr>
        <w:t>计概率值越大，风险越小；标准差越小，风险越小。</w:t>
      </w:r>
    </w:p>
    <w:p>
      <w:pPr>
        <w:pStyle w:val="BodyText"/>
        <w:spacing w:before="229" w:line="452" w:lineRule="exact"/>
        <w:ind w:left="1220"/>
        <w:rPr>
          <w:sz w:val="21"/>
          <w:szCs w:val="21"/>
        </w:rPr>
      </w:pPr>
      <w:r>
        <w:rPr>
          <w:spacing w:val="-3"/>
          <w:position w:val="18"/>
          <w:sz w:val="21"/>
          <w:szCs w:val="21"/>
        </w:rPr>
        <w:t>②. 以综合风险等级作判别标准。根据风险因素发生的可能性及其造成损失的程度，建</w:t>
      </w:r>
    </w:p>
    <w:p>
      <w:pPr>
        <w:pStyle w:val="BodyText"/>
        <w:spacing w:line="219" w:lineRule="auto"/>
        <w:ind w:left="1650"/>
        <w:rPr>
          <w:sz w:val="21"/>
          <w:szCs w:val="21"/>
        </w:rPr>
      </w:pPr>
      <w:r>
        <w:rPr>
          <w:spacing w:val="-5"/>
          <w:sz w:val="21"/>
          <w:szCs w:val="21"/>
        </w:rPr>
        <w:t>立综合风险等级的矩阵，将综合风险分为</w:t>
      </w:r>
      <w:r>
        <w:rPr>
          <w:rFonts w:ascii="Times New Roman" w:eastAsia="Times New Roman" w:hAnsi="Times New Roman" w:cs="Times New Roman"/>
          <w:spacing w:val="-5"/>
          <w:sz w:val="21"/>
          <w:szCs w:val="21"/>
        </w:rPr>
        <w:t>K</w:t>
      </w:r>
      <w:r>
        <w:rPr>
          <w:spacing w:val="-5"/>
          <w:sz w:val="21"/>
          <w:szCs w:val="21"/>
        </w:rPr>
        <w:t>级、</w:t>
      </w:r>
      <w:r>
        <w:rPr>
          <w:rFonts w:ascii="Times New Roman" w:eastAsia="Times New Roman" w:hAnsi="Times New Roman" w:cs="Times New Roman"/>
          <w:spacing w:val="-5"/>
          <w:sz w:val="21"/>
          <w:szCs w:val="21"/>
        </w:rPr>
        <w:t>M</w:t>
      </w:r>
      <w:r>
        <w:rPr>
          <w:spacing w:val="-5"/>
          <w:sz w:val="21"/>
          <w:szCs w:val="21"/>
        </w:rPr>
        <w:t>级、</w:t>
      </w:r>
      <w:r>
        <w:rPr>
          <w:rFonts w:ascii="Times New Roman" w:eastAsia="Times New Roman" w:hAnsi="Times New Roman" w:cs="Times New Roman"/>
          <w:spacing w:val="-5"/>
          <w:sz w:val="21"/>
          <w:szCs w:val="21"/>
        </w:rPr>
        <w:t>T</w:t>
      </w:r>
      <w:r>
        <w:rPr>
          <w:spacing w:val="-5"/>
          <w:sz w:val="21"/>
          <w:szCs w:val="21"/>
        </w:rPr>
        <w:t>级 、</w:t>
      </w:r>
      <w:r>
        <w:rPr>
          <w:rFonts w:ascii="Times New Roman" w:eastAsia="Times New Roman" w:hAnsi="Times New Roman" w:cs="Times New Roman"/>
          <w:spacing w:val="-5"/>
          <w:sz w:val="21"/>
          <w:szCs w:val="21"/>
        </w:rPr>
        <w:t>R</w:t>
      </w:r>
      <w:r>
        <w:rPr>
          <w:spacing w:val="-5"/>
          <w:sz w:val="21"/>
          <w:szCs w:val="21"/>
        </w:rPr>
        <w:t>级、</w:t>
      </w:r>
      <w:r>
        <w:rPr>
          <w:rFonts w:ascii="Times New Roman" w:eastAsia="Times New Roman" w:hAnsi="Times New Roman" w:cs="Times New Roman"/>
          <w:spacing w:val="-5"/>
          <w:sz w:val="21"/>
          <w:szCs w:val="21"/>
        </w:rPr>
        <w:t>I</w:t>
      </w:r>
      <w:r>
        <w:rPr>
          <w:spacing w:val="-5"/>
          <w:sz w:val="21"/>
          <w:szCs w:val="21"/>
        </w:rPr>
        <w:t>级。</w:t>
      </w:r>
    </w:p>
    <w:p>
      <w:pPr>
        <w:pStyle w:val="BodyText"/>
        <w:spacing w:before="231" w:line="219" w:lineRule="auto"/>
        <w:ind w:left="2060"/>
        <w:rPr>
          <w:sz w:val="21"/>
          <w:szCs w:val="21"/>
        </w:rPr>
      </w:pPr>
      <w:r>
        <w:rPr>
          <w:rFonts w:ascii="Times New Roman" w:eastAsia="Times New Roman" w:hAnsi="Times New Roman" w:cs="Times New Roman"/>
          <w:spacing w:val="-4"/>
          <w:sz w:val="21"/>
          <w:szCs w:val="21"/>
        </w:rPr>
        <w:t>K</w:t>
      </w:r>
      <w:r>
        <w:rPr>
          <w:spacing w:val="-4"/>
          <w:sz w:val="21"/>
          <w:szCs w:val="21"/>
        </w:rPr>
        <w:t>级：风险很强，出现这类风险就要放弃项目；</w:t>
      </w:r>
    </w:p>
    <w:p>
      <w:pPr>
        <w:pStyle w:val="BodyText"/>
        <w:spacing w:before="210" w:line="219" w:lineRule="auto"/>
        <w:ind w:left="2060"/>
        <w:rPr>
          <w:sz w:val="21"/>
          <w:szCs w:val="21"/>
        </w:rPr>
      </w:pPr>
      <w:r>
        <w:rPr>
          <w:rFonts w:ascii="Times New Roman" w:eastAsia="Times New Roman" w:hAnsi="Times New Roman" w:cs="Times New Roman"/>
          <w:spacing w:val="-2"/>
          <w:sz w:val="21"/>
          <w:szCs w:val="21"/>
        </w:rPr>
        <w:t>M</w:t>
      </w:r>
      <w:r>
        <w:rPr>
          <w:spacing w:val="-2"/>
          <w:sz w:val="21"/>
          <w:szCs w:val="21"/>
        </w:rPr>
        <w:t>级：风险强，修正拟议中的方案，通过改变设计或采取补偿措施等；</w:t>
      </w:r>
    </w:p>
    <w:p>
      <w:pPr>
        <w:pStyle w:val="BodyText"/>
        <w:spacing w:before="232" w:line="479" w:lineRule="exact"/>
        <w:ind w:left="2060"/>
        <w:rPr>
          <w:sz w:val="21"/>
          <w:szCs w:val="21"/>
        </w:rPr>
      </w:pPr>
      <w:r>
        <w:rPr>
          <w:rFonts w:ascii="Times New Roman" w:eastAsia="Times New Roman" w:hAnsi="Times New Roman" w:cs="Times New Roman"/>
          <w:position w:val="20"/>
          <w:sz w:val="21"/>
          <w:szCs w:val="21"/>
        </w:rPr>
        <w:t>T</w:t>
      </w:r>
      <w:r>
        <w:rPr>
          <w:position w:val="20"/>
          <w:sz w:val="21"/>
          <w:szCs w:val="21"/>
        </w:rPr>
        <w:t>级：风险较强，设定某些指标的临界值，指标一旦</w:t>
      </w:r>
      <w:r>
        <w:rPr>
          <w:spacing w:val="-1"/>
          <w:position w:val="20"/>
          <w:sz w:val="21"/>
          <w:szCs w:val="21"/>
        </w:rPr>
        <w:t>达到临界值，就要变更设</w:t>
      </w:r>
    </w:p>
    <w:p>
      <w:pPr>
        <w:pStyle w:val="BodyText"/>
        <w:spacing w:before="1" w:line="218" w:lineRule="auto"/>
        <w:ind w:left="1650"/>
        <w:rPr>
          <w:sz w:val="21"/>
          <w:szCs w:val="21"/>
        </w:rPr>
      </w:pPr>
      <w:r>
        <w:rPr>
          <w:spacing w:val="-4"/>
          <w:sz w:val="21"/>
          <w:szCs w:val="21"/>
        </w:rPr>
        <w:t>计或对负面影响采取补偿措施；</w:t>
      </w:r>
    </w:p>
    <w:p>
      <w:pPr>
        <w:pStyle w:val="BodyText"/>
        <w:spacing w:before="229" w:line="216" w:lineRule="auto"/>
        <w:ind w:left="2060"/>
        <w:rPr>
          <w:sz w:val="21"/>
          <w:szCs w:val="21"/>
        </w:rPr>
      </w:pPr>
      <w:r>
        <w:rPr>
          <w:rFonts w:ascii="Times New Roman" w:eastAsia="Times New Roman" w:hAnsi="Times New Roman" w:cs="Times New Roman"/>
          <w:spacing w:val="-1"/>
          <w:sz w:val="21"/>
          <w:szCs w:val="21"/>
        </w:rPr>
        <w:t>R</w:t>
      </w:r>
      <w:r>
        <w:rPr>
          <w:spacing w:val="-1"/>
          <w:sz w:val="21"/>
          <w:szCs w:val="21"/>
        </w:rPr>
        <w:t>级：风险适度(较小),适当采取措施后不影响项目；</w:t>
      </w:r>
    </w:p>
    <w:p>
      <w:pPr>
        <w:spacing w:line="216" w:lineRule="auto"/>
        <w:sectPr>
          <w:headerReference w:type="default" r:id="rId72"/>
          <w:footerReference w:type="default" r:id="rId73"/>
          <w:pgSz w:w="11910" w:h="16840"/>
          <w:pgMar w:top="400" w:right="1019" w:bottom="1182" w:left="989" w:header="0" w:footer="969" w:gutter="0"/>
          <w:pgNumType w:start="30"/>
          <w:cols w:space="708"/>
        </w:sectPr>
      </w:pPr>
    </w:p>
    <w:p>
      <w:pPr>
        <w:spacing w:before="193"/>
      </w:pPr>
    </w:p>
    <w:tbl>
      <w:tblPr>
        <w:tblStyle w:val="TableNormal2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51" w:line="215" w:lineRule="auto"/>
              <w:ind w:left="123"/>
            </w:pPr>
            <w:bookmarkStart w:id="36" w:name="bookmark38"/>
            <w:bookmarkStart w:id="37" w:name="bookmark39"/>
            <w:bookmarkStart w:id="38" w:name="bookmark37"/>
            <w:bookmarkEnd w:id="36"/>
            <w:bookmarkEnd w:id="37"/>
            <w:bookmarkEnd w:id="38"/>
            <w:r>
              <w:rPr>
                <w:b/>
                <w:bCs/>
                <w:spacing w:val="-5"/>
              </w:rPr>
              <w:t>编号：</w:t>
            </w:r>
          </w:p>
          <w:p>
            <w:pPr>
              <w:pStyle w:val="TableText"/>
              <w:spacing w:line="219" w:lineRule="auto"/>
              <w:ind w:left="143"/>
            </w:pPr>
            <w:r>
              <w:rPr>
                <w:b/>
                <w:bCs/>
              </w:rPr>
              <w:t>时间：2021年x月x日</w:t>
            </w:r>
          </w:p>
        </w:tc>
        <w:tc>
          <w:tcPr>
            <w:tcW w:w="4670" w:type="dxa"/>
          </w:tcPr>
          <w:p>
            <w:pPr>
              <w:spacing w:line="250" w:lineRule="auto"/>
            </w:pPr>
          </w:p>
          <w:p>
            <w:pPr>
              <w:pStyle w:val="TableText"/>
              <w:spacing w:before="78" w:line="219" w:lineRule="auto"/>
              <w:ind w:left="268"/>
            </w:pPr>
            <w:r>
              <w:rPr>
                <w:b/>
                <w:bCs/>
                <w:color w:val="F40000"/>
                <w:spacing w:val="-4"/>
              </w:rPr>
              <w:t>书山有路勤为径，学海无涯苦作舟</w:t>
            </w:r>
          </w:p>
        </w:tc>
        <w:tc>
          <w:tcPr>
            <w:tcW w:w="2720" w:type="dxa"/>
            <w:tcBorders>
              <w:right w:val="nil"/>
            </w:tcBorders>
          </w:tcPr>
          <w:p>
            <w:pPr>
              <w:spacing w:line="252" w:lineRule="auto"/>
            </w:pPr>
          </w:p>
          <w:p>
            <w:pPr>
              <w:pStyle w:val="TableText"/>
              <w:spacing w:before="78" w:line="219" w:lineRule="auto"/>
              <w:ind w:left="138"/>
            </w:pPr>
            <w:r>
              <w:rPr>
                <w:b/>
                <w:bCs/>
                <w:spacing w:val="-2"/>
              </w:rPr>
              <w:t>页码：第22页共70页</w:t>
            </w:r>
          </w:p>
        </w:tc>
      </w:tr>
    </w:tbl>
    <w:p>
      <w:pPr>
        <w:spacing w:line="304" w:lineRule="auto"/>
      </w:pPr>
    </w:p>
    <w:p>
      <w:pPr>
        <w:pStyle w:val="BodyText"/>
        <w:spacing w:before="68" w:line="220" w:lineRule="auto"/>
        <w:ind w:left="2070"/>
        <w:rPr>
          <w:sz w:val="21"/>
          <w:szCs w:val="21"/>
        </w:rPr>
      </w:pPr>
      <w:r>
        <w:rPr>
          <w:rFonts w:ascii="Times New Roman" w:eastAsia="Times New Roman" w:hAnsi="Times New Roman" w:cs="Times New Roman"/>
          <w:spacing w:val="-5"/>
          <w:sz w:val="21"/>
          <w:szCs w:val="21"/>
        </w:rPr>
        <w:t>I</w:t>
      </w:r>
      <w:r>
        <w:rPr>
          <w:spacing w:val="-5"/>
          <w:sz w:val="21"/>
          <w:szCs w:val="21"/>
        </w:rPr>
        <w:t>级：风险弱，可忽略。</w:t>
      </w:r>
    </w:p>
    <w:p>
      <w:pPr>
        <w:pStyle w:val="BodyText"/>
        <w:spacing w:before="216" w:line="220" w:lineRule="auto"/>
        <w:ind w:left="1332"/>
        <w:rPr>
          <w:sz w:val="21"/>
          <w:szCs w:val="21"/>
        </w:rPr>
      </w:pPr>
      <w:r>
        <w:rPr>
          <w:b/>
          <w:bCs/>
          <w:spacing w:val="-6"/>
          <w:sz w:val="21"/>
          <w:szCs w:val="21"/>
        </w:rPr>
        <w:t>(4)</w:t>
      </w:r>
      <w:r>
        <w:rPr>
          <w:spacing w:val="3"/>
          <w:sz w:val="21"/>
          <w:szCs w:val="21"/>
        </w:rPr>
        <w:t xml:space="preserve">    </w:t>
      </w:r>
      <w:r>
        <w:rPr>
          <w:b/>
          <w:bCs/>
          <w:spacing w:val="-6"/>
          <w:sz w:val="21"/>
          <w:szCs w:val="21"/>
        </w:rPr>
        <w:t>风险应对</w:t>
      </w:r>
    </w:p>
    <w:p>
      <w:pPr>
        <w:pStyle w:val="BodyText"/>
        <w:spacing w:before="210" w:line="501" w:lineRule="exact"/>
        <w:ind w:left="1220"/>
        <w:rPr>
          <w:sz w:val="21"/>
          <w:szCs w:val="21"/>
        </w:rPr>
      </w:pPr>
      <w:r>
        <w:rPr>
          <w:spacing w:val="-3"/>
          <w:position w:val="22"/>
          <w:sz w:val="21"/>
          <w:szCs w:val="21"/>
        </w:rPr>
        <w:t>风险应对根据风险评价的结果，研究规避、控制与防</w:t>
      </w:r>
      <w:r>
        <w:rPr>
          <w:spacing w:val="-4"/>
          <w:position w:val="22"/>
          <w:sz w:val="21"/>
          <w:szCs w:val="21"/>
        </w:rPr>
        <w:t>范风险的措施，为项目全过程风险</w:t>
      </w:r>
    </w:p>
    <w:p>
      <w:pPr>
        <w:pStyle w:val="BodyText"/>
        <w:spacing w:line="218" w:lineRule="auto"/>
        <w:ind w:left="799"/>
        <w:rPr>
          <w:sz w:val="21"/>
          <w:szCs w:val="21"/>
        </w:rPr>
      </w:pPr>
      <w:r>
        <w:rPr>
          <w:spacing w:val="-10"/>
          <w:sz w:val="21"/>
          <w:szCs w:val="21"/>
        </w:rPr>
        <w:t>管理提供依据。</w:t>
      </w:r>
    </w:p>
    <w:p>
      <w:pPr>
        <w:spacing w:line="406" w:lineRule="auto"/>
      </w:pPr>
    </w:p>
    <w:p>
      <w:pPr>
        <w:spacing w:before="69" w:line="221" w:lineRule="auto"/>
        <w:ind w:left="2532"/>
        <w:outlineLvl w:val="2"/>
        <w:rPr>
          <w:rFonts w:ascii="黑体" w:eastAsia="黑体" w:hAnsi="黑体" w:cs="黑体"/>
        </w:rPr>
      </w:pPr>
      <w:r>
        <w:rPr>
          <w:rFonts w:ascii="黑体" w:eastAsia="黑体" w:hAnsi="黑体" w:cs="黑体"/>
          <w:b/>
          <w:bCs/>
          <w:spacing w:val="-10"/>
          <w:sz w:val="21"/>
          <w:szCs w:val="21"/>
        </w:rPr>
        <w:t>4.2.2</w:t>
      </w:r>
      <w:r>
        <w:rPr>
          <w:rFonts w:ascii="黑体" w:eastAsia="黑体" w:hAnsi="黑体" w:cs="黑体"/>
          <w:spacing w:val="13"/>
          <w:sz w:val="21"/>
          <w:szCs w:val="21"/>
        </w:rPr>
        <w:t xml:space="preserve">   </w:t>
      </w:r>
      <w:r>
        <w:rPr>
          <w:rFonts w:ascii="黑体" w:eastAsia="黑体" w:hAnsi="黑体" w:cs="黑体"/>
          <w:b/>
          <w:bCs/>
          <w:spacing w:val="-10"/>
          <w:sz w:val="21"/>
          <w:szCs w:val="21"/>
        </w:rPr>
        <w:t>风险分析方法</w:t>
      </w:r>
    </w:p>
    <w:p>
      <w:pPr>
        <w:spacing w:line="422" w:lineRule="auto"/>
      </w:pPr>
    </w:p>
    <w:p>
      <w:pPr>
        <w:pStyle w:val="BodyText"/>
        <w:spacing w:before="68" w:line="413" w:lineRule="auto"/>
        <w:ind w:left="799" w:right="812" w:firstLine="420"/>
        <w:jc w:val="both"/>
        <w:rPr>
          <w:sz w:val="21"/>
          <w:szCs w:val="21"/>
        </w:rPr>
      </w:pPr>
      <w:r>
        <w:rPr>
          <w:spacing w:val="-2"/>
          <w:sz w:val="21"/>
          <w:szCs w:val="21"/>
        </w:rPr>
        <w:t>风险分析的方法有很多，针对中国移动建设项</w:t>
      </w:r>
      <w:r>
        <w:rPr>
          <w:spacing w:val="-3"/>
          <w:sz w:val="21"/>
          <w:szCs w:val="21"/>
        </w:rPr>
        <w:t>目的特点，主要采用风险解析法、专家调</w:t>
      </w:r>
      <w:r>
        <w:rPr>
          <w:sz w:val="21"/>
          <w:szCs w:val="21"/>
        </w:rPr>
        <w:t xml:space="preserve"> </w:t>
      </w:r>
      <w:r>
        <w:rPr>
          <w:spacing w:val="-2"/>
          <w:sz w:val="21"/>
          <w:szCs w:val="21"/>
        </w:rPr>
        <w:t>查法、概率树、蒙特卡罗模拟法和风险综合评</w:t>
      </w:r>
      <w:r>
        <w:rPr>
          <w:spacing w:val="-3"/>
          <w:sz w:val="21"/>
          <w:szCs w:val="21"/>
        </w:rPr>
        <w:t>价法五种方法，应根据项目具体情况，选用一</w:t>
      </w:r>
    </w:p>
    <w:p>
      <w:pPr>
        <w:pStyle w:val="BodyText"/>
        <w:spacing w:before="1" w:line="218" w:lineRule="auto"/>
        <w:ind w:left="799"/>
        <w:rPr>
          <w:sz w:val="21"/>
          <w:szCs w:val="21"/>
        </w:rPr>
      </w:pPr>
      <w:r>
        <w:rPr>
          <w:spacing w:val="-3"/>
          <w:sz w:val="21"/>
          <w:szCs w:val="21"/>
        </w:rPr>
        <w:t>种方法或几种方法组合使用。</w:t>
      </w:r>
    </w:p>
    <w:p>
      <w:pPr>
        <w:spacing w:line="436" w:lineRule="auto"/>
      </w:pPr>
    </w:p>
    <w:p>
      <w:pPr>
        <w:spacing w:before="69" w:line="222" w:lineRule="auto"/>
        <w:ind w:left="2532"/>
        <w:outlineLvl w:val="2"/>
        <w:rPr>
          <w:rFonts w:ascii="黑体" w:eastAsia="黑体" w:hAnsi="黑体" w:cs="黑体"/>
        </w:rPr>
      </w:pPr>
      <w:r>
        <w:rPr>
          <w:rFonts w:ascii="黑体" w:eastAsia="黑体" w:hAnsi="黑体" w:cs="黑体"/>
          <w:b/>
          <w:bCs/>
          <w:spacing w:val="-11"/>
          <w:sz w:val="21"/>
          <w:szCs w:val="21"/>
        </w:rPr>
        <w:t>4.2.3</w:t>
      </w:r>
      <w:r>
        <w:rPr>
          <w:rFonts w:ascii="黑体" w:eastAsia="黑体" w:hAnsi="黑体" w:cs="黑体"/>
          <w:spacing w:val="16"/>
          <w:sz w:val="21"/>
          <w:szCs w:val="21"/>
        </w:rPr>
        <w:t xml:space="preserve">   </w:t>
      </w:r>
      <w:r>
        <w:rPr>
          <w:rFonts w:ascii="黑体" w:eastAsia="黑体" w:hAnsi="黑体" w:cs="黑体"/>
          <w:b/>
          <w:bCs/>
          <w:spacing w:val="-11"/>
          <w:sz w:val="21"/>
          <w:szCs w:val="21"/>
        </w:rPr>
        <w:t>风险分析报表</w:t>
      </w:r>
    </w:p>
    <w:p>
      <w:pPr>
        <w:spacing w:line="271" w:lineRule="auto"/>
      </w:pPr>
    </w:p>
    <w:p>
      <w:pPr>
        <w:spacing w:line="271" w:lineRule="auto"/>
      </w:pPr>
    </w:p>
    <w:p>
      <w:pPr>
        <w:spacing w:line="271" w:lineRule="auto"/>
      </w:pPr>
    </w:p>
    <w:p>
      <w:pPr>
        <w:spacing w:line="271" w:lineRule="auto"/>
      </w:pPr>
    </w:p>
    <w:p>
      <w:pPr>
        <w:spacing w:line="271" w:lineRule="auto"/>
      </w:pPr>
    </w:p>
    <w:p>
      <w:pPr>
        <w:pStyle w:val="BodyText"/>
        <w:spacing w:before="69" w:line="219" w:lineRule="auto"/>
        <w:ind w:left="3610"/>
        <w:rPr>
          <w:sz w:val="21"/>
          <w:szCs w:val="21"/>
        </w:rPr>
      </w:pPr>
      <w:r>
        <w:rPr>
          <w:spacing w:val="6"/>
          <w:sz w:val="21"/>
          <w:szCs w:val="21"/>
        </w:rPr>
        <w:t>表4.2-1风险等级分析结果表</w:t>
      </w:r>
    </w:p>
    <w:p>
      <w:pPr>
        <w:spacing w:line="187" w:lineRule="exact"/>
      </w:pPr>
    </w:p>
    <w:tbl>
      <w:tblPr>
        <w:tblStyle w:val="TableNormal21"/>
        <w:tblInd w:w="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34"/>
        <w:gridCol w:w="1118"/>
        <w:gridCol w:w="1668"/>
        <w:gridCol w:w="1658"/>
        <w:gridCol w:w="1668"/>
        <w:gridCol w:w="1663"/>
      </w:tblGrid>
      <w:tr>
        <w:tblPrEx>
          <w:tblInd w:w="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03"/>
        </w:trPr>
        <w:tc>
          <w:tcPr>
            <w:tcW w:w="1852" w:type="dxa"/>
            <w:gridSpan w:val="2"/>
            <w:vMerge w:val="restart"/>
            <w:tcBorders>
              <w:bottom w:val="nil"/>
            </w:tcBorders>
          </w:tcPr>
          <w:p>
            <w:pPr>
              <w:pStyle w:val="TableText"/>
              <w:spacing w:before="213" w:line="219" w:lineRule="auto"/>
              <w:ind w:left="315"/>
              <w:rPr>
                <w:sz w:val="21"/>
                <w:szCs w:val="21"/>
              </w:rPr>
            </w:pPr>
            <w:r>
              <w:rPr>
                <w:spacing w:val="2"/>
                <w:sz w:val="21"/>
                <w:szCs w:val="21"/>
              </w:rPr>
              <w:t>综合风险等级</w:t>
            </w:r>
          </w:p>
        </w:tc>
        <w:tc>
          <w:tcPr>
            <w:tcW w:w="6657" w:type="dxa"/>
            <w:gridSpan w:val="4"/>
          </w:tcPr>
          <w:p>
            <w:pPr>
              <w:pStyle w:val="TableText"/>
              <w:spacing w:before="54" w:line="210" w:lineRule="auto"/>
              <w:ind w:left="2722"/>
              <w:rPr>
                <w:sz w:val="21"/>
                <w:szCs w:val="21"/>
              </w:rPr>
            </w:pPr>
            <w:r>
              <w:rPr>
                <w:spacing w:val="2"/>
                <w:sz w:val="21"/>
                <w:szCs w:val="21"/>
              </w:rPr>
              <w:t>风险影响程度</w:t>
            </w:r>
          </w:p>
        </w:tc>
      </w:tr>
      <w:tr>
        <w:tblPrEx>
          <w:tblInd w:w="700" w:type="dxa"/>
          <w:tblLayout w:type="fixed"/>
          <w:tblCellMar>
            <w:top w:w="0" w:type="dxa"/>
            <w:left w:w="0" w:type="dxa"/>
            <w:bottom w:w="0" w:type="dxa"/>
            <w:right w:w="0" w:type="dxa"/>
          </w:tblCellMar>
          <w:tblLook w:val="0000"/>
        </w:tblPrEx>
        <w:trPr>
          <w:trHeight w:val="309"/>
        </w:trPr>
        <w:tc>
          <w:tcPr>
            <w:tcW w:w="1852" w:type="dxa"/>
            <w:gridSpan w:val="2"/>
            <w:vMerge/>
            <w:tcBorders>
              <w:top w:val="nil"/>
            </w:tcBorders>
          </w:tcPr>
          <w:p/>
        </w:tc>
        <w:tc>
          <w:tcPr>
            <w:tcW w:w="1668" w:type="dxa"/>
          </w:tcPr>
          <w:p>
            <w:pPr>
              <w:pStyle w:val="TableText"/>
              <w:spacing w:before="51" w:line="218" w:lineRule="auto"/>
              <w:ind w:left="613"/>
              <w:rPr>
                <w:sz w:val="21"/>
                <w:szCs w:val="21"/>
              </w:rPr>
            </w:pPr>
            <w:r>
              <w:rPr>
                <w:spacing w:val="-3"/>
                <w:sz w:val="21"/>
                <w:szCs w:val="21"/>
              </w:rPr>
              <w:t>严重</w:t>
            </w:r>
          </w:p>
        </w:tc>
        <w:tc>
          <w:tcPr>
            <w:tcW w:w="1658" w:type="dxa"/>
          </w:tcPr>
          <w:p>
            <w:pPr>
              <w:pStyle w:val="TableText"/>
              <w:spacing w:before="51" w:line="218" w:lineRule="auto"/>
              <w:ind w:left="614"/>
              <w:rPr>
                <w:sz w:val="21"/>
                <w:szCs w:val="21"/>
              </w:rPr>
            </w:pPr>
            <w:r>
              <w:rPr>
                <w:spacing w:val="-3"/>
                <w:sz w:val="21"/>
                <w:szCs w:val="21"/>
              </w:rPr>
              <w:t>较大</w:t>
            </w:r>
          </w:p>
        </w:tc>
        <w:tc>
          <w:tcPr>
            <w:tcW w:w="1668" w:type="dxa"/>
          </w:tcPr>
          <w:p>
            <w:pPr>
              <w:pStyle w:val="TableText"/>
              <w:spacing w:before="51" w:line="218" w:lineRule="auto"/>
              <w:ind w:left="616"/>
              <w:rPr>
                <w:sz w:val="21"/>
                <w:szCs w:val="21"/>
              </w:rPr>
            </w:pPr>
            <w:r>
              <w:rPr>
                <w:spacing w:val="6"/>
                <w:sz w:val="21"/>
                <w:szCs w:val="21"/>
              </w:rPr>
              <w:t>适度</w:t>
            </w:r>
          </w:p>
        </w:tc>
        <w:tc>
          <w:tcPr>
            <w:tcW w:w="1663" w:type="dxa"/>
          </w:tcPr>
          <w:p>
            <w:pPr>
              <w:pStyle w:val="TableText"/>
              <w:spacing w:before="52" w:line="217" w:lineRule="auto"/>
              <w:ind w:left="718"/>
              <w:rPr>
                <w:sz w:val="21"/>
                <w:szCs w:val="21"/>
              </w:rPr>
            </w:pPr>
            <w:r>
              <w:rPr>
                <w:sz w:val="21"/>
                <w:szCs w:val="21"/>
              </w:rPr>
              <w:t>低</w:t>
            </w:r>
          </w:p>
        </w:tc>
      </w:tr>
      <w:tr>
        <w:tblPrEx>
          <w:tblInd w:w="700" w:type="dxa"/>
          <w:tblLayout w:type="fixed"/>
          <w:tblCellMar>
            <w:top w:w="0" w:type="dxa"/>
            <w:left w:w="0" w:type="dxa"/>
            <w:bottom w:w="0" w:type="dxa"/>
            <w:right w:w="0" w:type="dxa"/>
          </w:tblCellMar>
          <w:tblLook w:val="0000"/>
        </w:tblPrEx>
        <w:trPr>
          <w:trHeight w:val="318"/>
        </w:trPr>
        <w:tc>
          <w:tcPr>
            <w:tcW w:w="734" w:type="dxa"/>
            <w:vMerge w:val="restart"/>
            <w:tcBorders>
              <w:bottom w:val="nil"/>
            </w:tcBorders>
          </w:tcPr>
          <w:p>
            <w:pPr>
              <w:pStyle w:val="TableText"/>
              <w:spacing w:before="222" w:line="312" w:lineRule="exact"/>
              <w:ind w:left="144"/>
              <w:rPr>
                <w:sz w:val="21"/>
                <w:szCs w:val="21"/>
              </w:rPr>
            </w:pPr>
            <w:r>
              <w:rPr>
                <w:spacing w:val="-3"/>
                <w:position w:val="7"/>
                <w:sz w:val="21"/>
                <w:szCs w:val="21"/>
              </w:rPr>
              <w:t>风险</w:t>
            </w:r>
          </w:p>
          <w:p>
            <w:pPr>
              <w:pStyle w:val="TableText"/>
              <w:spacing w:line="222" w:lineRule="auto"/>
              <w:ind w:left="144"/>
              <w:rPr>
                <w:sz w:val="21"/>
                <w:szCs w:val="21"/>
              </w:rPr>
            </w:pPr>
            <w:r>
              <w:rPr>
                <w:spacing w:val="4"/>
                <w:sz w:val="21"/>
                <w:szCs w:val="21"/>
              </w:rPr>
              <w:t>的可</w:t>
            </w:r>
          </w:p>
          <w:p>
            <w:pPr>
              <w:pStyle w:val="TableText"/>
              <w:spacing w:before="45" w:line="221" w:lineRule="auto"/>
              <w:ind w:left="144"/>
              <w:rPr>
                <w:sz w:val="21"/>
                <w:szCs w:val="21"/>
              </w:rPr>
            </w:pPr>
            <w:r>
              <w:rPr>
                <w:spacing w:val="4"/>
                <w:sz w:val="21"/>
                <w:szCs w:val="21"/>
              </w:rPr>
              <w:t>能性</w:t>
            </w:r>
          </w:p>
        </w:tc>
        <w:tc>
          <w:tcPr>
            <w:tcW w:w="1118" w:type="dxa"/>
          </w:tcPr>
          <w:p>
            <w:pPr>
              <w:pStyle w:val="TableText"/>
              <w:spacing w:before="61" w:line="217" w:lineRule="auto"/>
              <w:ind w:left="440"/>
              <w:rPr>
                <w:sz w:val="21"/>
                <w:szCs w:val="21"/>
              </w:rPr>
            </w:pPr>
            <w:r>
              <w:rPr>
                <w:sz w:val="21"/>
                <w:szCs w:val="21"/>
              </w:rPr>
              <w:t>高</w:t>
            </w:r>
          </w:p>
        </w:tc>
        <w:tc>
          <w:tcPr>
            <w:tcW w:w="1668" w:type="dxa"/>
          </w:tcPr>
          <w:p>
            <w:pPr>
              <w:pStyle w:val="TableText"/>
              <w:spacing w:before="64" w:line="214" w:lineRule="auto"/>
              <w:ind w:left="662"/>
              <w:rPr>
                <w:sz w:val="21"/>
                <w:szCs w:val="21"/>
              </w:rPr>
            </w:pPr>
            <w:r>
              <w:rPr>
                <w:spacing w:val="-11"/>
                <w:sz w:val="21"/>
                <w:szCs w:val="21"/>
              </w:rPr>
              <w:t>(K)</w:t>
            </w:r>
          </w:p>
        </w:tc>
        <w:tc>
          <w:tcPr>
            <w:tcW w:w="1658" w:type="dxa"/>
          </w:tcPr>
          <w:p>
            <w:pPr>
              <w:pStyle w:val="TableText"/>
              <w:spacing w:before="64" w:line="214" w:lineRule="auto"/>
              <w:ind w:left="664"/>
              <w:rPr>
                <w:sz w:val="21"/>
                <w:szCs w:val="21"/>
              </w:rPr>
            </w:pPr>
            <w:r>
              <w:rPr>
                <w:spacing w:val="-11"/>
                <w:sz w:val="21"/>
                <w:szCs w:val="21"/>
              </w:rPr>
              <w:t>(M)</w:t>
            </w:r>
          </w:p>
        </w:tc>
        <w:tc>
          <w:tcPr>
            <w:tcW w:w="1668" w:type="dxa"/>
          </w:tcPr>
          <w:p>
            <w:pPr>
              <w:pStyle w:val="TableText"/>
              <w:spacing w:before="64" w:line="214" w:lineRule="auto"/>
              <w:ind w:left="666"/>
              <w:rPr>
                <w:sz w:val="21"/>
                <w:szCs w:val="21"/>
              </w:rPr>
            </w:pPr>
            <w:r>
              <w:rPr>
                <w:spacing w:val="-11"/>
                <w:sz w:val="21"/>
                <w:szCs w:val="21"/>
              </w:rPr>
              <w:t>(R)</w:t>
            </w:r>
          </w:p>
        </w:tc>
        <w:tc>
          <w:tcPr>
            <w:tcW w:w="1663" w:type="dxa"/>
          </w:tcPr>
          <w:p>
            <w:pPr>
              <w:pStyle w:val="TableText"/>
              <w:spacing w:before="64" w:line="214" w:lineRule="auto"/>
              <w:ind w:left="668"/>
              <w:rPr>
                <w:sz w:val="21"/>
                <w:szCs w:val="21"/>
              </w:rPr>
            </w:pPr>
            <w:r>
              <w:rPr>
                <w:spacing w:val="-11"/>
                <w:sz w:val="21"/>
                <w:szCs w:val="21"/>
              </w:rPr>
              <w:t>(R)</w:t>
            </w:r>
          </w:p>
        </w:tc>
      </w:tr>
      <w:tr>
        <w:tblPrEx>
          <w:tblInd w:w="700" w:type="dxa"/>
          <w:tblLayout w:type="fixed"/>
          <w:tblCellMar>
            <w:top w:w="0" w:type="dxa"/>
            <w:left w:w="0" w:type="dxa"/>
            <w:bottom w:w="0" w:type="dxa"/>
            <w:right w:w="0" w:type="dxa"/>
          </w:tblCellMar>
          <w:tblLook w:val="0000"/>
        </w:tblPrEx>
        <w:trPr>
          <w:trHeight w:val="299"/>
        </w:trPr>
        <w:tc>
          <w:tcPr>
            <w:tcW w:w="734" w:type="dxa"/>
            <w:vMerge/>
            <w:tcBorders>
              <w:top w:val="nil"/>
              <w:bottom w:val="nil"/>
            </w:tcBorders>
          </w:tcPr>
          <w:p/>
        </w:tc>
        <w:tc>
          <w:tcPr>
            <w:tcW w:w="1118" w:type="dxa"/>
          </w:tcPr>
          <w:p>
            <w:pPr>
              <w:pStyle w:val="TableText"/>
              <w:spacing w:before="53" w:line="207" w:lineRule="auto"/>
              <w:ind w:left="340"/>
              <w:rPr>
                <w:sz w:val="21"/>
                <w:szCs w:val="21"/>
              </w:rPr>
            </w:pPr>
            <w:r>
              <w:rPr>
                <w:spacing w:val="-3"/>
                <w:sz w:val="21"/>
                <w:szCs w:val="21"/>
              </w:rPr>
              <w:t>较高</w:t>
            </w:r>
          </w:p>
        </w:tc>
        <w:tc>
          <w:tcPr>
            <w:tcW w:w="1668" w:type="dxa"/>
          </w:tcPr>
          <w:p>
            <w:pPr>
              <w:pStyle w:val="TableText"/>
              <w:spacing w:before="56" w:line="204" w:lineRule="auto"/>
              <w:ind w:left="662"/>
              <w:rPr>
                <w:sz w:val="21"/>
                <w:szCs w:val="21"/>
              </w:rPr>
            </w:pPr>
            <w:r>
              <w:rPr>
                <w:spacing w:val="-11"/>
                <w:sz w:val="21"/>
                <w:szCs w:val="21"/>
              </w:rPr>
              <w:t>(M)</w:t>
            </w:r>
          </w:p>
        </w:tc>
        <w:tc>
          <w:tcPr>
            <w:tcW w:w="1658" w:type="dxa"/>
          </w:tcPr>
          <w:p>
            <w:pPr>
              <w:pStyle w:val="TableText"/>
              <w:spacing w:before="56" w:line="204" w:lineRule="auto"/>
              <w:ind w:left="664"/>
              <w:rPr>
                <w:sz w:val="21"/>
                <w:szCs w:val="21"/>
              </w:rPr>
            </w:pPr>
            <w:r>
              <w:rPr>
                <w:spacing w:val="-11"/>
                <w:sz w:val="21"/>
                <w:szCs w:val="21"/>
              </w:rPr>
              <w:t>(M)</w:t>
            </w:r>
          </w:p>
        </w:tc>
        <w:tc>
          <w:tcPr>
            <w:tcW w:w="1668" w:type="dxa"/>
          </w:tcPr>
          <w:p>
            <w:pPr>
              <w:pStyle w:val="TableText"/>
              <w:spacing w:before="56" w:line="204" w:lineRule="auto"/>
              <w:ind w:left="666"/>
              <w:rPr>
                <w:sz w:val="21"/>
                <w:szCs w:val="21"/>
              </w:rPr>
            </w:pPr>
            <w:r>
              <w:rPr>
                <w:spacing w:val="-11"/>
                <w:sz w:val="21"/>
                <w:szCs w:val="21"/>
              </w:rPr>
              <w:t>(R)</w:t>
            </w:r>
          </w:p>
        </w:tc>
        <w:tc>
          <w:tcPr>
            <w:tcW w:w="1663" w:type="dxa"/>
          </w:tcPr>
          <w:p>
            <w:pPr>
              <w:pStyle w:val="TableText"/>
              <w:spacing w:before="56" w:line="204" w:lineRule="auto"/>
              <w:ind w:left="668"/>
              <w:rPr>
                <w:sz w:val="21"/>
                <w:szCs w:val="21"/>
              </w:rPr>
            </w:pPr>
            <w:r>
              <w:rPr>
                <w:spacing w:val="-11"/>
                <w:sz w:val="21"/>
                <w:szCs w:val="21"/>
              </w:rPr>
              <w:t>(R)</w:t>
            </w:r>
          </w:p>
        </w:tc>
      </w:tr>
      <w:tr>
        <w:tblPrEx>
          <w:tblInd w:w="700" w:type="dxa"/>
          <w:tblLayout w:type="fixed"/>
          <w:tblCellMar>
            <w:top w:w="0" w:type="dxa"/>
            <w:left w:w="0" w:type="dxa"/>
            <w:bottom w:w="0" w:type="dxa"/>
            <w:right w:w="0" w:type="dxa"/>
          </w:tblCellMar>
          <w:tblLook w:val="0000"/>
        </w:tblPrEx>
        <w:trPr>
          <w:trHeight w:val="318"/>
        </w:trPr>
        <w:tc>
          <w:tcPr>
            <w:tcW w:w="734" w:type="dxa"/>
            <w:vMerge/>
            <w:tcBorders>
              <w:top w:val="nil"/>
              <w:bottom w:val="nil"/>
            </w:tcBorders>
          </w:tcPr>
          <w:p/>
        </w:tc>
        <w:tc>
          <w:tcPr>
            <w:tcW w:w="1118" w:type="dxa"/>
          </w:tcPr>
          <w:p>
            <w:pPr>
              <w:pStyle w:val="TableText"/>
              <w:spacing w:before="65" w:line="213" w:lineRule="auto"/>
              <w:ind w:left="340"/>
              <w:rPr>
                <w:sz w:val="21"/>
                <w:szCs w:val="21"/>
              </w:rPr>
            </w:pPr>
            <w:r>
              <w:rPr>
                <w:spacing w:val="6"/>
                <w:sz w:val="21"/>
                <w:szCs w:val="21"/>
              </w:rPr>
              <w:t>适度</w:t>
            </w:r>
          </w:p>
        </w:tc>
        <w:tc>
          <w:tcPr>
            <w:tcW w:w="1668" w:type="dxa"/>
          </w:tcPr>
          <w:p>
            <w:pPr>
              <w:pStyle w:val="TableText"/>
              <w:spacing w:before="67" w:line="211" w:lineRule="auto"/>
              <w:ind w:left="662"/>
              <w:rPr>
                <w:sz w:val="21"/>
                <w:szCs w:val="21"/>
              </w:rPr>
            </w:pPr>
            <w:r>
              <w:rPr>
                <w:spacing w:val="-11"/>
                <w:sz w:val="21"/>
                <w:szCs w:val="21"/>
              </w:rPr>
              <w:t>(T)</w:t>
            </w:r>
          </w:p>
        </w:tc>
        <w:tc>
          <w:tcPr>
            <w:tcW w:w="1658" w:type="dxa"/>
          </w:tcPr>
          <w:p>
            <w:pPr>
              <w:pStyle w:val="TableText"/>
              <w:spacing w:before="67" w:line="211" w:lineRule="auto"/>
              <w:ind w:left="664"/>
              <w:rPr>
                <w:sz w:val="21"/>
                <w:szCs w:val="21"/>
              </w:rPr>
            </w:pPr>
            <w:r>
              <w:rPr>
                <w:spacing w:val="-11"/>
                <w:sz w:val="21"/>
                <w:szCs w:val="21"/>
              </w:rPr>
              <w:t>(T)</w:t>
            </w:r>
          </w:p>
        </w:tc>
        <w:tc>
          <w:tcPr>
            <w:tcW w:w="1668" w:type="dxa"/>
          </w:tcPr>
          <w:p>
            <w:pPr>
              <w:pStyle w:val="TableText"/>
              <w:spacing w:before="67" w:line="211" w:lineRule="auto"/>
              <w:ind w:left="666"/>
              <w:rPr>
                <w:sz w:val="21"/>
                <w:szCs w:val="21"/>
              </w:rPr>
            </w:pPr>
            <w:r>
              <w:rPr>
                <w:spacing w:val="-11"/>
                <w:sz w:val="21"/>
                <w:szCs w:val="21"/>
              </w:rPr>
              <w:t>(R)</w:t>
            </w:r>
          </w:p>
        </w:tc>
        <w:tc>
          <w:tcPr>
            <w:tcW w:w="1663" w:type="dxa"/>
          </w:tcPr>
          <w:p>
            <w:pPr>
              <w:pStyle w:val="TableText"/>
              <w:spacing w:before="67" w:line="211" w:lineRule="auto"/>
              <w:ind w:left="668"/>
              <w:rPr>
                <w:sz w:val="21"/>
                <w:szCs w:val="21"/>
              </w:rPr>
            </w:pPr>
            <w:r>
              <w:rPr>
                <w:spacing w:val="-11"/>
                <w:sz w:val="21"/>
                <w:szCs w:val="21"/>
              </w:rPr>
              <w:t>(I)</w:t>
            </w:r>
          </w:p>
        </w:tc>
      </w:tr>
      <w:tr>
        <w:tblPrEx>
          <w:tblInd w:w="700" w:type="dxa"/>
          <w:tblLayout w:type="fixed"/>
          <w:tblCellMar>
            <w:top w:w="0" w:type="dxa"/>
            <w:left w:w="0" w:type="dxa"/>
            <w:bottom w:w="0" w:type="dxa"/>
            <w:right w:w="0" w:type="dxa"/>
          </w:tblCellMar>
          <w:tblLook w:val="0000"/>
        </w:tblPrEx>
        <w:trPr>
          <w:trHeight w:val="313"/>
        </w:trPr>
        <w:tc>
          <w:tcPr>
            <w:tcW w:w="734" w:type="dxa"/>
            <w:vMerge/>
            <w:tcBorders>
              <w:top w:val="nil"/>
            </w:tcBorders>
          </w:tcPr>
          <w:p/>
        </w:tc>
        <w:tc>
          <w:tcPr>
            <w:tcW w:w="1118" w:type="dxa"/>
          </w:tcPr>
          <w:p>
            <w:pPr>
              <w:pStyle w:val="TableText"/>
              <w:spacing w:before="58" w:line="215" w:lineRule="auto"/>
              <w:ind w:left="440"/>
              <w:rPr>
                <w:sz w:val="21"/>
                <w:szCs w:val="21"/>
              </w:rPr>
            </w:pPr>
            <w:r>
              <w:rPr>
                <w:sz w:val="21"/>
                <w:szCs w:val="21"/>
              </w:rPr>
              <w:t>低</w:t>
            </w:r>
          </w:p>
        </w:tc>
        <w:tc>
          <w:tcPr>
            <w:tcW w:w="1668" w:type="dxa"/>
          </w:tcPr>
          <w:p>
            <w:pPr>
              <w:pStyle w:val="TableText"/>
              <w:spacing w:before="59" w:line="214" w:lineRule="auto"/>
              <w:ind w:left="662"/>
              <w:rPr>
                <w:sz w:val="21"/>
                <w:szCs w:val="21"/>
              </w:rPr>
            </w:pPr>
            <w:r>
              <w:rPr>
                <w:spacing w:val="-11"/>
                <w:sz w:val="21"/>
                <w:szCs w:val="21"/>
              </w:rPr>
              <w:t>(T)</w:t>
            </w:r>
          </w:p>
        </w:tc>
        <w:tc>
          <w:tcPr>
            <w:tcW w:w="1658" w:type="dxa"/>
          </w:tcPr>
          <w:p>
            <w:pPr>
              <w:pStyle w:val="TableText"/>
              <w:spacing w:before="59" w:line="214" w:lineRule="auto"/>
              <w:ind w:left="664"/>
              <w:rPr>
                <w:sz w:val="21"/>
                <w:szCs w:val="21"/>
              </w:rPr>
            </w:pPr>
            <w:r>
              <w:rPr>
                <w:spacing w:val="-11"/>
                <w:sz w:val="21"/>
                <w:szCs w:val="21"/>
              </w:rPr>
              <w:t>(T)</w:t>
            </w:r>
          </w:p>
        </w:tc>
        <w:tc>
          <w:tcPr>
            <w:tcW w:w="1668" w:type="dxa"/>
          </w:tcPr>
          <w:p>
            <w:pPr>
              <w:pStyle w:val="TableText"/>
              <w:spacing w:before="59" w:line="214" w:lineRule="auto"/>
              <w:ind w:left="666"/>
              <w:rPr>
                <w:sz w:val="21"/>
                <w:szCs w:val="21"/>
              </w:rPr>
            </w:pPr>
            <w:r>
              <w:rPr>
                <w:spacing w:val="-11"/>
                <w:sz w:val="21"/>
                <w:szCs w:val="21"/>
              </w:rPr>
              <w:t>(R)</w:t>
            </w:r>
          </w:p>
        </w:tc>
        <w:tc>
          <w:tcPr>
            <w:tcW w:w="1663" w:type="dxa"/>
          </w:tcPr>
          <w:p>
            <w:pPr>
              <w:pStyle w:val="TableText"/>
              <w:spacing w:before="59" w:line="214" w:lineRule="auto"/>
              <w:ind w:left="668"/>
              <w:rPr>
                <w:sz w:val="21"/>
                <w:szCs w:val="21"/>
              </w:rPr>
            </w:pPr>
            <w:r>
              <w:rPr>
                <w:spacing w:val="-11"/>
                <w:sz w:val="21"/>
                <w:szCs w:val="21"/>
              </w:rPr>
              <w:t>(I)</w:t>
            </w:r>
          </w:p>
        </w:tc>
      </w:tr>
    </w:tbl>
    <w:p>
      <w:pPr>
        <w:spacing w:line="271" w:lineRule="auto"/>
      </w:pPr>
    </w:p>
    <w:p>
      <w:pPr>
        <w:spacing w:line="272" w:lineRule="auto"/>
      </w:pPr>
    </w:p>
    <w:p>
      <w:pPr>
        <w:spacing w:line="272" w:lineRule="auto"/>
      </w:pPr>
    </w:p>
    <w:p>
      <w:pPr>
        <w:spacing w:before="69" w:line="221" w:lineRule="auto"/>
        <w:ind w:left="802"/>
        <w:outlineLvl w:val="0"/>
        <w:rPr>
          <w:rFonts w:ascii="黑体" w:eastAsia="黑体" w:hAnsi="黑体" w:cs="黑体"/>
        </w:rPr>
      </w:pPr>
      <w:r>
        <w:rPr>
          <w:rFonts w:ascii="黑体" w:eastAsia="黑体" w:hAnsi="黑体" w:cs="黑体"/>
          <w:b/>
          <w:bCs/>
          <w:spacing w:val="-4"/>
          <w:sz w:val="21"/>
          <w:szCs w:val="21"/>
        </w:rPr>
        <w:t>5.</w:t>
      </w:r>
      <w:r>
        <w:rPr>
          <w:rFonts w:ascii="黑体" w:eastAsia="黑体" w:hAnsi="黑体" w:cs="黑体"/>
          <w:spacing w:val="100"/>
          <w:sz w:val="21"/>
          <w:szCs w:val="21"/>
        </w:rPr>
        <w:t xml:space="preserve"> </w:t>
      </w:r>
      <w:r>
        <w:rPr>
          <w:rFonts w:ascii="黑体" w:eastAsia="黑体" w:hAnsi="黑体" w:cs="黑体"/>
          <w:b/>
          <w:bCs/>
          <w:spacing w:val="-4"/>
          <w:sz w:val="21"/>
          <w:szCs w:val="21"/>
        </w:rPr>
        <w:t>费用效果分析</w:t>
      </w:r>
    </w:p>
    <w:p>
      <w:pPr>
        <w:spacing w:line="422" w:lineRule="auto"/>
      </w:pPr>
    </w:p>
    <w:p>
      <w:pPr>
        <w:pStyle w:val="BodyText"/>
        <w:spacing w:before="68" w:line="404" w:lineRule="auto"/>
        <w:ind w:left="799" w:right="837" w:firstLine="420"/>
        <w:jc w:val="both"/>
        <w:rPr>
          <w:sz w:val="21"/>
          <w:szCs w:val="21"/>
        </w:rPr>
      </w:pPr>
      <w:r>
        <w:rPr>
          <w:spacing w:val="-3"/>
          <w:sz w:val="21"/>
          <w:szCs w:val="21"/>
        </w:rPr>
        <w:t>费用效果分析系通过比较项目预期的效果与</w:t>
      </w:r>
      <w:r>
        <w:rPr>
          <w:spacing w:val="-4"/>
          <w:sz w:val="21"/>
          <w:szCs w:val="21"/>
        </w:rPr>
        <w:t>所支付的费用，判断项目的费用有效性或经</w:t>
      </w:r>
      <w:r>
        <w:rPr>
          <w:sz w:val="21"/>
          <w:szCs w:val="21"/>
        </w:rPr>
        <w:t xml:space="preserve"> </w:t>
      </w:r>
      <w:r>
        <w:rPr>
          <w:spacing w:val="-3"/>
          <w:sz w:val="21"/>
          <w:szCs w:val="21"/>
        </w:rPr>
        <w:t>济合理性。效果难于或不能货币化，或货币化的效果不是项目目标的主体时，在经济评价中</w:t>
      </w:r>
    </w:p>
    <w:p>
      <w:pPr>
        <w:pStyle w:val="BodyText"/>
        <w:spacing w:before="1" w:line="218" w:lineRule="auto"/>
        <w:ind w:left="799"/>
        <w:rPr>
          <w:sz w:val="21"/>
          <w:szCs w:val="21"/>
        </w:rPr>
      </w:pPr>
      <w:r>
        <w:rPr>
          <w:spacing w:val="-1"/>
          <w:sz w:val="21"/>
          <w:szCs w:val="21"/>
        </w:rPr>
        <w:t>应采用费用效果分析法，其结论作为项目投资决策的依据之一。</w:t>
      </w:r>
    </w:p>
    <w:p>
      <w:pPr>
        <w:pStyle w:val="BodyText"/>
        <w:spacing w:before="221" w:line="422" w:lineRule="auto"/>
        <w:ind w:left="799" w:right="813" w:firstLine="420"/>
        <w:jc w:val="both"/>
        <w:rPr>
          <w:sz w:val="21"/>
          <w:szCs w:val="21"/>
        </w:rPr>
      </w:pPr>
      <w:r>
        <w:rPr>
          <w:spacing w:val="-2"/>
          <w:sz w:val="21"/>
          <w:szCs w:val="21"/>
        </w:rPr>
        <w:t>费用效果分析中的费用系指为实现项目预定</w:t>
      </w:r>
      <w:r>
        <w:rPr>
          <w:spacing w:val="-3"/>
          <w:sz w:val="21"/>
          <w:szCs w:val="21"/>
        </w:rPr>
        <w:t>目标所付出的财务代价或经济代价，采用货</w:t>
      </w:r>
      <w:r>
        <w:rPr>
          <w:sz w:val="21"/>
          <w:szCs w:val="21"/>
        </w:rPr>
        <w:t xml:space="preserve"> </w:t>
      </w:r>
      <w:r>
        <w:rPr>
          <w:spacing w:val="-3"/>
          <w:sz w:val="21"/>
          <w:szCs w:val="21"/>
        </w:rPr>
        <w:t>币计量；效果系指项目的结果所起到的作用、效应或效能，是项目目标的实现程</w:t>
      </w:r>
      <w:r>
        <w:rPr>
          <w:spacing w:val="-4"/>
          <w:sz w:val="21"/>
          <w:szCs w:val="21"/>
        </w:rPr>
        <w:t>度。按照项</w:t>
      </w:r>
    </w:p>
    <w:p>
      <w:pPr>
        <w:pStyle w:val="BodyText"/>
        <w:spacing w:before="1" w:line="218" w:lineRule="auto"/>
        <w:ind w:left="799"/>
        <w:rPr>
          <w:sz w:val="21"/>
          <w:szCs w:val="21"/>
        </w:rPr>
      </w:pPr>
      <w:r>
        <w:rPr>
          <w:spacing w:val="-10"/>
          <w:sz w:val="21"/>
          <w:szCs w:val="21"/>
        </w:rPr>
        <w:t>目要实现的目标，</w:t>
      </w:r>
      <w:r>
        <w:rPr>
          <w:spacing w:val="68"/>
          <w:sz w:val="21"/>
          <w:szCs w:val="21"/>
        </w:rPr>
        <w:t xml:space="preserve"> </w:t>
      </w:r>
      <w:r>
        <w:rPr>
          <w:spacing w:val="-10"/>
          <w:sz w:val="21"/>
          <w:szCs w:val="21"/>
        </w:rPr>
        <w:t>一个项目可选用一个或几个效果指标。</w:t>
      </w:r>
    </w:p>
    <w:p>
      <w:pPr>
        <w:spacing w:line="218" w:lineRule="auto"/>
        <w:sectPr>
          <w:headerReference w:type="default" r:id="rId74"/>
          <w:footerReference w:type="default" r:id="rId75"/>
          <w:pgSz w:w="11910" w:h="16840"/>
          <w:pgMar w:top="400" w:right="999" w:bottom="1182" w:left="989" w:header="0" w:footer="969" w:gutter="0"/>
          <w:pgNumType w:start="31"/>
          <w:cols w:space="708"/>
        </w:sectPr>
      </w:pPr>
    </w:p>
    <w:p>
      <w:pPr>
        <w:spacing w:before="193"/>
      </w:pPr>
    </w:p>
    <w:tbl>
      <w:tblPr>
        <w:tblStyle w:val="TableNormal22"/>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80"/>
        <w:gridCol w:w="269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51" w:line="215" w:lineRule="auto"/>
              <w:ind w:left="123"/>
            </w:pPr>
            <w:bookmarkStart w:id="39" w:name="bookmark42"/>
            <w:bookmarkStart w:id="40" w:name="bookmark41"/>
            <w:bookmarkStart w:id="41" w:name="bookmark43"/>
            <w:bookmarkStart w:id="42" w:name="bookmark40"/>
            <w:bookmarkEnd w:id="39"/>
            <w:bookmarkEnd w:id="40"/>
            <w:bookmarkEnd w:id="41"/>
            <w:bookmarkEnd w:id="42"/>
            <w:r>
              <w:rPr>
                <w:b/>
                <w:bCs/>
                <w:spacing w:val="-5"/>
              </w:rPr>
              <w:t>编号：</w:t>
            </w:r>
          </w:p>
          <w:p>
            <w:pPr>
              <w:pStyle w:val="TableText"/>
              <w:spacing w:line="219" w:lineRule="auto"/>
              <w:ind w:left="143"/>
            </w:pPr>
            <w:r>
              <w:rPr>
                <w:b/>
                <w:bCs/>
              </w:rPr>
              <w:t>时间：2021年x月x日</w:t>
            </w:r>
          </w:p>
        </w:tc>
        <w:tc>
          <w:tcPr>
            <w:tcW w:w="4680" w:type="dxa"/>
          </w:tcPr>
          <w:p>
            <w:pPr>
              <w:spacing w:line="250" w:lineRule="auto"/>
            </w:pPr>
          </w:p>
          <w:p>
            <w:pPr>
              <w:pStyle w:val="TableText"/>
              <w:spacing w:before="78" w:line="219" w:lineRule="auto"/>
              <w:ind w:left="268"/>
            </w:pPr>
            <w:r>
              <w:rPr>
                <w:b/>
                <w:bCs/>
                <w:color w:val="F30000"/>
                <w:spacing w:val="-4"/>
              </w:rPr>
              <w:t>书山有路勤为径，学海无涯苦作舟</w:t>
            </w:r>
          </w:p>
        </w:tc>
        <w:tc>
          <w:tcPr>
            <w:tcW w:w="2690" w:type="dxa"/>
            <w:tcBorders>
              <w:right w:val="nil"/>
            </w:tcBorders>
          </w:tcPr>
          <w:p>
            <w:pPr>
              <w:spacing w:line="252" w:lineRule="auto"/>
            </w:pPr>
          </w:p>
          <w:p>
            <w:pPr>
              <w:pStyle w:val="TableText"/>
              <w:spacing w:before="78" w:line="219" w:lineRule="auto"/>
              <w:ind w:left="128"/>
            </w:pPr>
            <w:r>
              <w:rPr>
                <w:b/>
                <w:bCs/>
                <w:spacing w:val="-2"/>
              </w:rPr>
              <w:t>页码：第23页共70页</w:t>
            </w:r>
          </w:p>
        </w:tc>
      </w:tr>
    </w:tbl>
    <w:p>
      <w:pPr>
        <w:spacing w:line="301" w:lineRule="auto"/>
      </w:pPr>
    </w:p>
    <w:p>
      <w:pPr>
        <w:pStyle w:val="BodyText"/>
        <w:spacing w:before="68" w:line="414" w:lineRule="auto"/>
        <w:ind w:left="799" w:right="791" w:firstLine="420"/>
        <w:rPr>
          <w:sz w:val="21"/>
          <w:szCs w:val="21"/>
        </w:rPr>
      </w:pPr>
      <w:r>
        <w:rPr>
          <w:spacing w:val="-3"/>
          <w:sz w:val="21"/>
          <w:szCs w:val="21"/>
        </w:rPr>
        <w:t>费用效果分析回避了效果定价的难题，直接用非货币化的效果与费用进行比较，方法相</w:t>
      </w:r>
      <w:r>
        <w:rPr>
          <w:spacing w:val="10"/>
          <w:sz w:val="21"/>
          <w:szCs w:val="21"/>
        </w:rPr>
        <w:t xml:space="preserve"> </w:t>
      </w:r>
      <w:r>
        <w:rPr>
          <w:spacing w:val="-2"/>
          <w:sz w:val="21"/>
          <w:szCs w:val="21"/>
        </w:rPr>
        <w:t>对简单，最适用于效果难于货币化的领域。在中国移动建设项目</w:t>
      </w:r>
      <w:r>
        <w:rPr>
          <w:spacing w:val="-3"/>
          <w:sz w:val="21"/>
          <w:szCs w:val="21"/>
        </w:rPr>
        <w:t>经济评价中，费用效果分析</w:t>
      </w:r>
    </w:p>
    <w:p>
      <w:pPr>
        <w:pStyle w:val="BodyText"/>
        <w:spacing w:line="219" w:lineRule="auto"/>
        <w:ind w:left="799"/>
        <w:rPr>
          <w:sz w:val="21"/>
          <w:szCs w:val="21"/>
        </w:rPr>
      </w:pPr>
      <w:r>
        <w:rPr>
          <w:spacing w:val="-7"/>
          <w:sz w:val="21"/>
          <w:szCs w:val="21"/>
        </w:rPr>
        <w:t>应用有两个层面：</w:t>
      </w:r>
    </w:p>
    <w:p>
      <w:pPr>
        <w:pStyle w:val="BodyText"/>
        <w:spacing w:before="211" w:line="413" w:lineRule="auto"/>
        <w:ind w:left="799" w:right="714" w:firstLine="420"/>
        <w:rPr>
          <w:sz w:val="21"/>
          <w:szCs w:val="21"/>
        </w:rPr>
      </w:pPr>
      <w:r>
        <w:rPr>
          <w:spacing w:val="-3"/>
          <w:sz w:val="21"/>
          <w:szCs w:val="21"/>
        </w:rPr>
        <w:t>一是应用于无法测算收入的非生产类项目，诸如支撑网中用于企业内部的管理信息系统</w:t>
      </w:r>
      <w:r>
        <w:rPr>
          <w:spacing w:val="1"/>
          <w:sz w:val="21"/>
          <w:szCs w:val="21"/>
        </w:rPr>
        <w:t xml:space="preserve">  </w:t>
      </w:r>
      <w:r>
        <w:rPr>
          <w:spacing w:val="-3"/>
          <w:sz w:val="21"/>
          <w:szCs w:val="21"/>
        </w:rPr>
        <w:t>建设和信息安全系统建设等不直接与生产业务相关的项目，主</w:t>
      </w:r>
      <w:r>
        <w:rPr>
          <w:spacing w:val="-4"/>
          <w:sz w:val="21"/>
          <w:szCs w:val="21"/>
        </w:rPr>
        <w:t>要为承担社会责任的无线网应</w:t>
      </w:r>
      <w:r>
        <w:rPr>
          <w:sz w:val="21"/>
          <w:szCs w:val="21"/>
        </w:rPr>
        <w:t xml:space="preserve">  </w:t>
      </w:r>
      <w:r>
        <w:rPr>
          <w:spacing w:val="-2"/>
          <w:sz w:val="21"/>
          <w:szCs w:val="21"/>
        </w:rPr>
        <w:t>急通信项目、村通项目、灾后重建等项目。这些项目不是直接应用于服务客户的业务，</w:t>
      </w:r>
      <w:r>
        <w:rPr>
          <w:spacing w:val="-3"/>
          <w:sz w:val="21"/>
          <w:szCs w:val="21"/>
        </w:rPr>
        <w:t>项目</w:t>
      </w:r>
      <w:r>
        <w:rPr>
          <w:sz w:val="21"/>
          <w:szCs w:val="21"/>
        </w:rPr>
        <w:t xml:space="preserve"> </w:t>
      </w:r>
      <w:r>
        <w:rPr>
          <w:spacing w:val="-7"/>
          <w:sz w:val="21"/>
          <w:szCs w:val="21"/>
        </w:rPr>
        <w:t>的直接或主要目标不是带来直接的经济效益，效果难于和不能货币化，</w:t>
      </w:r>
      <w:r>
        <w:rPr>
          <w:spacing w:val="62"/>
          <w:sz w:val="21"/>
          <w:szCs w:val="21"/>
        </w:rPr>
        <w:t xml:space="preserve"> </w:t>
      </w:r>
      <w:r>
        <w:rPr>
          <w:spacing w:val="-7"/>
          <w:sz w:val="21"/>
          <w:szCs w:val="21"/>
        </w:rPr>
        <w:t>一般情况下，直接进</w:t>
      </w:r>
      <w:r>
        <w:rPr>
          <w:sz w:val="21"/>
          <w:szCs w:val="21"/>
        </w:rPr>
        <w:t xml:space="preserve">  行费用效果分析，在充分论证项目必要性的前提下，重</w:t>
      </w:r>
      <w:r>
        <w:rPr>
          <w:spacing w:val="-1"/>
          <w:sz w:val="21"/>
          <w:szCs w:val="21"/>
        </w:rPr>
        <w:t>点制定实现项目目标的途径和方案，</w:t>
      </w:r>
      <w:r>
        <w:rPr>
          <w:sz w:val="21"/>
          <w:szCs w:val="21"/>
        </w:rPr>
        <w:t xml:space="preserve"> </w:t>
      </w:r>
      <w:r>
        <w:rPr>
          <w:spacing w:val="-2"/>
          <w:sz w:val="21"/>
          <w:szCs w:val="21"/>
        </w:rPr>
        <w:t>重点分析项目的相关成本费用，以及项目结果所起到的作用、效应和</w:t>
      </w:r>
      <w:r>
        <w:rPr>
          <w:spacing w:val="-3"/>
          <w:sz w:val="21"/>
          <w:szCs w:val="21"/>
        </w:rPr>
        <w:t>效能。这些作用、效应</w:t>
      </w:r>
    </w:p>
    <w:p>
      <w:pPr>
        <w:pStyle w:val="BodyText"/>
        <w:spacing w:line="219" w:lineRule="auto"/>
        <w:ind w:left="799"/>
        <w:rPr>
          <w:sz w:val="21"/>
          <w:szCs w:val="21"/>
        </w:rPr>
      </w:pPr>
      <w:r>
        <w:rPr>
          <w:spacing w:val="-2"/>
          <w:sz w:val="21"/>
          <w:szCs w:val="21"/>
        </w:rPr>
        <w:t>和效能尽可能体现为量化指标，也可以进行单纯的定性的阐述。</w:t>
      </w:r>
    </w:p>
    <w:p>
      <w:pPr>
        <w:pStyle w:val="BodyText"/>
        <w:spacing w:before="211" w:line="413" w:lineRule="auto"/>
        <w:ind w:left="799" w:right="809" w:firstLine="420"/>
        <w:rPr>
          <w:sz w:val="21"/>
          <w:szCs w:val="21"/>
        </w:rPr>
      </w:pPr>
      <w:r>
        <w:rPr>
          <w:spacing w:val="-3"/>
          <w:sz w:val="21"/>
          <w:szCs w:val="21"/>
        </w:rPr>
        <w:t>二是应用于方案比选，依据以尽可能少的费用获得尽可能大的效果的原则，通过多方案</w:t>
      </w:r>
      <w:r>
        <w:rPr>
          <w:spacing w:val="3"/>
          <w:sz w:val="21"/>
          <w:szCs w:val="21"/>
        </w:rPr>
        <w:t xml:space="preserve"> </w:t>
      </w:r>
      <w:r>
        <w:rPr>
          <w:spacing w:val="-3"/>
          <w:sz w:val="21"/>
          <w:szCs w:val="21"/>
        </w:rPr>
        <w:t>比选，提供优先选定方案或进行方案优先次序排队，以供决策。在进行多方案比选时，费用</w:t>
      </w:r>
    </w:p>
    <w:p>
      <w:pPr>
        <w:pStyle w:val="BodyText"/>
        <w:spacing w:line="218" w:lineRule="auto"/>
        <w:ind w:left="799"/>
        <w:rPr>
          <w:sz w:val="21"/>
          <w:szCs w:val="21"/>
        </w:rPr>
      </w:pPr>
      <w:r>
        <w:rPr>
          <w:spacing w:val="-2"/>
          <w:sz w:val="21"/>
          <w:szCs w:val="21"/>
        </w:rPr>
        <w:t>效果分析有采用最小费用法、最大效果法和增量分析法三种基本方法：</w:t>
      </w:r>
    </w:p>
    <w:p>
      <w:pPr>
        <w:pStyle w:val="BodyText"/>
        <w:spacing w:before="223" w:line="219" w:lineRule="auto"/>
        <w:ind w:left="1220"/>
        <w:rPr>
          <w:sz w:val="21"/>
          <w:szCs w:val="21"/>
        </w:rPr>
      </w:pPr>
      <w:r>
        <w:rPr>
          <w:spacing w:val="-6"/>
          <w:sz w:val="21"/>
          <w:szCs w:val="21"/>
        </w:rPr>
        <w:t>1、最小费用法，也称固定效果法，在效果相同的条件下，应选取费用最小的</w:t>
      </w:r>
      <w:r>
        <w:rPr>
          <w:spacing w:val="-7"/>
          <w:sz w:val="21"/>
          <w:szCs w:val="21"/>
        </w:rPr>
        <w:t>备选方案。</w:t>
      </w:r>
    </w:p>
    <w:p>
      <w:pPr>
        <w:pStyle w:val="BodyText"/>
        <w:spacing w:before="220" w:line="219" w:lineRule="auto"/>
        <w:ind w:left="1220"/>
        <w:rPr>
          <w:sz w:val="21"/>
          <w:szCs w:val="21"/>
        </w:rPr>
      </w:pPr>
      <w:r>
        <w:rPr>
          <w:spacing w:val="-6"/>
          <w:sz w:val="21"/>
          <w:szCs w:val="21"/>
        </w:rPr>
        <w:t>2、最大效果法，也称固定费用法，在费用相同的条件下，应选取效果最大的备选方案。</w:t>
      </w:r>
    </w:p>
    <w:p>
      <w:pPr>
        <w:pStyle w:val="BodyText"/>
        <w:spacing w:before="211" w:line="403" w:lineRule="auto"/>
        <w:ind w:left="799" w:right="811" w:firstLine="420"/>
        <w:rPr>
          <w:sz w:val="21"/>
          <w:szCs w:val="21"/>
        </w:rPr>
      </w:pPr>
      <w:r>
        <w:rPr>
          <w:spacing w:val="-1"/>
          <w:sz w:val="21"/>
          <w:szCs w:val="21"/>
        </w:rPr>
        <w:t>3、增量分析法，当效果与费用均不固定，且分别具有较大幅度的差别时，应比较两个</w:t>
      </w:r>
      <w:r>
        <w:rPr>
          <w:spacing w:val="12"/>
          <w:sz w:val="21"/>
          <w:szCs w:val="21"/>
        </w:rPr>
        <w:t xml:space="preserve"> </w:t>
      </w:r>
      <w:r>
        <w:rPr>
          <w:spacing w:val="-3"/>
          <w:sz w:val="21"/>
          <w:szCs w:val="21"/>
        </w:rPr>
        <w:t>备选方案之间的费用差额和效果差额，分析获得增量效果所付出的增量费用是否值得，不可</w:t>
      </w:r>
    </w:p>
    <w:p>
      <w:pPr>
        <w:pStyle w:val="BodyText"/>
        <w:spacing w:line="212" w:lineRule="auto"/>
        <w:ind w:left="799"/>
        <w:rPr>
          <w:sz w:val="21"/>
          <w:szCs w:val="21"/>
        </w:rPr>
      </w:pPr>
      <w:r>
        <w:rPr>
          <w:spacing w:val="-1"/>
          <w:sz w:val="21"/>
          <w:szCs w:val="21"/>
        </w:rPr>
        <w:t xml:space="preserve">盲目选择效果费用比 </w:t>
      </w:r>
      <w:r>
        <w:rPr>
          <w:rFonts w:ascii="Times New Roman" w:eastAsia="Times New Roman" w:hAnsi="Times New Roman" w:cs="Times New Roman"/>
          <w:spacing w:val="-1"/>
          <w:sz w:val="21"/>
          <w:szCs w:val="21"/>
        </w:rPr>
        <w:t xml:space="preserve">(REc)   </w:t>
      </w:r>
      <w:r>
        <w:rPr>
          <w:spacing w:val="-1"/>
          <w:sz w:val="21"/>
          <w:szCs w:val="21"/>
        </w:rPr>
        <w:t>大的方案或费用效果比</w:t>
      </w:r>
      <w:r>
        <w:rPr>
          <w:spacing w:val="-14"/>
          <w:sz w:val="21"/>
          <w:szCs w:val="21"/>
        </w:rPr>
        <w:t xml:space="preserve"> </w:t>
      </w:r>
      <w:r>
        <w:rPr>
          <w:rFonts w:ascii="Times New Roman" w:eastAsia="Times New Roman" w:hAnsi="Times New Roman" w:cs="Times New Roman"/>
          <w:spacing w:val="-1"/>
          <w:sz w:val="21"/>
          <w:szCs w:val="21"/>
        </w:rPr>
        <w:t xml:space="preserve">(RcE)   </w:t>
      </w:r>
      <w:r>
        <w:rPr>
          <w:spacing w:val="-1"/>
          <w:sz w:val="21"/>
          <w:szCs w:val="21"/>
        </w:rPr>
        <w:t>小的方案。</w:t>
      </w:r>
    </w:p>
    <w:p>
      <w:pPr>
        <w:spacing w:line="456" w:lineRule="auto"/>
      </w:pPr>
    </w:p>
    <w:p>
      <w:pPr>
        <w:spacing w:before="68" w:line="221" w:lineRule="auto"/>
        <w:ind w:left="802"/>
        <w:outlineLvl w:val="0"/>
        <w:rPr>
          <w:rFonts w:ascii="黑体" w:eastAsia="黑体" w:hAnsi="黑体" w:cs="黑体"/>
        </w:rPr>
      </w:pPr>
      <w:r>
        <w:rPr>
          <w:rFonts w:ascii="黑体" w:eastAsia="黑体" w:hAnsi="黑体" w:cs="黑体"/>
          <w:b/>
          <w:bCs/>
          <w:spacing w:val="-5"/>
          <w:sz w:val="21"/>
          <w:szCs w:val="21"/>
        </w:rPr>
        <w:t>6.</w:t>
      </w:r>
      <w:r>
        <w:rPr>
          <w:rFonts w:ascii="黑体" w:eastAsia="黑体" w:hAnsi="黑体" w:cs="黑体"/>
          <w:spacing w:val="86"/>
          <w:sz w:val="21"/>
          <w:szCs w:val="21"/>
        </w:rPr>
        <w:t xml:space="preserve"> </w:t>
      </w:r>
      <w:r>
        <w:rPr>
          <w:rFonts w:ascii="黑体" w:eastAsia="黑体" w:hAnsi="黑体" w:cs="黑体"/>
          <w:b/>
          <w:bCs/>
          <w:spacing w:val="-5"/>
          <w:sz w:val="21"/>
          <w:szCs w:val="21"/>
        </w:rPr>
        <w:t>方案经济比选</w:t>
      </w:r>
    </w:p>
    <w:p>
      <w:pPr>
        <w:spacing w:before="219" w:line="221" w:lineRule="auto"/>
        <w:ind w:left="1393"/>
        <w:outlineLvl w:val="1"/>
        <w:rPr>
          <w:rFonts w:ascii="黑体" w:eastAsia="黑体" w:hAnsi="黑体" w:cs="黑体"/>
        </w:rPr>
      </w:pPr>
      <w:r>
        <w:rPr>
          <w:rFonts w:ascii="黑体" w:eastAsia="黑体" w:hAnsi="黑体" w:cs="黑体"/>
          <w:b/>
          <w:bCs/>
          <w:sz w:val="21"/>
          <w:szCs w:val="21"/>
        </w:rPr>
        <w:t>6.1</w:t>
      </w:r>
      <w:r>
        <w:rPr>
          <w:rFonts w:ascii="黑体" w:eastAsia="黑体" w:hAnsi="黑体" w:cs="黑体"/>
          <w:sz w:val="21"/>
          <w:szCs w:val="21"/>
        </w:rPr>
        <w:t xml:space="preserve">   </w:t>
      </w:r>
      <w:r>
        <w:rPr>
          <w:rFonts w:ascii="黑体" w:eastAsia="黑体" w:hAnsi="黑体" w:cs="黑体"/>
          <w:b/>
          <w:bCs/>
          <w:sz w:val="21"/>
          <w:szCs w:val="21"/>
        </w:rPr>
        <w:t>方案经济比选的意义和作用</w:t>
      </w:r>
    </w:p>
    <w:p>
      <w:pPr>
        <w:spacing w:line="418" w:lineRule="auto"/>
      </w:pPr>
    </w:p>
    <w:p>
      <w:pPr>
        <w:pStyle w:val="BodyText"/>
        <w:spacing w:before="69" w:line="414" w:lineRule="auto"/>
        <w:ind w:left="799" w:right="756" w:firstLine="420"/>
        <w:jc w:val="both"/>
        <w:rPr>
          <w:sz w:val="21"/>
          <w:szCs w:val="21"/>
        </w:rPr>
      </w:pPr>
      <w:r>
        <w:rPr>
          <w:spacing w:val="-3"/>
          <w:sz w:val="21"/>
          <w:szCs w:val="21"/>
        </w:rPr>
        <w:t>方案经济比选是项目评价的重要内容。建设项目的投资决策以及项目可行性研究的过程</w:t>
      </w:r>
      <w:r>
        <w:rPr>
          <w:sz w:val="21"/>
          <w:szCs w:val="21"/>
        </w:rPr>
        <w:t xml:space="preserve"> </w:t>
      </w:r>
      <w:r>
        <w:rPr>
          <w:spacing w:val="-3"/>
          <w:sz w:val="21"/>
          <w:szCs w:val="21"/>
        </w:rPr>
        <w:t>是方案比选和择优的过程，在可行性研究和投资决策过程中，对涉及到的多个决策要素和研</w:t>
      </w:r>
      <w:r>
        <w:rPr>
          <w:spacing w:val="7"/>
          <w:sz w:val="21"/>
          <w:szCs w:val="21"/>
        </w:rPr>
        <w:t xml:space="preserve"> </w:t>
      </w:r>
      <w:r>
        <w:rPr>
          <w:spacing w:val="-3"/>
          <w:sz w:val="21"/>
          <w:szCs w:val="21"/>
        </w:rPr>
        <w:t>究方面，都应从技术和经济相结合的角度进行多</w:t>
      </w:r>
      <w:r>
        <w:rPr>
          <w:spacing w:val="-4"/>
          <w:sz w:val="21"/>
          <w:szCs w:val="21"/>
        </w:rPr>
        <w:t xml:space="preserve">方案分析论证，比选优化，如项目满足的业 </w:t>
      </w:r>
      <w:r>
        <w:rPr>
          <w:spacing w:val="-1"/>
          <w:sz w:val="21"/>
          <w:szCs w:val="21"/>
        </w:rPr>
        <w:t>务量和用户规模、技术和设备选择、对其他网络的</w:t>
      </w:r>
      <w:r>
        <w:rPr>
          <w:spacing w:val="-2"/>
          <w:sz w:val="21"/>
          <w:szCs w:val="21"/>
        </w:rPr>
        <w:t>影响、机房条件要求、资金筹措等方面，</w:t>
      </w:r>
    </w:p>
    <w:p>
      <w:pPr>
        <w:pStyle w:val="BodyText"/>
        <w:spacing w:line="219" w:lineRule="auto"/>
        <w:ind w:left="799"/>
        <w:rPr>
          <w:sz w:val="21"/>
          <w:szCs w:val="21"/>
        </w:rPr>
      </w:pPr>
      <w:r>
        <w:rPr>
          <w:spacing w:val="-2"/>
          <w:sz w:val="21"/>
          <w:szCs w:val="21"/>
        </w:rPr>
        <w:t>根据比较的结果，结合其他因素进行决策。</w:t>
      </w:r>
    </w:p>
    <w:p>
      <w:pPr>
        <w:pStyle w:val="BodyText"/>
        <w:spacing w:before="219" w:line="218" w:lineRule="auto"/>
        <w:ind w:left="1220"/>
        <w:rPr>
          <w:sz w:val="21"/>
          <w:szCs w:val="21"/>
        </w:rPr>
      </w:pPr>
      <w:r>
        <w:rPr>
          <w:spacing w:val="-2"/>
          <w:sz w:val="21"/>
          <w:szCs w:val="21"/>
        </w:rPr>
        <w:t>项目经济评价中宜对互斥方案和可转化为互斥方案的方案进行比选。</w:t>
      </w:r>
    </w:p>
    <w:p>
      <w:pPr>
        <w:spacing w:line="218" w:lineRule="auto"/>
        <w:sectPr>
          <w:headerReference w:type="default" r:id="rId76"/>
          <w:footerReference w:type="default" r:id="rId77"/>
          <w:pgSz w:w="11910" w:h="16840"/>
          <w:pgMar w:top="400" w:right="1019" w:bottom="1182" w:left="989" w:header="0" w:footer="969" w:gutter="0"/>
          <w:pgNumType w:start="32"/>
          <w:cols w:space="708"/>
        </w:sectPr>
      </w:pPr>
    </w:p>
    <w:p>
      <w:pPr>
        <w:spacing w:before="193"/>
      </w:pPr>
    </w:p>
    <w:tbl>
      <w:tblPr>
        <w:tblStyle w:val="TableNormal23"/>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80"/>
        <w:gridCol w:w="271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51" w:line="215" w:lineRule="auto"/>
              <w:ind w:left="123"/>
            </w:pPr>
            <w:bookmarkStart w:id="43" w:name="bookmark45"/>
            <w:bookmarkStart w:id="44" w:name="bookmark44"/>
            <w:bookmarkEnd w:id="43"/>
            <w:bookmarkEnd w:id="44"/>
            <w:r>
              <w:rPr>
                <w:b/>
                <w:bCs/>
                <w:spacing w:val="-5"/>
              </w:rPr>
              <w:t>编号：</w:t>
            </w:r>
          </w:p>
          <w:p>
            <w:pPr>
              <w:pStyle w:val="TableText"/>
              <w:spacing w:line="219" w:lineRule="auto"/>
              <w:ind w:left="143"/>
            </w:pPr>
            <w:r>
              <w:rPr>
                <w:b/>
                <w:bCs/>
              </w:rPr>
              <w:t>时间：2021年x月x日</w:t>
            </w:r>
          </w:p>
        </w:tc>
        <w:tc>
          <w:tcPr>
            <w:tcW w:w="4680" w:type="dxa"/>
          </w:tcPr>
          <w:p>
            <w:pPr>
              <w:spacing w:line="250" w:lineRule="auto"/>
            </w:pPr>
          </w:p>
          <w:p>
            <w:pPr>
              <w:pStyle w:val="TableText"/>
              <w:spacing w:before="78" w:line="219" w:lineRule="auto"/>
              <w:ind w:left="268"/>
            </w:pPr>
            <w:r>
              <w:rPr>
                <w:b/>
                <w:bCs/>
                <w:color w:val="F40000"/>
                <w:spacing w:val="-4"/>
              </w:rPr>
              <w:t>书山有路勤为径，学海无涯苦作舟</w:t>
            </w:r>
          </w:p>
        </w:tc>
        <w:tc>
          <w:tcPr>
            <w:tcW w:w="2710" w:type="dxa"/>
            <w:tcBorders>
              <w:right w:val="nil"/>
            </w:tcBorders>
          </w:tcPr>
          <w:p>
            <w:pPr>
              <w:spacing w:line="252" w:lineRule="auto"/>
            </w:pPr>
          </w:p>
          <w:p>
            <w:pPr>
              <w:pStyle w:val="TableText"/>
              <w:spacing w:before="78" w:line="219" w:lineRule="auto"/>
              <w:ind w:left="128"/>
            </w:pPr>
            <w:r>
              <w:rPr>
                <w:b/>
                <w:bCs/>
                <w:spacing w:val="-2"/>
              </w:rPr>
              <w:t>页码：第24页共70页</w:t>
            </w:r>
          </w:p>
        </w:tc>
      </w:tr>
    </w:tbl>
    <w:p>
      <w:pPr>
        <w:spacing w:line="321" w:lineRule="auto"/>
      </w:pPr>
    </w:p>
    <w:p>
      <w:pPr>
        <w:pStyle w:val="BodyText"/>
        <w:spacing w:before="68" w:line="221" w:lineRule="auto"/>
        <w:ind w:left="1390"/>
        <w:rPr>
          <w:rFonts w:ascii="黑体" w:eastAsia="黑体" w:hAnsi="黑体" w:cs="黑体"/>
          <w:sz w:val="21"/>
          <w:szCs w:val="21"/>
        </w:rPr>
      </w:pPr>
      <w:r>
        <w:rPr>
          <w:sz w:val="15"/>
          <w:szCs w:val="15"/>
        </w:rPr>
        <w:t>6.2</w:t>
      </w:r>
      <w:r>
        <w:rPr>
          <w:spacing w:val="11"/>
          <w:sz w:val="15"/>
          <w:szCs w:val="15"/>
        </w:rPr>
        <w:t xml:space="preserve">     </w:t>
      </w:r>
      <w:r>
        <w:rPr>
          <w:rFonts w:ascii="黑体" w:eastAsia="黑体" w:hAnsi="黑体" w:cs="黑体"/>
          <w:sz w:val="21"/>
          <w:szCs w:val="21"/>
        </w:rPr>
        <w:t>方案经济比选的条件</w:t>
      </w:r>
    </w:p>
    <w:p>
      <w:pPr>
        <w:spacing w:line="409" w:lineRule="auto"/>
      </w:pPr>
    </w:p>
    <w:p>
      <w:pPr>
        <w:pStyle w:val="BodyText"/>
        <w:spacing w:before="69" w:line="219" w:lineRule="auto"/>
        <w:ind w:left="1240"/>
        <w:rPr>
          <w:sz w:val="21"/>
          <w:szCs w:val="21"/>
        </w:rPr>
      </w:pPr>
      <w:r>
        <w:rPr>
          <w:spacing w:val="-4"/>
          <w:sz w:val="21"/>
          <w:szCs w:val="21"/>
        </w:rPr>
        <w:t>方案经济比选应满足的条件是：</w:t>
      </w:r>
    </w:p>
    <w:p>
      <w:pPr>
        <w:pStyle w:val="BodyText"/>
        <w:spacing w:before="221" w:line="220" w:lineRule="auto"/>
        <w:ind w:left="1240"/>
        <w:rPr>
          <w:sz w:val="21"/>
          <w:szCs w:val="21"/>
        </w:rPr>
      </w:pPr>
      <w:r>
        <w:rPr>
          <w:spacing w:val="-5"/>
          <w:sz w:val="21"/>
          <w:szCs w:val="21"/>
        </w:rPr>
        <w:t>1、</w:t>
      </w:r>
      <w:r>
        <w:rPr>
          <w:spacing w:val="-39"/>
          <w:sz w:val="21"/>
          <w:szCs w:val="21"/>
        </w:rPr>
        <w:t xml:space="preserve"> </w:t>
      </w:r>
      <w:r>
        <w:rPr>
          <w:spacing w:val="-5"/>
          <w:sz w:val="21"/>
          <w:szCs w:val="21"/>
        </w:rPr>
        <w:t>备选方案的整体功能应达到目标要求；</w:t>
      </w:r>
    </w:p>
    <w:p>
      <w:pPr>
        <w:pStyle w:val="BodyText"/>
        <w:spacing w:before="219" w:line="219" w:lineRule="auto"/>
        <w:ind w:left="1230"/>
        <w:rPr>
          <w:sz w:val="21"/>
          <w:szCs w:val="21"/>
        </w:rPr>
      </w:pPr>
      <w:r>
        <w:rPr>
          <w:spacing w:val="-4"/>
          <w:sz w:val="21"/>
          <w:szCs w:val="21"/>
        </w:rPr>
        <w:t>2、</w:t>
      </w:r>
      <w:r>
        <w:rPr>
          <w:spacing w:val="-23"/>
          <w:sz w:val="21"/>
          <w:szCs w:val="21"/>
        </w:rPr>
        <w:t xml:space="preserve"> </w:t>
      </w:r>
      <w:r>
        <w:rPr>
          <w:spacing w:val="-4"/>
          <w:sz w:val="21"/>
          <w:szCs w:val="21"/>
        </w:rPr>
        <w:t>备选方案的经济效率应达到可以被接受的水平；</w:t>
      </w:r>
    </w:p>
    <w:p>
      <w:pPr>
        <w:pStyle w:val="BodyText"/>
        <w:spacing w:before="220" w:line="219" w:lineRule="auto"/>
        <w:ind w:left="1190"/>
        <w:rPr>
          <w:sz w:val="21"/>
          <w:szCs w:val="21"/>
        </w:rPr>
      </w:pPr>
      <w:r>
        <w:rPr>
          <w:spacing w:val="-3"/>
          <w:sz w:val="21"/>
          <w:szCs w:val="21"/>
        </w:rPr>
        <w:t>3、 备选方案包含的范围和时间应一致，效益和费用计算口径应一致。</w:t>
      </w:r>
    </w:p>
    <w:p>
      <w:pPr>
        <w:spacing w:line="427" w:lineRule="auto"/>
      </w:pPr>
    </w:p>
    <w:p>
      <w:pPr>
        <w:spacing w:before="70" w:line="221" w:lineRule="auto"/>
        <w:ind w:left="1370"/>
        <w:rPr>
          <w:rFonts w:ascii="黑体" w:eastAsia="黑体" w:hAnsi="黑体" w:cs="黑体"/>
        </w:rPr>
      </w:pPr>
      <w:r>
        <w:rPr>
          <w:rFonts w:ascii="黑体" w:eastAsia="黑体" w:hAnsi="黑体" w:cs="黑体"/>
          <w:spacing w:val="-3"/>
          <w:sz w:val="21"/>
          <w:szCs w:val="21"/>
        </w:rPr>
        <w:t>6.3</w:t>
      </w:r>
      <w:r>
        <w:rPr>
          <w:rFonts w:ascii="黑体" w:eastAsia="黑体" w:hAnsi="黑体" w:cs="黑体"/>
          <w:spacing w:val="28"/>
          <w:sz w:val="21"/>
          <w:szCs w:val="21"/>
        </w:rPr>
        <w:t xml:space="preserve">   </w:t>
      </w:r>
      <w:r>
        <w:rPr>
          <w:rFonts w:ascii="黑体" w:eastAsia="黑体" w:hAnsi="黑体" w:cs="黑体"/>
          <w:spacing w:val="-3"/>
          <w:sz w:val="21"/>
          <w:szCs w:val="21"/>
        </w:rPr>
        <w:t>方案经济比选的方法</w:t>
      </w:r>
    </w:p>
    <w:p>
      <w:pPr>
        <w:spacing w:before="228" w:line="221" w:lineRule="auto"/>
        <w:ind w:left="2530"/>
        <w:rPr>
          <w:rFonts w:ascii="黑体" w:eastAsia="黑体" w:hAnsi="黑体" w:cs="黑体"/>
        </w:rPr>
      </w:pPr>
      <w:r>
        <w:rPr>
          <w:rFonts w:ascii="黑体" w:eastAsia="黑体" w:hAnsi="黑体" w:cs="黑体"/>
          <w:spacing w:val="-4"/>
          <w:sz w:val="21"/>
          <w:szCs w:val="21"/>
        </w:rPr>
        <w:t>6.3.1   效益比选法</w:t>
      </w:r>
    </w:p>
    <w:p>
      <w:pPr>
        <w:spacing w:line="408" w:lineRule="auto"/>
      </w:pPr>
    </w:p>
    <w:p>
      <w:pPr>
        <w:pStyle w:val="BodyText"/>
        <w:spacing w:before="69" w:line="418" w:lineRule="auto"/>
        <w:ind w:left="820" w:right="742" w:firstLine="410"/>
        <w:rPr>
          <w:sz w:val="21"/>
          <w:szCs w:val="21"/>
        </w:rPr>
      </w:pPr>
      <w:r>
        <w:rPr>
          <w:spacing w:val="-3"/>
          <w:sz w:val="21"/>
          <w:szCs w:val="21"/>
        </w:rPr>
        <w:t>在中国移动建设项目经济评价中，方案经济比选主要采用效益比选法、费用比选法。</w:t>
      </w:r>
      <w:r>
        <w:rPr>
          <w:spacing w:val="-4"/>
          <w:sz w:val="21"/>
          <w:szCs w:val="21"/>
        </w:rPr>
        <w:t xml:space="preserve">在 </w:t>
      </w:r>
      <w:r>
        <w:rPr>
          <w:spacing w:val="-5"/>
          <w:sz w:val="21"/>
          <w:szCs w:val="21"/>
        </w:rPr>
        <w:t>项目无资金约束的条件下，</w:t>
      </w:r>
      <w:r>
        <w:rPr>
          <w:spacing w:val="58"/>
          <w:sz w:val="21"/>
          <w:szCs w:val="21"/>
        </w:rPr>
        <w:t xml:space="preserve"> </w:t>
      </w:r>
      <w:r>
        <w:rPr>
          <w:spacing w:val="-5"/>
          <w:sz w:val="21"/>
          <w:szCs w:val="21"/>
        </w:rPr>
        <w:t>一般采用效益比选法，具体包括净现值比较法、</w:t>
      </w:r>
      <w:r>
        <w:rPr>
          <w:spacing w:val="-6"/>
          <w:sz w:val="21"/>
          <w:szCs w:val="21"/>
        </w:rPr>
        <w:t>净年值比较法、</w:t>
      </w:r>
    </w:p>
    <w:p>
      <w:pPr>
        <w:pStyle w:val="BodyText"/>
        <w:spacing w:line="219" w:lineRule="auto"/>
        <w:ind w:left="820"/>
        <w:rPr>
          <w:sz w:val="21"/>
          <w:szCs w:val="21"/>
        </w:rPr>
      </w:pPr>
      <w:r>
        <w:rPr>
          <w:spacing w:val="-5"/>
          <w:sz w:val="21"/>
          <w:szCs w:val="21"/>
        </w:rPr>
        <w:t>差额投资内部收益率比较法：</w:t>
      </w:r>
    </w:p>
    <w:p>
      <w:pPr>
        <w:pStyle w:val="BodyText"/>
        <w:spacing w:before="220" w:line="405" w:lineRule="auto"/>
        <w:ind w:left="809" w:right="809" w:firstLine="519"/>
        <w:rPr>
          <w:sz w:val="21"/>
          <w:szCs w:val="21"/>
        </w:rPr>
      </w:pPr>
      <w:r>
        <w:rPr>
          <w:spacing w:val="3"/>
          <w:sz w:val="21"/>
          <w:szCs w:val="21"/>
        </w:rPr>
        <w:t>(1)净现值比较法，比较备选方案的财务净现值或经济净现值，以净现值大的方案为</w:t>
      </w:r>
      <w:r>
        <w:rPr>
          <w:sz w:val="21"/>
          <w:szCs w:val="21"/>
        </w:rPr>
        <w:t xml:space="preserve"> </w:t>
      </w:r>
      <w:r>
        <w:rPr>
          <w:spacing w:val="-3"/>
          <w:sz w:val="21"/>
          <w:szCs w:val="21"/>
        </w:rPr>
        <w:t>优。比较净现值时应采用相同的折现率。净现值比较法多适用于备选方案的计算期一致的情</w:t>
      </w:r>
    </w:p>
    <w:p>
      <w:pPr>
        <w:pStyle w:val="BodyText"/>
        <w:spacing w:line="220" w:lineRule="auto"/>
        <w:ind w:left="799"/>
        <w:rPr>
          <w:sz w:val="21"/>
          <w:szCs w:val="21"/>
        </w:rPr>
      </w:pPr>
      <w:r>
        <w:rPr>
          <w:spacing w:val="-4"/>
          <w:sz w:val="21"/>
          <w:szCs w:val="21"/>
        </w:rPr>
        <w:t>况。</w:t>
      </w:r>
    </w:p>
    <w:p>
      <w:pPr>
        <w:pStyle w:val="BodyText"/>
        <w:spacing w:before="219" w:line="470" w:lineRule="exact"/>
        <w:ind w:left="1329"/>
        <w:rPr>
          <w:sz w:val="21"/>
          <w:szCs w:val="21"/>
        </w:rPr>
      </w:pPr>
      <w:r>
        <w:rPr>
          <w:spacing w:val="3"/>
          <w:position w:val="19"/>
          <w:sz w:val="21"/>
          <w:szCs w:val="21"/>
        </w:rPr>
        <w:t>(2)净年值比较法，比较备选方案的净年值，以净年值大的方案为优。比较净年值时</w:t>
      </w:r>
    </w:p>
    <w:p>
      <w:pPr>
        <w:pStyle w:val="BodyText"/>
        <w:spacing w:line="218" w:lineRule="auto"/>
        <w:ind w:left="820"/>
        <w:rPr>
          <w:sz w:val="21"/>
          <w:szCs w:val="21"/>
        </w:rPr>
      </w:pPr>
      <w:r>
        <w:rPr>
          <w:spacing w:val="-1"/>
          <w:sz w:val="21"/>
          <w:szCs w:val="21"/>
        </w:rPr>
        <w:t>应采用相同的折现率。净年值比较法适用于备选方案计算期不一致的情况。</w:t>
      </w:r>
    </w:p>
    <w:p>
      <w:pPr>
        <w:pStyle w:val="BodyText"/>
        <w:spacing w:before="222" w:line="470" w:lineRule="exact"/>
        <w:ind w:left="1329"/>
        <w:rPr>
          <w:sz w:val="21"/>
          <w:szCs w:val="21"/>
        </w:rPr>
      </w:pPr>
      <w:r>
        <w:rPr>
          <w:spacing w:val="3"/>
          <w:position w:val="20"/>
          <w:sz w:val="21"/>
          <w:szCs w:val="21"/>
        </w:rPr>
        <w:t>(3)差额投资财务内部收益率法，使用备选方案差额现金流测算内部收益率，应按下</w:t>
      </w:r>
    </w:p>
    <w:p>
      <w:pPr>
        <w:pStyle w:val="BodyText"/>
        <w:spacing w:before="1" w:line="219" w:lineRule="auto"/>
        <w:ind w:left="809"/>
        <w:rPr>
          <w:sz w:val="21"/>
          <w:szCs w:val="21"/>
        </w:rPr>
      </w:pPr>
      <w:r>
        <w:rPr>
          <w:spacing w:val="-9"/>
          <w:sz w:val="21"/>
          <w:szCs w:val="21"/>
        </w:rPr>
        <w:t>列公式计算：</w:t>
      </w:r>
    </w:p>
    <w:p>
      <w:pPr>
        <w:spacing w:before="222" w:line="690" w:lineRule="exact"/>
        <w:ind w:firstLine="2730"/>
      </w:pPr>
      <w:r>
        <w:rPr>
          <w:position w:val="-13"/>
        </w:rPr>
        <w:pict>
          <v:shape id="IM 26" o:spid="_x0000_i1037" type="#_x0000_t75" style="width:222.01pt;height:34.51pt;mso-wrap-distance-left:0;mso-wrap-distance-right:0" o:preferrelative="t" filled="f" stroked="f">
            <v:fill o:detectmouseclick="t"/>
            <v:imagedata r:id="rId78" o:title=""/>
            <v:path o:extrusionok="f"/>
            <o:lock v:ext="edit" aspectratio="f"/>
          </v:shape>
        </w:pict>
      </w:r>
    </w:p>
    <w:p>
      <w:pPr>
        <w:pStyle w:val="BodyText"/>
        <w:spacing w:before="255" w:line="212" w:lineRule="auto"/>
        <w:ind w:left="1240"/>
        <w:rPr>
          <w:sz w:val="21"/>
          <w:szCs w:val="21"/>
        </w:rPr>
      </w:pPr>
      <w:r>
        <w:rPr>
          <w:spacing w:val="-2"/>
          <w:sz w:val="21"/>
          <w:szCs w:val="21"/>
        </w:rPr>
        <w:t>公式中</w:t>
      </w:r>
      <w:r>
        <w:rPr>
          <w:rFonts w:ascii="Times New Roman" w:eastAsia="Times New Roman" w:hAnsi="Times New Roman" w:cs="Times New Roman"/>
          <w:spacing w:val="-2"/>
          <w:sz w:val="21"/>
          <w:szCs w:val="21"/>
        </w:rPr>
        <w:t>(CI-CO)m——</w:t>
      </w:r>
      <w:r>
        <w:rPr>
          <w:rFonts w:ascii="Times New Roman" w:eastAsia="Times New Roman" w:hAnsi="Times New Roman" w:cs="Times New Roman"/>
          <w:spacing w:val="26"/>
          <w:w w:val="101"/>
          <w:sz w:val="21"/>
          <w:szCs w:val="21"/>
        </w:rPr>
        <w:t xml:space="preserve">  </w:t>
      </w:r>
      <w:r>
        <w:rPr>
          <w:spacing w:val="-2"/>
          <w:sz w:val="21"/>
          <w:szCs w:val="21"/>
        </w:rPr>
        <w:t>投资大的方案的财务净现金流量</w:t>
      </w:r>
    </w:p>
    <w:p>
      <w:pPr>
        <w:pStyle w:val="BodyText"/>
        <w:spacing w:before="209" w:line="212" w:lineRule="auto"/>
        <w:ind w:left="1329"/>
        <w:rPr>
          <w:sz w:val="21"/>
          <w:szCs w:val="21"/>
        </w:rPr>
      </w:pPr>
      <w:r>
        <w:rPr>
          <w:rFonts w:ascii="Times New Roman" w:eastAsia="Times New Roman" w:hAnsi="Times New Roman" w:cs="Times New Roman"/>
          <w:spacing w:val="1"/>
          <w:sz w:val="21"/>
          <w:szCs w:val="21"/>
        </w:rPr>
        <w:t>(</w:t>
      </w:r>
      <w:r>
        <w:rPr>
          <w:rFonts w:ascii="Times New Roman" w:eastAsia="Times New Roman" w:hAnsi="Times New Roman" w:cs="Times New Roman"/>
          <w:sz w:val="21"/>
          <w:szCs w:val="21"/>
        </w:rPr>
        <w:t>CI</w:t>
      </w:r>
      <w:r>
        <w:rPr>
          <w:rFonts w:ascii="Times New Roman" w:eastAsia="Times New Roman" w:hAnsi="Times New Roman" w:cs="Times New Roman"/>
          <w:spacing w:val="1"/>
          <w:sz w:val="21"/>
          <w:szCs w:val="21"/>
        </w:rPr>
        <w:t>-</w:t>
      </w:r>
      <w:r>
        <w:rPr>
          <w:rFonts w:ascii="Times New Roman" w:eastAsia="Times New Roman" w:hAnsi="Times New Roman" w:cs="Times New Roman"/>
          <w:sz w:val="21"/>
          <w:szCs w:val="21"/>
        </w:rPr>
        <w:t>CO</w:t>
      </w:r>
      <w:r>
        <w:rPr>
          <w:rFonts w:ascii="Times New Roman" w:eastAsia="Times New Roman" w:hAnsi="Times New Roman" w:cs="Times New Roman"/>
          <w:spacing w:val="1"/>
          <w:sz w:val="21"/>
          <w:szCs w:val="21"/>
        </w:rPr>
        <w:t>)m——</w:t>
      </w:r>
      <w:r>
        <w:rPr>
          <w:rFonts w:ascii="Times New Roman" w:eastAsia="Times New Roman" w:hAnsi="Times New Roman" w:cs="Times New Roman"/>
          <w:spacing w:val="59"/>
          <w:w w:val="101"/>
          <w:sz w:val="21"/>
          <w:szCs w:val="21"/>
        </w:rPr>
        <w:t xml:space="preserve"> </w:t>
      </w:r>
      <w:r>
        <w:rPr>
          <w:spacing w:val="1"/>
          <w:sz w:val="21"/>
          <w:szCs w:val="21"/>
        </w:rPr>
        <w:t>投资小的方案的财务净现金流量</w:t>
      </w:r>
    </w:p>
    <w:p>
      <w:pPr>
        <w:pStyle w:val="BodyText"/>
        <w:spacing w:before="232" w:line="219" w:lineRule="auto"/>
        <w:ind w:left="2590"/>
        <w:rPr>
          <w:sz w:val="21"/>
          <w:szCs w:val="21"/>
        </w:rPr>
      </w:pPr>
      <w:r>
        <w:rPr>
          <w:spacing w:val="-5"/>
          <w:sz w:val="21"/>
          <w:szCs w:val="21"/>
        </w:rPr>
        <w:t>△</w:t>
      </w:r>
      <w:r>
        <w:rPr>
          <w:rFonts w:ascii="Times New Roman" w:eastAsia="Times New Roman" w:hAnsi="Times New Roman" w:cs="Times New Roman"/>
          <w:spacing w:val="-5"/>
          <w:sz w:val="21"/>
          <w:szCs w:val="21"/>
        </w:rPr>
        <w:t>FIRR——</w:t>
      </w:r>
      <w:r>
        <w:rPr>
          <w:spacing w:val="-5"/>
          <w:sz w:val="21"/>
          <w:szCs w:val="21"/>
        </w:rPr>
        <w:t>差额投资财务内部收益率</w:t>
      </w:r>
    </w:p>
    <w:p>
      <w:pPr>
        <w:pStyle w:val="BodyText"/>
        <w:spacing w:before="229" w:line="407" w:lineRule="auto"/>
        <w:ind w:left="809" w:right="800" w:firstLine="430"/>
        <w:jc w:val="both"/>
        <w:rPr>
          <w:sz w:val="21"/>
          <w:szCs w:val="21"/>
        </w:rPr>
      </w:pPr>
      <w:r>
        <w:rPr>
          <w:spacing w:val="2"/>
          <w:sz w:val="21"/>
          <w:szCs w:val="21"/>
        </w:rPr>
        <w:t>计算差额投资内部收益率(△</w:t>
      </w:r>
      <w:r>
        <w:rPr>
          <w:sz w:val="21"/>
          <w:szCs w:val="21"/>
        </w:rPr>
        <w:t>FIRR</w:t>
      </w:r>
      <w:r>
        <w:rPr>
          <w:spacing w:val="2"/>
          <w:sz w:val="21"/>
          <w:szCs w:val="21"/>
        </w:rPr>
        <w:t>),  与设定</w:t>
      </w:r>
      <w:r>
        <w:rPr>
          <w:spacing w:val="1"/>
          <w:sz w:val="21"/>
          <w:szCs w:val="21"/>
        </w:rPr>
        <w:t>的基准收益率</w:t>
      </w:r>
      <w:r>
        <w:rPr>
          <w:spacing w:val="-25"/>
          <w:sz w:val="21"/>
          <w:szCs w:val="21"/>
        </w:rPr>
        <w:t xml:space="preserve"> </w:t>
      </w:r>
      <w:r>
        <w:rPr>
          <w:spacing w:val="1"/>
          <w:sz w:val="21"/>
          <w:szCs w:val="21"/>
        </w:rPr>
        <w:t>(</w:t>
      </w:r>
      <w:r>
        <w:rPr>
          <w:sz w:val="21"/>
          <w:szCs w:val="21"/>
        </w:rPr>
        <w:t>ic</w:t>
      </w:r>
      <w:r>
        <w:rPr>
          <w:spacing w:val="1"/>
          <w:sz w:val="21"/>
          <w:szCs w:val="21"/>
        </w:rPr>
        <w:t>)</w:t>
      </w:r>
      <w:r>
        <w:rPr>
          <w:spacing w:val="-29"/>
          <w:sz w:val="21"/>
          <w:szCs w:val="21"/>
        </w:rPr>
        <w:t xml:space="preserve"> </w:t>
      </w:r>
      <w:r>
        <w:rPr>
          <w:spacing w:val="1"/>
          <w:sz w:val="21"/>
          <w:szCs w:val="21"/>
        </w:rPr>
        <w:t>进行对比，当差额投</w:t>
      </w:r>
      <w:r>
        <w:rPr>
          <w:sz w:val="21"/>
          <w:szCs w:val="21"/>
        </w:rPr>
        <w:t xml:space="preserve"> </w:t>
      </w:r>
      <w:r>
        <w:rPr>
          <w:spacing w:val="-2"/>
          <w:sz w:val="21"/>
          <w:szCs w:val="21"/>
        </w:rPr>
        <w:t>资财务内部收益率大于或等于设定的基准收益率时，以投</w:t>
      </w:r>
      <w:r>
        <w:rPr>
          <w:spacing w:val="-3"/>
          <w:sz w:val="21"/>
          <w:szCs w:val="21"/>
        </w:rPr>
        <w:t>资大的方案为优，反之，投资小的</w:t>
      </w:r>
      <w:r>
        <w:rPr>
          <w:sz w:val="21"/>
          <w:szCs w:val="21"/>
        </w:rPr>
        <w:t xml:space="preserve"> </w:t>
      </w:r>
      <w:r>
        <w:rPr>
          <w:spacing w:val="-2"/>
          <w:sz w:val="21"/>
          <w:szCs w:val="21"/>
        </w:rPr>
        <w:t>方案为优。在进行多方案比较时，应先按投资大小，由小到大排</w:t>
      </w:r>
      <w:r>
        <w:rPr>
          <w:spacing w:val="-3"/>
          <w:sz w:val="21"/>
          <w:szCs w:val="21"/>
        </w:rPr>
        <w:t>序，再依次就相邻方案两两</w:t>
      </w:r>
      <w:r>
        <w:rPr>
          <w:sz w:val="21"/>
          <w:szCs w:val="21"/>
        </w:rPr>
        <w:t xml:space="preserve"> </w:t>
      </w:r>
      <w:r>
        <w:rPr>
          <w:spacing w:val="-3"/>
          <w:sz w:val="21"/>
          <w:szCs w:val="21"/>
        </w:rPr>
        <w:t>比较，从中选出最优方案。在用差额内部收益率时，如果备选方案的计算期不同，可将各方</w:t>
      </w:r>
    </w:p>
    <w:p>
      <w:pPr>
        <w:pStyle w:val="BodyText"/>
        <w:spacing w:line="219" w:lineRule="auto"/>
        <w:ind w:left="830"/>
        <w:rPr>
          <w:sz w:val="21"/>
          <w:szCs w:val="21"/>
        </w:rPr>
      </w:pPr>
      <w:r>
        <w:rPr>
          <w:spacing w:val="-3"/>
          <w:sz w:val="21"/>
          <w:szCs w:val="21"/>
        </w:rPr>
        <w:t>案计算期的最小公倍数作为比较方案的计算期，或者以个方案中最短的计</w:t>
      </w:r>
      <w:r>
        <w:rPr>
          <w:spacing w:val="-4"/>
          <w:sz w:val="21"/>
          <w:szCs w:val="21"/>
        </w:rPr>
        <w:t>算期作为比较方案</w:t>
      </w:r>
    </w:p>
    <w:p>
      <w:pPr>
        <w:spacing w:line="219" w:lineRule="auto"/>
        <w:sectPr>
          <w:headerReference w:type="default" r:id="rId79"/>
          <w:footerReference w:type="default" r:id="rId80"/>
          <w:pgSz w:w="11910" w:h="16840"/>
          <w:pgMar w:top="400" w:right="999" w:bottom="1211" w:left="989" w:header="0" w:footer="962" w:gutter="0"/>
          <w:pgNumType w:start="33"/>
          <w:cols w:space="708"/>
        </w:sectPr>
      </w:pPr>
    </w:p>
    <w:p>
      <w:pPr>
        <w:spacing w:before="203"/>
      </w:pPr>
    </w:p>
    <w:tbl>
      <w:tblPr>
        <w:tblStyle w:val="TableNormal24"/>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80"/>
        <w:gridCol w:w="271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89"/>
        </w:trPr>
        <w:tc>
          <w:tcPr>
            <w:tcW w:w="2530" w:type="dxa"/>
            <w:tcBorders>
              <w:left w:val="nil"/>
            </w:tcBorders>
          </w:tcPr>
          <w:p>
            <w:pPr>
              <w:pStyle w:val="TableText"/>
              <w:spacing w:before="41" w:line="215" w:lineRule="auto"/>
              <w:ind w:left="123"/>
            </w:pPr>
            <w:r>
              <w:rPr>
                <w:b/>
                <w:bCs/>
                <w:spacing w:val="-5"/>
              </w:rPr>
              <w:t>编号：</w:t>
            </w:r>
          </w:p>
          <w:p>
            <w:pPr>
              <w:pStyle w:val="TableText"/>
              <w:spacing w:line="219" w:lineRule="auto"/>
              <w:ind w:left="133"/>
            </w:pPr>
            <w:r>
              <w:rPr>
                <w:b/>
                <w:bCs/>
              </w:rPr>
              <w:t>时间：2021年x月x日</w:t>
            </w:r>
          </w:p>
        </w:tc>
        <w:tc>
          <w:tcPr>
            <w:tcW w:w="4680" w:type="dxa"/>
          </w:tcPr>
          <w:p>
            <w:pPr>
              <w:spacing w:line="250" w:lineRule="auto"/>
            </w:pPr>
          </w:p>
          <w:p>
            <w:pPr>
              <w:pStyle w:val="TableText"/>
              <w:spacing w:before="78" w:line="219" w:lineRule="auto"/>
              <w:ind w:left="268"/>
            </w:pPr>
            <w:r>
              <w:rPr>
                <w:b/>
                <w:bCs/>
                <w:color w:val="F40000"/>
                <w:spacing w:val="-4"/>
              </w:rPr>
              <w:t>书山有路勤为径，学海无涯苦作舟</w:t>
            </w:r>
          </w:p>
        </w:tc>
        <w:tc>
          <w:tcPr>
            <w:tcW w:w="2710" w:type="dxa"/>
            <w:tcBorders>
              <w:right w:val="nil"/>
            </w:tcBorders>
          </w:tcPr>
          <w:p>
            <w:pPr>
              <w:spacing w:line="251" w:lineRule="auto"/>
            </w:pPr>
          </w:p>
          <w:p>
            <w:pPr>
              <w:pStyle w:val="TableText"/>
              <w:spacing w:before="78" w:line="219" w:lineRule="auto"/>
              <w:ind w:left="128"/>
            </w:pPr>
            <w:r>
              <w:rPr>
                <w:b/>
                <w:bCs/>
                <w:spacing w:val="-2"/>
              </w:rPr>
              <w:t>页码：第25页共70页</w:t>
            </w:r>
          </w:p>
        </w:tc>
      </w:tr>
    </w:tbl>
    <w:p>
      <w:pPr>
        <w:spacing w:line="316" w:lineRule="auto"/>
      </w:pPr>
    </w:p>
    <w:p>
      <w:pPr>
        <w:pStyle w:val="BodyText"/>
        <w:spacing w:before="65" w:line="219" w:lineRule="auto"/>
        <w:ind w:left="809"/>
      </w:pPr>
      <w:r>
        <w:rPr>
          <w:spacing w:val="2"/>
        </w:rPr>
        <w:t>的计算期。</w:t>
      </w:r>
    </w:p>
    <w:p>
      <w:pPr>
        <w:spacing w:line="465" w:lineRule="auto"/>
      </w:pPr>
    </w:p>
    <w:p>
      <w:pPr>
        <w:spacing w:before="65" w:line="223" w:lineRule="auto"/>
        <w:ind w:left="2520"/>
        <w:rPr>
          <w:rFonts w:ascii="黑体" w:eastAsia="黑体" w:hAnsi="黑体" w:cs="黑体"/>
          <w:sz w:val="20"/>
          <w:szCs w:val="20"/>
        </w:rPr>
      </w:pPr>
      <w:r>
        <w:rPr>
          <w:rFonts w:ascii="黑体" w:eastAsia="黑体" w:hAnsi="黑体" w:cs="黑体"/>
          <w:spacing w:val="-1"/>
          <w:sz w:val="20"/>
          <w:szCs w:val="20"/>
        </w:rPr>
        <w:t>6.3.2</w:t>
      </w:r>
      <w:r>
        <w:rPr>
          <w:rFonts w:ascii="黑体" w:eastAsia="黑体" w:hAnsi="黑体" w:cs="黑体"/>
          <w:spacing w:val="23"/>
          <w:sz w:val="20"/>
          <w:szCs w:val="20"/>
        </w:rPr>
        <w:t xml:space="preserve">   </w:t>
      </w:r>
      <w:r>
        <w:rPr>
          <w:rFonts w:ascii="黑体" w:eastAsia="黑体" w:hAnsi="黑体" w:cs="黑体"/>
          <w:spacing w:val="-1"/>
          <w:sz w:val="20"/>
          <w:szCs w:val="20"/>
        </w:rPr>
        <w:t>费用比选法</w:t>
      </w:r>
    </w:p>
    <w:p>
      <w:pPr>
        <w:spacing w:line="429" w:lineRule="auto"/>
      </w:pPr>
    </w:p>
    <w:p>
      <w:pPr>
        <w:pStyle w:val="BodyText"/>
        <w:spacing w:before="65" w:line="460" w:lineRule="exact"/>
        <w:ind w:left="1230"/>
      </w:pPr>
      <w:r>
        <w:rPr>
          <w:spacing w:val="7"/>
          <w:position w:val="20"/>
        </w:rPr>
        <w:t>如果项目不同方案效益相同或基本相同，则可以采用费用比选的方法进行方案比选。费</w:t>
      </w:r>
    </w:p>
    <w:p>
      <w:pPr>
        <w:pStyle w:val="BodyText"/>
        <w:spacing w:line="219" w:lineRule="auto"/>
        <w:ind w:left="820"/>
      </w:pPr>
      <w:r>
        <w:rPr>
          <w:spacing w:val="6"/>
        </w:rPr>
        <w:t>用比选方法包括费用现值比较法、费用年值比较法：</w:t>
      </w:r>
    </w:p>
    <w:p>
      <w:pPr>
        <w:pStyle w:val="BodyText"/>
        <w:spacing w:before="232" w:line="470" w:lineRule="exact"/>
        <w:ind w:left="1349"/>
      </w:pPr>
      <w:r>
        <w:rPr>
          <w:spacing w:val="12"/>
          <w:position w:val="20"/>
        </w:rPr>
        <w:t>(1)费用现值比较法，计算备选方案的总费用现值并进行对比</w:t>
      </w:r>
      <w:r>
        <w:rPr>
          <w:spacing w:val="11"/>
          <w:position w:val="20"/>
        </w:rPr>
        <w:t>，以费用现值最低的方</w:t>
      </w:r>
    </w:p>
    <w:p>
      <w:pPr>
        <w:pStyle w:val="BodyText"/>
        <w:spacing w:before="1" w:line="219" w:lineRule="auto"/>
        <w:ind w:left="830"/>
      </w:pPr>
      <w:r>
        <w:rPr>
          <w:spacing w:val="7"/>
        </w:rPr>
        <w:t>案为优，适用于备选方案计算期一致的情况。具体计算公式如下：</w:t>
      </w:r>
    </w:p>
    <w:p>
      <w:pPr>
        <w:spacing w:before="214" w:line="710" w:lineRule="exact"/>
        <w:ind w:firstLine="3710"/>
      </w:pPr>
      <w:r>
        <w:rPr>
          <w:position w:val="-14"/>
        </w:rPr>
        <w:pict>
          <v:shape id="IM 28" o:spid="_x0000_i1038" type="#_x0000_t75" style="width:124.44pt;height:35.45pt;mso-wrap-distance-left:0;mso-wrap-distance-right:0" o:preferrelative="t" filled="f" stroked="f">
            <v:fill o:detectmouseclick="t"/>
            <v:imagedata r:id="rId81" o:title=""/>
            <v:path o:extrusionok="f"/>
            <o:lock v:ext="edit" aspectratio="f"/>
          </v:shape>
        </w:pict>
      </w:r>
    </w:p>
    <w:p>
      <w:pPr>
        <w:pStyle w:val="BodyText"/>
        <w:spacing w:before="238" w:line="470" w:lineRule="exact"/>
        <w:ind w:left="1230"/>
      </w:pPr>
      <w:r>
        <w:rPr>
          <w:spacing w:val="4"/>
          <w:position w:val="20"/>
        </w:rPr>
        <w:t>公式中</w:t>
      </w:r>
      <w:r>
        <w:rPr>
          <w:spacing w:val="7"/>
          <w:position w:val="20"/>
        </w:rPr>
        <w:t xml:space="preserve">          </w:t>
      </w:r>
      <w:r>
        <w:rPr>
          <w:rFonts w:ascii="Times New Roman" w:eastAsia="Times New Roman" w:hAnsi="Times New Roman" w:cs="Times New Roman"/>
          <w:position w:val="20"/>
        </w:rPr>
        <w:t>PC</w:t>
      </w:r>
      <w:r>
        <w:rPr>
          <w:rFonts w:ascii="Times New Roman" w:eastAsia="Times New Roman" w:hAnsi="Times New Roman" w:cs="Times New Roman"/>
          <w:spacing w:val="4"/>
          <w:position w:val="20"/>
        </w:rPr>
        <w:t>——</w:t>
      </w:r>
      <w:r>
        <w:rPr>
          <w:rFonts w:ascii="Times New Roman" w:eastAsia="Times New Roman" w:hAnsi="Times New Roman" w:cs="Times New Roman"/>
          <w:spacing w:val="-14"/>
          <w:position w:val="20"/>
        </w:rPr>
        <w:t xml:space="preserve"> </w:t>
      </w:r>
      <w:r>
        <w:rPr>
          <w:spacing w:val="4"/>
          <w:position w:val="20"/>
        </w:rPr>
        <w:t>费用现值</w:t>
      </w:r>
    </w:p>
    <w:p>
      <w:pPr>
        <w:pStyle w:val="BodyText"/>
        <w:spacing w:before="1" w:line="219" w:lineRule="auto"/>
        <w:ind w:left="1220"/>
      </w:pPr>
      <w:r>
        <w:rPr>
          <w:spacing w:val="-1"/>
        </w:rPr>
        <w:t>(CO):——</w:t>
      </w:r>
      <w:r>
        <w:rPr>
          <w:spacing w:val="-19"/>
        </w:rPr>
        <w:t xml:space="preserve"> </w:t>
      </w:r>
      <w:r>
        <w:rPr>
          <w:spacing w:val="-1"/>
        </w:rPr>
        <w:t>第t期现金流出量</w:t>
      </w:r>
    </w:p>
    <w:p>
      <w:pPr>
        <w:pStyle w:val="BodyText"/>
        <w:spacing w:before="223" w:line="489" w:lineRule="exact"/>
        <w:ind w:left="1200"/>
        <w:rPr>
          <w:sz w:val="23"/>
          <w:szCs w:val="23"/>
        </w:rPr>
      </w:pPr>
      <w:r>
        <w:rPr>
          <w:spacing w:val="-15"/>
          <w:position w:val="19"/>
          <w:sz w:val="23"/>
          <w:szCs w:val="23"/>
        </w:rPr>
        <w:t>n——计算期</w:t>
      </w:r>
    </w:p>
    <w:p>
      <w:pPr>
        <w:pStyle w:val="BodyText"/>
        <w:spacing w:line="219" w:lineRule="auto"/>
        <w:ind w:left="1240"/>
      </w:pPr>
      <w:r>
        <w:rPr>
          <w:rFonts w:ascii="Times New Roman" w:eastAsia="Times New Roman" w:hAnsi="Times New Roman" w:cs="Times New Roman"/>
          <w:spacing w:val="2"/>
        </w:rPr>
        <w:t>i——</w:t>
      </w:r>
      <w:r>
        <w:rPr>
          <w:spacing w:val="2"/>
        </w:rPr>
        <w:t>折现率</w:t>
      </w:r>
    </w:p>
    <w:p>
      <w:pPr>
        <w:pStyle w:val="BodyText"/>
        <w:spacing w:before="195"/>
        <w:ind w:left="1970"/>
      </w:pPr>
      <w:r>
        <w:rPr>
          <w:rFonts w:ascii="Times New Roman" w:eastAsia="Times New Roman" w:hAnsi="Times New Roman" w:cs="Times New Roman"/>
        </w:rPr>
        <w:t xml:space="preserve">(P/F,i,t)——          </w:t>
      </w:r>
      <w:r>
        <w:t>现</w:t>
      </w:r>
      <w:r>
        <w:rPr>
          <w:spacing w:val="-1"/>
        </w:rPr>
        <w:t>值系数</w:t>
      </w:r>
      <w:r>
        <w:rPr>
          <w:spacing w:val="-71"/>
        </w:rPr>
        <w:t xml:space="preserve"> </w:t>
      </w:r>
      <w:r>
        <w:rPr>
          <w:position w:val="-15"/>
        </w:rPr>
        <w:pict>
          <v:shape id="IM 30" o:spid="_x0000_i1039" type="#_x0000_t75" style="width:32.51pt;height:20.51pt;mso-wrap-distance-left:0;mso-wrap-distance-right:0" o:preferrelative="t" filled="f" stroked="f">
            <v:fill o:detectmouseclick="t"/>
            <v:imagedata r:id="rId82" o:title=""/>
            <v:path o:extrusionok="f"/>
            <o:lock v:ext="edit" aspectratio="f"/>
          </v:shape>
        </w:pict>
      </w:r>
    </w:p>
    <w:p>
      <w:pPr>
        <w:pStyle w:val="BodyText"/>
        <w:spacing w:before="238" w:line="480" w:lineRule="exact"/>
        <w:ind w:left="1329"/>
      </w:pPr>
      <w:r>
        <w:rPr>
          <w:spacing w:val="12"/>
          <w:position w:val="21"/>
        </w:rPr>
        <w:t>(2)费用年值比较法，计算备选方案的费用年值，并进行对比，以费用年值较低的方</w:t>
      </w:r>
    </w:p>
    <w:p>
      <w:pPr>
        <w:pStyle w:val="BodyText"/>
        <w:spacing w:line="219" w:lineRule="auto"/>
        <w:ind w:left="830"/>
      </w:pPr>
      <w:r>
        <w:rPr>
          <w:spacing w:val="7"/>
        </w:rPr>
        <w:t>案为优，适用于备选方案计算期不一致的情况。具体计算公式如下：</w:t>
      </w:r>
    </w:p>
    <w:p>
      <w:pPr>
        <w:spacing w:before="204" w:line="720" w:lineRule="exact"/>
        <w:ind w:firstLine="3050"/>
      </w:pPr>
      <w:r>
        <w:rPr>
          <w:position w:val="-14"/>
        </w:rPr>
        <w:pict>
          <v:shape id="IM 32" o:spid="_x0000_i1040" type="#_x0000_t75" style="width:189.99pt;height:35.99pt;mso-wrap-distance-left:0;mso-wrap-distance-right:0" o:preferrelative="t" filled="f" stroked="f">
            <v:fill o:detectmouseclick="t"/>
            <v:imagedata r:id="rId83" o:title=""/>
            <v:path o:extrusionok="f"/>
            <o:lock v:ext="edit" aspectratio="f"/>
          </v:shape>
        </w:pict>
      </w:r>
    </w:p>
    <w:p>
      <w:pPr>
        <w:pStyle w:val="BodyText"/>
        <w:spacing w:before="210"/>
        <w:ind w:left="1230"/>
      </w:pPr>
      <w:r>
        <w:rPr>
          <w:spacing w:val="5"/>
        </w:rPr>
        <w:t>公式中</w:t>
      </w:r>
      <w:r>
        <w:rPr>
          <w:rFonts w:ascii="Times New Roman" w:eastAsia="Times New Roman" w:hAnsi="Times New Roman" w:cs="Times New Roman"/>
          <w:spacing w:val="5"/>
        </w:rPr>
        <w:t xml:space="preserve">(A/P,i,t)——      </w:t>
      </w:r>
      <w:r>
        <w:rPr>
          <w:rFonts w:ascii="Times New Roman" w:eastAsia="Times New Roman" w:hAnsi="Times New Roman" w:cs="Times New Roman"/>
          <w:spacing w:val="4"/>
        </w:rPr>
        <w:t xml:space="preserve">   </w:t>
      </w:r>
      <w:r>
        <w:rPr>
          <w:spacing w:val="4"/>
        </w:rPr>
        <w:t>资金回收系</w:t>
      </w:r>
      <w:r>
        <w:rPr>
          <w:position w:val="-15"/>
        </w:rPr>
        <w:pict>
          <v:shape id="IM 34" o:spid="_x0000_i1041" type="#_x0000_t75" style="width:50.56pt;height:20.51pt;mso-wrap-distance-left:0;mso-wrap-distance-right:0" o:preferrelative="t" filled="f" stroked="f">
            <v:fill o:detectmouseclick="t"/>
            <v:imagedata r:id="rId84" o:title=""/>
            <v:path o:extrusionok="f"/>
            <o:lock v:ext="edit" aspectratio="f"/>
          </v:shape>
        </w:pict>
      </w:r>
    </w:p>
    <w:p>
      <w:pPr>
        <w:spacing w:line="438" w:lineRule="auto"/>
      </w:pPr>
    </w:p>
    <w:p>
      <w:pPr>
        <w:spacing w:before="66" w:line="221" w:lineRule="auto"/>
        <w:ind w:left="1390"/>
        <w:rPr>
          <w:rFonts w:ascii="黑体" w:eastAsia="黑体" w:hAnsi="黑体" w:cs="黑体"/>
          <w:sz w:val="20"/>
          <w:szCs w:val="20"/>
        </w:rPr>
      </w:pPr>
      <w:r>
        <w:rPr>
          <w:rFonts w:ascii="黑体" w:eastAsia="黑体" w:hAnsi="黑体" w:cs="黑体"/>
          <w:spacing w:val="5"/>
          <w:sz w:val="20"/>
          <w:szCs w:val="20"/>
        </w:rPr>
        <w:t>6.4</w:t>
      </w:r>
      <w:r>
        <w:rPr>
          <w:rFonts w:ascii="黑体" w:eastAsia="黑体" w:hAnsi="黑体" w:cs="黑体"/>
          <w:spacing w:val="33"/>
          <w:sz w:val="20"/>
          <w:szCs w:val="20"/>
        </w:rPr>
        <w:t xml:space="preserve">   </w:t>
      </w:r>
      <w:r>
        <w:rPr>
          <w:rFonts w:ascii="黑体" w:eastAsia="黑体" w:hAnsi="黑体" w:cs="黑体"/>
          <w:spacing w:val="5"/>
          <w:sz w:val="20"/>
          <w:szCs w:val="20"/>
        </w:rPr>
        <w:t>方案经济比选的注意事项</w:t>
      </w:r>
    </w:p>
    <w:p>
      <w:pPr>
        <w:spacing w:line="445" w:lineRule="auto"/>
      </w:pPr>
    </w:p>
    <w:p>
      <w:pPr>
        <w:pStyle w:val="BodyText"/>
        <w:spacing w:before="65" w:line="220" w:lineRule="auto"/>
        <w:ind w:left="1240"/>
      </w:pPr>
      <w:r>
        <w:rPr>
          <w:spacing w:val="4"/>
        </w:rPr>
        <w:t>方案比选时应注意下列问题：</w:t>
      </w:r>
    </w:p>
    <w:p>
      <w:pPr>
        <w:pStyle w:val="BodyText"/>
        <w:spacing w:before="230" w:line="219" w:lineRule="auto"/>
        <w:ind w:left="1240"/>
      </w:pPr>
      <w:r>
        <w:rPr>
          <w:spacing w:val="5"/>
        </w:rPr>
        <w:t>1、</w:t>
      </w:r>
      <w:r>
        <w:rPr>
          <w:spacing w:val="-11"/>
        </w:rPr>
        <w:t xml:space="preserve"> </w:t>
      </w:r>
      <w:r>
        <w:rPr>
          <w:spacing w:val="5"/>
        </w:rPr>
        <w:t>备选方案提供的信息资料应可靠、均衡。</w:t>
      </w:r>
    </w:p>
    <w:p>
      <w:pPr>
        <w:pStyle w:val="BodyText"/>
        <w:spacing w:before="234" w:line="434" w:lineRule="auto"/>
        <w:ind w:left="1589" w:right="817" w:hanging="349"/>
      </w:pPr>
      <w:r>
        <w:rPr>
          <w:spacing w:val="8"/>
        </w:rPr>
        <w:t>2、</w:t>
      </w:r>
      <w:r>
        <w:rPr>
          <w:spacing w:val="-24"/>
        </w:rPr>
        <w:t xml:space="preserve"> </w:t>
      </w:r>
      <w:r>
        <w:rPr>
          <w:spacing w:val="8"/>
        </w:rPr>
        <w:t>在多方案比较中，应分析不确定性因素</w:t>
      </w:r>
      <w:r>
        <w:rPr>
          <w:spacing w:val="7"/>
        </w:rPr>
        <w:t>和风险因素对方案比选的影响，判断其对比</w:t>
      </w:r>
      <w:r>
        <w:t xml:space="preserve"> </w:t>
      </w:r>
      <w:r>
        <w:rPr>
          <w:spacing w:val="8"/>
        </w:rPr>
        <w:t>较结果的影响程度，必要时，应进行不确定性分析或风险分析，以保证比选结果的</w:t>
      </w:r>
    </w:p>
    <w:p>
      <w:pPr>
        <w:pStyle w:val="BodyText"/>
        <w:spacing w:line="219" w:lineRule="auto"/>
        <w:ind w:left="1589"/>
      </w:pPr>
      <w:r>
        <w:rPr>
          <w:spacing w:val="7"/>
        </w:rPr>
        <w:t>有效性。在比选时应遵循效益与风险权衡的原则。</w:t>
      </w:r>
    </w:p>
    <w:p>
      <w:pPr>
        <w:pStyle w:val="BodyText"/>
        <w:spacing w:before="221" w:line="219" w:lineRule="auto"/>
        <w:ind w:left="1230"/>
      </w:pPr>
      <w:r>
        <w:rPr>
          <w:spacing w:val="7"/>
        </w:rPr>
        <w:t>3、 备选方案的经济指标的取值比较差异不大时，不能依此判定方案的优劣，只有经济</w:t>
      </w:r>
    </w:p>
    <w:p>
      <w:pPr>
        <w:spacing w:line="219" w:lineRule="auto"/>
        <w:sectPr>
          <w:headerReference w:type="default" r:id="rId85"/>
          <w:footerReference w:type="default" r:id="rId86"/>
          <w:pgSz w:w="11910" w:h="16840"/>
          <w:pgMar w:top="400" w:right="999" w:bottom="1202" w:left="989" w:header="0" w:footer="964" w:gutter="0"/>
          <w:pgNumType w:start="34"/>
          <w:cols w:space="708"/>
        </w:sectPr>
      </w:pPr>
    </w:p>
    <w:p>
      <w:pPr>
        <w:spacing w:before="193"/>
      </w:pPr>
    </w:p>
    <w:tbl>
      <w:tblPr>
        <w:tblStyle w:val="TableNormal25"/>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8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20" w:type="dxa"/>
            <w:tcBorders>
              <w:left w:val="nil"/>
            </w:tcBorders>
          </w:tcPr>
          <w:p>
            <w:pPr>
              <w:pStyle w:val="TableText"/>
              <w:spacing w:before="51" w:line="215" w:lineRule="auto"/>
              <w:ind w:left="123"/>
            </w:pPr>
            <w:r>
              <w:rPr>
                <w:b/>
                <w:bCs/>
                <w:spacing w:val="-5"/>
              </w:rPr>
              <w:t>编号：</w:t>
            </w:r>
          </w:p>
          <w:p>
            <w:pPr>
              <w:pStyle w:val="TableText"/>
              <w:spacing w:line="219" w:lineRule="auto"/>
              <w:ind w:left="143"/>
            </w:pPr>
            <w:r>
              <w:rPr>
                <w:b/>
                <w:bCs/>
              </w:rPr>
              <w:t>时间：2021年x月x日</w:t>
            </w:r>
          </w:p>
        </w:tc>
        <w:tc>
          <w:tcPr>
            <w:tcW w:w="4680" w:type="dxa"/>
          </w:tcPr>
          <w:p>
            <w:pPr>
              <w:spacing w:line="250" w:lineRule="auto"/>
            </w:pPr>
          </w:p>
          <w:p>
            <w:pPr>
              <w:pStyle w:val="TableText"/>
              <w:spacing w:before="78" w:line="219" w:lineRule="auto"/>
              <w:ind w:left="278"/>
            </w:pPr>
            <w:r>
              <w:rPr>
                <w:b/>
                <w:bCs/>
                <w:color w:val="F40000"/>
                <w:spacing w:val="-4"/>
              </w:rPr>
              <w:t>书山有路勤为径，学海无涯苦作舟</w:t>
            </w:r>
          </w:p>
        </w:tc>
        <w:tc>
          <w:tcPr>
            <w:tcW w:w="2720" w:type="dxa"/>
            <w:tcBorders>
              <w:right w:val="nil"/>
            </w:tcBorders>
          </w:tcPr>
          <w:p>
            <w:pPr>
              <w:spacing w:line="252" w:lineRule="auto"/>
            </w:pPr>
          </w:p>
          <w:p>
            <w:pPr>
              <w:pStyle w:val="TableText"/>
              <w:spacing w:before="78" w:line="219" w:lineRule="auto"/>
              <w:ind w:left="138"/>
            </w:pPr>
            <w:r>
              <w:rPr>
                <w:b/>
                <w:bCs/>
                <w:spacing w:val="-2"/>
              </w:rPr>
              <w:t>页码：第26页共70页</w:t>
            </w:r>
          </w:p>
        </w:tc>
      </w:tr>
    </w:tbl>
    <w:p>
      <w:pPr>
        <w:spacing w:line="301" w:lineRule="auto"/>
      </w:pPr>
    </w:p>
    <w:p>
      <w:pPr>
        <w:pStyle w:val="BodyText"/>
        <w:spacing w:before="69" w:line="480" w:lineRule="exact"/>
        <w:ind w:left="1599"/>
        <w:rPr>
          <w:sz w:val="21"/>
          <w:szCs w:val="21"/>
        </w:rPr>
      </w:pPr>
      <w:r>
        <w:rPr>
          <w:spacing w:val="1"/>
          <w:position w:val="20"/>
          <w:sz w:val="21"/>
          <w:szCs w:val="21"/>
        </w:rPr>
        <w:t>指标的取值存在足够的差异，且估算和测算的误差不足</w:t>
      </w:r>
      <w:r>
        <w:rPr>
          <w:position w:val="20"/>
          <w:sz w:val="21"/>
          <w:szCs w:val="21"/>
        </w:rPr>
        <w:t>以使评价结论出现逆转时，</w:t>
      </w:r>
    </w:p>
    <w:p>
      <w:pPr>
        <w:pStyle w:val="BodyText"/>
        <w:spacing w:line="218" w:lineRule="auto"/>
        <w:ind w:left="1589"/>
        <w:rPr>
          <w:sz w:val="21"/>
          <w:szCs w:val="21"/>
        </w:rPr>
      </w:pPr>
      <w:r>
        <w:rPr>
          <w:spacing w:val="-2"/>
          <w:sz w:val="21"/>
          <w:szCs w:val="21"/>
        </w:rPr>
        <w:t>才能认定比较方案有显著的差异，并据此判定方案的优劣。</w:t>
      </w:r>
    </w:p>
    <w:p>
      <w:pPr>
        <w:spacing w:line="417" w:lineRule="auto"/>
      </w:pPr>
    </w:p>
    <w:p>
      <w:pPr>
        <w:spacing w:before="68" w:line="470" w:lineRule="exact"/>
        <w:ind w:left="802"/>
        <w:rPr>
          <w:rFonts w:ascii="黑体" w:eastAsia="黑体" w:hAnsi="黑体" w:cs="黑体"/>
        </w:rPr>
      </w:pPr>
      <w:r>
        <w:rPr>
          <w:rFonts w:ascii="黑体" w:eastAsia="黑体" w:hAnsi="黑体" w:cs="黑体"/>
          <w:b/>
          <w:bCs/>
          <w:spacing w:val="-4"/>
          <w:position w:val="19"/>
          <w:sz w:val="21"/>
          <w:szCs w:val="21"/>
        </w:rPr>
        <w:t>7.</w:t>
      </w:r>
      <w:r>
        <w:rPr>
          <w:rFonts w:ascii="黑体" w:eastAsia="黑体" w:hAnsi="黑体" w:cs="黑体"/>
          <w:spacing w:val="101"/>
          <w:position w:val="19"/>
          <w:sz w:val="21"/>
          <w:szCs w:val="21"/>
        </w:rPr>
        <w:t xml:space="preserve"> </w:t>
      </w:r>
      <w:r>
        <w:rPr>
          <w:rFonts w:ascii="黑体" w:eastAsia="黑体" w:hAnsi="黑体" w:cs="黑体"/>
          <w:b/>
          <w:bCs/>
          <w:spacing w:val="-4"/>
          <w:position w:val="19"/>
          <w:sz w:val="21"/>
          <w:szCs w:val="21"/>
        </w:rPr>
        <w:t>中国移动建设项目经济评价内容选择原则及建议</w:t>
      </w:r>
    </w:p>
    <w:p>
      <w:pPr>
        <w:spacing w:before="1" w:line="220" w:lineRule="auto"/>
        <w:ind w:left="1393"/>
        <w:rPr>
          <w:rFonts w:ascii="黑体" w:eastAsia="黑体" w:hAnsi="黑体" w:cs="黑体"/>
        </w:rPr>
      </w:pPr>
      <w:r>
        <w:rPr>
          <w:rFonts w:ascii="黑体" w:eastAsia="黑体" w:hAnsi="黑体" w:cs="黑体"/>
          <w:b/>
          <w:bCs/>
          <w:spacing w:val="-4"/>
          <w:sz w:val="21"/>
          <w:szCs w:val="21"/>
        </w:rPr>
        <w:t>7.1</w:t>
      </w:r>
      <w:r>
        <w:rPr>
          <w:rFonts w:ascii="黑体" w:eastAsia="黑体" w:hAnsi="黑体" w:cs="黑体"/>
          <w:spacing w:val="16"/>
          <w:sz w:val="21"/>
          <w:szCs w:val="21"/>
        </w:rPr>
        <w:t xml:space="preserve">   </w:t>
      </w:r>
      <w:r>
        <w:rPr>
          <w:rFonts w:ascii="黑体" w:eastAsia="黑体" w:hAnsi="黑体" w:cs="黑体"/>
          <w:b/>
          <w:bCs/>
          <w:spacing w:val="-4"/>
          <w:sz w:val="21"/>
          <w:szCs w:val="21"/>
        </w:rPr>
        <w:t>中国移动建设项目的分类</w:t>
      </w:r>
    </w:p>
    <w:p>
      <w:pPr>
        <w:spacing w:line="425" w:lineRule="auto"/>
      </w:pPr>
    </w:p>
    <w:p>
      <w:pPr>
        <w:pStyle w:val="BodyText"/>
        <w:spacing w:before="69" w:line="404" w:lineRule="auto"/>
        <w:ind w:left="799" w:right="800" w:firstLine="440"/>
        <w:jc w:val="both"/>
        <w:rPr>
          <w:sz w:val="21"/>
          <w:szCs w:val="21"/>
        </w:rPr>
      </w:pPr>
      <w:r>
        <w:rPr>
          <w:spacing w:val="-3"/>
          <w:sz w:val="21"/>
          <w:szCs w:val="21"/>
        </w:rPr>
        <w:t>中国移动建设项目按照专业划分可以分为移动通信网、传</w:t>
      </w:r>
      <w:r>
        <w:rPr>
          <w:spacing w:val="-4"/>
          <w:sz w:val="21"/>
          <w:szCs w:val="21"/>
        </w:rPr>
        <w:t>输网、业务网、支撑网、局房</w:t>
      </w:r>
      <w:r>
        <w:rPr>
          <w:sz w:val="21"/>
          <w:szCs w:val="21"/>
        </w:rPr>
        <w:t xml:space="preserve"> </w:t>
      </w:r>
      <w:r>
        <w:rPr>
          <w:spacing w:val="-3"/>
          <w:sz w:val="21"/>
          <w:szCs w:val="21"/>
        </w:rPr>
        <w:t>土建及动力配套、其他共六大类；从便于对项目经济评价进行</w:t>
      </w:r>
      <w:r>
        <w:rPr>
          <w:spacing w:val="-4"/>
          <w:sz w:val="21"/>
          <w:szCs w:val="21"/>
        </w:rPr>
        <w:t>管理的角度可以把建设项目分</w:t>
      </w:r>
      <w:r>
        <w:rPr>
          <w:sz w:val="21"/>
          <w:szCs w:val="21"/>
        </w:rPr>
        <w:t xml:space="preserve"> </w:t>
      </w:r>
      <w:r>
        <w:rPr>
          <w:spacing w:val="-2"/>
          <w:sz w:val="21"/>
          <w:szCs w:val="21"/>
        </w:rPr>
        <w:t>为生产类项目和非生产类项目，所谓生产类项目的是指满足企业业务发展需要，追求投</w:t>
      </w:r>
      <w:r>
        <w:rPr>
          <w:spacing w:val="-3"/>
          <w:sz w:val="21"/>
          <w:szCs w:val="21"/>
        </w:rPr>
        <w:t>资效</w:t>
      </w:r>
      <w:r>
        <w:rPr>
          <w:sz w:val="21"/>
          <w:szCs w:val="21"/>
        </w:rPr>
        <w:t xml:space="preserve"> </w:t>
      </w:r>
      <w:r>
        <w:rPr>
          <w:spacing w:val="-3"/>
          <w:sz w:val="21"/>
          <w:szCs w:val="21"/>
        </w:rPr>
        <w:t>益最大化的建设项目；非生产类项目是指为满足普遍服务、政府要求或企业管理需要而建设</w:t>
      </w:r>
      <w:r>
        <w:rPr>
          <w:spacing w:val="8"/>
          <w:sz w:val="21"/>
          <w:szCs w:val="21"/>
        </w:rPr>
        <w:t xml:space="preserve"> </w:t>
      </w:r>
      <w:r>
        <w:rPr>
          <w:spacing w:val="-2"/>
          <w:sz w:val="21"/>
          <w:szCs w:val="21"/>
        </w:rPr>
        <w:t>的项目，不以投资效益为目标，如应急通信、村通工程、管理信息系统等项目。生产类</w:t>
      </w:r>
      <w:r>
        <w:rPr>
          <w:spacing w:val="-3"/>
          <w:sz w:val="21"/>
          <w:szCs w:val="21"/>
        </w:rPr>
        <w:t>项目</w:t>
      </w:r>
      <w:r>
        <w:rPr>
          <w:sz w:val="21"/>
          <w:szCs w:val="21"/>
        </w:rPr>
        <w:t xml:space="preserve"> </w:t>
      </w:r>
      <w:r>
        <w:rPr>
          <w:spacing w:val="-3"/>
          <w:sz w:val="21"/>
          <w:szCs w:val="21"/>
        </w:rPr>
        <w:t>按照建设的驱动因素又可以分为直接生产类项目和间接生产类项目。其中直接生产类项目面</w:t>
      </w:r>
      <w:r>
        <w:rPr>
          <w:spacing w:val="8"/>
          <w:sz w:val="21"/>
          <w:szCs w:val="21"/>
        </w:rPr>
        <w:t xml:space="preserve"> </w:t>
      </w:r>
      <w:r>
        <w:rPr>
          <w:spacing w:val="-3"/>
          <w:sz w:val="21"/>
          <w:szCs w:val="21"/>
        </w:rPr>
        <w:t>向用户某项业务的发展，包括业务量的增加，功能优化等，项目建设规模能够与业务需求直</w:t>
      </w:r>
      <w:r>
        <w:rPr>
          <w:spacing w:val="8"/>
          <w:sz w:val="21"/>
          <w:szCs w:val="21"/>
        </w:rPr>
        <w:t xml:space="preserve"> </w:t>
      </w:r>
      <w:r>
        <w:rPr>
          <w:spacing w:val="-3"/>
          <w:sz w:val="21"/>
          <w:szCs w:val="21"/>
        </w:rPr>
        <w:t>接对应；间接生产类项目面向直接生产类项目的发展需求，不直接面向用户业务，但也与业</w:t>
      </w:r>
    </w:p>
    <w:p>
      <w:pPr>
        <w:pStyle w:val="BodyText"/>
        <w:spacing w:line="219" w:lineRule="auto"/>
        <w:ind w:left="799"/>
        <w:rPr>
          <w:sz w:val="21"/>
          <w:szCs w:val="21"/>
        </w:rPr>
      </w:pPr>
      <w:r>
        <w:rPr>
          <w:spacing w:val="-6"/>
          <w:sz w:val="21"/>
          <w:szCs w:val="21"/>
        </w:rPr>
        <w:t>务发展相关。</w:t>
      </w:r>
    </w:p>
    <w:p>
      <w:pPr>
        <w:spacing w:line="252" w:lineRule="auto"/>
      </w:pPr>
    </w:p>
    <w:p>
      <w:pPr>
        <w:spacing w:line="252" w:lineRule="auto"/>
      </w:pPr>
    </w:p>
    <w:p>
      <w:pPr>
        <w:spacing w:before="69" w:line="221" w:lineRule="auto"/>
        <w:ind w:left="1373"/>
        <w:outlineLvl w:val="1"/>
        <w:rPr>
          <w:rFonts w:ascii="黑体" w:eastAsia="黑体" w:hAnsi="黑体" w:cs="黑体"/>
        </w:rPr>
      </w:pPr>
      <w:r>
        <w:rPr>
          <w:rFonts w:ascii="黑体" w:eastAsia="黑体" w:hAnsi="黑体" w:cs="黑体"/>
          <w:b/>
          <w:bCs/>
          <w:spacing w:val="-2"/>
          <w:sz w:val="21"/>
          <w:szCs w:val="21"/>
        </w:rPr>
        <w:t>7.2</w:t>
      </w:r>
      <w:r>
        <w:rPr>
          <w:rFonts w:ascii="黑体" w:eastAsia="黑体" w:hAnsi="黑体" w:cs="黑体"/>
          <w:spacing w:val="16"/>
          <w:sz w:val="21"/>
          <w:szCs w:val="21"/>
        </w:rPr>
        <w:t xml:space="preserve">   </w:t>
      </w:r>
      <w:r>
        <w:rPr>
          <w:rFonts w:ascii="黑体" w:eastAsia="黑体" w:hAnsi="黑体" w:cs="黑体"/>
          <w:b/>
          <w:bCs/>
          <w:spacing w:val="-2"/>
          <w:sz w:val="21"/>
          <w:szCs w:val="21"/>
        </w:rPr>
        <w:t>不同类型项目经济评价内容选择的原则</w:t>
      </w:r>
    </w:p>
    <w:p>
      <w:pPr>
        <w:spacing w:line="436" w:lineRule="auto"/>
      </w:pPr>
    </w:p>
    <w:p>
      <w:pPr>
        <w:pStyle w:val="BodyText"/>
        <w:spacing w:before="68" w:line="404" w:lineRule="auto"/>
        <w:ind w:left="799" w:right="798" w:firstLine="440"/>
        <w:jc w:val="both"/>
        <w:rPr>
          <w:sz w:val="21"/>
          <w:szCs w:val="21"/>
        </w:rPr>
      </w:pPr>
      <w:r>
        <w:rPr>
          <w:spacing w:val="-3"/>
          <w:sz w:val="21"/>
          <w:szCs w:val="21"/>
        </w:rPr>
        <w:t>中国移动建设项目经济评价的内容及侧重点，应根据项目目标、投资者关注的重点等具</w:t>
      </w:r>
      <w:r>
        <w:rPr>
          <w:spacing w:val="14"/>
          <w:sz w:val="21"/>
          <w:szCs w:val="21"/>
        </w:rPr>
        <w:t xml:space="preserve"> </w:t>
      </w:r>
      <w:r>
        <w:rPr>
          <w:sz w:val="21"/>
          <w:szCs w:val="21"/>
        </w:rPr>
        <w:t>体情况进行选择确定。生产类建设项目，应充分分析项目的财务可行</w:t>
      </w:r>
      <w:r>
        <w:rPr>
          <w:spacing w:val="-1"/>
          <w:sz w:val="21"/>
          <w:szCs w:val="21"/>
        </w:rPr>
        <w:t>性，财务分析(含盈利</w:t>
      </w:r>
      <w:r>
        <w:rPr>
          <w:sz w:val="21"/>
          <w:szCs w:val="21"/>
        </w:rPr>
        <w:t xml:space="preserve"> 能力分析、偿债能力分析、财务生存能力分析)、</w:t>
      </w:r>
      <w:r>
        <w:rPr>
          <w:spacing w:val="-1"/>
          <w:sz w:val="21"/>
          <w:szCs w:val="21"/>
        </w:rPr>
        <w:t>不确定性分析等内容应作为经济评价的必</w:t>
      </w:r>
      <w:r>
        <w:rPr>
          <w:sz w:val="21"/>
          <w:szCs w:val="21"/>
        </w:rPr>
        <w:t xml:space="preserve"> </w:t>
      </w:r>
      <w:r>
        <w:rPr>
          <w:spacing w:val="-2"/>
          <w:sz w:val="21"/>
          <w:szCs w:val="21"/>
        </w:rPr>
        <w:t>选内容；财务分析中盈利能力分析与财务生存能力分析为必选内容，偿债能力分析根据</w:t>
      </w:r>
      <w:r>
        <w:rPr>
          <w:spacing w:val="-3"/>
          <w:sz w:val="21"/>
          <w:szCs w:val="21"/>
        </w:rPr>
        <w:t>项目</w:t>
      </w:r>
      <w:r>
        <w:rPr>
          <w:sz w:val="21"/>
          <w:szCs w:val="21"/>
        </w:rPr>
        <w:t xml:space="preserve"> </w:t>
      </w:r>
      <w:r>
        <w:rPr>
          <w:spacing w:val="-3"/>
          <w:sz w:val="21"/>
          <w:szCs w:val="21"/>
        </w:rPr>
        <w:t>的资金筹集情况，当有债务时必选，无债务时不选；同时对新业务项目，建议进行盈亏平衡</w:t>
      </w:r>
      <w:r>
        <w:rPr>
          <w:spacing w:val="8"/>
          <w:sz w:val="21"/>
          <w:szCs w:val="21"/>
        </w:rPr>
        <w:t xml:space="preserve"> </w:t>
      </w:r>
      <w:r>
        <w:rPr>
          <w:spacing w:val="-3"/>
          <w:sz w:val="21"/>
          <w:szCs w:val="21"/>
        </w:rPr>
        <w:t>分析；采用重大新技术，对网络架构有较大影响的项目、新业务项目、或者目前已有一定的</w:t>
      </w:r>
      <w:r>
        <w:rPr>
          <w:spacing w:val="15"/>
          <w:sz w:val="21"/>
          <w:szCs w:val="21"/>
        </w:rPr>
        <w:t xml:space="preserve"> </w:t>
      </w:r>
      <w:r>
        <w:rPr>
          <w:spacing w:val="-3"/>
          <w:sz w:val="21"/>
          <w:szCs w:val="21"/>
        </w:rPr>
        <w:t>业务量，但投资效益并不十分看好的项目、或者不确定性分析结论敏感性较高的项目应进行</w:t>
      </w:r>
      <w:r>
        <w:rPr>
          <w:spacing w:val="9"/>
          <w:sz w:val="21"/>
          <w:szCs w:val="21"/>
        </w:rPr>
        <w:t xml:space="preserve"> </w:t>
      </w:r>
      <w:r>
        <w:rPr>
          <w:spacing w:val="-2"/>
          <w:sz w:val="21"/>
          <w:szCs w:val="21"/>
        </w:rPr>
        <w:t>风险分析；当项目有多种技术方案时，可进行费用效果分析和方案经济比选。对于非生</w:t>
      </w:r>
      <w:r>
        <w:rPr>
          <w:spacing w:val="-3"/>
          <w:sz w:val="21"/>
          <w:szCs w:val="21"/>
        </w:rPr>
        <w:t>产类</w:t>
      </w:r>
      <w:r>
        <w:rPr>
          <w:sz w:val="21"/>
          <w:szCs w:val="21"/>
        </w:rPr>
        <w:t xml:space="preserve"> </w:t>
      </w:r>
      <w:r>
        <w:rPr>
          <w:spacing w:val="-3"/>
          <w:sz w:val="21"/>
          <w:szCs w:val="21"/>
        </w:rPr>
        <w:t>项目，经济评价的内容应根据投资决策者的需要进行选择，可以不</w:t>
      </w:r>
      <w:r>
        <w:rPr>
          <w:spacing w:val="-4"/>
          <w:sz w:val="21"/>
          <w:szCs w:val="21"/>
        </w:rPr>
        <w:t>进行财务分析，重点进行</w:t>
      </w:r>
      <w:r>
        <w:rPr>
          <w:sz w:val="21"/>
          <w:szCs w:val="21"/>
        </w:rPr>
        <w:t xml:space="preserve"> </w:t>
      </w:r>
      <w:r>
        <w:rPr>
          <w:spacing w:val="-3"/>
          <w:sz w:val="21"/>
          <w:szCs w:val="21"/>
        </w:rPr>
        <w:t>成本费用影响分析、企业间接效益分析等等，并根据项目的实际情况进行费用效果分析、方</w:t>
      </w:r>
    </w:p>
    <w:p>
      <w:pPr>
        <w:pStyle w:val="BodyText"/>
        <w:spacing w:before="1" w:line="218" w:lineRule="auto"/>
        <w:ind w:left="799"/>
        <w:rPr>
          <w:sz w:val="21"/>
          <w:szCs w:val="21"/>
        </w:rPr>
      </w:pPr>
      <w:r>
        <w:rPr>
          <w:spacing w:val="-2"/>
          <w:sz w:val="21"/>
          <w:szCs w:val="21"/>
        </w:rPr>
        <w:t>案经济比选，从经济的角度选择最优方案，为投资决策提供支撑。</w:t>
      </w:r>
    </w:p>
    <w:p>
      <w:pPr>
        <w:spacing w:line="300" w:lineRule="auto"/>
      </w:pPr>
    </w:p>
    <w:p>
      <w:pPr>
        <w:pStyle w:val="BodyText"/>
        <w:spacing w:before="69" w:line="218" w:lineRule="auto"/>
        <w:ind w:left="2750"/>
        <w:rPr>
          <w:sz w:val="21"/>
          <w:szCs w:val="21"/>
        </w:rPr>
      </w:pPr>
      <w:r>
        <w:rPr>
          <w:spacing w:val="-3"/>
          <w:sz w:val="21"/>
          <w:szCs w:val="21"/>
        </w:rPr>
        <w:t>表7.2-1不同类型建设项目经济评价内容选择</w:t>
      </w:r>
      <w:r>
        <w:rPr>
          <w:spacing w:val="-4"/>
          <w:sz w:val="21"/>
          <w:szCs w:val="21"/>
        </w:rPr>
        <w:t>建议</w:t>
      </w:r>
    </w:p>
    <w:p>
      <w:pPr>
        <w:spacing w:line="218" w:lineRule="auto"/>
      </w:pPr>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87" w:history="1">
        <w:r>
          <w:rPr>
            <w:rFonts w:ascii="SimSun" w:eastAsia="SimSun" w:hAnsi="SimSun" w:cs="SimSun"/>
            <w:b/>
            <w:bCs/>
            <w:snapToGrid/>
            <w:color w:val="0000EE"/>
            <w:kern w:val="0"/>
            <w:sz w:val="30"/>
            <w:szCs w:val="30"/>
            <w:u w:val="single" w:color="0000EE"/>
          </w:rPr>
          <w:t>https://d.book118.com/018036012112006036</w:t>
        </w:r>
      </w:hyperlink>
    </w:p>
    <w:p>
      <w:pPr>
        <w:spacing w:line="218" w:lineRule="auto"/>
      </w:pPr>
    </w:p>
    <w:sectPr>
      <w:headerReference w:type="default" r:id="rId88"/>
      <w:footerReference w:type="default" r:id="rId89"/>
      <w:pgSz w:w="11910" w:h="16840"/>
      <w:pgMar w:top="400" w:right="999" w:bottom="1211" w:left="989" w:header="0" w:footer="962" w:gutter="0"/>
      <w:pgNumType w:start="35"/>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8" w:lineRule="auto"/>
      <w:ind w:left="7680"/>
      <w:rPr>
        <w:sz w:val="17"/>
        <w:szCs w:val="17"/>
      </w:rPr>
    </w:pPr>
    <w:r>
      <w:rPr>
        <w:spacing w:val="-7"/>
        <w:sz w:val="17"/>
        <w:szCs w:val="17"/>
      </w:rPr>
      <w:t>第</w:t>
    </w:r>
    <w:r>
      <w:rPr>
        <w:spacing w:val="54"/>
        <w:sz w:val="17"/>
        <w:szCs w:val="17"/>
      </w:rPr>
      <w:t xml:space="preserve"> </w:t>
    </w:r>
    <w:r>
      <w:rPr>
        <w:spacing w:val="-7"/>
        <w:sz w:val="17"/>
        <w:szCs w:val="17"/>
      </w:rPr>
      <w:t>1 页 共 7 0</w:t>
    </w:r>
    <w:r>
      <w:rPr>
        <w:spacing w:val="6"/>
        <w:sz w:val="17"/>
        <w:szCs w:val="17"/>
      </w:rPr>
      <w:t xml:space="preserve"> </w:t>
    </w:r>
    <w:r>
      <w:rPr>
        <w:spacing w:val="-7"/>
        <w:sz w:val="17"/>
        <w:szCs w:val="17"/>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680"/>
      <w:rPr>
        <w:sz w:val="18"/>
        <w:szCs w:val="18"/>
      </w:rPr>
    </w:pPr>
    <w:r>
      <w:rPr>
        <w:spacing w:val="-7"/>
        <w:sz w:val="18"/>
        <w:szCs w:val="18"/>
      </w:rPr>
      <w:t>第</w:t>
    </w:r>
    <w:r>
      <w:rPr>
        <w:spacing w:val="19"/>
        <w:sz w:val="18"/>
        <w:szCs w:val="18"/>
      </w:rPr>
      <w:t xml:space="preserve"> </w:t>
    </w:r>
    <w:r>
      <w:rPr>
        <w:spacing w:val="-7"/>
        <w:sz w:val="18"/>
        <w:szCs w:val="18"/>
      </w:rPr>
      <w:t>2</w:t>
    </w:r>
    <w:r>
      <w:rPr>
        <w:spacing w:val="-11"/>
        <w:sz w:val="18"/>
        <w:szCs w:val="18"/>
      </w:rPr>
      <w:t xml:space="preserve"> </w:t>
    </w:r>
    <w:r>
      <w:rPr>
        <w:spacing w:val="-7"/>
        <w:sz w:val="18"/>
        <w:szCs w:val="18"/>
      </w:rPr>
      <w:t>页</w:t>
    </w:r>
    <w:r>
      <w:rPr>
        <w:spacing w:val="-17"/>
        <w:sz w:val="18"/>
        <w:szCs w:val="18"/>
      </w:rPr>
      <w:t xml:space="preserve"> </w:t>
    </w:r>
    <w:r>
      <w:rPr>
        <w:spacing w:val="-7"/>
        <w:sz w:val="18"/>
        <w:szCs w:val="18"/>
      </w:rPr>
      <w:t>共</w:t>
    </w:r>
    <w:r>
      <w:rPr>
        <w:spacing w:val="-12"/>
        <w:sz w:val="18"/>
        <w:szCs w:val="18"/>
      </w:rPr>
      <w:t xml:space="preserve"> </w:t>
    </w:r>
    <w:r>
      <w:rPr>
        <w:spacing w:val="-7"/>
        <w:sz w:val="18"/>
        <w:szCs w:val="18"/>
      </w:rPr>
      <w:t>7</w:t>
    </w:r>
    <w:r>
      <w:rPr>
        <w:spacing w:val="-15"/>
        <w:sz w:val="18"/>
        <w:szCs w:val="18"/>
      </w:rPr>
      <w:t xml:space="preserve"> </w:t>
    </w:r>
    <w:r>
      <w:rPr>
        <w:spacing w:val="-7"/>
        <w:sz w:val="18"/>
        <w:szCs w:val="18"/>
      </w:rPr>
      <w:t>0 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0" w:lineRule="auto"/>
      <w:ind w:left="7670"/>
      <w:rPr>
        <w:sz w:val="21"/>
        <w:szCs w:val="21"/>
      </w:rPr>
    </w:pPr>
    <w:r>
      <w:rPr>
        <w:spacing w:val="19"/>
        <w:sz w:val="21"/>
        <w:szCs w:val="21"/>
      </w:rPr>
      <w:t>第3</w:t>
    </w:r>
    <w:r>
      <w:rPr>
        <w:spacing w:val="-14"/>
        <w:sz w:val="21"/>
        <w:szCs w:val="21"/>
      </w:rPr>
      <w:t xml:space="preserve"> </w:t>
    </w:r>
    <w:r>
      <w:rPr>
        <w:spacing w:val="19"/>
        <w:sz w:val="21"/>
        <w:szCs w:val="21"/>
      </w:rPr>
      <w:t>页共70</w:t>
    </w:r>
    <w:r>
      <w:rPr>
        <w:spacing w:val="-26"/>
        <w:sz w:val="21"/>
        <w:szCs w:val="21"/>
      </w:rPr>
      <w:t xml:space="preserve"> </w:t>
    </w:r>
    <w:r>
      <w:rPr>
        <w:spacing w:val="19"/>
        <w:sz w:val="21"/>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0" w:lineRule="auto"/>
      <w:ind w:left="7670"/>
    </w:pPr>
    <w:r>
      <w:rPr>
        <w:spacing w:val="15"/>
      </w:rPr>
      <w:t>第</w:t>
    </w:r>
    <w:r>
      <w:rPr>
        <w:spacing w:val="-29"/>
      </w:rPr>
      <w:t xml:space="preserve"> </w:t>
    </w:r>
    <w:r>
      <w:rPr>
        <w:spacing w:val="15"/>
      </w:rPr>
      <w:t>4</w:t>
    </w:r>
    <w:r>
      <w:rPr>
        <w:spacing w:val="-7"/>
      </w:rPr>
      <w:t xml:space="preserve"> </w:t>
    </w:r>
    <w:r>
      <w:rPr>
        <w:spacing w:val="15"/>
      </w:rPr>
      <w:t>页共70</w:t>
    </w:r>
    <w:r>
      <w:rPr>
        <w:spacing w:val="-11"/>
      </w:rPr>
      <w:t xml:space="preserve"> </w:t>
    </w:r>
    <w:r>
      <w:rPr>
        <w:spacing w:val="15"/>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0" w:lineRule="auto"/>
      <w:ind w:left="7680"/>
      <w:rPr>
        <w:sz w:val="21"/>
        <w:szCs w:val="21"/>
      </w:rPr>
    </w:pPr>
    <w:r>
      <w:rPr>
        <w:spacing w:val="19"/>
        <w:sz w:val="21"/>
        <w:szCs w:val="21"/>
      </w:rPr>
      <w:t>第5</w:t>
    </w:r>
    <w:r>
      <w:rPr>
        <w:spacing w:val="-14"/>
        <w:sz w:val="21"/>
        <w:szCs w:val="21"/>
      </w:rPr>
      <w:t xml:space="preserve"> </w:t>
    </w:r>
    <w:r>
      <w:rPr>
        <w:spacing w:val="19"/>
        <w:sz w:val="21"/>
        <w:szCs w:val="21"/>
      </w:rPr>
      <w:t>页共70</w:t>
    </w:r>
    <w:r>
      <w:rPr>
        <w:spacing w:val="-26"/>
        <w:sz w:val="21"/>
        <w:szCs w:val="21"/>
      </w:rPr>
      <w:t xml:space="preserve"> </w:t>
    </w:r>
    <w:r>
      <w:rPr>
        <w:spacing w:val="19"/>
        <w:sz w:val="21"/>
        <w:szCs w:val="21"/>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0" w:lineRule="auto"/>
      <w:ind w:left="7670"/>
    </w:pPr>
    <w:r>
      <w:rPr>
        <w:spacing w:val="14"/>
      </w:rPr>
      <w:t>第</w:t>
    </w:r>
    <w:r>
      <w:rPr>
        <w:spacing w:val="-19"/>
      </w:rPr>
      <w:t xml:space="preserve"> </w:t>
    </w:r>
    <w:r>
      <w:rPr>
        <w:spacing w:val="14"/>
      </w:rPr>
      <w:t>6</w:t>
    </w:r>
    <w:r>
      <w:rPr>
        <w:spacing w:val="-10"/>
      </w:rPr>
      <w:t xml:space="preserve"> </w:t>
    </w:r>
    <w:r>
      <w:rPr>
        <w:spacing w:val="14"/>
      </w:rPr>
      <w:t>页共70</w:t>
    </w:r>
    <w:r>
      <w:rPr>
        <w:spacing w:val="-11"/>
      </w:rPr>
      <w:t xml:space="preserve"> </w:t>
    </w:r>
    <w:r>
      <w:rPr>
        <w:spacing w:val="14"/>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680"/>
      <w:rPr>
        <w:sz w:val="18"/>
        <w:szCs w:val="18"/>
      </w:rPr>
    </w:pPr>
    <w:r>
      <w:rPr>
        <w:spacing w:val="-7"/>
        <w:sz w:val="18"/>
        <w:szCs w:val="18"/>
      </w:rPr>
      <w:t>第</w:t>
    </w:r>
    <w:r>
      <w:rPr>
        <w:spacing w:val="10"/>
        <w:sz w:val="18"/>
        <w:szCs w:val="18"/>
      </w:rPr>
      <w:t xml:space="preserve"> </w:t>
    </w:r>
    <w:r>
      <w:rPr>
        <w:spacing w:val="-7"/>
        <w:sz w:val="18"/>
        <w:szCs w:val="18"/>
      </w:rPr>
      <w:t>7 页</w:t>
    </w:r>
    <w:r>
      <w:rPr>
        <w:spacing w:val="-17"/>
        <w:sz w:val="18"/>
        <w:szCs w:val="18"/>
      </w:rPr>
      <w:t xml:space="preserve"> </w:t>
    </w:r>
    <w:r>
      <w:rPr>
        <w:spacing w:val="-7"/>
        <w:sz w:val="18"/>
        <w:szCs w:val="18"/>
      </w:rPr>
      <w:t>共 7</w:t>
    </w:r>
    <w:r>
      <w:rPr>
        <w:spacing w:val="-15"/>
        <w:sz w:val="18"/>
        <w:szCs w:val="18"/>
      </w:rPr>
      <w:t xml:space="preserve"> </w:t>
    </w:r>
    <w:r>
      <w:rPr>
        <w:spacing w:val="-7"/>
        <w:sz w:val="18"/>
        <w:szCs w:val="18"/>
      </w:rPr>
      <w:t>0 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670"/>
      <w:rPr>
        <w:sz w:val="18"/>
        <w:szCs w:val="18"/>
      </w:rPr>
    </w:pPr>
    <w:r>
      <w:rPr>
        <w:spacing w:val="-7"/>
        <w:sz w:val="18"/>
        <w:szCs w:val="18"/>
      </w:rPr>
      <w:t>第</w:t>
    </w:r>
    <w:r>
      <w:rPr>
        <w:spacing w:val="10"/>
        <w:sz w:val="18"/>
        <w:szCs w:val="18"/>
      </w:rPr>
      <w:t xml:space="preserve"> </w:t>
    </w:r>
    <w:r>
      <w:rPr>
        <w:spacing w:val="-7"/>
        <w:sz w:val="18"/>
        <w:szCs w:val="18"/>
      </w:rPr>
      <w:t>8 页</w:t>
    </w:r>
    <w:r>
      <w:rPr>
        <w:spacing w:val="-17"/>
        <w:sz w:val="18"/>
        <w:szCs w:val="18"/>
      </w:rPr>
      <w:t xml:space="preserve"> </w:t>
    </w:r>
    <w:r>
      <w:rPr>
        <w:spacing w:val="-7"/>
        <w:sz w:val="18"/>
        <w:szCs w:val="18"/>
      </w:rPr>
      <w:t>共 7</w:t>
    </w:r>
    <w:r>
      <w:rPr>
        <w:spacing w:val="-15"/>
        <w:sz w:val="18"/>
        <w:szCs w:val="18"/>
      </w:rPr>
      <w:t xml:space="preserve"> </w:t>
    </w:r>
    <w:r>
      <w:rPr>
        <w:spacing w:val="-7"/>
        <w:sz w:val="18"/>
        <w:szCs w:val="18"/>
      </w:rPr>
      <w:t>0 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670"/>
      <w:rPr>
        <w:sz w:val="18"/>
        <w:szCs w:val="18"/>
      </w:rPr>
    </w:pPr>
    <w:r>
      <w:rPr>
        <w:spacing w:val="-7"/>
        <w:sz w:val="18"/>
        <w:szCs w:val="18"/>
      </w:rPr>
      <w:t>第 9</w:t>
    </w:r>
    <w:r>
      <w:rPr>
        <w:spacing w:val="5"/>
        <w:sz w:val="18"/>
        <w:szCs w:val="18"/>
      </w:rPr>
      <w:t xml:space="preserve"> </w:t>
    </w:r>
    <w:r>
      <w:rPr>
        <w:spacing w:val="-7"/>
        <w:sz w:val="18"/>
        <w:szCs w:val="18"/>
      </w:rPr>
      <w:t>页 共</w:t>
    </w:r>
    <w:r>
      <w:rPr>
        <w:spacing w:val="-12"/>
        <w:sz w:val="18"/>
        <w:szCs w:val="18"/>
      </w:rPr>
      <w:t xml:space="preserve"> </w:t>
    </w:r>
    <w:r>
      <w:rPr>
        <w:spacing w:val="-7"/>
        <w:sz w:val="18"/>
        <w:szCs w:val="18"/>
      </w:rPr>
      <w:t>7</w:t>
    </w:r>
    <w:r>
      <w:rPr>
        <w:spacing w:val="-15"/>
        <w:sz w:val="18"/>
        <w:szCs w:val="18"/>
      </w:rPr>
      <w:t xml:space="preserve"> </w:t>
    </w:r>
    <w:r>
      <w:rPr>
        <w:spacing w:val="-7"/>
        <w:sz w:val="18"/>
        <w:szCs w:val="18"/>
      </w:rPr>
      <w:t>0 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569"/>
      <w:rPr>
        <w:sz w:val="18"/>
        <w:szCs w:val="18"/>
      </w:rPr>
    </w:pPr>
    <w:r>
      <w:rPr>
        <w:spacing w:val="-8"/>
        <w:sz w:val="18"/>
        <w:szCs w:val="18"/>
      </w:rPr>
      <w:t>第</w:t>
    </w:r>
    <w:r>
      <w:rPr>
        <w:spacing w:val="-22"/>
        <w:sz w:val="18"/>
        <w:szCs w:val="18"/>
      </w:rPr>
      <w:t xml:space="preserve"> </w:t>
    </w:r>
    <w:r>
      <w:rPr>
        <w:spacing w:val="-8"/>
        <w:sz w:val="18"/>
        <w:szCs w:val="18"/>
      </w:rPr>
      <w:t>1</w:t>
    </w:r>
    <w:r>
      <w:rPr>
        <w:spacing w:val="-33"/>
        <w:sz w:val="18"/>
        <w:szCs w:val="18"/>
      </w:rPr>
      <w:t xml:space="preserve"> </w:t>
    </w:r>
    <w:r>
      <w:rPr>
        <w:spacing w:val="-8"/>
        <w:sz w:val="18"/>
        <w:szCs w:val="18"/>
      </w:rPr>
      <w:t>0 页</w:t>
    </w:r>
    <w:r>
      <w:rPr>
        <w:spacing w:val="-21"/>
        <w:sz w:val="18"/>
        <w:szCs w:val="18"/>
      </w:rPr>
      <w:t xml:space="preserve"> </w:t>
    </w:r>
    <w:r>
      <w:rPr>
        <w:spacing w:val="-8"/>
        <w:sz w:val="18"/>
        <w:szCs w:val="18"/>
      </w:rPr>
      <w:t>共 7</w:t>
    </w:r>
    <w:r>
      <w:rPr>
        <w:spacing w:val="-18"/>
        <w:sz w:val="18"/>
        <w:szCs w:val="18"/>
      </w:rPr>
      <w:t xml:space="preserve"> </w:t>
    </w:r>
    <w:r>
      <w:rPr>
        <w:spacing w:val="-8"/>
        <w:sz w:val="18"/>
        <w:szCs w:val="18"/>
      </w:rPr>
      <w:t>0 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580"/>
      <w:rPr>
        <w:sz w:val="18"/>
        <w:szCs w:val="18"/>
      </w:rPr>
    </w:pPr>
    <w:r>
      <w:rPr>
        <w:spacing w:val="-10"/>
        <w:sz w:val="18"/>
        <w:szCs w:val="18"/>
      </w:rPr>
      <w:t>第</w:t>
    </w:r>
    <w:r>
      <w:rPr>
        <w:spacing w:val="-11"/>
        <w:sz w:val="18"/>
        <w:szCs w:val="18"/>
      </w:rPr>
      <w:t xml:space="preserve"> </w:t>
    </w:r>
    <w:r>
      <w:rPr>
        <w:spacing w:val="-10"/>
        <w:sz w:val="18"/>
        <w:szCs w:val="18"/>
      </w:rPr>
      <w:t>1</w:t>
    </w:r>
    <w:r>
      <w:rPr>
        <w:spacing w:val="-17"/>
        <w:sz w:val="18"/>
        <w:szCs w:val="18"/>
      </w:rPr>
      <w:t xml:space="preserve"> </w:t>
    </w:r>
    <w:r>
      <w:rPr>
        <w:spacing w:val="-10"/>
        <w:sz w:val="18"/>
        <w:szCs w:val="18"/>
      </w:rPr>
      <w:t>1 页</w:t>
    </w:r>
    <w:r>
      <w:rPr>
        <w:spacing w:val="-20"/>
        <w:sz w:val="18"/>
        <w:szCs w:val="18"/>
      </w:rPr>
      <w:t xml:space="preserve"> </w:t>
    </w:r>
    <w:r>
      <w:rPr>
        <w:spacing w:val="-10"/>
        <w:sz w:val="18"/>
        <w:szCs w:val="18"/>
      </w:rPr>
      <w:t>共</w:t>
    </w:r>
    <w:r>
      <w:rPr>
        <w:spacing w:val="-16"/>
        <w:sz w:val="18"/>
        <w:szCs w:val="18"/>
      </w:rPr>
      <w:t xml:space="preserve"> </w:t>
    </w:r>
    <w:r>
      <w:rPr>
        <w:spacing w:val="-10"/>
        <w:sz w:val="18"/>
        <w:szCs w:val="18"/>
      </w:rPr>
      <w:t>7</w:t>
    </w:r>
    <w:r>
      <w:rPr>
        <w:spacing w:val="-18"/>
        <w:sz w:val="18"/>
        <w:szCs w:val="18"/>
      </w:rPr>
      <w:t xml:space="preserve"> </w:t>
    </w:r>
    <w:r>
      <w:rPr>
        <w:spacing w:val="-10"/>
        <w:sz w:val="18"/>
        <w:szCs w:val="18"/>
      </w:rPr>
      <w:t>0 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0" w:lineRule="auto"/>
      <w:ind w:left="7579"/>
      <w:rPr>
        <w:sz w:val="21"/>
        <w:szCs w:val="21"/>
      </w:rPr>
    </w:pPr>
    <w:r>
      <w:rPr>
        <w:spacing w:val="15"/>
        <w:sz w:val="21"/>
        <w:szCs w:val="21"/>
      </w:rPr>
      <w:t>第12</w:t>
    </w:r>
    <w:r>
      <w:rPr>
        <w:spacing w:val="-16"/>
        <w:sz w:val="21"/>
        <w:szCs w:val="21"/>
      </w:rPr>
      <w:t xml:space="preserve"> </w:t>
    </w:r>
    <w:r>
      <w:rPr>
        <w:spacing w:val="15"/>
        <w:sz w:val="21"/>
        <w:szCs w:val="21"/>
      </w:rPr>
      <w:t>页共70</w:t>
    </w:r>
    <w:r>
      <w:rPr>
        <w:spacing w:val="-16"/>
        <w:sz w:val="21"/>
        <w:szCs w:val="21"/>
      </w:rPr>
      <w:t xml:space="preserve"> </w:t>
    </w:r>
    <w:r>
      <w:rPr>
        <w:spacing w:val="15"/>
        <w:sz w:val="21"/>
        <w:szCs w:val="21"/>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0" w:lineRule="auto"/>
      <w:ind w:left="7579"/>
      <w:rPr>
        <w:sz w:val="21"/>
        <w:szCs w:val="21"/>
      </w:rPr>
    </w:pPr>
    <w:r>
      <w:rPr>
        <w:spacing w:val="15"/>
        <w:sz w:val="21"/>
        <w:szCs w:val="21"/>
      </w:rPr>
      <w:t>第12</w:t>
    </w:r>
    <w:r>
      <w:rPr>
        <w:spacing w:val="-16"/>
        <w:sz w:val="21"/>
        <w:szCs w:val="21"/>
      </w:rPr>
      <w:t xml:space="preserve"> </w:t>
    </w:r>
    <w:r>
      <w:rPr>
        <w:spacing w:val="15"/>
        <w:sz w:val="21"/>
        <w:szCs w:val="21"/>
      </w:rPr>
      <w:t>页共70</w:t>
    </w:r>
    <w:r>
      <w:rPr>
        <w:spacing w:val="-16"/>
        <w:sz w:val="21"/>
        <w:szCs w:val="21"/>
      </w:rPr>
      <w:t xml:space="preserve"> </w:t>
    </w:r>
    <w:r>
      <w:rPr>
        <w:spacing w:val="15"/>
        <w:sz w:val="21"/>
        <w:szCs w:val="21"/>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580"/>
      <w:rPr>
        <w:sz w:val="18"/>
        <w:szCs w:val="18"/>
      </w:rPr>
    </w:pPr>
    <w:r>
      <w:rPr>
        <w:spacing w:val="-9"/>
        <w:sz w:val="18"/>
        <w:szCs w:val="18"/>
      </w:rPr>
      <w:t>第</w:t>
    </w:r>
    <w:r>
      <w:rPr>
        <w:spacing w:val="-21"/>
        <w:sz w:val="18"/>
        <w:szCs w:val="18"/>
      </w:rPr>
      <w:t xml:space="preserve"> </w:t>
    </w:r>
    <w:r>
      <w:rPr>
        <w:spacing w:val="-9"/>
        <w:sz w:val="18"/>
        <w:szCs w:val="18"/>
      </w:rPr>
      <w:t>1</w:t>
    </w:r>
    <w:r>
      <w:rPr>
        <w:spacing w:val="-35"/>
        <w:sz w:val="18"/>
        <w:szCs w:val="18"/>
      </w:rPr>
      <w:t xml:space="preserve"> </w:t>
    </w:r>
    <w:r>
      <w:rPr>
        <w:spacing w:val="-9"/>
        <w:sz w:val="18"/>
        <w:szCs w:val="18"/>
      </w:rPr>
      <w:t>3</w:t>
    </w:r>
    <w:r>
      <w:rPr>
        <w:spacing w:val="9"/>
        <w:sz w:val="18"/>
        <w:szCs w:val="18"/>
      </w:rPr>
      <w:t xml:space="preserve"> </w:t>
    </w:r>
    <w:r>
      <w:rPr>
        <w:spacing w:val="-9"/>
        <w:sz w:val="18"/>
        <w:szCs w:val="18"/>
      </w:rPr>
      <w:t>页</w:t>
    </w:r>
    <w:r>
      <w:rPr>
        <w:spacing w:val="-20"/>
        <w:sz w:val="18"/>
        <w:szCs w:val="18"/>
      </w:rPr>
      <w:t xml:space="preserve"> </w:t>
    </w:r>
    <w:r>
      <w:rPr>
        <w:spacing w:val="-9"/>
        <w:sz w:val="18"/>
        <w:szCs w:val="18"/>
      </w:rPr>
      <w:t>共</w:t>
    </w:r>
    <w:r>
      <w:rPr>
        <w:spacing w:val="-16"/>
        <w:sz w:val="18"/>
        <w:szCs w:val="18"/>
      </w:rPr>
      <w:t xml:space="preserve"> </w:t>
    </w:r>
    <w:r>
      <w:rPr>
        <w:spacing w:val="-9"/>
        <w:sz w:val="18"/>
        <w:szCs w:val="18"/>
      </w:rPr>
      <w:t>7</w:t>
    </w:r>
    <w:r>
      <w:rPr>
        <w:spacing w:val="-18"/>
        <w:sz w:val="18"/>
        <w:szCs w:val="18"/>
      </w:rPr>
      <w:t xml:space="preserve"> </w:t>
    </w:r>
    <w:r>
      <w:rPr>
        <w:spacing w:val="-9"/>
        <w:sz w:val="18"/>
        <w:szCs w:val="18"/>
      </w:rPr>
      <w:t>0 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580"/>
      <w:rPr>
        <w:sz w:val="18"/>
        <w:szCs w:val="18"/>
      </w:rPr>
    </w:pPr>
    <w:r>
      <w:rPr>
        <w:spacing w:val="-8"/>
        <w:sz w:val="18"/>
        <w:szCs w:val="18"/>
      </w:rPr>
      <w:t>第</w:t>
    </w:r>
    <w:r>
      <w:rPr>
        <w:spacing w:val="-23"/>
        <w:sz w:val="18"/>
        <w:szCs w:val="18"/>
      </w:rPr>
      <w:t xml:space="preserve"> </w:t>
    </w:r>
    <w:r>
      <w:rPr>
        <w:spacing w:val="-8"/>
        <w:sz w:val="18"/>
        <w:szCs w:val="18"/>
      </w:rPr>
      <w:t>1</w:t>
    </w:r>
    <w:r>
      <w:rPr>
        <w:spacing w:val="-37"/>
        <w:sz w:val="18"/>
        <w:szCs w:val="18"/>
      </w:rPr>
      <w:t xml:space="preserve"> </w:t>
    </w:r>
    <w:r>
      <w:rPr>
        <w:spacing w:val="-8"/>
        <w:sz w:val="18"/>
        <w:szCs w:val="18"/>
      </w:rPr>
      <w:t>4 页 共</w:t>
    </w:r>
    <w:r>
      <w:rPr>
        <w:spacing w:val="-16"/>
        <w:sz w:val="18"/>
        <w:szCs w:val="18"/>
      </w:rPr>
      <w:t xml:space="preserve"> </w:t>
    </w:r>
    <w:r>
      <w:rPr>
        <w:spacing w:val="-8"/>
        <w:sz w:val="18"/>
        <w:szCs w:val="18"/>
      </w:rPr>
      <w:t>7</w:t>
    </w:r>
    <w:r>
      <w:rPr>
        <w:spacing w:val="-18"/>
        <w:sz w:val="18"/>
        <w:szCs w:val="18"/>
      </w:rPr>
      <w:t xml:space="preserve"> </w:t>
    </w:r>
    <w:r>
      <w:rPr>
        <w:spacing w:val="-8"/>
        <w:sz w:val="18"/>
        <w:szCs w:val="18"/>
      </w:rPr>
      <w:t>0 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580"/>
      <w:rPr>
        <w:sz w:val="18"/>
        <w:szCs w:val="18"/>
      </w:rPr>
    </w:pPr>
    <w:r>
      <w:rPr>
        <w:spacing w:val="-9"/>
        <w:sz w:val="18"/>
        <w:szCs w:val="18"/>
      </w:rPr>
      <w:t>第</w:t>
    </w:r>
    <w:r>
      <w:rPr>
        <w:spacing w:val="-14"/>
        <w:sz w:val="18"/>
        <w:szCs w:val="18"/>
      </w:rPr>
      <w:t xml:space="preserve"> </w:t>
    </w:r>
    <w:r>
      <w:rPr>
        <w:spacing w:val="-9"/>
        <w:sz w:val="18"/>
        <w:szCs w:val="18"/>
      </w:rPr>
      <w:t>1</w:t>
    </w:r>
    <w:r>
      <w:rPr>
        <w:spacing w:val="-30"/>
        <w:sz w:val="18"/>
        <w:szCs w:val="18"/>
      </w:rPr>
      <w:t xml:space="preserve"> </w:t>
    </w:r>
    <w:r>
      <w:rPr>
        <w:spacing w:val="-9"/>
        <w:sz w:val="18"/>
        <w:szCs w:val="18"/>
      </w:rPr>
      <w:t>5 页</w:t>
    </w:r>
    <w:r>
      <w:rPr>
        <w:spacing w:val="-21"/>
        <w:sz w:val="18"/>
        <w:szCs w:val="18"/>
      </w:rPr>
      <w:t xml:space="preserve"> </w:t>
    </w:r>
    <w:r>
      <w:rPr>
        <w:spacing w:val="-9"/>
        <w:sz w:val="18"/>
        <w:szCs w:val="18"/>
      </w:rPr>
      <w:t>共 7</w:t>
    </w:r>
    <w:r>
      <w:rPr>
        <w:spacing w:val="-18"/>
        <w:sz w:val="18"/>
        <w:szCs w:val="18"/>
      </w:rPr>
      <w:t xml:space="preserve"> </w:t>
    </w:r>
    <w:r>
      <w:rPr>
        <w:spacing w:val="-9"/>
        <w:sz w:val="18"/>
        <w:szCs w:val="18"/>
      </w:rPr>
      <w:t>0 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0" w:lineRule="auto"/>
      <w:ind w:left="7579"/>
      <w:rPr>
        <w:sz w:val="21"/>
        <w:szCs w:val="21"/>
      </w:rPr>
    </w:pPr>
    <w:r>
      <w:rPr>
        <w:spacing w:val="13"/>
        <w:sz w:val="21"/>
        <w:szCs w:val="21"/>
      </w:rPr>
      <w:t>第16</w:t>
    </w:r>
    <w:r>
      <w:rPr>
        <w:sz w:val="21"/>
        <w:szCs w:val="21"/>
      </w:rPr>
      <w:t xml:space="preserve"> </w:t>
    </w:r>
    <w:r>
      <w:rPr>
        <w:spacing w:val="13"/>
        <w:sz w:val="21"/>
        <w:szCs w:val="21"/>
      </w:rPr>
      <w:t>页共70</w:t>
    </w:r>
    <w:r>
      <w:rPr>
        <w:spacing w:val="-16"/>
        <w:sz w:val="21"/>
        <w:szCs w:val="21"/>
      </w:rPr>
      <w:t xml:space="preserve"> </w:t>
    </w:r>
    <w:r>
      <w:rPr>
        <w:spacing w:val="13"/>
        <w:sz w:val="21"/>
        <w:szCs w:val="21"/>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579"/>
      <w:rPr>
        <w:sz w:val="19"/>
        <w:szCs w:val="19"/>
      </w:rPr>
    </w:pPr>
    <w:r>
      <w:rPr>
        <w:spacing w:val="2"/>
        <w:sz w:val="19"/>
        <w:szCs w:val="19"/>
      </w:rPr>
      <w:t>第17 页</w:t>
    </w:r>
    <w:r>
      <w:rPr>
        <w:spacing w:val="-28"/>
        <w:sz w:val="19"/>
        <w:szCs w:val="19"/>
      </w:rPr>
      <w:t xml:space="preserve"> </w:t>
    </w:r>
    <w:r>
      <w:rPr>
        <w:spacing w:val="2"/>
        <w:sz w:val="19"/>
        <w:szCs w:val="19"/>
      </w:rPr>
      <w:t>共</w:t>
    </w:r>
    <w:r>
      <w:rPr>
        <w:spacing w:val="-30"/>
        <w:sz w:val="19"/>
        <w:szCs w:val="19"/>
      </w:rPr>
      <w:t xml:space="preserve"> </w:t>
    </w:r>
    <w:r>
      <w:rPr>
        <w:spacing w:val="2"/>
        <w:sz w:val="19"/>
        <w:szCs w:val="19"/>
      </w:rPr>
      <w:t>7</w:t>
    </w:r>
    <w:r>
      <w:rPr>
        <w:spacing w:val="-32"/>
        <w:sz w:val="19"/>
        <w:szCs w:val="19"/>
      </w:rPr>
      <w:t xml:space="preserve"> </w:t>
    </w:r>
    <w:r>
      <w:rPr>
        <w:spacing w:val="2"/>
        <w:sz w:val="19"/>
        <w:szCs w:val="19"/>
      </w:rPr>
      <w:t>0</w:t>
    </w:r>
    <w:r>
      <w:rPr>
        <w:spacing w:val="-5"/>
        <w:sz w:val="19"/>
        <w:szCs w:val="19"/>
      </w:rPr>
      <w:t xml:space="preserve"> </w:t>
    </w:r>
    <w:r>
      <w:rPr>
        <w:spacing w:val="2"/>
        <w:sz w:val="19"/>
        <w:szCs w:val="19"/>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579"/>
      <w:rPr>
        <w:sz w:val="19"/>
        <w:szCs w:val="19"/>
      </w:rPr>
    </w:pPr>
    <w:r>
      <w:rPr>
        <w:spacing w:val="2"/>
        <w:sz w:val="19"/>
        <w:szCs w:val="19"/>
      </w:rPr>
      <w:t>第17 页</w:t>
    </w:r>
    <w:r>
      <w:rPr>
        <w:spacing w:val="-28"/>
        <w:sz w:val="19"/>
        <w:szCs w:val="19"/>
      </w:rPr>
      <w:t xml:space="preserve"> </w:t>
    </w:r>
    <w:r>
      <w:rPr>
        <w:spacing w:val="2"/>
        <w:sz w:val="19"/>
        <w:szCs w:val="19"/>
      </w:rPr>
      <w:t>共</w:t>
    </w:r>
    <w:r>
      <w:rPr>
        <w:spacing w:val="-30"/>
        <w:sz w:val="19"/>
        <w:szCs w:val="19"/>
      </w:rPr>
      <w:t xml:space="preserve"> </w:t>
    </w:r>
    <w:r>
      <w:rPr>
        <w:spacing w:val="2"/>
        <w:sz w:val="19"/>
        <w:szCs w:val="19"/>
      </w:rPr>
      <w:t>7</w:t>
    </w:r>
    <w:r>
      <w:rPr>
        <w:spacing w:val="-32"/>
        <w:sz w:val="19"/>
        <w:szCs w:val="19"/>
      </w:rPr>
      <w:t xml:space="preserve"> </w:t>
    </w:r>
    <w:r>
      <w:rPr>
        <w:spacing w:val="2"/>
        <w:sz w:val="19"/>
        <w:szCs w:val="19"/>
      </w:rPr>
      <w:t>0</w:t>
    </w:r>
    <w:r>
      <w:rPr>
        <w:spacing w:val="-5"/>
        <w:sz w:val="19"/>
        <w:szCs w:val="19"/>
      </w:rPr>
      <w:t xml:space="preserve"> </w:t>
    </w:r>
    <w:r>
      <w:rPr>
        <w:spacing w:val="2"/>
        <w:sz w:val="19"/>
        <w:szCs w:val="19"/>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579"/>
      <w:rPr>
        <w:sz w:val="19"/>
        <w:szCs w:val="19"/>
      </w:rPr>
    </w:pPr>
    <w:r>
      <w:rPr>
        <w:spacing w:val="2"/>
        <w:sz w:val="19"/>
        <w:szCs w:val="19"/>
      </w:rPr>
      <w:t>第17 页</w:t>
    </w:r>
    <w:r>
      <w:rPr>
        <w:spacing w:val="-28"/>
        <w:sz w:val="19"/>
        <w:szCs w:val="19"/>
      </w:rPr>
      <w:t xml:space="preserve"> </w:t>
    </w:r>
    <w:r>
      <w:rPr>
        <w:spacing w:val="2"/>
        <w:sz w:val="19"/>
        <w:szCs w:val="19"/>
      </w:rPr>
      <w:t>共</w:t>
    </w:r>
    <w:r>
      <w:rPr>
        <w:spacing w:val="-30"/>
        <w:sz w:val="19"/>
        <w:szCs w:val="19"/>
      </w:rPr>
      <w:t xml:space="preserve"> </w:t>
    </w:r>
    <w:r>
      <w:rPr>
        <w:spacing w:val="2"/>
        <w:sz w:val="19"/>
        <w:szCs w:val="19"/>
      </w:rPr>
      <w:t>7</w:t>
    </w:r>
    <w:r>
      <w:rPr>
        <w:spacing w:val="-32"/>
        <w:sz w:val="19"/>
        <w:szCs w:val="19"/>
      </w:rPr>
      <w:t xml:space="preserve"> </w:t>
    </w:r>
    <w:r>
      <w:rPr>
        <w:spacing w:val="2"/>
        <w:sz w:val="19"/>
        <w:szCs w:val="19"/>
      </w:rPr>
      <w:t>0</w:t>
    </w:r>
    <w:r>
      <w:rPr>
        <w:spacing w:val="-5"/>
        <w:sz w:val="19"/>
        <w:szCs w:val="19"/>
      </w:rPr>
      <w:t xml:space="preserve"> </w:t>
    </w:r>
    <w:r>
      <w:rPr>
        <w:spacing w:val="2"/>
        <w:sz w:val="19"/>
        <w:szCs w:val="19"/>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579"/>
      <w:rPr>
        <w:sz w:val="19"/>
        <w:szCs w:val="19"/>
      </w:rPr>
    </w:pPr>
    <w:r>
      <w:rPr>
        <w:spacing w:val="2"/>
        <w:sz w:val="19"/>
        <w:szCs w:val="19"/>
      </w:rPr>
      <w:t>第17 页</w:t>
    </w:r>
    <w:r>
      <w:rPr>
        <w:spacing w:val="-28"/>
        <w:sz w:val="19"/>
        <w:szCs w:val="19"/>
      </w:rPr>
      <w:t xml:space="preserve"> </w:t>
    </w:r>
    <w:r>
      <w:rPr>
        <w:spacing w:val="2"/>
        <w:sz w:val="19"/>
        <w:szCs w:val="19"/>
      </w:rPr>
      <w:t>共</w:t>
    </w:r>
    <w:r>
      <w:rPr>
        <w:spacing w:val="-30"/>
        <w:sz w:val="19"/>
        <w:szCs w:val="19"/>
      </w:rPr>
      <w:t xml:space="preserve"> </w:t>
    </w:r>
    <w:r>
      <w:rPr>
        <w:spacing w:val="2"/>
        <w:sz w:val="19"/>
        <w:szCs w:val="19"/>
      </w:rPr>
      <w:t>7</w:t>
    </w:r>
    <w:r>
      <w:rPr>
        <w:spacing w:val="-32"/>
        <w:sz w:val="19"/>
        <w:szCs w:val="19"/>
      </w:rPr>
      <w:t xml:space="preserve"> </w:t>
    </w:r>
    <w:r>
      <w:rPr>
        <w:spacing w:val="2"/>
        <w:sz w:val="19"/>
        <w:szCs w:val="19"/>
      </w:rPr>
      <w:t>0</w:t>
    </w:r>
    <w:r>
      <w:rPr>
        <w:spacing w:val="-5"/>
        <w:sz w:val="19"/>
        <w:szCs w:val="19"/>
      </w:rPr>
      <w:t xml:space="preserve"> </w:t>
    </w:r>
    <w:r>
      <w:rPr>
        <w:spacing w:val="2"/>
        <w:sz w:val="19"/>
        <w:szCs w:val="19"/>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579"/>
      <w:rPr>
        <w:sz w:val="19"/>
        <w:szCs w:val="19"/>
      </w:rPr>
    </w:pPr>
    <w:r>
      <w:rPr>
        <w:spacing w:val="2"/>
        <w:sz w:val="19"/>
        <w:szCs w:val="19"/>
      </w:rPr>
      <w:t>第17 页</w:t>
    </w:r>
    <w:r>
      <w:rPr>
        <w:spacing w:val="-28"/>
        <w:sz w:val="19"/>
        <w:szCs w:val="19"/>
      </w:rPr>
      <w:t xml:space="preserve"> </w:t>
    </w:r>
    <w:r>
      <w:rPr>
        <w:spacing w:val="2"/>
        <w:sz w:val="19"/>
        <w:szCs w:val="19"/>
      </w:rPr>
      <w:t>共</w:t>
    </w:r>
    <w:r>
      <w:rPr>
        <w:spacing w:val="-30"/>
        <w:sz w:val="19"/>
        <w:szCs w:val="19"/>
      </w:rPr>
      <w:t xml:space="preserve"> </w:t>
    </w:r>
    <w:r>
      <w:rPr>
        <w:spacing w:val="2"/>
        <w:sz w:val="19"/>
        <w:szCs w:val="19"/>
      </w:rPr>
      <w:t>7</w:t>
    </w:r>
    <w:r>
      <w:rPr>
        <w:spacing w:val="-32"/>
        <w:sz w:val="19"/>
        <w:szCs w:val="19"/>
      </w:rPr>
      <w:t xml:space="preserve"> </w:t>
    </w:r>
    <w:r>
      <w:rPr>
        <w:spacing w:val="2"/>
        <w:sz w:val="19"/>
        <w:szCs w:val="19"/>
      </w:rPr>
      <w:t>0</w:t>
    </w:r>
    <w:r>
      <w:rPr>
        <w:spacing w:val="-5"/>
        <w:sz w:val="19"/>
        <w:szCs w:val="19"/>
      </w:rPr>
      <w:t xml:space="preserve"> </w:t>
    </w:r>
    <w:r>
      <w:rPr>
        <w:spacing w:val="2"/>
        <w:sz w:val="19"/>
        <w:szCs w:val="19"/>
      </w:rPr>
      <w:t>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0" w:lineRule="auto"/>
      <w:ind w:left="7590"/>
    </w:pPr>
    <w:r>
      <w:rPr>
        <w:spacing w:val="21"/>
      </w:rPr>
      <w:t>第18</w:t>
    </w:r>
    <w:r>
      <w:rPr>
        <w:spacing w:val="-19"/>
      </w:rPr>
      <w:t xml:space="preserve"> </w:t>
    </w:r>
    <w:r>
      <w:rPr>
        <w:spacing w:val="21"/>
      </w:rPr>
      <w:t>页共70</w:t>
    </w:r>
    <w:r>
      <w:rPr>
        <w:spacing w:val="-11"/>
      </w:rPr>
      <w:t xml:space="preserve"> </w:t>
    </w:r>
    <w:r>
      <w:rPr>
        <w:spacing w:val="21"/>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580"/>
      <w:rPr>
        <w:sz w:val="18"/>
        <w:szCs w:val="18"/>
      </w:rPr>
    </w:pPr>
    <w:r>
      <w:rPr>
        <w:spacing w:val="-8"/>
        <w:sz w:val="18"/>
        <w:szCs w:val="18"/>
      </w:rPr>
      <w:t>第</w:t>
    </w:r>
    <w:r>
      <w:rPr>
        <w:spacing w:val="-22"/>
        <w:sz w:val="18"/>
        <w:szCs w:val="18"/>
      </w:rPr>
      <w:t xml:space="preserve"> </w:t>
    </w:r>
    <w:r>
      <w:rPr>
        <w:spacing w:val="-8"/>
        <w:sz w:val="18"/>
        <w:szCs w:val="18"/>
      </w:rPr>
      <w:t>1</w:t>
    </w:r>
    <w:r>
      <w:rPr>
        <w:spacing w:val="-33"/>
        <w:sz w:val="18"/>
        <w:szCs w:val="18"/>
      </w:rPr>
      <w:t xml:space="preserve"> </w:t>
    </w:r>
    <w:r>
      <w:rPr>
        <w:spacing w:val="-8"/>
        <w:sz w:val="18"/>
        <w:szCs w:val="18"/>
      </w:rPr>
      <w:t>9 页</w:t>
    </w:r>
    <w:r>
      <w:rPr>
        <w:spacing w:val="-21"/>
        <w:sz w:val="18"/>
        <w:szCs w:val="18"/>
      </w:rPr>
      <w:t xml:space="preserve"> </w:t>
    </w:r>
    <w:r>
      <w:rPr>
        <w:spacing w:val="-8"/>
        <w:sz w:val="18"/>
        <w:szCs w:val="18"/>
      </w:rPr>
      <w:t>共 7</w:t>
    </w:r>
    <w:r>
      <w:rPr>
        <w:spacing w:val="-18"/>
        <w:sz w:val="18"/>
        <w:szCs w:val="18"/>
      </w:rPr>
      <w:t xml:space="preserve"> </w:t>
    </w:r>
    <w:r>
      <w:rPr>
        <w:spacing w:val="-8"/>
        <w:sz w:val="18"/>
        <w:szCs w:val="18"/>
      </w:rPr>
      <w:t>0 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569"/>
      <w:rPr>
        <w:sz w:val="18"/>
        <w:szCs w:val="18"/>
      </w:rPr>
    </w:pPr>
    <w:r>
      <w:rPr>
        <w:spacing w:val="-7"/>
        <w:sz w:val="18"/>
        <w:szCs w:val="18"/>
      </w:rPr>
      <w:t>第</w:t>
    </w:r>
    <w:r>
      <w:rPr>
        <w:spacing w:val="-33"/>
        <w:sz w:val="18"/>
        <w:szCs w:val="18"/>
      </w:rPr>
      <w:t xml:space="preserve"> </w:t>
    </w:r>
    <w:r>
      <w:rPr>
        <w:spacing w:val="-7"/>
        <w:sz w:val="18"/>
        <w:szCs w:val="18"/>
      </w:rPr>
      <w:t>2</w:t>
    </w:r>
    <w:r>
      <w:rPr>
        <w:spacing w:val="-33"/>
        <w:sz w:val="18"/>
        <w:szCs w:val="18"/>
      </w:rPr>
      <w:t xml:space="preserve"> </w:t>
    </w:r>
    <w:r>
      <w:rPr>
        <w:spacing w:val="-7"/>
        <w:sz w:val="18"/>
        <w:szCs w:val="18"/>
      </w:rPr>
      <w:t>0 页</w:t>
    </w:r>
    <w:r>
      <w:rPr>
        <w:spacing w:val="-21"/>
        <w:sz w:val="18"/>
        <w:szCs w:val="18"/>
      </w:rPr>
      <w:t xml:space="preserve"> </w:t>
    </w:r>
    <w:r>
      <w:rPr>
        <w:spacing w:val="-7"/>
        <w:sz w:val="18"/>
        <w:szCs w:val="18"/>
      </w:rPr>
      <w:t>共 7</w:t>
    </w:r>
    <w:r>
      <w:rPr>
        <w:spacing w:val="-18"/>
        <w:sz w:val="18"/>
        <w:szCs w:val="18"/>
      </w:rPr>
      <w:t xml:space="preserve"> </w:t>
    </w:r>
    <w:r>
      <w:rPr>
        <w:spacing w:val="-7"/>
        <w:sz w:val="18"/>
        <w:szCs w:val="18"/>
      </w:rPr>
      <w:t>0 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580"/>
      <w:rPr>
        <w:sz w:val="18"/>
        <w:szCs w:val="18"/>
      </w:rPr>
    </w:pPr>
    <w:r>
      <w:rPr>
        <w:spacing w:val="-9"/>
        <w:sz w:val="18"/>
        <w:szCs w:val="18"/>
      </w:rPr>
      <w:t>第</w:t>
    </w:r>
    <w:r>
      <w:rPr>
        <w:spacing w:val="-21"/>
        <w:sz w:val="18"/>
        <w:szCs w:val="18"/>
      </w:rPr>
      <w:t xml:space="preserve"> </w:t>
    </w:r>
    <w:r>
      <w:rPr>
        <w:spacing w:val="-9"/>
        <w:sz w:val="18"/>
        <w:szCs w:val="18"/>
      </w:rPr>
      <w:t>2</w:t>
    </w:r>
    <w:r>
      <w:rPr>
        <w:spacing w:val="-17"/>
        <w:sz w:val="18"/>
        <w:szCs w:val="18"/>
      </w:rPr>
      <w:t xml:space="preserve"> </w:t>
    </w:r>
    <w:r>
      <w:rPr>
        <w:spacing w:val="-9"/>
        <w:sz w:val="18"/>
        <w:szCs w:val="18"/>
      </w:rPr>
      <w:t>1 页</w:t>
    </w:r>
    <w:r>
      <w:rPr>
        <w:spacing w:val="-20"/>
        <w:sz w:val="18"/>
        <w:szCs w:val="18"/>
      </w:rPr>
      <w:t xml:space="preserve"> </w:t>
    </w:r>
    <w:r>
      <w:rPr>
        <w:spacing w:val="-9"/>
        <w:sz w:val="18"/>
        <w:szCs w:val="18"/>
      </w:rPr>
      <w:t>共</w:t>
    </w:r>
    <w:r>
      <w:rPr>
        <w:spacing w:val="-16"/>
        <w:sz w:val="18"/>
        <w:szCs w:val="18"/>
      </w:rPr>
      <w:t xml:space="preserve"> </w:t>
    </w:r>
    <w:r>
      <w:rPr>
        <w:spacing w:val="-9"/>
        <w:sz w:val="18"/>
        <w:szCs w:val="18"/>
      </w:rPr>
      <w:t>7</w:t>
    </w:r>
    <w:r>
      <w:rPr>
        <w:spacing w:val="-18"/>
        <w:sz w:val="18"/>
        <w:szCs w:val="18"/>
      </w:rPr>
      <w:t xml:space="preserve"> </w:t>
    </w:r>
    <w:r>
      <w:rPr>
        <w:spacing w:val="-9"/>
        <w:sz w:val="18"/>
        <w:szCs w:val="18"/>
      </w:rPr>
      <w:t>0 页</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580"/>
      <w:rPr>
        <w:sz w:val="18"/>
        <w:szCs w:val="18"/>
      </w:rPr>
    </w:pPr>
    <w:r>
      <w:rPr>
        <w:spacing w:val="-8"/>
        <w:sz w:val="18"/>
        <w:szCs w:val="18"/>
      </w:rPr>
      <w:t>第</w:t>
    </w:r>
    <w:r>
      <w:rPr>
        <w:spacing w:val="-24"/>
        <w:sz w:val="18"/>
        <w:szCs w:val="18"/>
      </w:rPr>
      <w:t xml:space="preserve"> </w:t>
    </w:r>
    <w:r>
      <w:rPr>
        <w:spacing w:val="-8"/>
        <w:sz w:val="18"/>
        <w:szCs w:val="18"/>
      </w:rPr>
      <w:t>2</w:t>
    </w:r>
    <w:r>
      <w:rPr>
        <w:spacing w:val="-31"/>
        <w:sz w:val="18"/>
        <w:szCs w:val="18"/>
      </w:rPr>
      <w:t xml:space="preserve"> </w:t>
    </w:r>
    <w:r>
      <w:rPr>
        <w:spacing w:val="-8"/>
        <w:sz w:val="18"/>
        <w:szCs w:val="18"/>
      </w:rPr>
      <w:t>2 页</w:t>
    </w:r>
    <w:r>
      <w:rPr>
        <w:spacing w:val="-21"/>
        <w:sz w:val="18"/>
        <w:szCs w:val="18"/>
      </w:rPr>
      <w:t xml:space="preserve"> </w:t>
    </w:r>
    <w:r>
      <w:rPr>
        <w:spacing w:val="-8"/>
        <w:sz w:val="18"/>
        <w:szCs w:val="18"/>
      </w:rPr>
      <w:t>共 7</w:t>
    </w:r>
    <w:r>
      <w:rPr>
        <w:spacing w:val="-18"/>
        <w:sz w:val="18"/>
        <w:szCs w:val="18"/>
      </w:rPr>
      <w:t xml:space="preserve"> </w:t>
    </w:r>
    <w:r>
      <w:rPr>
        <w:spacing w:val="-8"/>
        <w:sz w:val="18"/>
        <w:szCs w:val="18"/>
      </w:rPr>
      <w:t>0 页</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09" w:lineRule="auto"/>
      <w:ind w:left="7580"/>
      <w:rPr>
        <w:sz w:val="18"/>
        <w:szCs w:val="18"/>
      </w:rPr>
    </w:pPr>
    <w:r>
      <w:rPr>
        <w:spacing w:val="-8"/>
        <w:sz w:val="18"/>
        <w:szCs w:val="18"/>
      </w:rPr>
      <w:t>第</w:t>
    </w:r>
    <w:r>
      <w:rPr>
        <w:spacing w:val="-30"/>
        <w:sz w:val="18"/>
        <w:szCs w:val="18"/>
      </w:rPr>
      <w:t xml:space="preserve"> </w:t>
    </w:r>
    <w:r>
      <w:rPr>
        <w:spacing w:val="-8"/>
        <w:sz w:val="18"/>
        <w:szCs w:val="18"/>
      </w:rPr>
      <w:t>2</w:t>
    </w:r>
    <w:r>
      <w:rPr>
        <w:spacing w:val="-35"/>
        <w:sz w:val="18"/>
        <w:szCs w:val="18"/>
      </w:rPr>
      <w:t xml:space="preserve"> </w:t>
    </w:r>
    <w:r>
      <w:rPr>
        <w:spacing w:val="-8"/>
        <w:sz w:val="18"/>
        <w:szCs w:val="18"/>
      </w:rPr>
      <w:t>3</w:t>
    </w:r>
    <w:r>
      <w:rPr>
        <w:spacing w:val="9"/>
        <w:sz w:val="18"/>
        <w:szCs w:val="18"/>
      </w:rPr>
      <w:t xml:space="preserve"> </w:t>
    </w:r>
    <w:r>
      <w:rPr>
        <w:spacing w:val="-8"/>
        <w:sz w:val="18"/>
        <w:szCs w:val="18"/>
      </w:rPr>
      <w:t>页</w:t>
    </w:r>
    <w:r>
      <w:rPr>
        <w:spacing w:val="-20"/>
        <w:sz w:val="18"/>
        <w:szCs w:val="18"/>
      </w:rPr>
      <w:t xml:space="preserve"> </w:t>
    </w:r>
    <w:r>
      <w:rPr>
        <w:spacing w:val="-8"/>
        <w:sz w:val="18"/>
        <w:szCs w:val="18"/>
      </w:rPr>
      <w:t>共</w:t>
    </w:r>
    <w:r>
      <w:rPr>
        <w:spacing w:val="-16"/>
        <w:sz w:val="18"/>
        <w:szCs w:val="18"/>
      </w:rPr>
      <w:t xml:space="preserve"> </w:t>
    </w:r>
    <w:r>
      <w:rPr>
        <w:spacing w:val="-8"/>
        <w:sz w:val="18"/>
        <w:szCs w:val="18"/>
      </w:rPr>
      <w:t>7</w:t>
    </w:r>
    <w:r>
      <w:rPr>
        <w:spacing w:val="-18"/>
        <w:sz w:val="18"/>
        <w:szCs w:val="18"/>
      </w:rPr>
      <w:t xml:space="preserve"> </w:t>
    </w:r>
    <w:r>
      <w:rPr>
        <w:spacing w:val="-8"/>
        <w:sz w:val="18"/>
        <w:szCs w:val="18"/>
      </w:rPr>
      <w:t>0 页</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0" w:lineRule="auto"/>
      <w:ind w:left="7590"/>
      <w:rPr>
        <w:sz w:val="21"/>
        <w:szCs w:val="21"/>
      </w:rPr>
    </w:pPr>
    <w:r>
      <w:rPr>
        <w:spacing w:val="14"/>
        <w:sz w:val="21"/>
        <w:szCs w:val="21"/>
      </w:rPr>
      <w:t>第24</w:t>
    </w:r>
    <w:r>
      <w:rPr>
        <w:spacing w:val="-18"/>
        <w:sz w:val="21"/>
        <w:szCs w:val="21"/>
      </w:rPr>
      <w:t xml:space="preserve"> </w:t>
    </w:r>
    <w:r>
      <w:rPr>
        <w:spacing w:val="14"/>
        <w:sz w:val="21"/>
        <w:szCs w:val="21"/>
      </w:rPr>
      <w:t>页共70</w:t>
    </w:r>
    <w:r>
      <w:rPr>
        <w:spacing w:val="-16"/>
        <w:sz w:val="21"/>
        <w:szCs w:val="21"/>
      </w:rPr>
      <w:t xml:space="preserve"> </w:t>
    </w:r>
    <w:r>
      <w:rPr>
        <w:spacing w:val="14"/>
        <w:sz w:val="21"/>
        <w:szCs w:val="21"/>
      </w:rPr>
      <w:t>页</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0" w:lineRule="auto"/>
      <w:ind w:left="7590"/>
    </w:pPr>
    <w:r>
      <w:rPr>
        <w:spacing w:val="21"/>
      </w:rPr>
      <w:t>第25</w:t>
    </w:r>
    <w:r>
      <w:rPr>
        <w:spacing w:val="-19"/>
      </w:rPr>
      <w:t xml:space="preserve"> </w:t>
    </w:r>
    <w:r>
      <w:rPr>
        <w:spacing w:val="21"/>
      </w:rPr>
      <w:t>页共70</w:t>
    </w:r>
    <w:r>
      <w:rPr>
        <w:spacing w:val="-11"/>
      </w:rPr>
      <w:t xml:space="preserve"> </w:t>
    </w:r>
    <w:r>
      <w:rPr>
        <w:spacing w:val="21"/>
      </w:rPr>
      <w:t>页</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0" w:lineRule="auto"/>
      <w:ind w:left="7579"/>
      <w:rPr>
        <w:sz w:val="21"/>
        <w:szCs w:val="21"/>
      </w:rPr>
    </w:pPr>
    <w:r>
      <w:rPr>
        <w:spacing w:val="15"/>
        <w:sz w:val="21"/>
        <w:szCs w:val="21"/>
      </w:rPr>
      <w:t>第26</w:t>
    </w:r>
    <w:r>
      <w:rPr>
        <w:spacing w:val="-16"/>
        <w:sz w:val="21"/>
        <w:szCs w:val="21"/>
      </w:rPr>
      <w:t xml:space="preserve"> </w:t>
    </w:r>
    <w:r>
      <w:rPr>
        <w:spacing w:val="15"/>
        <w:sz w:val="21"/>
        <w:szCs w:val="21"/>
      </w:rPr>
      <w:t>页共70</w:t>
    </w:r>
    <w:r>
      <w:rPr>
        <w:spacing w:val="-16"/>
        <w:sz w:val="21"/>
        <w:szCs w:val="21"/>
      </w:rPr>
      <w:t xml:space="preserve"> </w:t>
    </w:r>
    <w:r>
      <w:rPr>
        <w:spacing w:val="15"/>
        <w:sz w:val="21"/>
        <w:szCs w:val="21"/>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r>
      <w:pict>
        <v:rect id="矩形 1" o:spid="_x0000_s2049" style="width:420.05pt;height:0.55pt;margin-top:58.95pt;margin-left:87.5pt;mso-position-horizontal-relative:page;mso-position-vertical-relative:page;position:absolute;z-index:251658240" o:allowincell="f" filled="t" fillcolor="black" stroked="f"/>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04" w:lineRule="auto"/>
      <w:rPr>
        <w:sz w:val="2"/>
      </w:rPr>
    </w:pPr>
    <w:r>
      <w:pict>
        <v:rect id="矩形 2" o:spid="_x0000_s2050" style="width:420.55pt;height:0.5pt;margin-top:58.5pt;margin-left:87pt;mso-position-horizontal-relative:page;mso-position-vertical-relative:page;position:absolute;z-index:251659264" o:allowincell="f" filled="t" fillcolor="black" stroked="f"/>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04" w:lineRule="auto"/>
      <w:rPr>
        <w:sz w:val="2"/>
      </w:rPr>
    </w:pPr>
    <w:r>
      <w:pict>
        <v:rect id="矩形 2" o:spid="_x0000_s2051" style="width:420.55pt;height:0.5pt;margin-top:58.5pt;margin-left:87pt;mso-position-horizontal-relative:page;mso-position-vertical-relative:page;position:absolute;z-index:251660288" o:allowincell="f" filled="t" fillcolor="black" stroked="f"/>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r>
      <w:pict>
        <v:rect id="矩形 3" o:spid="_x0000_s2052" style="width:420.05pt;height:0.55pt;margin-top:58.95pt;margin-left:87.95pt;mso-position-horizontal-relative:page;mso-position-vertical-relative:page;position:absolute;z-index:251661312" o:allowincell="f" filled="t" fillcolor="black" stroked="f"/>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2120417A"/>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0"/>
      <w:szCs w:val="20"/>
      <w:lang w:val="en-US" w:eastAsia="en-US" w:bidi="ar-SA"/>
    </w:rPr>
  </w:style>
  <w:style w:type="paragraph" w:customStyle="1" w:styleId="TableText">
    <w:name w:val="Table Text"/>
    <w:basedOn w:val="Normal"/>
    <w:semiHidden/>
    <w:qFormat/>
    <w:rPr>
      <w:rFonts w:ascii="宋体" w:eastAsia="宋体" w:hAnsi="宋体" w:cs="宋体"/>
      <w:sz w:val="24"/>
      <w:szCs w:val="24"/>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 w:type="table" w:customStyle="1" w:styleId="TableNormal5">
    <w:name w:val="Table Normal_5"/>
    <w:unhideWhenUsed/>
    <w:qFormat/>
    <w:tblPr>
      <w:tblCellMar>
        <w:top w:w="0" w:type="dxa"/>
        <w:left w:w="0" w:type="dxa"/>
        <w:bottom w:w="0" w:type="dxa"/>
        <w:right w:w="0" w:type="dxa"/>
      </w:tblCellMar>
    </w:tblPr>
  </w:style>
  <w:style w:type="table" w:customStyle="1" w:styleId="TableNormal6">
    <w:name w:val="Table Normal_6"/>
    <w:unhideWhenUsed/>
    <w:qFormat/>
    <w:tblPr>
      <w:tblCellMar>
        <w:top w:w="0" w:type="dxa"/>
        <w:left w:w="0" w:type="dxa"/>
        <w:bottom w:w="0" w:type="dxa"/>
        <w:right w:w="0" w:type="dxa"/>
      </w:tblCellMar>
    </w:tblPr>
  </w:style>
  <w:style w:type="table" w:customStyle="1" w:styleId="TableNormal7">
    <w:name w:val="Table Normal_7"/>
    <w:unhideWhenUsed/>
    <w:qFormat/>
    <w:tblPr>
      <w:tblCellMar>
        <w:top w:w="0" w:type="dxa"/>
        <w:left w:w="0" w:type="dxa"/>
        <w:bottom w:w="0" w:type="dxa"/>
        <w:right w:w="0" w:type="dxa"/>
      </w:tblCellMar>
    </w:tblPr>
  </w:style>
  <w:style w:type="table" w:customStyle="1" w:styleId="TableNormal8">
    <w:name w:val="Table Normal_8"/>
    <w:unhideWhenUsed/>
    <w:qFormat/>
    <w:tblPr>
      <w:tblCellMar>
        <w:top w:w="0" w:type="dxa"/>
        <w:left w:w="0" w:type="dxa"/>
        <w:bottom w:w="0" w:type="dxa"/>
        <w:right w:w="0" w:type="dxa"/>
      </w:tblCellMar>
    </w:tblPr>
  </w:style>
  <w:style w:type="table" w:customStyle="1" w:styleId="TableNormal9">
    <w:name w:val="Table Normal_9"/>
    <w:unhideWhenUsed/>
    <w:qFormat/>
    <w:tblPr>
      <w:tblCellMar>
        <w:top w:w="0" w:type="dxa"/>
        <w:left w:w="0" w:type="dxa"/>
        <w:bottom w:w="0" w:type="dxa"/>
        <w:right w:w="0" w:type="dxa"/>
      </w:tblCellMar>
    </w:tblPr>
  </w:style>
  <w:style w:type="table" w:customStyle="1" w:styleId="TableNormal10">
    <w:name w:val="Table Normal_10"/>
    <w:unhideWhenUsed/>
    <w:qFormat/>
    <w:tblPr>
      <w:tblCellMar>
        <w:top w:w="0" w:type="dxa"/>
        <w:left w:w="0" w:type="dxa"/>
        <w:bottom w:w="0" w:type="dxa"/>
        <w:right w:w="0" w:type="dxa"/>
      </w:tblCellMar>
    </w:tblPr>
  </w:style>
  <w:style w:type="table" w:customStyle="1" w:styleId="TableNormal11">
    <w:name w:val="Table Normal_11"/>
    <w:unhideWhenUsed/>
    <w:qFormat/>
    <w:tblPr>
      <w:tblCellMar>
        <w:top w:w="0" w:type="dxa"/>
        <w:left w:w="0" w:type="dxa"/>
        <w:bottom w:w="0" w:type="dxa"/>
        <w:right w:w="0" w:type="dxa"/>
      </w:tblCellMar>
    </w:tblPr>
  </w:style>
  <w:style w:type="table" w:customStyle="1" w:styleId="TableNormal12">
    <w:name w:val="Table Normal_12"/>
    <w:unhideWhenUsed/>
    <w:qFormat/>
    <w:tblPr>
      <w:tblCellMar>
        <w:top w:w="0" w:type="dxa"/>
        <w:left w:w="0" w:type="dxa"/>
        <w:bottom w:w="0" w:type="dxa"/>
        <w:right w:w="0" w:type="dxa"/>
      </w:tblCellMar>
    </w:tblPr>
  </w:style>
  <w:style w:type="table" w:customStyle="1" w:styleId="TableNormal13">
    <w:name w:val="Table Normal_13"/>
    <w:unhideWhenUsed/>
    <w:qFormat/>
    <w:tblPr>
      <w:tblCellMar>
        <w:top w:w="0" w:type="dxa"/>
        <w:left w:w="0" w:type="dxa"/>
        <w:bottom w:w="0" w:type="dxa"/>
        <w:right w:w="0" w:type="dxa"/>
      </w:tblCellMar>
    </w:tblPr>
  </w:style>
  <w:style w:type="table" w:customStyle="1" w:styleId="TableNormal14">
    <w:name w:val="Table Normal_14"/>
    <w:unhideWhenUsed/>
    <w:qFormat/>
    <w:tblPr>
      <w:tblCellMar>
        <w:top w:w="0" w:type="dxa"/>
        <w:left w:w="0" w:type="dxa"/>
        <w:bottom w:w="0" w:type="dxa"/>
        <w:right w:w="0" w:type="dxa"/>
      </w:tblCellMar>
    </w:tblPr>
  </w:style>
  <w:style w:type="table" w:customStyle="1" w:styleId="TableNormal15">
    <w:name w:val="Table Normal_15"/>
    <w:unhideWhenUsed/>
    <w:qFormat/>
    <w:tblPr>
      <w:tblCellMar>
        <w:top w:w="0" w:type="dxa"/>
        <w:left w:w="0" w:type="dxa"/>
        <w:bottom w:w="0" w:type="dxa"/>
        <w:right w:w="0" w:type="dxa"/>
      </w:tblCellMar>
    </w:tblPr>
  </w:style>
  <w:style w:type="table" w:customStyle="1" w:styleId="TableNormal16">
    <w:name w:val="Table Normal_16"/>
    <w:unhideWhenUsed/>
    <w:qFormat/>
    <w:tblPr>
      <w:tblCellMar>
        <w:top w:w="0" w:type="dxa"/>
        <w:left w:w="0" w:type="dxa"/>
        <w:bottom w:w="0" w:type="dxa"/>
        <w:right w:w="0" w:type="dxa"/>
      </w:tblCellMar>
    </w:tblPr>
  </w:style>
  <w:style w:type="table" w:customStyle="1" w:styleId="TableNormal17">
    <w:name w:val="Table Normal_17"/>
    <w:unhideWhenUsed/>
    <w:qFormat/>
    <w:tblPr>
      <w:tblCellMar>
        <w:top w:w="0" w:type="dxa"/>
        <w:left w:w="0" w:type="dxa"/>
        <w:bottom w:w="0" w:type="dxa"/>
        <w:right w:w="0" w:type="dxa"/>
      </w:tblCellMar>
    </w:tblPr>
  </w:style>
  <w:style w:type="table" w:customStyle="1" w:styleId="TableNormal18">
    <w:name w:val="Table Normal_18"/>
    <w:unhideWhenUsed/>
    <w:qFormat/>
    <w:tblPr>
      <w:tblCellMar>
        <w:top w:w="0" w:type="dxa"/>
        <w:left w:w="0" w:type="dxa"/>
        <w:bottom w:w="0" w:type="dxa"/>
        <w:right w:w="0" w:type="dxa"/>
      </w:tblCellMar>
    </w:tblPr>
  </w:style>
  <w:style w:type="table" w:customStyle="1" w:styleId="TableNormal19">
    <w:name w:val="Table Normal_19"/>
    <w:unhideWhenUsed/>
    <w:qFormat/>
    <w:tblPr>
      <w:tblCellMar>
        <w:top w:w="0" w:type="dxa"/>
        <w:left w:w="0" w:type="dxa"/>
        <w:bottom w:w="0" w:type="dxa"/>
        <w:right w:w="0" w:type="dxa"/>
      </w:tblCellMar>
    </w:tblPr>
  </w:style>
  <w:style w:type="table" w:customStyle="1" w:styleId="TableNormal20">
    <w:name w:val="Table Normal_20"/>
    <w:unhideWhenUsed/>
    <w:qFormat/>
    <w:tblPr>
      <w:tblCellMar>
        <w:top w:w="0" w:type="dxa"/>
        <w:left w:w="0" w:type="dxa"/>
        <w:bottom w:w="0" w:type="dxa"/>
        <w:right w:w="0" w:type="dxa"/>
      </w:tblCellMar>
    </w:tblPr>
  </w:style>
  <w:style w:type="table" w:customStyle="1" w:styleId="TableNormal21">
    <w:name w:val="Table Normal_21"/>
    <w:unhideWhenUsed/>
    <w:qFormat/>
    <w:tblPr>
      <w:tblCellMar>
        <w:top w:w="0" w:type="dxa"/>
        <w:left w:w="0" w:type="dxa"/>
        <w:bottom w:w="0" w:type="dxa"/>
        <w:right w:w="0" w:type="dxa"/>
      </w:tblCellMar>
    </w:tblPr>
  </w:style>
  <w:style w:type="table" w:customStyle="1" w:styleId="TableNormal22">
    <w:name w:val="Table Normal_22"/>
    <w:unhideWhenUsed/>
    <w:qFormat/>
    <w:tblPr>
      <w:tblCellMar>
        <w:top w:w="0" w:type="dxa"/>
        <w:left w:w="0" w:type="dxa"/>
        <w:bottom w:w="0" w:type="dxa"/>
        <w:right w:w="0" w:type="dxa"/>
      </w:tblCellMar>
    </w:tblPr>
  </w:style>
  <w:style w:type="table" w:customStyle="1" w:styleId="TableNormal23">
    <w:name w:val="Table Normal_23"/>
    <w:unhideWhenUsed/>
    <w:qFormat/>
    <w:tblPr>
      <w:tblCellMar>
        <w:top w:w="0" w:type="dxa"/>
        <w:left w:w="0" w:type="dxa"/>
        <w:bottom w:w="0" w:type="dxa"/>
        <w:right w:w="0" w:type="dxa"/>
      </w:tblCellMar>
    </w:tblPr>
  </w:style>
  <w:style w:type="table" w:customStyle="1" w:styleId="TableNormal24">
    <w:name w:val="Table Normal_24"/>
    <w:unhideWhenUsed/>
    <w:qFormat/>
    <w:tblPr>
      <w:tblCellMar>
        <w:top w:w="0" w:type="dxa"/>
        <w:left w:w="0" w:type="dxa"/>
        <w:bottom w:w="0" w:type="dxa"/>
        <w:right w:w="0" w:type="dxa"/>
      </w:tblCellMar>
    </w:tblPr>
  </w:style>
  <w:style w:type="table" w:customStyle="1" w:styleId="TableNormal25">
    <w:name w:val="Table Normal_25"/>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6.xml" /><Relationship Id="rId11" Type="http://schemas.openxmlformats.org/officeDocument/2006/relationships/footer" Target="footer2.xml" /><Relationship Id="rId12" Type="http://schemas.openxmlformats.org/officeDocument/2006/relationships/image" Target="media/image1.png" /><Relationship Id="rId13" Type="http://schemas.openxmlformats.org/officeDocument/2006/relationships/header" Target="header7.xml" /><Relationship Id="rId14" Type="http://schemas.openxmlformats.org/officeDocument/2006/relationships/footer" Target="footer3.xml" /><Relationship Id="rId15" Type="http://schemas.openxmlformats.org/officeDocument/2006/relationships/image" Target="media/image2.png" /><Relationship Id="rId16" Type="http://schemas.openxmlformats.org/officeDocument/2006/relationships/image" Target="media/image3.png" /><Relationship Id="rId17" Type="http://schemas.openxmlformats.org/officeDocument/2006/relationships/image" Target="media/image4.png" /><Relationship Id="rId18" Type="http://schemas.openxmlformats.org/officeDocument/2006/relationships/header" Target="header8.xml" /><Relationship Id="rId19" Type="http://schemas.openxmlformats.org/officeDocument/2006/relationships/footer" Target="footer4.xml" /><Relationship Id="rId2" Type="http://schemas.openxmlformats.org/officeDocument/2006/relationships/webSettings" Target="webSettings.xml" /><Relationship Id="rId20" Type="http://schemas.openxmlformats.org/officeDocument/2006/relationships/image" Target="media/image5.png" /><Relationship Id="rId21" Type="http://schemas.openxmlformats.org/officeDocument/2006/relationships/image" Target="media/image6.png" /><Relationship Id="rId22" Type="http://schemas.openxmlformats.org/officeDocument/2006/relationships/image" Target="media/image7.png" /><Relationship Id="rId23" Type="http://schemas.openxmlformats.org/officeDocument/2006/relationships/header" Target="header9.xml" /><Relationship Id="rId24" Type="http://schemas.openxmlformats.org/officeDocument/2006/relationships/footer" Target="footer5.xml" /><Relationship Id="rId25" Type="http://schemas.openxmlformats.org/officeDocument/2006/relationships/image" Target="media/image8.png" /><Relationship Id="rId26" Type="http://schemas.openxmlformats.org/officeDocument/2006/relationships/image" Target="media/image9.png" /><Relationship Id="rId27" Type="http://schemas.openxmlformats.org/officeDocument/2006/relationships/header" Target="header10.xml" /><Relationship Id="rId28" Type="http://schemas.openxmlformats.org/officeDocument/2006/relationships/footer" Target="footer6.xml" /><Relationship Id="rId29" Type="http://schemas.openxmlformats.org/officeDocument/2006/relationships/header" Target="header11.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12.xml" /><Relationship Id="rId32" Type="http://schemas.openxmlformats.org/officeDocument/2006/relationships/footer" Target="footer8.xml" /><Relationship Id="rId33" Type="http://schemas.openxmlformats.org/officeDocument/2006/relationships/header" Target="header13.xml" /><Relationship Id="rId34" Type="http://schemas.openxmlformats.org/officeDocument/2006/relationships/footer" Target="footer9.xml" /><Relationship Id="rId35" Type="http://schemas.openxmlformats.org/officeDocument/2006/relationships/header" Target="header14.xml" /><Relationship Id="rId36" Type="http://schemas.openxmlformats.org/officeDocument/2006/relationships/footer" Target="footer10.xml" /><Relationship Id="rId37" Type="http://schemas.openxmlformats.org/officeDocument/2006/relationships/header" Target="header15.xml" /><Relationship Id="rId38" Type="http://schemas.openxmlformats.org/officeDocument/2006/relationships/footer" Target="footer11.xml" /><Relationship Id="rId39" Type="http://schemas.openxmlformats.org/officeDocument/2006/relationships/header" Target="header16.xml" /><Relationship Id="rId4" Type="http://schemas.openxmlformats.org/officeDocument/2006/relationships/header" Target="header1.xml" /><Relationship Id="rId40" Type="http://schemas.openxmlformats.org/officeDocument/2006/relationships/footer" Target="footer12.xml" /><Relationship Id="rId41" Type="http://schemas.openxmlformats.org/officeDocument/2006/relationships/header" Target="header17.xml" /><Relationship Id="rId42" Type="http://schemas.openxmlformats.org/officeDocument/2006/relationships/footer" Target="footer13.xml" /><Relationship Id="rId43" Type="http://schemas.openxmlformats.org/officeDocument/2006/relationships/hyperlink" Target="3.3.4.1" TargetMode="External" /><Relationship Id="rId44" Type="http://schemas.openxmlformats.org/officeDocument/2006/relationships/header" Target="header18.xml" /><Relationship Id="rId45" Type="http://schemas.openxmlformats.org/officeDocument/2006/relationships/footer" Target="footer14.xml" /><Relationship Id="rId46" Type="http://schemas.openxmlformats.org/officeDocument/2006/relationships/header" Target="header19.xml" /><Relationship Id="rId47" Type="http://schemas.openxmlformats.org/officeDocument/2006/relationships/footer" Target="footer15.xml" /><Relationship Id="rId48" Type="http://schemas.openxmlformats.org/officeDocument/2006/relationships/hyperlink" Target="3.3.4.2" TargetMode="External" /><Relationship Id="rId49" Type="http://schemas.openxmlformats.org/officeDocument/2006/relationships/header" Target="header20.xml" /><Relationship Id="rId5" Type="http://schemas.openxmlformats.org/officeDocument/2006/relationships/header" Target="header2.xml" /><Relationship Id="rId50" Type="http://schemas.openxmlformats.org/officeDocument/2006/relationships/footer" Target="footer16.xml" /><Relationship Id="rId51" Type="http://schemas.openxmlformats.org/officeDocument/2006/relationships/header" Target="header21.xml" /><Relationship Id="rId52" Type="http://schemas.openxmlformats.org/officeDocument/2006/relationships/footer" Target="footer17.xml" /><Relationship Id="rId53" Type="http://schemas.openxmlformats.org/officeDocument/2006/relationships/header" Target="header22.xml" /><Relationship Id="rId54" Type="http://schemas.openxmlformats.org/officeDocument/2006/relationships/footer" Target="footer18.xml" /><Relationship Id="rId55" Type="http://schemas.openxmlformats.org/officeDocument/2006/relationships/header" Target="header23.xml" /><Relationship Id="rId56" Type="http://schemas.openxmlformats.org/officeDocument/2006/relationships/footer" Target="footer19.xml" /><Relationship Id="rId57" Type="http://schemas.openxmlformats.org/officeDocument/2006/relationships/header" Target="header24.xml" /><Relationship Id="rId58" Type="http://schemas.openxmlformats.org/officeDocument/2006/relationships/footer" Target="footer20.xml" /><Relationship Id="rId59" Type="http://schemas.openxmlformats.org/officeDocument/2006/relationships/header" Target="header25.xml" /><Relationship Id="rId6" Type="http://schemas.openxmlformats.org/officeDocument/2006/relationships/header" Target="header3.xml" /><Relationship Id="rId60" Type="http://schemas.openxmlformats.org/officeDocument/2006/relationships/footer" Target="footer21.xml" /><Relationship Id="rId61" Type="http://schemas.openxmlformats.org/officeDocument/2006/relationships/header" Target="header26.xml" /><Relationship Id="rId62" Type="http://schemas.openxmlformats.org/officeDocument/2006/relationships/footer" Target="footer22.xml" /><Relationship Id="rId63" Type="http://schemas.openxmlformats.org/officeDocument/2006/relationships/image" Target="media/image10.png" /><Relationship Id="rId64" Type="http://schemas.openxmlformats.org/officeDocument/2006/relationships/image" Target="media/image11.png" /><Relationship Id="rId65" Type="http://schemas.openxmlformats.org/officeDocument/2006/relationships/image" Target="media/image12.png" /><Relationship Id="rId66" Type="http://schemas.openxmlformats.org/officeDocument/2006/relationships/header" Target="header27.xml" /><Relationship Id="rId67" Type="http://schemas.openxmlformats.org/officeDocument/2006/relationships/footer" Target="footer23.xml" /><Relationship Id="rId68" Type="http://schemas.openxmlformats.org/officeDocument/2006/relationships/header" Target="header28.xml" /><Relationship Id="rId69" Type="http://schemas.openxmlformats.org/officeDocument/2006/relationships/footer" Target="footer24.xml" /><Relationship Id="rId7" Type="http://schemas.openxmlformats.org/officeDocument/2006/relationships/header" Target="header4.xml" /><Relationship Id="rId70" Type="http://schemas.openxmlformats.org/officeDocument/2006/relationships/header" Target="header29.xml" /><Relationship Id="rId71" Type="http://schemas.openxmlformats.org/officeDocument/2006/relationships/footer" Target="footer25.xml" /><Relationship Id="rId72" Type="http://schemas.openxmlformats.org/officeDocument/2006/relationships/header" Target="header30.xml" /><Relationship Id="rId73" Type="http://schemas.openxmlformats.org/officeDocument/2006/relationships/footer" Target="footer26.xml" /><Relationship Id="rId74" Type="http://schemas.openxmlformats.org/officeDocument/2006/relationships/header" Target="header31.xml" /><Relationship Id="rId75" Type="http://schemas.openxmlformats.org/officeDocument/2006/relationships/footer" Target="footer27.xml" /><Relationship Id="rId76" Type="http://schemas.openxmlformats.org/officeDocument/2006/relationships/header" Target="header32.xml" /><Relationship Id="rId77" Type="http://schemas.openxmlformats.org/officeDocument/2006/relationships/footer" Target="footer28.xml" /><Relationship Id="rId78" Type="http://schemas.openxmlformats.org/officeDocument/2006/relationships/image" Target="media/image13.png" /><Relationship Id="rId79" Type="http://schemas.openxmlformats.org/officeDocument/2006/relationships/header" Target="header33.xml" /><Relationship Id="rId8" Type="http://schemas.openxmlformats.org/officeDocument/2006/relationships/header" Target="header5.xml" /><Relationship Id="rId80" Type="http://schemas.openxmlformats.org/officeDocument/2006/relationships/footer" Target="footer29.xml" /><Relationship Id="rId81" Type="http://schemas.openxmlformats.org/officeDocument/2006/relationships/image" Target="media/image14.png" /><Relationship Id="rId82" Type="http://schemas.openxmlformats.org/officeDocument/2006/relationships/image" Target="media/image15.png" /><Relationship Id="rId83" Type="http://schemas.openxmlformats.org/officeDocument/2006/relationships/image" Target="media/image16.png" /><Relationship Id="rId84" Type="http://schemas.openxmlformats.org/officeDocument/2006/relationships/image" Target="media/image17.png" /><Relationship Id="rId85" Type="http://schemas.openxmlformats.org/officeDocument/2006/relationships/header" Target="header34.xml" /><Relationship Id="rId86" Type="http://schemas.openxmlformats.org/officeDocument/2006/relationships/footer" Target="footer30.xml" /><Relationship Id="rId87" Type="http://schemas.openxmlformats.org/officeDocument/2006/relationships/hyperlink" Target="https://d.book118.com/018036012112006036" TargetMode="External" /><Relationship Id="rId88" Type="http://schemas.openxmlformats.org/officeDocument/2006/relationships/header" Target="header35.xml" /><Relationship Id="rId89" Type="http://schemas.openxmlformats.org/officeDocument/2006/relationships/footer" Target="footer31.xml" /><Relationship Id="rId9" Type="http://schemas.openxmlformats.org/officeDocument/2006/relationships/footer" Target="footer1.xml" /><Relationship Id="rId90" Type="http://schemas.openxmlformats.org/officeDocument/2006/relationships/theme" Target="theme/theme1.xml" /><Relationship Id="rId91"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31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2024-02-09T09:00:00Z</dcterms:created>
  <dcterms:modified xsi:type="dcterms:W3CDTF">2024-02-09T01:00:17Z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2024-02-09T01:00:15Z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65c5790b843f42001f5f78f1wl</vt:lpwstr>
  </property>
</Properties>
</file>