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bookmarkStart w:id="0" w:name="_GoBack"/>
      <w:bookmarkEnd w:id="0"/>
    </w:p>
    <w:p>
      <w:pPr>
        <w:rPr>
          <w:rFonts w:ascii="仿宋" w:eastAsia="仿宋" w:hAnsi="仿宋" w:cs="仿宋" w:hint="eastAsia"/>
          <w:b/>
          <w:sz w:val="40"/>
        </w:rPr>
      </w:pPr>
    </w:p>
    <w:p>
      <w:pPr>
        <w:rPr>
          <w:rFonts w:ascii="仿宋" w:eastAsia="仿宋" w:hAnsi="仿宋" w:cs="仿宋" w:hint="eastAsia"/>
          <w:b/>
          <w:sz w:val="40"/>
        </w:rPr>
      </w:pPr>
    </w:p>
    <w:p>
      <w:pPr>
        <w:spacing w:before="254" w:line="360" w:lineRule="auto"/>
        <w:ind w:left="273"/>
        <w:jc w:val="center"/>
        <w:outlineLvl w:val="0"/>
        <w:rPr>
          <w:rFonts w:ascii="微软雅黑" w:eastAsia="微软雅黑" w:hAnsi="微软雅黑" w:cs="微软雅黑"/>
          <w:b/>
          <w:bCs/>
          <w:color w:val="2D54A0"/>
          <w:spacing w:val="8"/>
          <w:sz w:val="59"/>
          <w:szCs w:val="59"/>
        </w:rPr>
      </w:pPr>
      <w:r>
        <w:rPr>
          <w:rFonts w:ascii="微软雅黑" w:eastAsia="微软雅黑" w:hAnsi="微软雅黑" w:cs="微软雅黑"/>
          <w:b/>
          <w:bCs/>
          <w:color w:val="2D54A0"/>
          <w:spacing w:val="9"/>
          <w:sz w:val="59"/>
          <w:szCs w:val="59"/>
        </w:rPr>
        <w:t>2024年硼酸盐行业趋势报告</w:t>
      </w: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b/>
          <w:bCs/>
          <w:color w:val="2D54A0"/>
          <w:spacing w:val="8"/>
          <w:sz w:val="59"/>
          <w:szCs w:val="59"/>
        </w:rPr>
      </w:pPr>
    </w:p>
    <w:p>
      <w:pPr>
        <w:spacing w:before="254" w:line="360" w:lineRule="auto"/>
        <w:ind w:left="273"/>
        <w:jc w:val="center"/>
        <w:outlineLvl w:val="0"/>
        <w:rPr>
          <w:rFonts w:ascii="微软雅黑" w:eastAsia="微软雅黑" w:hAnsi="微软雅黑" w:cs="微软雅黑" w:hint="default"/>
          <w:b/>
          <w:bCs/>
          <w:color w:val="2D54A0"/>
          <w:spacing w:val="8"/>
          <w:sz w:val="44"/>
          <w:szCs w:val="44"/>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b/>
          <w:bCs/>
          <w:color w:val="2D54A0"/>
          <w:spacing w:val="8"/>
          <w:sz w:val="44"/>
          <w:szCs w:val="44"/>
          <w:lang w:val="en-US" w:eastAsia="zh-CN"/>
        </w:rPr>
        <w:t>《2024年最新评估分析》</w:t>
      </w:r>
    </w:p>
    <w:p>
      <w:pPr>
        <w:spacing w:line="360" w:lineRule="auto"/>
        <w:jc w:val="center"/>
        <w:rPr>
          <w:rFonts w:ascii="微软雅黑" w:eastAsia="微软雅黑" w:hAnsi="微软雅黑" w:cs="微软雅黑" w:hint="eastAsia"/>
          <w:b/>
          <w:bCs w:val="0"/>
          <w:color w:val="2E54A1" w:themeColor="accent1" w:themeShade="BF"/>
          <w:sz w:val="40"/>
        </w:rPr>
      </w:pPr>
      <w:r>
        <w:rPr>
          <w:rFonts w:ascii="微软雅黑" w:eastAsia="微软雅黑" w:hAnsi="微软雅黑" w:cs="微软雅黑" w:hint="eastAsia"/>
          <w:b/>
          <w:bCs w:val="0"/>
          <w:color w:val="2E54A1" w:themeColor="accent1" w:themeShade="BF"/>
          <w:sz w:val="40"/>
          <w:lang w:eastAsia="zh-CN"/>
        </w:rPr>
        <w:t>目录</w:t>
      </w:r>
    </w:p>
    <w:p>
      <w:pPr>
        <w:pStyle w:val="TOC1"/>
        <w:tabs>
          <w:tab w:val="right" w:leader="dot" w:pos="8306"/>
        </w:tabs>
      </w:pPr>
      <w:r>
        <w:fldChar w:fldCharType="begin"/>
      </w:r>
      <w:r>
        <w:instrText>TOC \h \z</w:instrText>
      </w:r>
      <w:r>
        <w:fldChar w:fldCharType="separate"/>
      </w:r>
      <w:hyperlink w:anchor="_Toc32214" w:history="1">
        <w:r>
          <w:rPr>
            <w:rFonts w:ascii="微软雅黑" w:eastAsia="微软雅黑" w:hAnsi="微软雅黑" w:cs="微软雅黑" w:hint="eastAsia"/>
            <w:color w:val="001CAC" w:themeColor="hyperlink" w:themeShade="BF"/>
            <w:lang w:eastAsia="zh-CN"/>
          </w:rPr>
          <w:t>前言</w:t>
        </w:r>
        <w:r>
          <w:tab/>
        </w:r>
        <w:r>
          <w:fldChar w:fldCharType="begin"/>
        </w:r>
        <w:r>
          <w:instrText xml:space="preserve"> PAGEREF _Toc32214 \h </w:instrText>
        </w:r>
        <w:r>
          <w:fldChar w:fldCharType="separate"/>
        </w:r>
        <w:r>
          <w:t>4</w:t>
        </w:r>
        <w:r>
          <w:fldChar w:fldCharType="end"/>
        </w:r>
      </w:hyperlink>
    </w:p>
    <w:p>
      <w:pPr>
        <w:pStyle w:val="TOC1"/>
        <w:tabs>
          <w:tab w:val="right" w:leader="dot" w:pos="8306"/>
        </w:tabs>
      </w:pPr>
      <w:hyperlink w:anchor="_Toc32422" w:history="1">
        <w:r>
          <w:rPr>
            <w:rFonts w:ascii="微软雅黑" w:eastAsia="微软雅黑" w:hAnsi="微软雅黑" w:cs="微软雅黑" w:hint="eastAsia"/>
            <w:color w:val="001CAC" w:themeColor="hyperlink" w:themeShade="BF"/>
            <w:szCs w:val="32"/>
            <w:lang w:eastAsia="zh-CN"/>
          </w:rPr>
          <w:t>一、项目技术流程</w:t>
        </w:r>
        <w:r>
          <w:tab/>
        </w:r>
        <w:r>
          <w:fldChar w:fldCharType="begin"/>
        </w:r>
        <w:r>
          <w:instrText xml:space="preserve"> PAGEREF _Toc32422 \h </w:instrText>
        </w:r>
        <w:r>
          <w:fldChar w:fldCharType="separate"/>
        </w:r>
        <w:r>
          <w:t>4</w:t>
        </w:r>
        <w:r>
          <w:fldChar w:fldCharType="end"/>
        </w:r>
      </w:hyperlink>
    </w:p>
    <w:p>
      <w:pPr>
        <w:pStyle w:val="TOC2"/>
        <w:tabs>
          <w:tab w:val="right" w:leader="dot" w:pos="8306"/>
        </w:tabs>
      </w:pPr>
      <w:hyperlink w:anchor="_Toc29116" w:history="1">
        <w:r>
          <w:rPr>
            <w:rFonts w:ascii="宋体" w:eastAsia="宋体" w:hAnsi="宋体" w:cs="宋体" w:hint="eastAsia"/>
            <w:bCs w:val="0"/>
            <w:szCs w:val="28"/>
            <w:lang w:eastAsia="zh-CN"/>
          </w:rPr>
          <w:t>(一)、技术方案选择</w:t>
        </w:r>
        <w:r>
          <w:tab/>
        </w:r>
        <w:r>
          <w:fldChar w:fldCharType="begin"/>
        </w:r>
        <w:r>
          <w:instrText xml:space="preserve"> PAGEREF _Toc29116 \h </w:instrText>
        </w:r>
        <w:r>
          <w:fldChar w:fldCharType="separate"/>
        </w:r>
        <w:r>
          <w:t>4</w:t>
        </w:r>
        <w:r>
          <w:fldChar w:fldCharType="end"/>
        </w:r>
      </w:hyperlink>
    </w:p>
    <w:p>
      <w:pPr>
        <w:pStyle w:val="TOC2"/>
        <w:tabs>
          <w:tab w:val="right" w:leader="dot" w:pos="8306"/>
        </w:tabs>
      </w:pPr>
      <w:hyperlink w:anchor="_Toc17811" w:history="1">
        <w:r>
          <w:rPr>
            <w:rFonts w:ascii="宋体" w:eastAsia="宋体" w:hAnsi="宋体" w:cs="宋体" w:hint="eastAsia"/>
            <w:bCs w:val="0"/>
            <w:szCs w:val="28"/>
            <w:lang w:eastAsia="zh-CN"/>
          </w:rPr>
          <w:t>(二)、设备选型方案</w:t>
        </w:r>
        <w:r>
          <w:tab/>
        </w:r>
        <w:r>
          <w:fldChar w:fldCharType="begin"/>
        </w:r>
        <w:r>
          <w:instrText xml:space="preserve"> PAGEREF _Toc17811 \h </w:instrText>
        </w:r>
        <w:r>
          <w:fldChar w:fldCharType="separate"/>
        </w:r>
        <w:r>
          <w:t>5</w:t>
        </w:r>
        <w:r>
          <w:fldChar w:fldCharType="end"/>
        </w:r>
      </w:hyperlink>
    </w:p>
    <w:p>
      <w:pPr>
        <w:pStyle w:val="TOC2"/>
        <w:tabs>
          <w:tab w:val="right" w:leader="dot" w:pos="8306"/>
        </w:tabs>
      </w:pPr>
      <w:hyperlink w:anchor="_Toc22964" w:history="1">
        <w:r>
          <w:rPr>
            <w:rFonts w:ascii="宋体" w:eastAsia="宋体" w:hAnsi="宋体" w:cs="宋体" w:hint="eastAsia"/>
            <w:bCs w:val="0"/>
            <w:szCs w:val="28"/>
            <w:lang w:eastAsia="zh-CN"/>
          </w:rPr>
          <w:t>(三)、技术流程与工艺设计</w:t>
        </w:r>
        <w:r>
          <w:tab/>
        </w:r>
        <w:r>
          <w:fldChar w:fldCharType="begin"/>
        </w:r>
        <w:r>
          <w:instrText xml:space="preserve"> PAGEREF _Toc22964 \h </w:instrText>
        </w:r>
        <w:r>
          <w:fldChar w:fldCharType="separate"/>
        </w:r>
        <w:r>
          <w:t>5</w:t>
        </w:r>
        <w:r>
          <w:fldChar w:fldCharType="end"/>
        </w:r>
      </w:hyperlink>
    </w:p>
    <w:p>
      <w:pPr>
        <w:pStyle w:val="TOC1"/>
        <w:tabs>
          <w:tab w:val="right" w:leader="dot" w:pos="8306"/>
        </w:tabs>
      </w:pPr>
      <w:hyperlink w:anchor="_Toc27026" w:history="1">
        <w:r>
          <w:rPr>
            <w:rFonts w:ascii="微软雅黑" w:eastAsia="微软雅黑" w:hAnsi="微软雅黑" w:cs="微软雅黑" w:hint="eastAsia"/>
            <w:color w:val="001CAC" w:themeColor="hyperlink" w:themeShade="BF"/>
            <w:szCs w:val="32"/>
            <w:lang w:eastAsia="zh-CN"/>
          </w:rPr>
          <w:t>二、质量与技术管理</w:t>
        </w:r>
        <w:r>
          <w:tab/>
        </w:r>
        <w:r>
          <w:fldChar w:fldCharType="begin"/>
        </w:r>
        <w:r>
          <w:instrText xml:space="preserve"> PAGEREF _Toc27026 \h </w:instrText>
        </w:r>
        <w:r>
          <w:fldChar w:fldCharType="separate"/>
        </w:r>
        <w:r>
          <w:t>7</w:t>
        </w:r>
        <w:r>
          <w:fldChar w:fldCharType="end"/>
        </w:r>
      </w:hyperlink>
    </w:p>
    <w:p>
      <w:pPr>
        <w:pStyle w:val="TOC2"/>
        <w:tabs>
          <w:tab w:val="right" w:leader="dot" w:pos="8306"/>
        </w:tabs>
      </w:pPr>
      <w:hyperlink w:anchor="_Toc9126" w:history="1">
        <w:r>
          <w:rPr>
            <w:rFonts w:ascii="宋体" w:eastAsia="宋体" w:hAnsi="宋体" w:cs="宋体" w:hint="eastAsia"/>
            <w:bCs w:val="0"/>
            <w:szCs w:val="28"/>
            <w:lang w:eastAsia="zh-CN"/>
          </w:rPr>
          <w:t>(一)、质量管理体系建设</w:t>
        </w:r>
        <w:r>
          <w:tab/>
        </w:r>
        <w:r>
          <w:fldChar w:fldCharType="begin"/>
        </w:r>
        <w:r>
          <w:instrText xml:space="preserve"> PAGEREF _Toc9126 \h </w:instrText>
        </w:r>
        <w:r>
          <w:fldChar w:fldCharType="separate"/>
        </w:r>
        <w:r>
          <w:t>7</w:t>
        </w:r>
        <w:r>
          <w:fldChar w:fldCharType="end"/>
        </w:r>
      </w:hyperlink>
    </w:p>
    <w:p>
      <w:pPr>
        <w:pStyle w:val="TOC2"/>
        <w:tabs>
          <w:tab w:val="right" w:leader="dot" w:pos="8306"/>
        </w:tabs>
      </w:pPr>
      <w:hyperlink w:anchor="_Toc3346" w:history="1">
        <w:r>
          <w:rPr>
            <w:rFonts w:ascii="宋体" w:eastAsia="宋体" w:hAnsi="宋体" w:cs="宋体" w:hint="eastAsia"/>
            <w:bCs w:val="0"/>
            <w:szCs w:val="28"/>
            <w:lang w:eastAsia="zh-CN"/>
          </w:rPr>
          <w:t>(二)、技术标准与创新</w:t>
        </w:r>
        <w:r>
          <w:tab/>
        </w:r>
        <w:r>
          <w:fldChar w:fldCharType="begin"/>
        </w:r>
        <w:r>
          <w:instrText xml:space="preserve"> PAGEREF _Toc3346 \h </w:instrText>
        </w:r>
        <w:r>
          <w:fldChar w:fldCharType="separate"/>
        </w:r>
        <w:r>
          <w:t>8</w:t>
        </w:r>
        <w:r>
          <w:fldChar w:fldCharType="end"/>
        </w:r>
      </w:hyperlink>
    </w:p>
    <w:p>
      <w:pPr>
        <w:pStyle w:val="TOC1"/>
        <w:tabs>
          <w:tab w:val="right" w:leader="dot" w:pos="8306"/>
        </w:tabs>
      </w:pPr>
      <w:hyperlink w:anchor="_Toc19399" w:history="1">
        <w:r>
          <w:rPr>
            <w:rFonts w:ascii="微软雅黑" w:eastAsia="微软雅黑" w:hAnsi="微软雅黑" w:cs="微软雅黑" w:hint="eastAsia"/>
            <w:color w:val="001CAC" w:themeColor="hyperlink" w:themeShade="BF"/>
            <w:szCs w:val="32"/>
            <w:lang w:eastAsia="zh-CN"/>
          </w:rPr>
          <w:t>三、硼酸盐行业财务管理分析</w:t>
        </w:r>
        <w:r>
          <w:tab/>
        </w:r>
        <w:r>
          <w:fldChar w:fldCharType="begin"/>
        </w:r>
        <w:r>
          <w:instrText xml:space="preserve"> PAGEREF _Toc19399 \h </w:instrText>
        </w:r>
        <w:r>
          <w:fldChar w:fldCharType="separate"/>
        </w:r>
        <w:r>
          <w:t>8</w:t>
        </w:r>
        <w:r>
          <w:fldChar w:fldCharType="end"/>
        </w:r>
      </w:hyperlink>
    </w:p>
    <w:p>
      <w:pPr>
        <w:pStyle w:val="TOC2"/>
        <w:tabs>
          <w:tab w:val="right" w:leader="dot" w:pos="8306"/>
        </w:tabs>
      </w:pPr>
      <w:hyperlink w:anchor="_Toc6381" w:history="1">
        <w:r>
          <w:rPr>
            <w:rFonts w:ascii="宋体" w:eastAsia="宋体" w:hAnsi="宋体" w:cs="宋体" w:hint="eastAsia"/>
            <w:bCs w:val="0"/>
            <w:szCs w:val="28"/>
            <w:lang w:eastAsia="zh-CN"/>
          </w:rPr>
          <w:t>(一)、硼酸盐行业财务管理制度</w:t>
        </w:r>
        <w:r>
          <w:tab/>
        </w:r>
        <w:r>
          <w:fldChar w:fldCharType="begin"/>
        </w:r>
        <w:r>
          <w:instrText xml:space="preserve"> PAGEREF _Toc6381 \h </w:instrText>
        </w:r>
        <w:r>
          <w:fldChar w:fldCharType="separate"/>
        </w:r>
        <w:r>
          <w:t>8</w:t>
        </w:r>
        <w:r>
          <w:fldChar w:fldCharType="end"/>
        </w:r>
      </w:hyperlink>
    </w:p>
    <w:p>
      <w:pPr>
        <w:pStyle w:val="TOC2"/>
        <w:tabs>
          <w:tab w:val="right" w:leader="dot" w:pos="8306"/>
        </w:tabs>
      </w:pPr>
      <w:hyperlink w:anchor="_Toc26393" w:history="1">
        <w:r>
          <w:rPr>
            <w:rFonts w:ascii="宋体" w:eastAsia="宋体" w:hAnsi="宋体" w:cs="宋体" w:hint="eastAsia"/>
            <w:bCs w:val="0"/>
            <w:szCs w:val="28"/>
            <w:lang w:eastAsia="zh-CN"/>
          </w:rPr>
          <w:t>(二)、硼酸盐行业经济效益分析</w:t>
        </w:r>
        <w:r>
          <w:tab/>
        </w:r>
        <w:r>
          <w:fldChar w:fldCharType="begin"/>
        </w:r>
        <w:r>
          <w:instrText xml:space="preserve"> PAGEREF _Toc26393 \h </w:instrText>
        </w:r>
        <w:r>
          <w:fldChar w:fldCharType="separate"/>
        </w:r>
        <w:r>
          <w:t>10</w:t>
        </w:r>
        <w:r>
          <w:fldChar w:fldCharType="end"/>
        </w:r>
      </w:hyperlink>
    </w:p>
    <w:p>
      <w:pPr>
        <w:pStyle w:val="TOC2"/>
        <w:tabs>
          <w:tab w:val="right" w:leader="dot" w:pos="8306"/>
        </w:tabs>
      </w:pPr>
      <w:hyperlink w:anchor="_Toc10090" w:history="1">
        <w:r>
          <w:rPr>
            <w:rFonts w:ascii="宋体" w:eastAsia="宋体" w:hAnsi="宋体" w:cs="宋体" w:hint="eastAsia"/>
            <w:bCs w:val="0"/>
            <w:szCs w:val="28"/>
            <w:lang w:eastAsia="zh-CN"/>
          </w:rPr>
          <w:t>(三)、硼酸盐行业收入及成本核算</w:t>
        </w:r>
        <w:r>
          <w:tab/>
        </w:r>
        <w:r>
          <w:fldChar w:fldCharType="begin"/>
        </w:r>
        <w:r>
          <w:instrText xml:space="preserve"> PAGEREF _Toc10090 \h </w:instrText>
        </w:r>
        <w:r>
          <w:fldChar w:fldCharType="separate"/>
        </w:r>
        <w:r>
          <w:t>11</w:t>
        </w:r>
        <w:r>
          <w:fldChar w:fldCharType="end"/>
        </w:r>
      </w:hyperlink>
    </w:p>
    <w:p>
      <w:pPr>
        <w:pStyle w:val="TOC2"/>
        <w:tabs>
          <w:tab w:val="right" w:leader="dot" w:pos="8306"/>
        </w:tabs>
      </w:pPr>
      <w:hyperlink w:anchor="_Toc17136" w:history="1">
        <w:r>
          <w:rPr>
            <w:rFonts w:ascii="宋体" w:eastAsia="宋体" w:hAnsi="宋体" w:cs="宋体" w:hint="eastAsia"/>
            <w:bCs w:val="0"/>
            <w:szCs w:val="28"/>
            <w:lang w:eastAsia="zh-CN"/>
          </w:rPr>
          <w:t>(四)、硼酸盐行业成本管理</w:t>
        </w:r>
        <w:r>
          <w:tab/>
        </w:r>
        <w:r>
          <w:fldChar w:fldCharType="begin"/>
        </w:r>
        <w:r>
          <w:instrText xml:space="preserve"> PAGEREF _Toc17136 \h </w:instrText>
        </w:r>
        <w:r>
          <w:fldChar w:fldCharType="separate"/>
        </w:r>
        <w:r>
          <w:t>13</w:t>
        </w:r>
        <w:r>
          <w:fldChar w:fldCharType="end"/>
        </w:r>
      </w:hyperlink>
    </w:p>
    <w:p>
      <w:pPr>
        <w:pStyle w:val="TOC1"/>
        <w:tabs>
          <w:tab w:val="right" w:leader="dot" w:pos="8306"/>
        </w:tabs>
      </w:pPr>
      <w:hyperlink w:anchor="_Toc1060" w:history="1">
        <w:r>
          <w:rPr>
            <w:rFonts w:ascii="微软雅黑" w:eastAsia="微软雅黑" w:hAnsi="微软雅黑" w:cs="微软雅黑" w:hint="eastAsia"/>
            <w:color w:val="001CAC" w:themeColor="hyperlink" w:themeShade="BF"/>
            <w:szCs w:val="32"/>
            <w:lang w:eastAsia="zh-CN"/>
          </w:rPr>
          <w:t>四、项目管理与团队协作</w:t>
        </w:r>
        <w:r>
          <w:tab/>
        </w:r>
        <w:r>
          <w:fldChar w:fldCharType="begin"/>
        </w:r>
        <w:r>
          <w:instrText xml:space="preserve"> PAGEREF _Toc1060 \h </w:instrText>
        </w:r>
        <w:r>
          <w:fldChar w:fldCharType="separate"/>
        </w:r>
        <w:r>
          <w:t>16</w:t>
        </w:r>
        <w:r>
          <w:fldChar w:fldCharType="end"/>
        </w:r>
      </w:hyperlink>
    </w:p>
    <w:p>
      <w:pPr>
        <w:pStyle w:val="TOC2"/>
        <w:tabs>
          <w:tab w:val="right" w:leader="dot" w:pos="8306"/>
        </w:tabs>
      </w:pPr>
      <w:hyperlink w:anchor="_Toc18853" w:history="1">
        <w:r>
          <w:rPr>
            <w:rFonts w:ascii="宋体" w:eastAsia="宋体" w:hAnsi="宋体" w:cs="宋体" w:hint="eastAsia"/>
            <w:bCs w:val="0"/>
            <w:szCs w:val="28"/>
            <w:lang w:eastAsia="zh-CN"/>
          </w:rPr>
          <w:t>(一)、项目管理方法论</w:t>
        </w:r>
        <w:r>
          <w:tab/>
        </w:r>
        <w:r>
          <w:fldChar w:fldCharType="begin"/>
        </w:r>
        <w:r>
          <w:instrText xml:space="preserve"> PAGEREF _Toc18853 \h </w:instrText>
        </w:r>
        <w:r>
          <w:fldChar w:fldCharType="separate"/>
        </w:r>
        <w:r>
          <w:t>16</w:t>
        </w:r>
        <w:r>
          <w:fldChar w:fldCharType="end"/>
        </w:r>
      </w:hyperlink>
    </w:p>
    <w:p>
      <w:pPr>
        <w:pStyle w:val="TOC2"/>
        <w:tabs>
          <w:tab w:val="right" w:leader="dot" w:pos="8306"/>
        </w:tabs>
      </w:pPr>
      <w:hyperlink w:anchor="_Toc20602" w:history="1">
        <w:r>
          <w:rPr>
            <w:rFonts w:ascii="宋体" w:eastAsia="宋体" w:hAnsi="宋体" w:cs="宋体" w:hint="eastAsia"/>
            <w:bCs w:val="0"/>
            <w:szCs w:val="28"/>
            <w:lang w:eastAsia="zh-CN"/>
          </w:rPr>
          <w:t>(二)、团队组建与角色分工</w:t>
        </w:r>
        <w:r>
          <w:tab/>
        </w:r>
        <w:r>
          <w:fldChar w:fldCharType="begin"/>
        </w:r>
        <w:r>
          <w:instrText xml:space="preserve"> PAGEREF _Toc20602 \h </w:instrText>
        </w:r>
        <w:r>
          <w:fldChar w:fldCharType="separate"/>
        </w:r>
        <w:r>
          <w:t>17</w:t>
        </w:r>
        <w:r>
          <w:fldChar w:fldCharType="end"/>
        </w:r>
      </w:hyperlink>
    </w:p>
    <w:p>
      <w:pPr>
        <w:pStyle w:val="TOC2"/>
        <w:tabs>
          <w:tab w:val="right" w:leader="dot" w:pos="8306"/>
        </w:tabs>
      </w:pPr>
      <w:hyperlink w:anchor="_Toc7646" w:history="1">
        <w:r>
          <w:rPr>
            <w:rFonts w:ascii="宋体" w:eastAsia="宋体" w:hAnsi="宋体" w:cs="宋体" w:hint="eastAsia"/>
            <w:bCs w:val="0"/>
            <w:szCs w:val="28"/>
            <w:lang w:eastAsia="zh-CN"/>
          </w:rPr>
          <w:t>(三)、团队沟通与协作机制</w:t>
        </w:r>
        <w:r>
          <w:tab/>
        </w:r>
        <w:r>
          <w:fldChar w:fldCharType="begin"/>
        </w:r>
        <w:r>
          <w:instrText xml:space="preserve"> PAGEREF _Toc7646 \h </w:instrText>
        </w:r>
        <w:r>
          <w:fldChar w:fldCharType="separate"/>
        </w:r>
        <w:r>
          <w:t>18</w:t>
        </w:r>
        <w:r>
          <w:fldChar w:fldCharType="end"/>
        </w:r>
      </w:hyperlink>
    </w:p>
    <w:p>
      <w:pPr>
        <w:pStyle w:val="TOC2"/>
        <w:tabs>
          <w:tab w:val="right" w:leader="dot" w:pos="8306"/>
        </w:tabs>
      </w:pPr>
      <w:hyperlink w:anchor="_Toc6199" w:history="1">
        <w:r>
          <w:rPr>
            <w:rFonts w:ascii="宋体" w:eastAsia="宋体" w:hAnsi="宋体" w:cs="宋体" w:hint="eastAsia"/>
            <w:bCs w:val="0"/>
            <w:szCs w:val="28"/>
            <w:lang w:eastAsia="zh-CN"/>
          </w:rPr>
          <w:t>(四)、项目风险管理与应对</w:t>
        </w:r>
        <w:r>
          <w:tab/>
        </w:r>
        <w:r>
          <w:fldChar w:fldCharType="begin"/>
        </w:r>
        <w:r>
          <w:instrText xml:space="preserve"> PAGEREF _Toc6199 \h </w:instrText>
        </w:r>
        <w:r>
          <w:fldChar w:fldCharType="separate"/>
        </w:r>
        <w:r>
          <w:t>19</w:t>
        </w:r>
        <w:r>
          <w:fldChar w:fldCharType="end"/>
        </w:r>
      </w:hyperlink>
    </w:p>
    <w:p>
      <w:pPr>
        <w:pStyle w:val="TOC1"/>
        <w:tabs>
          <w:tab w:val="right" w:leader="dot" w:pos="8306"/>
        </w:tabs>
      </w:pPr>
      <w:hyperlink w:anchor="_Toc10513" w:history="1">
        <w:r>
          <w:rPr>
            <w:rFonts w:ascii="微软雅黑" w:eastAsia="微软雅黑" w:hAnsi="微软雅黑" w:cs="微软雅黑" w:hint="eastAsia"/>
            <w:color w:val="001CAC" w:themeColor="hyperlink" w:themeShade="BF"/>
            <w:szCs w:val="32"/>
            <w:lang w:eastAsia="zh-CN"/>
          </w:rPr>
          <w:t>五、可持续发展与绿色经营</w:t>
        </w:r>
        <w:r>
          <w:tab/>
        </w:r>
        <w:r>
          <w:fldChar w:fldCharType="begin"/>
        </w:r>
        <w:r>
          <w:instrText xml:space="preserve"> PAGEREF _Toc10513 \h </w:instrText>
        </w:r>
        <w:r>
          <w:fldChar w:fldCharType="separate"/>
        </w:r>
        <w:r>
          <w:t>20</w:t>
        </w:r>
        <w:r>
          <w:fldChar w:fldCharType="end"/>
        </w:r>
      </w:hyperlink>
    </w:p>
    <w:p>
      <w:pPr>
        <w:pStyle w:val="TOC2"/>
        <w:tabs>
          <w:tab w:val="right" w:leader="dot" w:pos="8306"/>
        </w:tabs>
      </w:pPr>
      <w:hyperlink w:anchor="_Toc16511" w:history="1">
        <w:r>
          <w:rPr>
            <w:rFonts w:ascii="宋体" w:eastAsia="宋体" w:hAnsi="宋体" w:cs="宋体" w:hint="eastAsia"/>
            <w:bCs w:val="0"/>
            <w:szCs w:val="28"/>
            <w:lang w:eastAsia="zh-CN"/>
          </w:rPr>
          <w:t>(一)、可持续发展战略与目标</w:t>
        </w:r>
        <w:r>
          <w:tab/>
        </w:r>
        <w:r>
          <w:fldChar w:fldCharType="begin"/>
        </w:r>
        <w:r>
          <w:instrText xml:space="preserve"> PAGEREF _Toc16511 \h </w:instrText>
        </w:r>
        <w:r>
          <w:fldChar w:fldCharType="separate"/>
        </w:r>
        <w:r>
          <w:t>20</w:t>
        </w:r>
        <w:r>
          <w:fldChar w:fldCharType="end"/>
        </w:r>
      </w:hyperlink>
    </w:p>
    <w:p>
      <w:pPr>
        <w:pStyle w:val="TOC2"/>
        <w:tabs>
          <w:tab w:val="right" w:leader="dot" w:pos="8306"/>
        </w:tabs>
      </w:pPr>
      <w:hyperlink w:anchor="_Toc32561" w:history="1">
        <w:r>
          <w:rPr>
            <w:rFonts w:ascii="宋体" w:eastAsia="宋体" w:hAnsi="宋体" w:cs="宋体" w:hint="eastAsia"/>
            <w:bCs w:val="0"/>
            <w:szCs w:val="28"/>
            <w:lang w:eastAsia="zh-CN"/>
          </w:rPr>
          <w:t>(二)、环保政策与实践</w:t>
        </w:r>
        <w:r>
          <w:tab/>
        </w:r>
        <w:r>
          <w:fldChar w:fldCharType="begin"/>
        </w:r>
        <w:r>
          <w:instrText xml:space="preserve"> PAGEREF _Toc32561 \h </w:instrText>
        </w:r>
        <w:r>
          <w:fldChar w:fldCharType="separate"/>
        </w:r>
        <w:r>
          <w:t>22</w:t>
        </w:r>
        <w:r>
          <w:fldChar w:fldCharType="end"/>
        </w:r>
      </w:hyperlink>
    </w:p>
    <w:p>
      <w:pPr>
        <w:pStyle w:val="TOC2"/>
        <w:tabs>
          <w:tab w:val="right" w:leader="dot" w:pos="8306"/>
        </w:tabs>
      </w:pPr>
      <w:hyperlink w:anchor="_Toc19288" w:history="1">
        <w:r>
          <w:rPr>
            <w:rFonts w:ascii="宋体" w:eastAsia="宋体" w:hAnsi="宋体" w:cs="宋体" w:hint="eastAsia"/>
            <w:bCs w:val="0"/>
            <w:szCs w:val="28"/>
            <w:lang w:eastAsia="zh-CN"/>
          </w:rPr>
          <w:t>(三)、资源利用与循环经济</w:t>
        </w:r>
        <w:r>
          <w:tab/>
        </w:r>
        <w:r>
          <w:fldChar w:fldCharType="begin"/>
        </w:r>
        <w:r>
          <w:instrText xml:space="preserve"> PAGEREF _Toc19288 \h </w:instrText>
        </w:r>
        <w:r>
          <w:fldChar w:fldCharType="separate"/>
        </w:r>
        <w:r>
          <w:t>24</w:t>
        </w:r>
        <w:r>
          <w:fldChar w:fldCharType="end"/>
        </w:r>
      </w:hyperlink>
    </w:p>
    <w:p>
      <w:pPr>
        <w:pStyle w:val="TOC2"/>
        <w:tabs>
          <w:tab w:val="right" w:leader="dot" w:pos="8306"/>
        </w:tabs>
      </w:pPr>
      <w:hyperlink w:anchor="_Toc18592" w:history="1">
        <w:r>
          <w:rPr>
            <w:rFonts w:ascii="宋体" w:eastAsia="宋体" w:hAnsi="宋体" w:cs="宋体" w:hint="eastAsia"/>
            <w:bCs w:val="0"/>
            <w:szCs w:val="28"/>
            <w:lang w:eastAsia="zh-CN"/>
          </w:rPr>
          <w:t>(四)、碳中和与生态足迹</w:t>
        </w:r>
        <w:r>
          <w:tab/>
        </w:r>
        <w:r>
          <w:fldChar w:fldCharType="begin"/>
        </w:r>
        <w:r>
          <w:instrText xml:space="preserve"> PAGEREF _Toc18592 \h </w:instrText>
        </w:r>
        <w:r>
          <w:fldChar w:fldCharType="separate"/>
        </w:r>
        <w:r>
          <w:t>25</w:t>
        </w:r>
        <w:r>
          <w:fldChar w:fldCharType="end"/>
        </w:r>
      </w:hyperlink>
    </w:p>
    <w:p>
      <w:pPr>
        <w:pStyle w:val="TOC1"/>
        <w:tabs>
          <w:tab w:val="right" w:leader="dot" w:pos="8306"/>
        </w:tabs>
      </w:pPr>
      <w:hyperlink w:anchor="_Toc31809" w:history="1">
        <w:r>
          <w:rPr>
            <w:rFonts w:ascii="微软雅黑" w:eastAsia="微软雅黑" w:hAnsi="微软雅黑" w:cs="微软雅黑" w:hint="eastAsia"/>
            <w:color w:val="001CAC" w:themeColor="hyperlink" w:themeShade="BF"/>
            <w:szCs w:val="32"/>
            <w:lang w:eastAsia="zh-CN"/>
          </w:rPr>
          <w:t>六、硼酸盐行业运营管理及商业模式分析</w:t>
        </w:r>
        <w:r>
          <w:tab/>
        </w:r>
        <w:r>
          <w:fldChar w:fldCharType="begin"/>
        </w:r>
        <w:r>
          <w:instrText xml:space="preserve"> PAGEREF _Toc31809 \h </w:instrText>
        </w:r>
        <w:r>
          <w:fldChar w:fldCharType="separate"/>
        </w:r>
        <w:r>
          <w:t>27</w:t>
        </w:r>
        <w:r>
          <w:fldChar w:fldCharType="end"/>
        </w:r>
      </w:hyperlink>
    </w:p>
    <w:p>
      <w:pPr>
        <w:pStyle w:val="TOC2"/>
        <w:tabs>
          <w:tab w:val="right" w:leader="dot" w:pos="8306"/>
        </w:tabs>
      </w:pPr>
      <w:hyperlink w:anchor="_Toc11487" w:history="1">
        <w:r>
          <w:rPr>
            <w:rFonts w:ascii="宋体" w:eastAsia="宋体" w:hAnsi="宋体" w:cs="宋体" w:hint="eastAsia"/>
            <w:bCs w:val="0"/>
            <w:szCs w:val="28"/>
            <w:lang w:eastAsia="zh-CN"/>
          </w:rPr>
          <w:t>(一)、硼酸盐行业数字化发展方案</w:t>
        </w:r>
        <w:r>
          <w:tab/>
        </w:r>
        <w:r>
          <w:fldChar w:fldCharType="begin"/>
        </w:r>
        <w:r>
          <w:instrText xml:space="preserve"> PAGEREF _Toc11487 \h </w:instrText>
        </w:r>
        <w:r>
          <w:fldChar w:fldCharType="separate"/>
        </w:r>
        <w:r>
          <w:t>27</w:t>
        </w:r>
        <w:r>
          <w:fldChar w:fldCharType="end"/>
        </w:r>
      </w:hyperlink>
    </w:p>
    <w:p>
      <w:pPr>
        <w:pStyle w:val="TOC2"/>
        <w:tabs>
          <w:tab w:val="right" w:leader="dot" w:pos="8306"/>
        </w:tabs>
      </w:pPr>
      <w:hyperlink w:anchor="_Toc3764" w:history="1">
        <w:r>
          <w:rPr>
            <w:rFonts w:ascii="宋体" w:eastAsia="宋体" w:hAnsi="宋体" w:cs="宋体" w:hint="eastAsia"/>
            <w:bCs w:val="0"/>
            <w:szCs w:val="28"/>
            <w:lang w:eastAsia="zh-CN"/>
          </w:rPr>
          <w:t>(二)、硼酸盐行业新型运营方式</w:t>
        </w:r>
        <w:r>
          <w:tab/>
        </w:r>
        <w:r>
          <w:fldChar w:fldCharType="begin"/>
        </w:r>
        <w:r>
          <w:instrText xml:space="preserve"> PAGEREF _Toc3764 \h </w:instrText>
        </w:r>
        <w:r>
          <w:fldChar w:fldCharType="separate"/>
        </w:r>
        <w:r>
          <w:t>30</w:t>
        </w:r>
        <w:r>
          <w:fldChar w:fldCharType="end"/>
        </w:r>
      </w:hyperlink>
    </w:p>
    <w:p>
      <w:pPr>
        <w:pStyle w:val="TOC2"/>
        <w:tabs>
          <w:tab w:val="right" w:leader="dot" w:pos="8306"/>
        </w:tabs>
      </w:pPr>
      <w:hyperlink w:anchor="_Toc19348" w:history="1">
        <w:r>
          <w:rPr>
            <w:rFonts w:ascii="宋体" w:eastAsia="宋体" w:hAnsi="宋体" w:cs="宋体" w:hint="eastAsia"/>
            <w:bCs w:val="0"/>
            <w:szCs w:val="28"/>
            <w:lang w:eastAsia="zh-CN"/>
          </w:rPr>
          <w:t>(三)、硼酸盐行业风险管理</w:t>
        </w:r>
        <w:r>
          <w:tab/>
        </w:r>
        <w:r>
          <w:fldChar w:fldCharType="begin"/>
        </w:r>
        <w:r>
          <w:instrText xml:space="preserve"> PAGEREF _Toc19348 \h </w:instrText>
        </w:r>
        <w:r>
          <w:fldChar w:fldCharType="separate"/>
        </w:r>
        <w:r>
          <w:t>33</w:t>
        </w:r>
        <w:r>
          <w:fldChar w:fldCharType="end"/>
        </w:r>
      </w:hyperlink>
    </w:p>
    <w:p>
      <w:pPr>
        <w:pStyle w:val="TOC1"/>
        <w:tabs>
          <w:tab w:val="right" w:leader="dot" w:pos="8306"/>
        </w:tabs>
      </w:pPr>
      <w:hyperlink w:anchor="_Toc30090" w:history="1">
        <w:r>
          <w:rPr>
            <w:rFonts w:ascii="微软雅黑" w:eastAsia="微软雅黑" w:hAnsi="微软雅黑" w:cs="微软雅黑" w:hint="eastAsia"/>
            <w:color w:val="001CAC" w:themeColor="hyperlink" w:themeShade="BF"/>
            <w:szCs w:val="32"/>
            <w:lang w:eastAsia="zh-CN"/>
          </w:rPr>
          <w:t>七、硼酸盐行业人才招聘与发展</w:t>
        </w:r>
        <w:r>
          <w:tab/>
        </w:r>
        <w:r>
          <w:fldChar w:fldCharType="begin"/>
        </w:r>
        <w:r>
          <w:instrText xml:space="preserve"> PAGEREF _Toc30090 \h </w:instrText>
        </w:r>
        <w:r>
          <w:fldChar w:fldCharType="separate"/>
        </w:r>
        <w:r>
          <w:t>37</w:t>
        </w:r>
        <w:r>
          <w:fldChar w:fldCharType="end"/>
        </w:r>
      </w:hyperlink>
    </w:p>
    <w:p>
      <w:pPr>
        <w:pStyle w:val="TOC2"/>
        <w:tabs>
          <w:tab w:val="right" w:leader="dot" w:pos="8306"/>
        </w:tabs>
      </w:pPr>
      <w:hyperlink w:anchor="_Toc32471" w:history="1">
        <w:r>
          <w:rPr>
            <w:rFonts w:ascii="宋体" w:eastAsia="宋体" w:hAnsi="宋体" w:cs="宋体" w:hint="eastAsia"/>
            <w:bCs w:val="0"/>
            <w:szCs w:val="28"/>
            <w:lang w:eastAsia="zh-CN"/>
          </w:rPr>
          <w:t>(一)、人才需求分析</w:t>
        </w:r>
        <w:r>
          <w:tab/>
        </w:r>
        <w:r>
          <w:fldChar w:fldCharType="begin"/>
        </w:r>
        <w:r>
          <w:instrText xml:space="preserve"> PAGEREF _Toc32471 \h </w:instrText>
        </w:r>
        <w:r>
          <w:fldChar w:fldCharType="separate"/>
        </w:r>
        <w:r>
          <w:t>37</w:t>
        </w:r>
        <w:r>
          <w:fldChar w:fldCharType="end"/>
        </w:r>
      </w:hyperlink>
    </w:p>
    <w:p>
      <w:pPr>
        <w:pStyle w:val="TOC2"/>
        <w:tabs>
          <w:tab w:val="right" w:leader="dot" w:pos="8306"/>
        </w:tabs>
      </w:pPr>
      <w:hyperlink w:anchor="_Toc4753" w:history="1">
        <w:r>
          <w:rPr>
            <w:rFonts w:ascii="宋体" w:eastAsia="宋体" w:hAnsi="宋体" w:cs="宋体" w:hint="eastAsia"/>
            <w:bCs w:val="0"/>
            <w:szCs w:val="28"/>
            <w:lang w:eastAsia="zh-CN"/>
          </w:rPr>
          <w:t>(二)、招聘计划与流程</w:t>
        </w:r>
        <w:r>
          <w:tab/>
        </w:r>
        <w:r>
          <w:fldChar w:fldCharType="begin"/>
        </w:r>
        <w:r>
          <w:instrText xml:space="preserve"> PAGEREF _Toc4753 \h </w:instrText>
        </w:r>
        <w:r>
          <w:fldChar w:fldCharType="separate"/>
        </w:r>
        <w:r>
          <w:t>39</w:t>
        </w:r>
        <w:r>
          <w:fldChar w:fldCharType="end"/>
        </w:r>
      </w:hyperlink>
    </w:p>
    <w:p>
      <w:pPr>
        <w:pStyle w:val="TOC2"/>
        <w:tabs>
          <w:tab w:val="right" w:leader="dot" w:pos="8306"/>
        </w:tabs>
      </w:pPr>
      <w:hyperlink w:anchor="_Toc14577" w:history="1">
        <w:r>
          <w:rPr>
            <w:rFonts w:ascii="宋体" w:eastAsia="宋体" w:hAnsi="宋体" w:cs="宋体" w:hint="eastAsia"/>
            <w:bCs w:val="0"/>
            <w:szCs w:val="28"/>
            <w:lang w:eastAsia="zh-CN"/>
          </w:rPr>
          <w:t>(三)、员工培训与发展</w:t>
        </w:r>
        <w:r>
          <w:tab/>
        </w:r>
        <w:r>
          <w:fldChar w:fldCharType="begin"/>
        </w:r>
        <w:r>
          <w:instrText xml:space="preserve"> PAGEREF _Toc14577 \h </w:instrText>
        </w:r>
        <w:r>
          <w:fldChar w:fldCharType="separate"/>
        </w:r>
        <w:r>
          <w:t>41</w:t>
        </w:r>
        <w:r>
          <w:fldChar w:fldCharType="end"/>
        </w:r>
      </w:hyperlink>
    </w:p>
    <w:p>
      <w:pPr>
        <w:pStyle w:val="TOC2"/>
        <w:tabs>
          <w:tab w:val="right" w:leader="dot" w:pos="8306"/>
        </w:tabs>
      </w:pPr>
      <w:hyperlink w:anchor="_Toc4060" w:history="1">
        <w:r>
          <w:rPr>
            <w:rFonts w:ascii="宋体" w:eastAsia="宋体" w:hAnsi="宋体" w:cs="宋体" w:hint="eastAsia"/>
            <w:bCs w:val="0"/>
            <w:szCs w:val="28"/>
            <w:lang w:eastAsia="zh-CN"/>
          </w:rPr>
          <w:t>(四)、绩效考核与激励</w:t>
        </w:r>
        <w:r>
          <w:tab/>
        </w:r>
        <w:r>
          <w:fldChar w:fldCharType="begin"/>
        </w:r>
        <w:r>
          <w:instrText xml:space="preserve"> PAGEREF _Toc4060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21" w:history="1">
        <w:r>
          <w:rPr>
            <w:rFonts w:ascii="宋体" w:eastAsia="宋体" w:hAnsi="宋体" w:cs="宋体" w:hint="eastAsia"/>
            <w:bCs w:val="0"/>
            <w:szCs w:val="28"/>
            <w:lang w:eastAsia="zh-CN"/>
          </w:rPr>
          <w:t>(五)、人才流动与留存</w:t>
        </w:r>
        <w:r>
          <w:tab/>
        </w:r>
        <w:r>
          <w:fldChar w:fldCharType="begin"/>
        </w:r>
        <w:r>
          <w:instrText xml:space="preserve"> PAGEREF _Toc8421 \h </w:instrText>
        </w:r>
        <w:r>
          <w:fldChar w:fldCharType="separate"/>
        </w:r>
        <w:r>
          <w:t>43</w:t>
        </w:r>
        <w:r>
          <w:fldChar w:fldCharType="end"/>
        </w:r>
      </w:hyperlink>
    </w:p>
    <w:p>
      <w:pPr>
        <w:pStyle w:val="TOC1"/>
        <w:tabs>
          <w:tab w:val="right" w:leader="dot" w:pos="8306"/>
        </w:tabs>
      </w:pPr>
      <w:hyperlink w:anchor="_Toc4249" w:history="1">
        <w:r>
          <w:rPr>
            <w:rFonts w:ascii="微软雅黑" w:eastAsia="微软雅黑" w:hAnsi="微软雅黑" w:cs="微软雅黑" w:hint="eastAsia"/>
            <w:color w:val="001CAC" w:themeColor="hyperlink" w:themeShade="BF"/>
            <w:szCs w:val="32"/>
            <w:lang w:eastAsia="zh-CN"/>
          </w:rPr>
          <w:t>八、项目背景与概况</w:t>
        </w:r>
        <w:r>
          <w:tab/>
        </w:r>
        <w:r>
          <w:fldChar w:fldCharType="begin"/>
        </w:r>
        <w:r>
          <w:instrText xml:space="preserve"> PAGEREF _Toc4249 \h </w:instrText>
        </w:r>
        <w:r>
          <w:fldChar w:fldCharType="separate"/>
        </w:r>
        <w:r>
          <w:t>44</w:t>
        </w:r>
        <w:r>
          <w:fldChar w:fldCharType="end"/>
        </w:r>
      </w:hyperlink>
    </w:p>
    <w:p>
      <w:pPr>
        <w:pStyle w:val="TOC2"/>
        <w:tabs>
          <w:tab w:val="right" w:leader="dot" w:pos="8306"/>
        </w:tabs>
      </w:pPr>
      <w:hyperlink w:anchor="_Toc27779" w:history="1">
        <w:r>
          <w:rPr>
            <w:rFonts w:ascii="宋体" w:eastAsia="宋体" w:hAnsi="宋体" w:cs="宋体" w:hint="eastAsia"/>
            <w:bCs w:val="0"/>
            <w:szCs w:val="28"/>
            <w:lang w:eastAsia="zh-CN"/>
          </w:rPr>
          <w:t>(一)、项目背景介绍</w:t>
        </w:r>
        <w:r>
          <w:tab/>
        </w:r>
        <w:r>
          <w:fldChar w:fldCharType="begin"/>
        </w:r>
        <w:r>
          <w:instrText xml:space="preserve"> PAGEREF _Toc27779 \h </w:instrText>
        </w:r>
        <w:r>
          <w:fldChar w:fldCharType="separate"/>
        </w:r>
        <w:r>
          <w:t>44</w:t>
        </w:r>
        <w:r>
          <w:fldChar w:fldCharType="end"/>
        </w:r>
      </w:hyperlink>
    </w:p>
    <w:p>
      <w:pPr>
        <w:pStyle w:val="TOC2"/>
        <w:tabs>
          <w:tab w:val="right" w:leader="dot" w:pos="8306"/>
        </w:tabs>
      </w:pPr>
      <w:hyperlink w:anchor="_Toc23907" w:history="1">
        <w:r>
          <w:rPr>
            <w:rFonts w:ascii="宋体" w:eastAsia="宋体" w:hAnsi="宋体" w:cs="宋体" w:hint="eastAsia"/>
            <w:bCs w:val="0"/>
            <w:szCs w:val="28"/>
            <w:lang w:eastAsia="zh-CN"/>
          </w:rPr>
          <w:t>(二)、项目概况与目标</w:t>
        </w:r>
        <w:r>
          <w:tab/>
        </w:r>
        <w:r>
          <w:fldChar w:fldCharType="begin"/>
        </w:r>
        <w:r>
          <w:instrText xml:space="preserve"> PAGEREF _Toc23907 \h </w:instrText>
        </w:r>
        <w:r>
          <w:fldChar w:fldCharType="separate"/>
        </w:r>
        <w:r>
          <w:t>45</w:t>
        </w:r>
        <w:r>
          <w:fldChar w:fldCharType="end"/>
        </w:r>
      </w:hyperlink>
    </w:p>
    <w:p>
      <w:pPr>
        <w:pStyle w:val="TOC2"/>
        <w:tabs>
          <w:tab w:val="right" w:leader="dot" w:pos="8306"/>
        </w:tabs>
      </w:pPr>
      <w:hyperlink w:anchor="_Toc11222" w:history="1">
        <w:r>
          <w:rPr>
            <w:rFonts w:ascii="宋体" w:eastAsia="宋体" w:hAnsi="宋体" w:cs="宋体" w:hint="eastAsia"/>
            <w:bCs w:val="0"/>
            <w:szCs w:val="28"/>
            <w:lang w:eastAsia="zh-CN"/>
          </w:rPr>
          <w:t>(三)、硼酸盐行业及市场分析</w:t>
        </w:r>
        <w:r>
          <w:tab/>
        </w:r>
        <w:r>
          <w:fldChar w:fldCharType="begin"/>
        </w:r>
        <w:r>
          <w:instrText xml:space="preserve"> PAGEREF _Toc11222 \h </w:instrText>
        </w:r>
        <w:r>
          <w:fldChar w:fldCharType="separate"/>
        </w:r>
        <w:r>
          <w:t>45</w:t>
        </w:r>
        <w:r>
          <w:fldChar w:fldCharType="end"/>
        </w:r>
      </w:hyperlink>
    </w:p>
    <w:p>
      <w:pPr>
        <w:pStyle w:val="TOC1"/>
        <w:tabs>
          <w:tab w:val="right" w:leader="dot" w:pos="8306"/>
        </w:tabs>
      </w:pPr>
      <w:hyperlink w:anchor="_Toc4213" w:history="1">
        <w:r>
          <w:rPr>
            <w:rFonts w:ascii="微软雅黑" w:eastAsia="微软雅黑" w:hAnsi="微软雅黑" w:cs="微软雅黑" w:hint="eastAsia"/>
            <w:color w:val="001CAC" w:themeColor="hyperlink" w:themeShade="BF"/>
            <w:szCs w:val="32"/>
            <w:lang w:eastAsia="zh-CN"/>
          </w:rPr>
          <w:t>九、市场营销与推广策略</w:t>
        </w:r>
        <w:r>
          <w:tab/>
        </w:r>
        <w:r>
          <w:fldChar w:fldCharType="begin"/>
        </w:r>
        <w:r>
          <w:instrText xml:space="preserve"> PAGEREF _Toc4213 \h </w:instrText>
        </w:r>
        <w:r>
          <w:fldChar w:fldCharType="separate"/>
        </w:r>
        <w:r>
          <w:t>46</w:t>
        </w:r>
        <w:r>
          <w:fldChar w:fldCharType="end"/>
        </w:r>
      </w:hyperlink>
    </w:p>
    <w:p>
      <w:pPr>
        <w:pStyle w:val="TOC2"/>
        <w:tabs>
          <w:tab w:val="right" w:leader="dot" w:pos="8306"/>
        </w:tabs>
      </w:pPr>
      <w:hyperlink w:anchor="_Toc6434" w:history="1">
        <w:r>
          <w:rPr>
            <w:rFonts w:ascii="宋体" w:eastAsia="宋体" w:hAnsi="宋体" w:cs="宋体" w:hint="eastAsia"/>
            <w:bCs w:val="0"/>
            <w:szCs w:val="28"/>
            <w:lang w:eastAsia="zh-CN"/>
          </w:rPr>
          <w:t>(一)、目标市场分析</w:t>
        </w:r>
        <w:r>
          <w:tab/>
        </w:r>
        <w:r>
          <w:fldChar w:fldCharType="begin"/>
        </w:r>
        <w:r>
          <w:instrText xml:space="preserve"> PAGEREF _Toc6434 \h </w:instrText>
        </w:r>
        <w:r>
          <w:fldChar w:fldCharType="separate"/>
        </w:r>
        <w:r>
          <w:t>46</w:t>
        </w:r>
        <w:r>
          <w:fldChar w:fldCharType="end"/>
        </w:r>
      </w:hyperlink>
    </w:p>
    <w:p>
      <w:pPr>
        <w:pStyle w:val="TOC2"/>
        <w:tabs>
          <w:tab w:val="right" w:leader="dot" w:pos="8306"/>
        </w:tabs>
      </w:pPr>
      <w:hyperlink w:anchor="_Toc10281" w:history="1">
        <w:r>
          <w:rPr>
            <w:rFonts w:ascii="宋体" w:eastAsia="宋体" w:hAnsi="宋体" w:cs="宋体" w:hint="eastAsia"/>
            <w:bCs w:val="0"/>
            <w:szCs w:val="28"/>
            <w:lang w:eastAsia="zh-CN"/>
          </w:rPr>
          <w:t>(二)、市场定位与竞争分析</w:t>
        </w:r>
        <w:r>
          <w:tab/>
        </w:r>
        <w:r>
          <w:fldChar w:fldCharType="begin"/>
        </w:r>
        <w:r>
          <w:instrText xml:space="preserve"> PAGEREF _Toc10281 \h </w:instrText>
        </w:r>
        <w:r>
          <w:fldChar w:fldCharType="separate"/>
        </w:r>
        <w:r>
          <w:t>46</w:t>
        </w:r>
        <w:r>
          <w:fldChar w:fldCharType="end"/>
        </w:r>
      </w:hyperlink>
    </w:p>
    <w:p>
      <w:pPr>
        <w:pStyle w:val="TOC2"/>
        <w:tabs>
          <w:tab w:val="right" w:leader="dot" w:pos="8306"/>
        </w:tabs>
      </w:pPr>
      <w:hyperlink w:anchor="_Toc23004" w:history="1">
        <w:r>
          <w:rPr>
            <w:rFonts w:ascii="宋体" w:eastAsia="宋体" w:hAnsi="宋体" w:cs="宋体" w:hint="eastAsia"/>
            <w:bCs w:val="0"/>
            <w:szCs w:val="28"/>
            <w:lang w:eastAsia="zh-CN"/>
          </w:rPr>
          <w:t>(三)、推广与宣传策略</w:t>
        </w:r>
        <w:r>
          <w:tab/>
        </w:r>
        <w:r>
          <w:fldChar w:fldCharType="begin"/>
        </w:r>
        <w:r>
          <w:instrText xml:space="preserve"> PAGEREF _Toc23004 \h </w:instrText>
        </w:r>
        <w:r>
          <w:fldChar w:fldCharType="separate"/>
        </w:r>
        <w:r>
          <w:t>46</w:t>
        </w:r>
        <w:r>
          <w:fldChar w:fldCharType="end"/>
        </w:r>
      </w:hyperlink>
    </w:p>
    <w:p>
      <w:pPr>
        <w:pStyle w:val="TOC1"/>
        <w:tabs>
          <w:tab w:val="right" w:leader="dot" w:pos="8306"/>
        </w:tabs>
      </w:pPr>
      <w:hyperlink w:anchor="_Toc23198" w:history="1">
        <w:r>
          <w:rPr>
            <w:rFonts w:ascii="微软雅黑" w:eastAsia="微软雅黑" w:hAnsi="微软雅黑" w:cs="微软雅黑" w:hint="eastAsia"/>
            <w:color w:val="001CAC" w:themeColor="hyperlink" w:themeShade="BF"/>
            <w:szCs w:val="32"/>
            <w:lang w:eastAsia="zh-CN"/>
          </w:rPr>
          <w:t>十、硼酸盐行业质量管理方案</w:t>
        </w:r>
        <w:r>
          <w:tab/>
        </w:r>
        <w:r>
          <w:fldChar w:fldCharType="begin"/>
        </w:r>
        <w:r>
          <w:instrText xml:space="preserve"> PAGEREF _Toc23198 \h </w:instrText>
        </w:r>
        <w:r>
          <w:fldChar w:fldCharType="separate"/>
        </w:r>
        <w:r>
          <w:t>47</w:t>
        </w:r>
        <w:r>
          <w:fldChar w:fldCharType="end"/>
        </w:r>
      </w:hyperlink>
    </w:p>
    <w:p>
      <w:pPr>
        <w:pStyle w:val="TOC2"/>
        <w:tabs>
          <w:tab w:val="right" w:leader="dot" w:pos="8306"/>
        </w:tabs>
      </w:pPr>
      <w:hyperlink w:anchor="_Toc16437" w:history="1">
        <w:r>
          <w:rPr>
            <w:rFonts w:ascii="宋体" w:eastAsia="宋体" w:hAnsi="宋体" w:cs="宋体" w:hint="eastAsia"/>
            <w:bCs w:val="0"/>
            <w:szCs w:val="28"/>
            <w:lang w:eastAsia="zh-CN"/>
          </w:rPr>
          <w:t>(一)、硼酸盐行业质量管理要求</w:t>
        </w:r>
        <w:r>
          <w:tab/>
        </w:r>
        <w:r>
          <w:fldChar w:fldCharType="begin"/>
        </w:r>
        <w:r>
          <w:instrText xml:space="preserve"> PAGEREF _Toc16437 \h </w:instrText>
        </w:r>
        <w:r>
          <w:fldChar w:fldCharType="separate"/>
        </w:r>
        <w:r>
          <w:t>47</w:t>
        </w:r>
        <w:r>
          <w:fldChar w:fldCharType="end"/>
        </w:r>
      </w:hyperlink>
    </w:p>
    <w:p>
      <w:pPr>
        <w:pStyle w:val="TOC2"/>
        <w:tabs>
          <w:tab w:val="right" w:leader="dot" w:pos="8306"/>
        </w:tabs>
      </w:pPr>
      <w:hyperlink w:anchor="_Toc7049" w:history="1">
        <w:r>
          <w:rPr>
            <w:rFonts w:ascii="宋体" w:eastAsia="宋体" w:hAnsi="宋体" w:cs="宋体" w:hint="eastAsia"/>
            <w:bCs w:val="0"/>
            <w:szCs w:val="28"/>
            <w:lang w:eastAsia="zh-CN"/>
          </w:rPr>
          <w:t>(二)、硼酸盐行业服务质量管理方案</w:t>
        </w:r>
        <w:r>
          <w:tab/>
        </w:r>
        <w:r>
          <w:fldChar w:fldCharType="begin"/>
        </w:r>
        <w:r>
          <w:instrText xml:space="preserve"> PAGEREF _Toc7049 \h </w:instrText>
        </w:r>
        <w:r>
          <w:fldChar w:fldCharType="separate"/>
        </w:r>
        <w:r>
          <w:t>48</w:t>
        </w:r>
        <w:r>
          <w:fldChar w:fldCharType="end"/>
        </w:r>
      </w:hyperlink>
    </w:p>
    <w:p>
      <w:pPr>
        <w:pStyle w:val="TOC2"/>
        <w:tabs>
          <w:tab w:val="right" w:leader="dot" w:pos="8306"/>
        </w:tabs>
      </w:pPr>
      <w:hyperlink w:anchor="_Toc23092" w:history="1">
        <w:r>
          <w:rPr>
            <w:rFonts w:ascii="宋体" w:eastAsia="宋体" w:hAnsi="宋体" w:cs="宋体" w:hint="eastAsia"/>
            <w:bCs w:val="0"/>
            <w:szCs w:val="28"/>
            <w:lang w:eastAsia="zh-CN"/>
          </w:rPr>
          <w:t>(三)、硼酸盐行业质量成本管理方案</w:t>
        </w:r>
        <w:r>
          <w:tab/>
        </w:r>
        <w:r>
          <w:fldChar w:fldCharType="begin"/>
        </w:r>
        <w:r>
          <w:instrText xml:space="preserve"> PAGEREF _Toc23092 \h </w:instrText>
        </w:r>
        <w:r>
          <w:fldChar w:fldCharType="separate"/>
        </w:r>
        <w:r>
          <w:t>49</w:t>
        </w:r>
        <w:r>
          <w:fldChar w:fldCharType="end"/>
        </w:r>
      </w:hyperlink>
    </w:p>
    <w:p>
      <w:pPr>
        <w:pStyle w:val="TOC1"/>
        <w:tabs>
          <w:tab w:val="right" w:leader="dot" w:pos="8306"/>
        </w:tabs>
      </w:pPr>
      <w:hyperlink w:anchor="_Toc3440" w:history="1">
        <w:r>
          <w:rPr>
            <w:rFonts w:ascii="微软雅黑" w:eastAsia="微软雅黑" w:hAnsi="微软雅黑" w:cs="微软雅黑" w:hint="eastAsia"/>
            <w:color w:val="001CAC" w:themeColor="hyperlink" w:themeShade="BF"/>
            <w:szCs w:val="32"/>
            <w:lang w:eastAsia="zh-CN"/>
          </w:rPr>
          <w:t>十一、制度运行与优化</w:t>
        </w:r>
        <w:r>
          <w:tab/>
        </w:r>
        <w:r>
          <w:fldChar w:fldCharType="begin"/>
        </w:r>
        <w:r>
          <w:instrText xml:space="preserve"> PAGEREF _Toc3440 \h </w:instrText>
        </w:r>
        <w:r>
          <w:fldChar w:fldCharType="separate"/>
        </w:r>
        <w:r>
          <w:t>49</w:t>
        </w:r>
        <w:r>
          <w:fldChar w:fldCharType="end"/>
        </w:r>
      </w:hyperlink>
    </w:p>
    <w:p>
      <w:pPr>
        <w:pStyle w:val="TOC2"/>
        <w:tabs>
          <w:tab w:val="right" w:leader="dot" w:pos="8306"/>
        </w:tabs>
      </w:pPr>
      <w:hyperlink w:anchor="_Toc17013" w:history="1">
        <w:r>
          <w:rPr>
            <w:rFonts w:ascii="宋体" w:eastAsia="宋体" w:hAnsi="宋体" w:cs="宋体" w:hint="eastAsia"/>
            <w:bCs w:val="0"/>
            <w:szCs w:val="28"/>
            <w:lang w:eastAsia="zh-CN"/>
          </w:rPr>
          <w:t>(一)、制度执行与监督</w:t>
        </w:r>
        <w:r>
          <w:tab/>
        </w:r>
        <w:r>
          <w:fldChar w:fldCharType="begin"/>
        </w:r>
        <w:r>
          <w:instrText xml:space="preserve"> PAGEREF _Toc17013 \h </w:instrText>
        </w:r>
        <w:r>
          <w:fldChar w:fldCharType="separate"/>
        </w:r>
        <w:r>
          <w:t>49</w:t>
        </w:r>
        <w:r>
          <w:fldChar w:fldCharType="end"/>
        </w:r>
      </w:hyperlink>
    </w:p>
    <w:p>
      <w:pPr>
        <w:pStyle w:val="TOC2"/>
        <w:tabs>
          <w:tab w:val="right" w:leader="dot" w:pos="8306"/>
        </w:tabs>
      </w:pPr>
      <w:hyperlink w:anchor="_Toc8678" w:history="1">
        <w:r>
          <w:rPr>
            <w:rFonts w:ascii="宋体" w:eastAsia="宋体" w:hAnsi="宋体" w:cs="宋体" w:hint="eastAsia"/>
            <w:bCs w:val="0"/>
            <w:szCs w:val="28"/>
            <w:lang w:eastAsia="zh-CN"/>
          </w:rPr>
          <w:t>(二)、制度优化与更新</w:t>
        </w:r>
        <w:r>
          <w:tab/>
        </w:r>
        <w:r>
          <w:fldChar w:fldCharType="begin"/>
        </w:r>
        <w:r>
          <w:instrText xml:space="preserve"> PAGEREF _Toc8678 \h </w:instrText>
        </w:r>
        <w:r>
          <w:fldChar w:fldCharType="separate"/>
        </w:r>
        <w:r>
          <w:t>50</w:t>
        </w:r>
        <w:r>
          <w:fldChar w:fldCharType="end"/>
        </w:r>
      </w:hyperlink>
    </w:p>
    <w:p>
      <w:pPr>
        <w:pStyle w:val="TOC1"/>
        <w:tabs>
          <w:tab w:val="right" w:leader="dot" w:pos="8306"/>
        </w:tabs>
      </w:pPr>
      <w:hyperlink w:anchor="_Toc2053" w:history="1">
        <w:r>
          <w:rPr>
            <w:rFonts w:ascii="微软雅黑" w:eastAsia="微软雅黑" w:hAnsi="微软雅黑" w:cs="微软雅黑" w:hint="eastAsia"/>
            <w:color w:val="001CAC" w:themeColor="hyperlink" w:themeShade="BF"/>
            <w:szCs w:val="32"/>
            <w:lang w:eastAsia="zh-CN"/>
          </w:rPr>
          <w:t>十二、硼酸盐行业人力资源管理策略</w:t>
        </w:r>
        <w:r>
          <w:tab/>
        </w:r>
        <w:r>
          <w:fldChar w:fldCharType="begin"/>
        </w:r>
        <w:r>
          <w:instrText xml:space="preserve"> PAGEREF _Toc2053 \h </w:instrText>
        </w:r>
        <w:r>
          <w:fldChar w:fldCharType="separate"/>
        </w:r>
        <w:r>
          <w:t>51</w:t>
        </w:r>
        <w:r>
          <w:fldChar w:fldCharType="end"/>
        </w:r>
      </w:hyperlink>
    </w:p>
    <w:p>
      <w:pPr>
        <w:pStyle w:val="TOC2"/>
        <w:tabs>
          <w:tab w:val="right" w:leader="dot" w:pos="8306"/>
        </w:tabs>
      </w:pPr>
      <w:hyperlink w:anchor="_Toc2177" w:history="1">
        <w:r>
          <w:rPr>
            <w:rFonts w:ascii="宋体" w:eastAsia="宋体" w:hAnsi="宋体" w:cs="宋体" w:hint="eastAsia"/>
            <w:bCs w:val="0"/>
            <w:szCs w:val="28"/>
            <w:lang w:eastAsia="zh-CN"/>
          </w:rPr>
          <w:t>(一)、硼酸盐行业人力资源管理原则</w:t>
        </w:r>
        <w:r>
          <w:tab/>
        </w:r>
        <w:r>
          <w:fldChar w:fldCharType="begin"/>
        </w:r>
        <w:r>
          <w:instrText xml:space="preserve"> PAGEREF _Toc2177 \h </w:instrText>
        </w:r>
        <w:r>
          <w:fldChar w:fldCharType="separate"/>
        </w:r>
        <w:r>
          <w:t>51</w:t>
        </w:r>
        <w:r>
          <w:fldChar w:fldCharType="end"/>
        </w:r>
      </w:hyperlink>
    </w:p>
    <w:p>
      <w:pPr>
        <w:pStyle w:val="TOC2"/>
        <w:tabs>
          <w:tab w:val="right" w:leader="dot" w:pos="8306"/>
        </w:tabs>
      </w:pPr>
      <w:hyperlink w:anchor="_Toc28148" w:history="1">
        <w:r>
          <w:rPr>
            <w:rFonts w:ascii="宋体" w:eastAsia="宋体" w:hAnsi="宋体" w:cs="宋体" w:hint="eastAsia"/>
            <w:bCs w:val="0"/>
            <w:szCs w:val="28"/>
            <w:lang w:eastAsia="zh-CN"/>
          </w:rPr>
          <w:t>(二)、硼酸盐行业劳动关系管理</w:t>
        </w:r>
        <w:r>
          <w:tab/>
        </w:r>
        <w:r>
          <w:fldChar w:fldCharType="begin"/>
        </w:r>
        <w:r>
          <w:instrText xml:space="preserve"> PAGEREF _Toc28148 \h </w:instrText>
        </w:r>
        <w:r>
          <w:fldChar w:fldCharType="separate"/>
        </w:r>
        <w:r>
          <w:t>54</w:t>
        </w:r>
        <w:r>
          <w:fldChar w:fldCharType="end"/>
        </w:r>
      </w:hyperlink>
    </w:p>
    <w:p>
      <w:pPr>
        <w:pStyle w:val="TOC2"/>
        <w:tabs>
          <w:tab w:val="right" w:leader="dot" w:pos="8306"/>
        </w:tabs>
      </w:pPr>
      <w:hyperlink w:anchor="_Toc19101" w:history="1">
        <w:r>
          <w:rPr>
            <w:rFonts w:ascii="宋体" w:eastAsia="宋体" w:hAnsi="宋体" w:cs="宋体" w:hint="eastAsia"/>
            <w:bCs w:val="0"/>
            <w:szCs w:val="28"/>
            <w:lang w:eastAsia="zh-CN"/>
          </w:rPr>
          <w:t>(三)、硼酸盐行业人员配置方案</w:t>
        </w:r>
        <w:r>
          <w:tab/>
        </w:r>
        <w:r>
          <w:fldChar w:fldCharType="begin"/>
        </w:r>
        <w:r>
          <w:instrText xml:space="preserve"> PAGEREF _Toc19101 \h </w:instrText>
        </w:r>
        <w:r>
          <w:fldChar w:fldCharType="separate"/>
        </w:r>
        <w:r>
          <w:t>55</w:t>
        </w:r>
        <w:r>
          <w:fldChar w:fldCharType="end"/>
        </w:r>
      </w:hyperlink>
    </w:p>
    <w:p>
      <w:pPr>
        <w:pStyle w:val="TOC2"/>
        <w:tabs>
          <w:tab w:val="right" w:leader="dot" w:pos="8306"/>
        </w:tabs>
      </w:pPr>
      <w:hyperlink w:anchor="_Toc2188" w:history="1">
        <w:r>
          <w:rPr>
            <w:rFonts w:ascii="宋体" w:eastAsia="宋体" w:hAnsi="宋体" w:cs="宋体" w:hint="eastAsia"/>
            <w:bCs w:val="0"/>
            <w:szCs w:val="28"/>
            <w:lang w:eastAsia="zh-CN"/>
          </w:rPr>
          <w:t>(四)、硼酸盐行业员工招聘方案</w:t>
        </w:r>
        <w:r>
          <w:tab/>
        </w:r>
        <w:r>
          <w:fldChar w:fldCharType="begin"/>
        </w:r>
        <w:r>
          <w:instrText xml:space="preserve"> PAGEREF _Toc2188 \h </w:instrText>
        </w:r>
        <w:r>
          <w:fldChar w:fldCharType="separate"/>
        </w:r>
        <w:r>
          <w:t>56</w:t>
        </w:r>
        <w:r>
          <w:fldChar w:fldCharType="end"/>
        </w:r>
      </w:hyperlink>
    </w:p>
    <w:p>
      <w:pPr>
        <w:pStyle w:val="TOC2"/>
        <w:tabs>
          <w:tab w:val="right" w:leader="dot" w:pos="8306"/>
        </w:tabs>
      </w:pPr>
      <w:hyperlink w:anchor="_Toc8752" w:history="1">
        <w:r>
          <w:rPr>
            <w:rFonts w:ascii="宋体" w:eastAsia="宋体" w:hAnsi="宋体" w:cs="宋体" w:hint="eastAsia"/>
            <w:bCs w:val="0"/>
            <w:szCs w:val="28"/>
            <w:lang w:eastAsia="zh-CN"/>
          </w:rPr>
          <w:t>(五)、硼酸盐行业绩效和薪酬管理方案</w:t>
        </w:r>
        <w:r>
          <w:tab/>
        </w:r>
        <w:r>
          <w:fldChar w:fldCharType="begin"/>
        </w:r>
        <w:r>
          <w:instrText xml:space="preserve"> PAGEREF _Toc8752 \h </w:instrText>
        </w:r>
        <w:r>
          <w:fldChar w:fldCharType="separate"/>
        </w:r>
        <w:r>
          <w:t>57</w:t>
        </w:r>
        <w:r>
          <w:fldChar w:fldCharType="end"/>
        </w:r>
      </w:hyperlink>
    </w:p>
    <w:p>
      <w:pPr>
        <w:pStyle w:val="TOC2"/>
        <w:tabs>
          <w:tab w:val="right" w:leader="dot" w:pos="8306"/>
        </w:tabs>
      </w:pPr>
      <w:hyperlink w:anchor="_Toc11613" w:history="1">
        <w:r>
          <w:rPr>
            <w:rFonts w:ascii="宋体" w:eastAsia="宋体" w:hAnsi="宋体" w:cs="宋体" w:hint="eastAsia"/>
            <w:bCs w:val="0"/>
            <w:szCs w:val="28"/>
            <w:lang w:eastAsia="zh-CN"/>
          </w:rPr>
          <w:t>(六)、硼酸盐行业员工福利管理方案</w:t>
        </w:r>
        <w:r>
          <w:tab/>
        </w:r>
        <w:r>
          <w:fldChar w:fldCharType="begin"/>
        </w:r>
        <w:r>
          <w:instrText xml:space="preserve"> PAGEREF _Toc11613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p>
    <w:p>
      <w:pPr>
        <w:pStyle w:val="Heading1"/>
        <w:jc w:val="center"/>
        <w:rPr>
          <w:rFonts w:ascii="微软雅黑" w:eastAsia="微软雅黑" w:hAnsi="微软雅黑" w:cs="微软雅黑" w:hint="eastAsia"/>
          <w:color w:val="2E54A1" w:themeColor="accent1" w:themeShade="BF"/>
          <w:lang w:eastAsia="zh-CN"/>
        </w:rPr>
      </w:pPr>
      <w:bookmarkStart w:id="1" w:name="_Toc32214"/>
      <w:r>
        <w:rPr>
          <w:rFonts w:ascii="微软雅黑" w:eastAsia="微软雅黑" w:hAnsi="微软雅黑" w:cs="微软雅黑" w:hint="eastAsia"/>
          <w:color w:val="2E54A1" w:themeColor="accent1" w:themeShade="BF"/>
          <w:lang w:eastAsia="zh-CN"/>
        </w:rPr>
        <w:t>前言</w:t>
      </w:r>
      <w:bookmarkEnd w:id="1"/>
    </w:p>
    <w:p>
      <w:pPr>
        <w:spacing w:line="480" w:lineRule="auto"/>
        <w:ind w:firstLine="480" w:firstLineChars="200"/>
        <w:rPr>
          <w:rFonts w:ascii="宋体" w:eastAsia="宋体" w:hAnsi="宋体" w:cs="宋体" w:hint="eastAsia"/>
          <w:sz w:val="24"/>
          <w:szCs w:val="22"/>
        </w:rPr>
      </w:pPr>
      <w:r>
        <w:rPr>
          <w:rFonts w:ascii="宋体" w:eastAsia="宋体" w:hAnsi="宋体" w:cs="宋体" w:hint="eastAsia"/>
          <w:sz w:val="24"/>
          <w:szCs w:val="22"/>
          <w:lang w:eastAsia="zh-CN"/>
        </w:rPr>
        <w:t>硼酸盐行业研究报告旨在对硼酸盐行业进行深入分析和研究,为 相关从业人员提供参考依据。报告内容仅供学习交流使用，不可用于商业用途。通过梳理硼酸盐行业发展历程、分析市场潜力和主要竞争对手，探讨行业趋势及未来发展方向，旨在提供启示和建议。</w:t>
      </w:r>
    </w:p>
    <w:p>
      <w:pPr>
        <w:pStyle w:val="Heading1"/>
        <w:spacing w:line="480" w:lineRule="auto"/>
        <w:rPr>
          <w:rFonts w:ascii="微软雅黑" w:eastAsia="微软雅黑" w:hAnsi="微软雅黑" w:cs="微软雅黑" w:hint="eastAsia"/>
          <w:color w:val="2E54A1" w:themeColor="accent1" w:themeShade="BF"/>
          <w:sz w:val="32"/>
          <w:szCs w:val="32"/>
          <w:lang w:eastAsia="zh-CN"/>
        </w:rPr>
      </w:pPr>
      <w:bookmarkStart w:id="2" w:name="_Toc32422"/>
      <w:r>
        <w:rPr>
          <w:rFonts w:ascii="微软雅黑" w:eastAsia="微软雅黑" w:hAnsi="微软雅黑" w:cs="微软雅黑" w:hint="eastAsia"/>
          <w:color w:val="2E54A1" w:themeColor="accent1" w:themeShade="BF"/>
          <w:sz w:val="32"/>
          <w:szCs w:val="32"/>
          <w:lang w:eastAsia="zh-CN"/>
        </w:rPr>
        <w:t>一、项目技术流程</w:t>
      </w:r>
      <w:bookmarkEnd w:id="2"/>
    </w:p>
    <w:p>
      <w:pPr>
        <w:pStyle w:val="Heading2"/>
        <w:spacing w:line="480" w:lineRule="auto"/>
        <w:rPr>
          <w:rFonts w:ascii="宋体" w:eastAsia="宋体" w:hAnsi="宋体" w:cs="宋体" w:hint="eastAsia"/>
          <w:bCs w:val="0"/>
          <w:sz w:val="28"/>
          <w:szCs w:val="28"/>
          <w:lang w:eastAsia="zh-CN"/>
        </w:rPr>
      </w:pPr>
      <w:bookmarkStart w:id="3" w:name="_Toc29116"/>
      <w:r>
        <w:rPr>
          <w:rFonts w:ascii="宋体" w:eastAsia="宋体" w:hAnsi="宋体" w:cs="宋体" w:hint="eastAsia"/>
          <w:b/>
          <w:bCs w:val="0"/>
          <w:sz w:val="28"/>
          <w:szCs w:val="28"/>
          <w:lang w:eastAsia="zh-CN"/>
        </w:rPr>
        <w:t>(一)、技术方案选择</w:t>
      </w:r>
      <w:bookmarkEnd w:id="3"/>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首先，我们对当前硼酸盐行业技术发展趋势进行了全面了解，以及硼酸盐行业内同类项目的最佳实践。这有助于我们把握技术创新的方向，确保选择的技术方案能够紧跟硼酸盐行业前沿。</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技术方案的选择中，我们着眼于多个关键因素，包括但不限于项目的规模、预算、可行性，以及未来的可持续性。我们确保所选技术方案能够在项目实施的整个生命周期内都具备高效、可靠和经济的特性。这意味着我们不仅考虑当前的需求，还关注未来的扩展和升级可能性，以确保项目的可持续性发展。</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与此同时，我们密切关注与技术方案相关的风险，制定相应的风险管理策略。技术方案的选择不仅需要符合项目的要求，还要能够应对潜在的技术挑战和不确定性，确保项目的成功实施和运营。</w:t>
      </w:r>
    </w:p>
    <w:p>
      <w:pPr>
        <w:spacing w:line="480" w:lineRule="auto"/>
        <w:ind w:firstLine="420" w:firstLineChars="0"/>
        <w:rPr>
          <w:rFonts w:ascii="宋体" w:eastAsia="宋体" w:hAnsi="宋体" w:cs="宋体" w:hint="eastAsia"/>
          <w:sz w:val="24"/>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宋体" w:eastAsia="宋体" w:hAnsi="宋体" w:cs="宋体" w:hint="eastAsia"/>
          <w:sz w:val="24"/>
          <w:szCs w:val="24"/>
          <w:lang w:eastAsia="zh-CN"/>
        </w:rPr>
        <w:t>通过这一系统化的方法,我们将确保硼酸盐行业项目的技术方案选择既符合当前的需求，又具备未来的发展潜力，为项目的成功实施和长期发展翼定了坚实的技术基础。</w:t>
      </w:r>
    </w:p>
    <w:p>
      <w:pPr>
        <w:pStyle w:val="Heading2"/>
        <w:spacing w:line="480" w:lineRule="auto"/>
        <w:rPr>
          <w:rFonts w:ascii="宋体" w:eastAsia="宋体" w:hAnsi="宋体" w:cs="宋体" w:hint="eastAsia"/>
          <w:bCs w:val="0"/>
          <w:sz w:val="28"/>
          <w:szCs w:val="28"/>
          <w:lang w:eastAsia="zh-CN"/>
        </w:rPr>
      </w:pPr>
      <w:bookmarkStart w:id="4" w:name="_Toc17811"/>
      <w:r>
        <w:rPr>
          <w:rFonts w:ascii="宋体" w:eastAsia="宋体" w:hAnsi="宋体" w:cs="宋体" w:hint="eastAsia"/>
          <w:b/>
          <w:bCs w:val="0"/>
          <w:sz w:val="28"/>
          <w:szCs w:val="28"/>
          <w:lang w:eastAsia="zh-CN"/>
        </w:rPr>
        <w:t>(二)、设备选型方案</w:t>
      </w:r>
      <w:bookmarkEnd w:id="4"/>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确定硼酸盐行业项目的设备选型方案时,我们通过全面的技术评估和比较，考虑了多个因素，确保所选设备能够最大程度地满足项目的需求。首先，我们详细分析了项目的特殊要求和技术规范，明确了每种设备应具备的基本功能和性能标准,为选型提供了明确的指导方向。这确保了选定的设备能够精准地满足项目的技术要求,为整个项目提供了可靠的技术支持。</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其次，我们进行了市场调研，对当前市场上的设备进行比较和评估。我们注重选取具有先进技术、高质量、稳定性好的设备，并综合考虑了供应商的信誉度和售后服务。这综合性的考量确保了我们所选择的设备在性能上卓越，且在实际运营中能够保持稳定可靠，为项目的长期成功运营翼定了基础。</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在设备选型方案中，我们还考虑了设备的可维护性和可升级性。选择易于维护的设备有助于降低后期维护成本，延长设备使用寿命。同时，我们也评估了设备的可升级性，以适应未来可能的技术更新和项目扩展需求。这保障了项目在未来技术发展和业务扩张方面有足够的灵活性。</w:t>
      </w:r>
    </w:p>
    <w:p>
      <w:pPr>
        <w:spacing w:line="480" w:lineRule="auto"/>
        <w:ind w:firstLine="420" w:firstLineChars="0"/>
        <w:rPr>
          <w:rFonts w:ascii="宋体" w:eastAsia="宋体" w:hAnsi="宋体" w:cs="宋体" w:hint="eastAsia"/>
          <w:sz w:val="24"/>
        </w:rPr>
      </w:pPr>
      <w:r>
        <w:rPr>
          <w:rFonts w:ascii="宋体" w:eastAsia="宋体" w:hAnsi="宋体" w:cs="宋体" w:hint="eastAsia"/>
          <w:sz w:val="24"/>
          <w:szCs w:val="24"/>
          <w:lang w:eastAsia="zh-CN"/>
        </w:rPr>
        <w:t>最后，我们关注了设备选型所涉及的成本因素，通过合理平衡设备性能和成本，确保所选设备在满足项目需求的同时，也符合项目的预算限制。这种综合性的设备选型方案将为硼酸盐行业项目提供高效、可靠、经济的技术支持，为项目的成功实施翼定坚实基础。</w:t>
      </w:r>
    </w:p>
    <w:p>
      <w:pPr>
        <w:pStyle w:val="Heading2"/>
        <w:spacing w:line="480" w:lineRule="auto"/>
        <w:rPr>
          <w:rFonts w:ascii="宋体" w:eastAsia="宋体" w:hAnsi="宋体" w:cs="宋体" w:hint="eastAsia"/>
          <w:bCs w:val="0"/>
          <w:sz w:val="28"/>
          <w:szCs w:val="28"/>
          <w:lang w:eastAsia="zh-CN"/>
        </w:rPr>
      </w:pPr>
      <w:bookmarkStart w:id="5" w:name="_Toc22964"/>
      <w:r>
        <w:rPr>
          <w:rFonts w:ascii="宋体" w:eastAsia="宋体" w:hAnsi="宋体" w:cs="宋体" w:hint="eastAsia"/>
          <w:b/>
          <w:bCs w:val="0"/>
          <w:sz w:val="28"/>
          <w:szCs w:val="28"/>
          <w:lang w:eastAsia="zh-CN"/>
        </w:rPr>
        <w:t>(三)、技术流程与工艺设计</w:t>
      </w:r>
      <w:bookmarkEnd w:id="5"/>
    </w:p>
    <w:p>
      <w:pPr>
        <w:spacing w:line="480" w:lineRule="auto"/>
        <w:ind w:firstLine="420" w:firstLineChars="0"/>
        <w:rPr>
          <w:rFonts w:ascii="宋体" w:eastAsia="宋体" w:hAnsi="宋体" w:cs="宋体" w:hint="eastAsia"/>
          <w:sz w:val="24"/>
        </w:rPr>
      </w:pPr>
      <w:r>
        <w:rPr>
          <w:rFonts w:ascii="宋体" w:eastAsia="宋体" w:hAnsi="宋体" w:cs="宋体" w:hint="eastAsia"/>
          <w:sz w:val="24"/>
        </w:rPr>
        <w:br/>
      </w:r>
      <w:r>
        <w:rPr>
          <w:rFonts w:ascii="宋体" w:eastAsia="宋体" w:hAnsi="宋体" w:cs="宋体" w:hint="eastAsia"/>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https://d.book118.com/018046041012006031</w:t>
        </w:r>
      </w:hyperlink>
    </w:p>
    <w:p>
      <w:pPr>
        <w:spacing w:line="480" w:lineRule="auto"/>
        <w:ind w:firstLine="420" w:firstLineChars="0"/>
        <w:rPr>
          <w:rFonts w:ascii="宋体" w:eastAsia="宋体" w:hAnsi="宋体" w:cs="宋体" w:hint="eastAsia"/>
          <w:sz w:val="24"/>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0"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2775B3"/>
    <w:rsid w:val="02623C3C"/>
    <w:rsid w:val="03734037"/>
    <w:rsid w:val="13614867"/>
    <w:rsid w:val="17D55258"/>
    <w:rsid w:val="3DAC44EE"/>
    <w:rsid w:val="453746B4"/>
    <w:rsid w:val="482775B3"/>
    <w:rsid w:val="49C53810"/>
    <w:rsid w:val="4E155AC7"/>
    <w:rsid w:val="50930768"/>
    <w:rsid w:val="62A91464"/>
    <w:rsid w:val="692E1C42"/>
  </w:rsids>
  <w:docVars>
    <w:docVar w:name="commondata" w:val="eyJoZGlkIjoiYjEzZTI3MzIxYzUxM2E3Y2YyMDVhZDRkMWU5YjEx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qFormat="1"/>
    <w:lsdException w:name="toc 2" w:semiHidden="0" w:uiPriority="0" w:unhideWhenUsed="0" w:qFormat="1"/>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autoRedefine/>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autoRedefine/>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autoRedefine/>
    <w:qFormat/>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autoRedefine/>
    <w:qFormat/>
  </w:style>
  <w:style w:type="paragraph" w:styleId="TOC2">
    <w:name w:val="toc 2"/>
    <w:basedOn w:val="Normal"/>
    <w:next w:val="Normal"/>
    <w:autoRedefine/>
    <w:qFormat/>
    <w:pPr>
      <w:ind w:left="420" w:leftChars="200"/>
    </w:pPr>
  </w:style>
  <w:style w:type="character" w:styleId="PageNumber">
    <w:name w:val="page number"/>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18046041012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小海豹</cp:lastModifiedBy>
  <cp:revision>1</cp:revision>
  <dcterms:created xsi:type="dcterms:W3CDTF">2023-12-10T12:06:00Z</dcterms:created>
  <dcterms:modified xsi:type="dcterms:W3CDTF">2024-01-17T07:03:17Z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1E39AA5D4B7F4B19B7D16FD992F8235D_13</vt:lpwstr>
  </property>
  <property fmtid="{D5CDD505-2E9C-101B-9397-08002B2CF9AE}" pid="3" name="KSOProductBuildVer">
    <vt:lpwstr>2052-12.1.0.16120</vt:lpwstr>
  </property>
</Properties>
</file>