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360" w:lineRule="auto"/>
        <w:rPr>
          <w:rFonts w:ascii="黑体" w:eastAsia="黑体" w:hAnsi="黑体"/>
          <w:sz w:val="32"/>
          <w:szCs w:val="32"/>
        </w:rPr>
      </w:pPr>
      <w:bookmarkStart w:id="0" w:name="_GoBack"/>
      <w:bookmarkEnd w:id="0"/>
      <w:r>
        <w:rPr>
          <w:rFonts w:ascii="黑体" w:eastAsia="黑体" w:hAnsi="黑体" w:hint="eastAsia"/>
          <w:sz w:val="32"/>
          <w:szCs w:val="32"/>
        </w:rPr>
        <w:t>附件</w:t>
      </w:r>
    </w:p>
    <w:p>
      <w:pPr>
        <w:adjustRightInd w:val="0"/>
        <w:snapToGrid w:val="0"/>
        <w:spacing w:line="620" w:lineRule="exact"/>
        <w:jc w:val="center"/>
        <w:rPr>
          <w:rFonts w:ascii="小标宋" w:eastAsia="小标宋" w:hAnsiTheme="majorEastAsia"/>
          <w:sz w:val="44"/>
          <w:szCs w:val="44"/>
        </w:rPr>
      </w:pPr>
      <w:r>
        <w:rPr>
          <w:rFonts w:ascii="小标宋" w:eastAsia="小标宋" w:hAnsiTheme="majorEastAsia" w:hint="eastAsia"/>
          <w:sz w:val="44"/>
          <w:szCs w:val="44"/>
        </w:rPr>
        <w:t>药事管理医疗</w:t>
      </w:r>
      <w:r>
        <w:rPr>
          <w:rFonts w:ascii="小标宋" w:eastAsia="小标宋" w:hAnsi="Calibri" w:cs="Times New Roman" w:hint="eastAsia"/>
          <w:sz w:val="44"/>
          <w:szCs w:val="44"/>
        </w:rPr>
        <w:t>质量控制指标</w:t>
      </w:r>
    </w:p>
    <w:p>
      <w:pPr>
        <w:adjustRightInd w:val="0"/>
        <w:snapToGrid w:val="0"/>
        <w:spacing w:line="620" w:lineRule="exact"/>
        <w:jc w:val="center"/>
        <w:rPr>
          <w:rFonts w:ascii="小标宋" w:eastAsia="小标宋" w:hAnsiTheme="majorEastAsia"/>
          <w:sz w:val="44"/>
          <w:szCs w:val="44"/>
        </w:rPr>
      </w:pPr>
      <w:r>
        <w:rPr>
          <w:rFonts w:ascii="小标宋" w:eastAsia="小标宋" w:hAnsiTheme="majorEastAsia" w:hint="eastAsia"/>
          <w:sz w:val="44"/>
          <w:szCs w:val="44"/>
        </w:rPr>
        <w:t>（2019年版）</w:t>
      </w:r>
    </w:p>
    <w:p>
      <w:pPr>
        <w:adjustRightInd w:val="0"/>
        <w:snapToGrid w:val="0"/>
        <w:spacing w:line="360" w:lineRule="auto"/>
        <w:jc w:val="center"/>
        <w:rPr>
          <w:rFonts w:ascii="Times New Roman" w:hAnsi="Times New Roman"/>
          <w:b/>
          <w:sz w:val="44"/>
          <w:szCs w:val="44"/>
        </w:rPr>
      </w:pPr>
    </w:p>
    <w:p>
      <w:pPr>
        <w:adjustRightInd w:val="0"/>
        <w:snapToGrid w:val="0"/>
        <w:spacing w:line="360" w:lineRule="auto"/>
        <w:ind w:firstLine="640" w:firstLineChars="200"/>
        <w:jc w:val="left"/>
        <w:rPr>
          <w:rFonts w:ascii="黑体" w:eastAsia="黑体" w:hAnsi="黑体" w:cs="Times New Roman"/>
          <w:sz w:val="32"/>
          <w:szCs w:val="32"/>
        </w:rPr>
      </w:pPr>
      <w:r>
        <w:rPr>
          <w:rFonts w:ascii="黑体" w:eastAsia="黑体" w:hAnsi="黑体" w:cs="Times New Roman" w:hint="eastAsia"/>
          <w:sz w:val="32"/>
          <w:szCs w:val="32"/>
        </w:rPr>
        <w:t>一、药学技术人员占比</w:t>
      </w:r>
    </w:p>
    <w:p>
      <w:pPr>
        <w:widowControl/>
        <w:adjustRightInd w:val="0"/>
        <w:snapToGrid w:val="0"/>
        <w:spacing w:line="360" w:lineRule="auto"/>
        <w:ind w:firstLine="640" w:firstLineChars="200"/>
        <w:rPr>
          <w:rFonts w:ascii="仿宋_GB2312" w:eastAsia="仿宋_GB2312" w:hAnsi="仿宋" w:cs="Times New Roman"/>
          <w:kern w:val="0"/>
          <w:sz w:val="32"/>
          <w:szCs w:val="32"/>
        </w:rPr>
      </w:pPr>
      <w:r>
        <w:rPr>
          <w:rFonts w:ascii="仿宋_GB2312" w:eastAsia="仿宋_GB2312" w:hAnsi="仿宋" w:cs="Times New Roman" w:hint="eastAsia"/>
          <w:b/>
          <w:kern w:val="0"/>
          <w:sz w:val="32"/>
          <w:szCs w:val="32"/>
        </w:rPr>
        <w:t>定义：</w:t>
      </w:r>
      <w:r>
        <w:rPr>
          <w:rFonts w:ascii="仿宋_GB2312" w:eastAsia="仿宋_GB2312" w:hAnsi="仿宋" w:cs="Times New Roman" w:hint="eastAsia"/>
          <w:sz w:val="32"/>
          <w:szCs w:val="32"/>
        </w:rPr>
        <w:t>药学技术人员数占同期卫生技术人员数的比例。</w:t>
      </w:r>
    </w:p>
    <w:p>
      <w:pPr>
        <w:adjustRightInd w:val="0"/>
        <w:snapToGrid w:val="0"/>
        <w:spacing w:line="360" w:lineRule="auto"/>
        <w:ind w:firstLine="640" w:firstLineChars="200"/>
        <w:rPr>
          <w:rFonts w:ascii="仿宋_GB2312" w:eastAsia="仿宋_GB2312" w:hAnsi="仿宋" w:cs="Times New Roman"/>
          <w:b/>
          <w:kern w:val="0"/>
          <w:sz w:val="32"/>
          <w:szCs w:val="32"/>
        </w:rPr>
      </w:pPr>
      <w:r>
        <w:rPr>
          <w:rFonts w:ascii="仿宋_GB2312" w:eastAsia="仿宋_GB2312" w:hAnsi="仿宋" w:cs="Times New Roman" w:hint="eastAsia"/>
          <w:b/>
          <w:kern w:val="0"/>
          <w:sz w:val="32"/>
          <w:szCs w:val="32"/>
        </w:rPr>
        <w:t>计算公式：</w:t>
      </w:r>
    </w:p>
    <w:p>
      <w:pPr>
        <w:adjustRightInd w:val="0"/>
        <w:snapToGrid w:val="0"/>
        <w:spacing w:line="360" w:lineRule="auto"/>
        <w:ind w:firstLine="640" w:firstLineChars="200"/>
        <w:jc w:val="left"/>
        <w:rPr>
          <w:rFonts w:ascii="仿宋_GB2312" w:eastAsia="仿宋_GB2312" w:hAnsi="仿宋" w:cs="Times New Roman"/>
          <w:b/>
          <w:kern w:val="0"/>
          <w:sz w:val="32"/>
          <w:szCs w:val="32"/>
        </w:rPr>
      </w:pPr>
      <w:r>
        <w:rPr>
          <w:rFonts w:ascii="仿宋_GB2312" w:eastAsia="仿宋_GB2312" w:hAnsi="仿宋" w:cs="Times New Roman" w:hint="eastAsia"/>
          <w:sz w:val="32"/>
          <w:szCs w:val="32"/>
        </w:rPr>
        <w:t xml:space="preserve">药学技术人员占比=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药学技术人员数</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同期卫生技术人员数</m:t>
            </m:r>
          </m:den>
        </m:f>
      </m:oMath>
      <w:r>
        <w:rPr>
          <w:rFonts w:ascii="仿宋_GB2312" w:eastAsia="仿宋_GB2312" w:hAnsi="仿宋" w:cs="Times New Roman" w:hint="eastAsia"/>
          <w:sz w:val="32"/>
          <w:szCs w:val="32"/>
        </w:rPr>
        <w:t>×100%</w:t>
      </w:r>
    </w:p>
    <w:p>
      <w:pPr>
        <w:adjustRightInd w:val="0"/>
        <w:snapToGrid w:val="0"/>
        <w:spacing w:line="360" w:lineRule="auto"/>
        <w:ind w:right="-57" w:firstLine="660" w:rightChars="-27"/>
        <w:jc w:val="left"/>
        <w:rPr>
          <w:rFonts w:ascii="仿宋_GB2312" w:eastAsia="仿宋_GB2312" w:hAnsi="仿宋" w:cs="宋体"/>
          <w:bCs/>
          <w:kern w:val="0"/>
          <w:sz w:val="32"/>
          <w:szCs w:val="32"/>
        </w:rPr>
      </w:pPr>
      <w:r>
        <w:rPr>
          <w:rFonts w:ascii="仿宋_GB2312" w:eastAsia="仿宋_GB2312" w:hAnsi="仿宋" w:cs="Times New Roman" w:hint="eastAsia"/>
          <w:b/>
          <w:kern w:val="0"/>
          <w:sz w:val="32"/>
          <w:szCs w:val="32"/>
        </w:rPr>
        <w:t>意义：</w:t>
      </w:r>
      <w:r>
        <w:rPr>
          <w:rFonts w:ascii="仿宋_GB2312" w:eastAsia="仿宋_GB2312" w:hAnsi="仿宋" w:cs="宋体" w:hint="eastAsia"/>
          <w:bCs/>
          <w:kern w:val="0"/>
          <w:sz w:val="32"/>
          <w:szCs w:val="32"/>
        </w:rPr>
        <w:t>反映医疗机构药事管理质量的重要结构性指标。</w:t>
      </w:r>
    </w:p>
    <w:p>
      <w:pPr>
        <w:adjustRightInd w:val="0"/>
        <w:snapToGrid w:val="0"/>
        <w:spacing w:line="360" w:lineRule="auto"/>
        <w:ind w:firstLine="640" w:firstLineChars="200"/>
        <w:jc w:val="left"/>
        <w:rPr>
          <w:rFonts w:ascii="黑体" w:eastAsia="黑体" w:hAnsi="黑体" w:cs="Times New Roman"/>
          <w:sz w:val="32"/>
          <w:szCs w:val="32"/>
        </w:rPr>
      </w:pPr>
      <w:r>
        <w:rPr>
          <w:rFonts w:ascii="黑体" w:eastAsia="黑体" w:hAnsi="黑体" w:cs="Times New Roman" w:hint="eastAsia"/>
          <w:sz w:val="32"/>
          <w:szCs w:val="32"/>
        </w:rPr>
        <w:t>二、每百张病床临床药师数</w:t>
      </w:r>
    </w:p>
    <w:p>
      <w:pPr>
        <w:widowControl/>
        <w:adjustRightInd w:val="0"/>
        <w:snapToGrid w:val="0"/>
        <w:spacing w:line="360" w:lineRule="auto"/>
        <w:ind w:firstLine="640" w:firstLineChars="200"/>
        <w:rPr>
          <w:rFonts w:ascii="仿宋_GB2312" w:eastAsia="仿宋_GB2312" w:hAnsi="仿宋" w:cs="Times New Roman"/>
          <w:kern w:val="0"/>
          <w:sz w:val="32"/>
          <w:szCs w:val="32"/>
        </w:rPr>
      </w:pPr>
      <w:r>
        <w:rPr>
          <w:rFonts w:ascii="仿宋_GB2312" w:eastAsia="仿宋_GB2312" w:hAnsi="仿宋" w:cs="Times New Roman" w:hint="eastAsia"/>
          <w:b/>
          <w:kern w:val="0"/>
          <w:sz w:val="32"/>
          <w:szCs w:val="32"/>
        </w:rPr>
        <w:t>定义：</w:t>
      </w:r>
      <w:r>
        <w:rPr>
          <w:rFonts w:ascii="仿宋_GB2312" w:eastAsia="仿宋_GB2312" w:hAnsi="仿宋" w:cs="Times New Roman" w:hint="eastAsia"/>
          <w:kern w:val="0"/>
          <w:sz w:val="32"/>
          <w:szCs w:val="32"/>
        </w:rPr>
        <w:t>平均每100张实际开放病床临床药师的数量。</w:t>
      </w:r>
    </w:p>
    <w:p>
      <w:pPr>
        <w:adjustRightInd w:val="0"/>
        <w:snapToGrid w:val="0"/>
        <w:spacing w:line="360" w:lineRule="auto"/>
        <w:ind w:firstLine="640" w:firstLineChars="200"/>
        <w:rPr>
          <w:rFonts w:ascii="仿宋_GB2312" w:eastAsia="仿宋_GB2312" w:hAnsi="仿宋" w:cs="Times New Roman"/>
          <w:b/>
          <w:kern w:val="0"/>
          <w:sz w:val="32"/>
          <w:szCs w:val="32"/>
        </w:rPr>
      </w:pPr>
      <w:r>
        <w:rPr>
          <w:rFonts w:ascii="仿宋_GB2312" w:eastAsia="仿宋_GB2312" w:hAnsi="仿宋" w:cs="Times New Roman" w:hint="eastAsia"/>
          <w:b/>
          <w:kern w:val="0"/>
          <w:sz w:val="32"/>
          <w:szCs w:val="32"/>
        </w:rPr>
        <w:t>计算公式：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 xml:space="preserve">每百张病床临床药师数=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临床药师数</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实际开放床位数</m:t>
            </m:r>
          </m:den>
        </m:f>
        <m:r>
          <m:rPr>
            <m:sty m:val="p"/>
          </m:rPr>
          <w:rPr>
            <w:rFonts w:ascii="Cambria Math" w:eastAsia="仿宋_GB2312" w:hAnsi="Cambria Math" w:hint="eastAsia"/>
            <w:sz w:val="32"/>
            <w:szCs w:val="32"/>
          </w:rPr>
          <m:t>×100</m:t>
        </m:r>
      </m:oMath>
    </w:p>
    <w:p>
      <w:pPr>
        <w:adjustRightInd w:val="0"/>
        <w:snapToGrid w:val="0"/>
        <w:spacing w:line="360" w:lineRule="auto"/>
        <w:ind w:firstLine="627" w:firstLineChars="196"/>
        <w:rPr>
          <w:rFonts w:ascii="仿宋_GB2312" w:eastAsia="仿宋_GB2312" w:hAnsi="仿宋" w:cs="宋体"/>
          <w:bCs/>
          <w:kern w:val="0"/>
          <w:sz w:val="32"/>
          <w:szCs w:val="32"/>
        </w:rPr>
      </w:pPr>
      <w:r>
        <w:rPr>
          <w:rFonts w:ascii="仿宋_GB2312" w:eastAsia="仿宋_GB2312" w:hAnsi="仿宋" w:cs="Times New Roman" w:hint="eastAsia"/>
          <w:b/>
          <w:kern w:val="0"/>
          <w:sz w:val="32"/>
          <w:szCs w:val="32"/>
        </w:rPr>
        <w:t>意义：</w:t>
      </w:r>
      <w:r>
        <w:rPr>
          <w:rFonts w:ascii="仿宋_GB2312" w:eastAsia="仿宋_GB2312" w:hAnsi="仿宋" w:cs="宋体" w:hint="eastAsia"/>
          <w:bCs/>
          <w:kern w:val="0"/>
          <w:sz w:val="32"/>
          <w:szCs w:val="32"/>
        </w:rPr>
        <w:t>反映临床药师资源配置情况。</w:t>
      </w:r>
    </w:p>
    <w:p>
      <w:pPr>
        <w:adjustRightInd w:val="0"/>
        <w:snapToGrid w:val="0"/>
        <w:spacing w:line="360" w:lineRule="auto"/>
        <w:ind w:firstLine="627" w:firstLineChars="196"/>
        <w:rPr>
          <w:rFonts w:ascii="仿宋_GB2312" w:eastAsia="仿宋_GB2312" w:hAnsi="仿宋" w:cs="宋体"/>
          <w:bCs/>
          <w:kern w:val="0"/>
          <w:sz w:val="32"/>
          <w:szCs w:val="32"/>
        </w:r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临床药师是指经培训取得相应资质参与临床药物治疗工作的药师或专职直接参与临床药物治疗工作的药师。</w:t>
      </w:r>
    </w:p>
    <w:p>
      <w:pPr>
        <w:adjustRightInd w:val="0"/>
        <w:snapToGrid w:val="0"/>
        <w:spacing w:line="360" w:lineRule="auto"/>
        <w:ind w:firstLine="640" w:firstLineChars="200"/>
        <w:rPr>
          <w:rFonts w:ascii="黑体" w:eastAsia="黑体" w:hAnsi="黑体" w:cs="Times New Roman"/>
          <w:sz w:val="32"/>
          <w:szCs w:val="32"/>
        </w:rPr>
        <w:sectPr>
          <w:footerReference w:type="default" r:id="rId6"/>
          <w:pgSz w:w="11910" w:h="16840"/>
          <w:pgMar w:top="1480" w:right="1100" w:bottom="1380" w:left="1680" w:header="0" w:footer="1195" w:gutter="0"/>
          <w:cols w:num="1" w:space="720"/>
        </w:sectPr>
      </w:pPr>
      <w:r>
        <w:rPr>
          <w:rFonts w:ascii="黑体" w:eastAsia="黑体" w:hAnsi="黑体" w:cs="Times New Roman" w:hint="eastAsia"/>
          <w:sz w:val="32"/>
          <w:szCs w:val="32"/>
        </w:rPr>
        <w:t>三、门诊药学技术人员日人均调剂处方数</w:t>
      </w:r>
    </w:p>
    <w:p>
      <w:pPr>
        <w:widowControl/>
        <w:adjustRightInd w:val="0"/>
        <w:snapToGrid w:val="0"/>
        <w:spacing w:line="360" w:lineRule="auto"/>
        <w:ind w:firstLine="640" w:firstLineChars="200"/>
        <w:rPr>
          <w:rFonts w:ascii="仿宋_GB2312" w:eastAsia="仿宋_GB2312" w:hAnsi="仿宋" w:cs="Times New Roman"/>
          <w:kern w:val="0"/>
          <w:sz w:val="32"/>
          <w:szCs w:val="32"/>
        </w:rPr>
      </w:pPr>
      <w:r>
        <w:rPr>
          <w:rFonts w:ascii="仿宋_GB2312" w:eastAsia="仿宋_GB2312" w:hAnsi="仿宋" w:cs="Times New Roman" w:hint="eastAsia"/>
          <w:b/>
          <w:kern w:val="0"/>
          <w:sz w:val="32"/>
          <w:szCs w:val="32"/>
        </w:rPr>
        <w:t>定义：</w:t>
      </w:r>
      <w:r>
        <w:rPr>
          <w:rFonts w:ascii="仿宋_GB2312" w:eastAsia="仿宋_GB2312" w:hAnsi="仿宋" w:cs="Times New Roman" w:hint="eastAsia"/>
          <w:sz w:val="32"/>
          <w:szCs w:val="32"/>
        </w:rPr>
        <w:t>门诊药房药学技术人员平均每人每日调剂处方数（张）。</w:t>
      </w:r>
    </w:p>
    <w:p>
      <w:pPr>
        <w:adjustRightInd w:val="0"/>
        <w:snapToGrid w:val="0"/>
        <w:spacing w:line="360" w:lineRule="auto"/>
        <w:ind w:firstLine="640" w:firstLineChars="200"/>
        <w:rPr>
          <w:rFonts w:ascii="仿宋_GB2312" w:eastAsia="仿宋_GB2312" w:hAnsi="仿宋" w:cs="Times New Roman"/>
          <w:b/>
          <w:kern w:val="0"/>
          <w:sz w:val="32"/>
          <w:szCs w:val="32"/>
        </w:rPr>
      </w:pPr>
      <w:r>
        <w:rPr>
          <w:rFonts w:ascii="仿宋_GB2312" w:eastAsia="仿宋_GB2312" w:hAnsi="仿宋" w:cs="Times New Roman" w:hint="eastAsia"/>
          <w:b/>
          <w:kern w:val="0"/>
          <w:sz w:val="32"/>
          <w:szCs w:val="32"/>
        </w:rPr>
        <w:t>计算公式：</w:t>
      </w:r>
    </w:p>
    <w:p>
      <w:pPr>
        <w:adjustRightInd w:val="0"/>
        <w:snapToGrid w:val="0"/>
        <w:spacing w:line="360" w:lineRule="auto"/>
        <w:ind w:firstLine="420" w:firstLineChars="200"/>
        <w:rPr>
          <w:rFonts w:ascii="仿宋_GB2312" w:eastAsia="仿宋_GB2312" w:hAnsi="仿宋" w:cs="Times New Roman"/>
          <w:sz w:val="32"/>
          <w:szCs w:val="32"/>
        </w:rPr>
      </w:pPr>
      <m:oMath>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门诊药学技术人员</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日人均调剂处方数</m:t>
              </m:r>
            </m:e>
          </m:mr>
        </m:m>
      </m:oMath>
      <w:r>
        <w:rPr>
          <w:rFonts w:ascii="仿宋_GB2312" w:eastAsia="仿宋_GB2312" w:hAnsi="仿宋" w:cs="Times New Roman" w:hint="eastAsia"/>
          <w:sz w:val="32"/>
          <w:szCs w:val="32"/>
        </w:rPr>
        <w:t xml:space="preserve">=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门诊处方总数（张）</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门诊药房日均药学技术人员数</m:t>
            </m:r>
            <m:r>
              <m:rPr>
                <m:sty m:val="p"/>
              </m:rPr>
              <w:rPr>
                <w:rFonts w:ascii="Cambria Math" w:eastAsia="仿宋_GB2312" w:hAnsi="Cambria Math" w:cs="Times New Roman" w:hint="eastAsia"/>
                <w:sz w:val="32"/>
                <w:szCs w:val="32"/>
              </w:rPr>
              <m:t>×</m:t>
            </m:r>
            <m:r>
              <m:rPr>
                <m:sty m:val="p"/>
              </m:rPr>
              <w:rPr>
                <w:rFonts w:ascii="仿宋_GB2312" w:eastAsia="仿宋_GB2312" w:hAnsi="Cambria Math" w:cs="Times New Roman" w:hint="eastAsia"/>
                <w:sz w:val="32"/>
                <w:szCs w:val="32"/>
              </w:rPr>
              <m:t>同期工作日</m:t>
            </m:r>
          </m:den>
        </m:f>
      </m:oMath>
    </w:p>
    <w:p>
      <w:pPr>
        <w:adjustRightInd w:val="0"/>
        <w:snapToGrid w:val="0"/>
        <w:spacing w:line="360" w:lineRule="auto"/>
        <w:ind w:firstLine="627" w:firstLineChars="196"/>
        <w:rPr>
          <w:rFonts w:ascii="仿宋_GB2312" w:eastAsia="仿宋_GB2312" w:hAnsi="仿宋" w:cs="宋体"/>
          <w:bCs/>
          <w:kern w:val="0"/>
          <w:sz w:val="32"/>
          <w:szCs w:val="32"/>
        </w:rPr>
      </w:pPr>
      <w:r>
        <w:rPr>
          <w:rFonts w:ascii="仿宋_GB2312" w:eastAsia="仿宋_GB2312" w:hAnsi="仿宋" w:cs="Times New Roman" w:hint="eastAsia"/>
          <w:b/>
          <w:kern w:val="0"/>
          <w:sz w:val="32"/>
          <w:szCs w:val="32"/>
        </w:rPr>
        <w:t>意义：</w:t>
      </w:r>
      <w:r>
        <w:rPr>
          <w:rFonts w:ascii="仿宋_GB2312" w:eastAsia="仿宋_GB2312" w:hAnsi="仿宋" w:cs="宋体" w:hint="eastAsia"/>
          <w:bCs/>
          <w:kern w:val="0"/>
          <w:sz w:val="32"/>
          <w:szCs w:val="32"/>
        </w:rPr>
        <w:t>反映门诊药房工作负荷量。</w:t>
      </w:r>
    </w:p>
    <w:p>
      <w:pPr>
        <w:adjustRightInd w:val="0"/>
        <w:snapToGrid w:val="0"/>
        <w:spacing w:line="360" w:lineRule="auto"/>
        <w:ind w:firstLine="640" w:firstLineChars="200"/>
        <w:rPr>
          <w:rFonts w:ascii="黑体" w:eastAsia="黑体" w:hAnsi="黑体"/>
          <w:sz w:val="32"/>
          <w:szCs w:val="32"/>
        </w:rPr>
      </w:pPr>
      <w:r>
        <w:rPr>
          <w:rFonts w:ascii="黑体" w:eastAsia="黑体" w:hAnsi="黑体" w:hint="eastAsia"/>
          <w:sz w:val="32"/>
          <w:szCs w:val="32"/>
        </w:rPr>
        <w:t>四、门诊处方不合理率</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不合理的门诊处方数（人次）占同期门诊处方总数（人次）的比例。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 xml:space="preserve">门诊处方不合理率=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不合理的门诊处方数（人次）</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同期门诊处方总数（人次）</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反映医疗机构门诊处方质量。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不合理处方按照《医院处方点评管理规范（试行）》规定，包括不规范处方、用药不适宜处方及超常处方。</w:t>
      </w:r>
    </w:p>
    <w:p>
      <w:pPr>
        <w:adjustRightInd w:val="0"/>
        <w:snapToGrid w:val="0"/>
        <w:spacing w:line="360" w:lineRule="auto"/>
        <w:ind w:firstLine="640" w:firstLineChars="200"/>
        <w:rPr>
          <w:rFonts w:ascii="黑体" w:eastAsia="黑体" w:hAnsi="黑体" w:cs="Times New Roman"/>
          <w:sz w:val="32"/>
          <w:szCs w:val="32"/>
        </w:rPr>
      </w:pPr>
      <w:r>
        <w:rPr>
          <w:rFonts w:ascii="黑体" w:eastAsia="黑体" w:hAnsi="黑体" w:cs="Times New Roman" w:hint="eastAsia"/>
          <w:sz w:val="32"/>
          <w:szCs w:val="32"/>
        </w:rPr>
        <w:t>五、</w:t>
      </w:r>
      <w:r>
        <w:rPr>
          <w:rFonts w:ascii="黑体" w:eastAsia="黑体" w:hAnsi="黑体" w:cs="Times New Roman"/>
          <w:sz w:val="32"/>
          <w:szCs w:val="32"/>
        </w:rPr>
        <w:t>严重</w:t>
      </w:r>
      <w:r>
        <w:rPr>
          <w:rFonts w:ascii="黑体" w:eastAsia="黑体" w:hAnsi="黑体" w:cs="Times New Roman" w:hint="eastAsia"/>
          <w:sz w:val="32"/>
          <w:szCs w:val="32"/>
        </w:rPr>
        <w:t>或</w:t>
      </w:r>
      <w:r>
        <w:rPr>
          <w:rFonts w:ascii="黑体" w:eastAsia="黑体" w:hAnsi="黑体" w:cs="Times New Roman"/>
          <w:sz w:val="32"/>
          <w:szCs w:val="32"/>
        </w:rPr>
        <w:t>新</w:t>
      </w:r>
      <w:r>
        <w:rPr>
          <w:rFonts w:ascii="黑体" w:eastAsia="黑体" w:hAnsi="黑体" w:cs="Times New Roman" w:hint="eastAsia"/>
          <w:sz w:val="32"/>
          <w:szCs w:val="32"/>
        </w:rPr>
        <w:t>发生</w:t>
      </w:r>
      <w:r>
        <w:rPr>
          <w:rFonts w:ascii="黑体" w:eastAsia="黑体" w:hAnsi="黑体" w:cs="Times New Roman"/>
          <w:sz w:val="32"/>
          <w:szCs w:val="32"/>
        </w:rPr>
        <w:t>的药</w:t>
      </w:r>
      <w:r>
        <w:rPr>
          <w:rFonts w:ascii="黑体" w:eastAsia="黑体" w:hAnsi="黑体" w:cs="Times New Roman" w:hint="eastAsia"/>
          <w:sz w:val="32"/>
          <w:szCs w:val="32"/>
        </w:rPr>
        <w:t>品</w:t>
      </w:r>
      <w:r>
        <w:rPr>
          <w:rFonts w:ascii="黑体" w:eastAsia="黑体" w:hAnsi="黑体" w:cs="Times New Roman"/>
          <w:sz w:val="32"/>
          <w:szCs w:val="32"/>
        </w:rPr>
        <w:t>不良反应上报</w:t>
      </w:r>
      <w:r>
        <w:rPr>
          <w:rFonts w:ascii="黑体" w:eastAsia="黑体" w:hAnsi="黑体" w:cs="Times New Roman" w:hint="eastAsia"/>
          <w:sz w:val="32"/>
          <w:szCs w:val="32"/>
        </w:rPr>
        <w:t>率</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医疗机构某一时间范围内上报的严重或新发生的药品不良反应例数占同期药品不良反应上报总例数的比例。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420" w:firstLineChars="200"/>
        <w:rPr>
          <w:rFonts w:ascii="仿宋_GB2312" w:eastAsia="仿宋_GB2312" w:hAnsi="仿宋" w:cs="Times New Roman"/>
          <w:sz w:val="32"/>
          <w:szCs w:val="32"/>
        </w:rPr>
        <w:sectPr>
          <w:footerReference w:type="default" r:id="rId7"/>
          <w:type w:val="nextPage"/>
          <w:pgSz w:w="11910" w:h="16840"/>
          <w:pgMar w:top="1480" w:right="1100" w:bottom="1380" w:left="1680" w:header="0" w:footer="1195" w:gutter="0"/>
          <w:pgNumType w:start="2"/>
          <w:cols w:num="1" w:space="720"/>
          <w:titlePg w:val="0"/>
        </w:sectPr>
      </w:pPr>
      <m:oMath>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严重或新发生的</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药品不良反应上报率</m:t>
              </m:r>
            </m:e>
          </m:mr>
        </m:m>
      </m:oMath>
      <w:r>
        <w:rPr>
          <w:rFonts w:ascii="仿宋_GB2312" w:eastAsia="仿宋_GB2312" w:hAnsi="仿宋" w:cs="Times New Roman" w:hint="eastAsia"/>
          <w:sz w:val="32"/>
          <w:szCs w:val="32"/>
        </w:rPr>
        <w:t xml:space="preserve">=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eqArr>
              <m:eqArrPr>
                <m:ctrlPr>
                  <w:rPr>
                    <w:rFonts w:ascii="Cambria Math" w:eastAsia="仿宋_GB2312" w:hAnsi="Cambria Math" w:cs="Times New Roman" w:hint="eastAsia"/>
                    <w:sz w:val="32"/>
                    <w:szCs w:val="32"/>
                  </w:rPr>
                </m:ctrlPr>
              </m:eqArrP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严重或新发生的</m:t>
                </m:r>
              </m:e>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药品不良反应上报例数</m:t>
                </m:r>
              </m:e>
            </m:eqArr>
          </m:num>
          <m:den>
            <m:ctrlPr>
              <w:rPr>
                <w:rFonts w:ascii="Cambria Math" w:eastAsia="仿宋_GB2312" w:hAnsi="Cambria Math" w:cs="Times New Roman" w:hint="eastAsia"/>
                <w:sz w:val="32"/>
                <w:szCs w:val="32"/>
              </w:rPr>
            </m:ctrlPr>
            <m:eqArr>
              <m:eqArrPr>
                <m:ctrlPr>
                  <w:rPr>
                    <w:rFonts w:ascii="Cambria Math" w:eastAsia="仿宋_GB2312" w:hAnsi="Cambria Math" w:cs="Times New Roman" w:hint="eastAsia"/>
                    <w:sz w:val="32"/>
                    <w:szCs w:val="32"/>
                  </w:rPr>
                </m:ctrlPr>
              </m:eqArrP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同期药品不良反应</m:t>
                </m:r>
              </m:e>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上报总例数</m:t>
                </m:r>
              </m:e>
            </m:eqAr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反映医疗机构用药安全的指标。</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注：</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1、严重药品不良反应：是指因使用药品引起以下损害情形之一的反应：</w:t>
      </w:r>
      <w:r>
        <w:rPr>
          <w:rFonts w:ascii="仿宋_GB2312" w:eastAsia="仿宋_GB2312" w:hAnsi="仿宋" w:cs="Times New Roman" w:hint="eastAsia"/>
          <w:sz w:val="32"/>
          <w:szCs w:val="32"/>
        </w:rPr>
        <w:br/>
      </w:r>
      <w:r>
        <w:rPr>
          <w:rFonts w:ascii="仿宋_GB2312" w:eastAsia="仿宋_GB2312" w:hAnsi="仿宋" w:cs="Times New Roman" w:hint="eastAsia"/>
          <w:sz w:val="32"/>
          <w:szCs w:val="32"/>
        </w:rPr>
        <w:t>　　（1）导致死亡；</w:t>
      </w:r>
      <w:r>
        <w:rPr>
          <w:rFonts w:ascii="仿宋_GB2312" w:eastAsia="仿宋_GB2312" w:hAnsi="仿宋" w:cs="Times New Roman" w:hint="eastAsia"/>
          <w:sz w:val="32"/>
          <w:szCs w:val="32"/>
        </w:rPr>
        <w:br/>
      </w:r>
      <w:r>
        <w:rPr>
          <w:rFonts w:ascii="仿宋_GB2312" w:eastAsia="仿宋_GB2312" w:hAnsi="仿宋" w:cs="Times New Roman" w:hint="eastAsia"/>
          <w:sz w:val="32"/>
          <w:szCs w:val="32"/>
        </w:rPr>
        <w:t>　　（2）危及生命；</w:t>
      </w:r>
      <w:r>
        <w:rPr>
          <w:rFonts w:ascii="仿宋_GB2312" w:eastAsia="仿宋_GB2312" w:hAnsi="仿宋" w:cs="Times New Roman" w:hint="eastAsia"/>
          <w:sz w:val="32"/>
          <w:szCs w:val="32"/>
        </w:rPr>
        <w:br/>
      </w:r>
      <w:r>
        <w:rPr>
          <w:rFonts w:ascii="仿宋_GB2312" w:eastAsia="仿宋_GB2312" w:hAnsi="仿宋" w:cs="Times New Roman" w:hint="eastAsia"/>
          <w:sz w:val="32"/>
          <w:szCs w:val="32"/>
        </w:rPr>
        <w:t>　　（3）致癌、致畸、致出生缺陷；</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（4）导致显著的或者永久的人体伤残或者器官功能的损伤；</w:t>
      </w:r>
      <w:r>
        <w:rPr>
          <w:rFonts w:ascii="仿宋_GB2312" w:eastAsia="仿宋_GB2312" w:hAnsi="仿宋" w:cs="Times New Roman" w:hint="eastAsia"/>
          <w:sz w:val="32"/>
          <w:szCs w:val="32"/>
        </w:rPr>
        <w:br/>
      </w:r>
      <w:r>
        <w:rPr>
          <w:rFonts w:ascii="仿宋_GB2312" w:eastAsia="仿宋_GB2312" w:hAnsi="仿宋" w:cs="Times New Roman" w:hint="eastAsia"/>
          <w:sz w:val="32"/>
          <w:szCs w:val="32"/>
        </w:rPr>
        <w:t>　　（5）导致住院或者住院时间延长；</w:t>
      </w:r>
      <w:r>
        <w:rPr>
          <w:rFonts w:ascii="仿宋_GB2312" w:eastAsia="仿宋_GB2312" w:hAnsi="仿宋" w:cs="Times New Roman" w:hint="eastAsia"/>
          <w:sz w:val="32"/>
          <w:szCs w:val="32"/>
        </w:rPr>
        <w:br/>
      </w:r>
      <w:r>
        <w:rPr>
          <w:rFonts w:ascii="仿宋_GB2312" w:eastAsia="仿宋_GB2312" w:hAnsi="仿宋" w:cs="Times New Roman" w:hint="eastAsia"/>
          <w:sz w:val="32"/>
          <w:szCs w:val="32"/>
        </w:rPr>
        <w:t>　　（6）导致其他重要医学事件，如不进行治疗可能出现上述所列情况的。</w:t>
      </w:r>
      <w:r>
        <w:rPr>
          <w:rFonts w:ascii="仿宋_GB2312" w:eastAsia="仿宋_GB2312" w:hAnsi="仿宋" w:cs="Times New Roman" w:hint="eastAsia"/>
          <w:sz w:val="32"/>
          <w:szCs w:val="32"/>
        </w:rPr>
        <w:br/>
      </w:r>
      <w:r>
        <w:rPr>
          <w:rFonts w:ascii="仿宋_GB2312" w:eastAsia="仿宋_GB2312" w:hAnsi="仿宋" w:cs="Times New Roman" w:hint="eastAsia"/>
          <w:sz w:val="32"/>
          <w:szCs w:val="32"/>
        </w:rPr>
        <w:t xml:space="preserve">    2、新发生的药品不良反应：是指药品说明书中未载明的不良反应。说明书中已有描述，但不良反应发生的性质、程度、后果或者频率与说明书描述不一致或者更严重的，按照新发生的药品不良反应处理。</w:t>
      </w:r>
    </w:p>
    <w:p>
      <w:pPr>
        <w:adjustRightInd w:val="0"/>
        <w:snapToGrid w:val="0"/>
        <w:spacing w:line="360" w:lineRule="auto"/>
        <w:ind w:firstLine="640" w:firstLineChars="200"/>
        <w:rPr>
          <w:rFonts w:ascii="黑体" w:eastAsia="黑体" w:hAnsi="黑体" w:cs="Times New Roman"/>
          <w:sz w:val="32"/>
          <w:szCs w:val="32"/>
        </w:rPr>
      </w:pPr>
      <w:r>
        <w:rPr>
          <w:rFonts w:ascii="黑体" w:eastAsia="黑体" w:hAnsi="黑体" w:cs="Times New Roman" w:hint="eastAsia"/>
          <w:sz w:val="32"/>
          <w:szCs w:val="32"/>
        </w:rPr>
        <w:t>六、</w:t>
      </w:r>
      <w:r>
        <w:rPr>
          <w:rFonts w:ascii="黑体" w:eastAsia="黑体" w:hAnsi="黑体" w:cs="Times New Roman"/>
          <w:sz w:val="32"/>
          <w:szCs w:val="32"/>
        </w:rPr>
        <w:t>用药错误上报</w:t>
      </w:r>
      <w:r>
        <w:rPr>
          <w:rFonts w:ascii="黑体" w:eastAsia="黑体" w:hAnsi="黑体" w:cs="Times New Roman" w:hint="eastAsia"/>
          <w:sz w:val="32"/>
          <w:szCs w:val="32"/>
        </w:rPr>
        <w:t>率</w:t>
      </w:r>
    </w:p>
    <w:p>
      <w:pPr>
        <w:adjustRightInd w:val="0"/>
        <w:snapToGrid w:val="0"/>
        <w:spacing w:line="360" w:lineRule="auto"/>
        <w:ind w:firstLine="640" w:firstLineChars="200"/>
        <w:rPr>
          <w:rFonts w:ascii="仿宋_GB2312" w:eastAsia="仿宋_GB2312" w:hAnsi="仿宋" w:cs="Times New Roman"/>
          <w:sz w:val="32"/>
          <w:szCs w:val="32"/>
        </w:rPr>
        <w:sectPr>
          <w:footerReference w:type="default" r:id="rId8"/>
          <w:type w:val="nextPage"/>
          <w:pgSz w:w="11910" w:h="16840"/>
          <w:pgMar w:top="1480" w:right="1100" w:bottom="1380" w:left="1680" w:header="0" w:footer="1195" w:gutter="0"/>
          <w:pgNumType w:start="3"/>
          <w:cols w:num="1" w:space="720"/>
          <w:titlePg w:val="0"/>
        </w:sect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用药错误是指药品在临床使用及管理全过程中出现的、任何可以防范的用药疏失，这些疏失可导致患者发生潜在的或直接的损害。用药错误上报率是指医疗机构某一时间范围内上报的用药错误人次数占同期患者用药总人次数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用药错误上报率=</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用药错误上报的人次数</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同期患者用药总人次数</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反映医疗机构用药错误主动上报情况。</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注：</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1.用药错误报告系统要求报告错误的类型与后果，并将获得的信息经统计分析后警示，将注意力集中于导致最严重后果的错误类型。同一患者在医疗活动中发生了2次或多次的用药错误，应记为2次或多次。</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2.用药错误分为A-I共9级：</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A级：客观环境或条件可能引发错误（错误隐患）。</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B级：发生错误但未发给患者, 或已发给患者但患者未使用。</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C级：患者已使用，但未造成伤害。</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D级：患者已使用，需要监测错误对患者的后果，并根据后果判断是否需要采取措施预防和减少伤害。</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E级：错误造成患者暂时性伤害，需要采取预防措施。</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F级：错误对患者的伤害可导致或延长患者住院。</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G级：错误导致患者永久性伤害。</w:t>
      </w:r>
    </w:p>
    <w:p>
      <w:pPr>
        <w:adjustRightInd w:val="0"/>
        <w:snapToGrid w:val="0"/>
        <w:spacing w:line="360" w:lineRule="auto"/>
        <w:ind w:firstLine="640" w:firstLineChars="200"/>
        <w:rPr>
          <w:rFonts w:ascii="仿宋_GB2312" w:eastAsia="仿宋_GB2312" w:hAnsi="仿宋" w:cs="Times New Roman"/>
          <w:sz w:val="32"/>
          <w:szCs w:val="32"/>
        </w:rPr>
        <w:sectPr>
          <w:footerReference w:type="default" r:id="rId9"/>
          <w:type w:val="nextPage"/>
          <w:pgSz w:w="11910" w:h="16840"/>
          <w:pgMar w:top="1480" w:right="1100" w:bottom="1380" w:left="1680" w:header="0" w:footer="1195" w:gutter="0"/>
          <w:pgNumType w:start="4"/>
          <w:cols w:num="1" w:space="720"/>
          <w:titlePg w:val="0"/>
        </w:sectPr>
      </w:pPr>
      <w:r>
        <w:rPr>
          <w:rFonts w:ascii="仿宋_GB2312" w:eastAsia="仿宋_GB2312" w:hAnsi="仿宋" w:cs="Times New Roman" w:hint="eastAsia"/>
          <w:sz w:val="32"/>
          <w:szCs w:val="32"/>
        </w:rPr>
        <w:t>H级：错误导致患者生命垂危。</w:t>
      </w:r>
    </w:p>
    <w:p>
      <w:pPr>
        <w:adjustRightInd w:val="0"/>
        <w:snapToGrid w:val="0"/>
        <w:spacing w:line="360" w:lineRule="auto"/>
        <w:ind w:firstLine="640" w:firstLineChars="200"/>
        <w:rPr>
          <w:rFonts w:ascii="仿宋_GB2312" w:eastAsia="仿宋_GB2312" w:hAnsiTheme="minorEastAsia" w:cs="Times New Roman"/>
          <w:sz w:val="32"/>
          <w:szCs w:val="32"/>
        </w:rPr>
      </w:pPr>
      <w:r>
        <w:rPr>
          <w:rFonts w:ascii="仿宋_GB2312" w:eastAsia="仿宋_GB2312" w:hAnsi="仿宋" w:cs="Times New Roman" w:hint="eastAsia"/>
          <w:sz w:val="32"/>
          <w:szCs w:val="32"/>
        </w:rPr>
        <w:t>I级：错误导致患者死亡。</w:t>
      </w:r>
    </w:p>
    <w:p>
      <w:pPr>
        <w:adjustRightInd w:val="0"/>
        <w:snapToGrid w:val="0"/>
        <w:spacing w:line="360" w:lineRule="auto"/>
        <w:ind w:firstLine="640" w:firstLineChars="200"/>
        <w:rPr>
          <w:rFonts w:ascii="黑体" w:eastAsia="黑体" w:hAnsi="黑体" w:cs="Times New Roman"/>
          <w:sz w:val="32"/>
          <w:szCs w:val="32"/>
        </w:rPr>
      </w:pPr>
      <w:r>
        <w:rPr>
          <w:rFonts w:ascii="黑体" w:eastAsia="黑体" w:hAnsi="黑体" w:cs="Times New Roman" w:hint="eastAsia"/>
          <w:sz w:val="32"/>
          <w:szCs w:val="32"/>
        </w:rPr>
        <w:t>七 、存在质量问题药品发现率</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药品验收及临床使用过程中发现存在质量问题的药品批次数占同期购入药品总批次数的比例。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 xml:space="preserve">存在质量问题药品发现率=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存在质量问题的药品批次数</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同期购入药品总批次数</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Theme="minorEastAsia" w:cs="Times New Roman"/>
          <w:b/>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反映药品质量和用药安全的指标。</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注：</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存在质量问题的药品是指药品验收入库或使用过程中发现的以下一个或多个问题：</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1.包装破损；</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2.漏液；</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3.药品有异味、长毛、碎片、空泡眼；</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4.药品数量与标示不符；</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5.安瓿上标识缺损；</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6.输注过程中渗漏或爆裂；</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7.粉针剂溶解后发现有异物；</w:t>
      </w:r>
    </w:p>
    <w:p>
      <w:pPr>
        <w:adjustRightInd w:val="0"/>
        <w:snapToGrid w:val="0"/>
        <w:spacing w:line="360" w:lineRule="auto"/>
        <w:ind w:firstLine="640" w:firstLineChars="200"/>
        <w:rPr>
          <w:rFonts w:ascii="仿宋_GB2312" w:eastAsia="仿宋_GB2312" w:hAnsi="仿宋" w:cs="Times New Roman"/>
          <w:sz w:val="32"/>
          <w:szCs w:val="32"/>
        </w:rPr>
        <w:sectPr>
          <w:footerReference w:type="default" r:id="rId10"/>
          <w:type w:val="nextPage"/>
          <w:pgSz w:w="11910" w:h="16840"/>
          <w:pgMar w:top="1480" w:right="1100" w:bottom="1380" w:left="1680" w:header="0" w:footer="1195" w:gutter="0"/>
          <w:pgNumType w:start="5"/>
          <w:cols w:num="1" w:space="720"/>
          <w:titlePg w:val="0"/>
        </w:sectPr>
      </w:pPr>
      <w:r>
        <w:rPr>
          <w:rFonts w:ascii="仿宋_GB2312" w:eastAsia="仿宋_GB2312" w:hAnsi="仿宋" w:cs="Times New Roman" w:hint="eastAsia"/>
          <w:sz w:val="32"/>
          <w:szCs w:val="32"/>
        </w:rPr>
        <w:t>8.药品说明书印刷错误或装错盒；</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9.药品自带溶媒、干燥剂出现问题等任何可能造成患者危害的情况。</w:t>
      </w:r>
    </w:p>
    <w:p>
      <w:pPr>
        <w:adjustRightInd w:val="0"/>
        <w:snapToGrid w:val="0"/>
        <w:spacing w:line="360" w:lineRule="auto"/>
        <w:ind w:firstLine="640" w:firstLineChars="200"/>
        <w:rPr>
          <w:rFonts w:ascii="黑体" w:eastAsia="黑体" w:hAnsi="黑体" w:cs="Times New Roman"/>
          <w:sz w:val="32"/>
          <w:szCs w:val="32"/>
        </w:rPr>
      </w:pPr>
      <w:r>
        <w:rPr>
          <w:rFonts w:ascii="黑体" w:eastAsia="黑体" w:hAnsi="黑体" w:cs="Times New Roman" w:hint="eastAsia"/>
          <w:sz w:val="32"/>
          <w:szCs w:val="32"/>
        </w:rPr>
        <w:t>八、</w:t>
      </w:r>
      <w:r>
        <w:rPr>
          <w:rFonts w:ascii="黑体" w:eastAsia="黑体" w:hAnsi="黑体" w:cs="Times New Roman"/>
          <w:sz w:val="32"/>
          <w:szCs w:val="32"/>
        </w:rPr>
        <w:t>药</w:t>
      </w:r>
      <w:r>
        <w:rPr>
          <w:rFonts w:ascii="黑体" w:eastAsia="黑体" w:hAnsi="黑体" w:cs="Times New Roman" w:hint="eastAsia"/>
          <w:sz w:val="32"/>
          <w:szCs w:val="32"/>
        </w:rPr>
        <w:t>占比</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医疗机构药品总收入占同期医疗总收入的比例。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 xml:space="preserve">药占比=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药品总收入</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同期医疗总收入</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反映药品收入占医疗机构医疗收入的比例。</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药品总收入是指医疗活动中所得的全部药品的总收入，金额以零售金额（万元）计算。</w:t>
      </w:r>
      <w:r>
        <w:rPr>
          <w:rFonts w:ascii="仿宋_GB2312" w:eastAsia="仿宋_GB2312" w:hAnsi="仿宋" w:hint="eastAsia"/>
          <w:sz w:val="32"/>
          <w:szCs w:val="32"/>
        </w:rPr>
        <w:t>所指药品不含中药材、中药饮片、院内制剂，国家谈判品种及血友病治疗用药等特殊用药</w:t>
      </w:r>
      <w:r>
        <w:rPr>
          <w:rFonts w:ascii="仿宋_GB2312" w:eastAsia="仿宋_GB2312" w:hAnsi="仿宋" w:cs="Times New Roman" w:hint="eastAsia"/>
          <w:sz w:val="32"/>
          <w:szCs w:val="32"/>
        </w:rPr>
        <w:t>。医疗总收入是指医疗活动中所得的总收入，金额以万元计算，包括挂号费、诊疗费、护理费、床位费、材料费、手术费、麻醉费、药品费以及其它医疗费用等。</w:t>
      </w:r>
    </w:p>
    <w:p>
      <w:pPr>
        <w:adjustRightInd w:val="0"/>
        <w:snapToGrid w:val="0"/>
        <w:spacing w:line="360" w:lineRule="auto"/>
        <w:ind w:firstLine="640" w:firstLineChars="200"/>
        <w:rPr>
          <w:rFonts w:ascii="黑体" w:eastAsia="黑体" w:hAnsi="黑体" w:cs="Times New Roman"/>
          <w:sz w:val="32"/>
          <w:szCs w:val="32"/>
        </w:rPr>
      </w:pPr>
      <w:r>
        <w:rPr>
          <w:rFonts w:ascii="黑体" w:eastAsia="黑体" w:hAnsi="黑体" w:cs="Times New Roman" w:hint="eastAsia"/>
          <w:sz w:val="32"/>
          <w:szCs w:val="32"/>
        </w:rPr>
        <w:t>九、次均药费（门诊/急诊/住院）</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患者（门诊/急诊/住院）在医疗活动中平均每人次花费的药品费用。</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640" w:firstLineChars="200"/>
        <w:rPr>
          <w:rFonts w:ascii="仿宋_GB2312" w:eastAsia="仿宋_GB2312" w:hAnsi="仿宋" w:cs="Times New Roman"/>
          <w:sz w:val="32"/>
          <w:szCs w:val="32"/>
        </w:rPr>
        <w:sectPr>
          <w:footerReference w:type="default" r:id="rId11"/>
          <w:type w:val="nextPage"/>
          <w:pgSz w:w="11910" w:h="16840"/>
          <w:pgMar w:top="1480" w:right="1100" w:bottom="1380" w:left="1680" w:header="0" w:footer="1195" w:gutter="0"/>
          <w:pgNumType w:start="6"/>
          <w:cols w:num="1" w:space="720"/>
          <w:titlePg w:val="0"/>
        </w:sectPr>
      </w:pPr>
      <w:r>
        <w:rPr>
          <w:rFonts w:ascii="仿宋_GB2312" w:eastAsia="仿宋_GB2312" w:hAnsi="仿宋" w:cs="Times New Roman" w:hint="eastAsia"/>
          <w:sz w:val="32"/>
          <w:szCs w:val="32"/>
        </w:rPr>
        <w:t xml:space="preserve">次均药费=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医疗活动中患者药品总费用（门诊</m:t>
            </m:r>
            <m:r>
              <m:rPr>
                <m:sty m:val="p"/>
              </m:rPr>
              <w:rPr>
                <w:rFonts w:ascii="Cambria Math" w:eastAsia="仿宋_GB2312" w:hAnsi="Cambria Math" w:cs="Times New Roman" w:hint="eastAsia"/>
                <w:sz w:val="32"/>
                <w:szCs w:val="32"/>
              </w:rPr>
              <m:t>/</m:t>
            </m:r>
            <m:r>
              <m:rPr>
                <m:sty m:val="p"/>
              </m:rPr>
              <w:rPr>
                <w:rFonts w:ascii="仿宋_GB2312" w:eastAsia="仿宋_GB2312" w:hAnsi="Cambria Math" w:cs="Times New Roman" w:hint="eastAsia"/>
                <w:sz w:val="32"/>
                <w:szCs w:val="32"/>
              </w:rPr>
              <m:t>急诊</m:t>
            </m:r>
            <m:r>
              <m:rPr>
                <m:sty m:val="p"/>
              </m:rPr>
              <w:rPr>
                <w:rFonts w:ascii="Cambria Math" w:eastAsia="仿宋_GB2312" w:hAnsi="Cambria Math" w:cs="Times New Roman" w:hint="eastAsia"/>
                <w:sz w:val="32"/>
                <w:szCs w:val="32"/>
              </w:rPr>
              <m:t>/</m:t>
            </m:r>
            <m:r>
              <m:rPr>
                <m:sty m:val="p"/>
              </m:rPr>
              <w:rPr>
                <w:rFonts w:ascii="仿宋_GB2312" w:eastAsia="仿宋_GB2312" w:hAnsi="Cambria Math" w:cs="Times New Roman" w:hint="eastAsia"/>
                <w:sz w:val="32"/>
                <w:szCs w:val="32"/>
              </w:rPr>
              <m:t>住院）</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同期同范围就诊患者总人次数</m:t>
            </m:r>
          </m:den>
        </m:f>
      </m:oMath>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反映医疗机构医疗活动中患者药物治疗费用情况。</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同期同范围就诊患者总人次数是指与统计的药品总费用在同一个时间、同一个抽样范围内（门诊/急诊/住院）就诊患者的总人次数。同一住院患者出院后再入院，应记为2人次。患者医疗活动中未产生药品费用，应记为1人次。同一患者一天在多个科室就诊、多个就诊医师开具多张处方，应记为1人次。</w:t>
      </w:r>
    </w:p>
    <w:p>
      <w:pPr>
        <w:adjustRightInd w:val="0"/>
        <w:snapToGrid w:val="0"/>
        <w:spacing w:line="360" w:lineRule="auto"/>
        <w:ind w:firstLine="640" w:firstLineChars="200"/>
        <w:rPr>
          <w:rFonts w:ascii="黑体" w:eastAsia="黑体" w:hAnsi="黑体"/>
          <w:sz w:val="32"/>
          <w:szCs w:val="32"/>
        </w:rPr>
      </w:pPr>
      <w:r>
        <w:rPr>
          <w:rFonts w:ascii="黑体" w:eastAsia="黑体" w:hAnsi="黑体" w:hint="eastAsia"/>
          <w:sz w:val="32"/>
          <w:szCs w:val="32"/>
        </w:rPr>
        <w:t>十、住院患者</w:t>
      </w:r>
      <w:r>
        <w:rPr>
          <w:rFonts w:ascii="黑体" w:eastAsia="黑体" w:hAnsi="黑体"/>
          <w:sz w:val="32"/>
          <w:szCs w:val="32"/>
        </w:rPr>
        <w:t>抗菌药物使用强度</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 xml:space="preserve"> DDD（Defined Daily Dose）又称“限定日剂量”，是指一个药品以主要适应证用于成年人的维持日剂量。住院患者抗菌药物使用强度以住院患者平均每日每百张床位所消耗抗菌药物的DDD数(即DDD/100人天)表示。</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420" w:firstLineChars="200"/>
        <w:rPr>
          <w:rFonts w:ascii="仿宋_GB2312" w:eastAsia="仿宋_GB2312" w:hAnsi="仿宋" w:cs="Times New Roman"/>
          <w:sz w:val="32"/>
          <w:szCs w:val="32"/>
        </w:rPr>
      </w:pPr>
      <m:oMath>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住院患者抗菌</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药物使用强度</m:t>
              </m:r>
            </m:e>
          </m:mr>
        </m:m>
      </m:oMath>
      <w:r>
        <w:rPr>
          <w:rFonts w:ascii="仿宋_GB2312" w:eastAsia="仿宋_GB2312" w:hAnsi="仿宋" w:cs="Times New Roman" w:hint="eastAsia"/>
          <w:sz w:val="32"/>
          <w:szCs w:val="32"/>
        </w:rPr>
        <w:t xml:space="preserve">=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抗菌药物使用量（累计</m:t>
            </m:r>
            <m:r>
              <m:rPr>
                <m:sty m:val="p"/>
              </m:rPr>
              <w:rPr>
                <w:rFonts w:ascii="Cambria Math" w:eastAsia="仿宋_GB2312" w:hAnsi="Cambria Math" w:cs="Times New Roman" w:hint="eastAsia"/>
                <w:sz w:val="32"/>
                <w:szCs w:val="32"/>
              </w:rPr>
              <m:t>DDD</m:t>
            </m:r>
            <m:r>
              <m:rPr>
                <m:sty m:val="p"/>
              </m:rPr>
              <w:rPr>
                <w:rFonts w:ascii="仿宋_GB2312" w:eastAsia="仿宋_GB2312" w:hAnsi="Cambria Math" w:cs="Times New Roman" w:hint="eastAsia"/>
                <w:sz w:val="32"/>
                <w:szCs w:val="32"/>
              </w:rPr>
              <m:t>数）</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同期收治患者人天数</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反映医疗机构住院患者抗菌药物的使用情况。</w:t>
      </w:r>
    </w:p>
    <w:p>
      <w:pPr>
        <w:adjustRightInd w:val="0"/>
        <w:snapToGrid w:val="0"/>
        <w:spacing w:line="360" w:lineRule="auto"/>
        <w:ind w:firstLine="640" w:firstLineChars="200"/>
        <w:rPr>
          <w:rFonts w:ascii="仿宋_GB2312" w:eastAsia="仿宋_GB2312" w:hAnsi="仿宋" w:cs="Times New Roman"/>
          <w:b/>
          <w:sz w:val="32"/>
          <w:szCs w:val="32"/>
        </w:rPr>
        <w:sectPr>
          <w:footerReference w:type="default" r:id="rId12"/>
          <w:type w:val="nextPage"/>
          <w:pgSz w:w="11910" w:h="16840"/>
          <w:pgMar w:top="1480" w:right="1100" w:bottom="1380" w:left="1680" w:header="0" w:footer="1195" w:gutter="0"/>
          <w:pgNumType w:start="7"/>
          <w:cols w:num="1" w:space="720"/>
          <w:titlePg w:val="0"/>
        </w:sect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抗菌药物使用量（累计DDD数）是指所有抗菌药物DDD数的和，其中某抗菌药物的DDD数是以该抗菌药物使用量除以DDD值计算，即克/DDD值。DDD值来源于WHO药物统计方法合作中心提供的 ATC Index。对于未给出明确DDD值的抗菌药物，参照卫生计生委抗菌药物临床应用监测网提供的数据。</w:t>
      </w:r>
    </w:p>
    <w:p>
      <w:pPr>
        <w:adjustRightInd w:val="0"/>
        <w:snapToGrid w:val="0"/>
        <w:spacing w:line="360" w:lineRule="auto"/>
        <w:ind w:firstLine="640" w:firstLineChars="200"/>
        <w:rPr>
          <w:rFonts w:ascii="黑体" w:eastAsia="黑体" w:hAnsi="黑体"/>
          <w:sz w:val="32"/>
          <w:szCs w:val="32"/>
        </w:rPr>
      </w:pPr>
      <w:r>
        <w:rPr>
          <w:rFonts w:ascii="黑体" w:eastAsia="黑体" w:hAnsi="黑体" w:hint="eastAsia"/>
          <w:sz w:val="32"/>
          <w:szCs w:val="32"/>
        </w:rPr>
        <w:t>十一、特殊使用级</w:t>
      </w:r>
      <w:r>
        <w:rPr>
          <w:rFonts w:ascii="黑体" w:eastAsia="黑体" w:hAnsi="黑体"/>
          <w:sz w:val="32"/>
          <w:szCs w:val="32"/>
        </w:rPr>
        <w:t>抗菌药物</w:t>
      </w:r>
      <w:r>
        <w:rPr>
          <w:rFonts w:ascii="黑体" w:eastAsia="黑体" w:hAnsi="黑体" w:hint="eastAsia"/>
          <w:sz w:val="32"/>
          <w:szCs w:val="32"/>
        </w:rPr>
        <w:t>使用量占比</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特殊使用级抗菌药物使用量占同期抗菌药物使用量的比例。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420" w:firstLineChars="200"/>
        <w:rPr>
          <w:rFonts w:ascii="仿宋_GB2312" w:eastAsia="仿宋_GB2312" w:hAnsi="仿宋" w:cs="Times New Roman"/>
          <w:sz w:val="32"/>
          <w:szCs w:val="32"/>
        </w:rPr>
      </w:pPr>
      <m:oMath>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特殊使用级抗菌药物</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使用量占比</m:t>
              </m:r>
            </m:e>
          </m:mr>
        </m:m>
      </m:oMath>
      <w:r>
        <w:rPr>
          <w:rFonts w:ascii="仿宋_GB2312" w:eastAsia="仿宋_GB2312" w:hAnsi="仿宋" w:cs="Times New Roman" w:hint="eastAsia"/>
          <w:sz w:val="32"/>
          <w:szCs w:val="32"/>
        </w:rPr>
        <w:t xml:space="preserve">=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eqArr>
              <m:eqArrPr>
                <m:ctrlPr>
                  <w:rPr>
                    <w:rFonts w:ascii="Cambria Math" w:eastAsia="仿宋_GB2312" w:hAnsi="Cambria Math" w:cs="Times New Roman" w:hint="eastAsia"/>
                    <w:sz w:val="32"/>
                    <w:szCs w:val="32"/>
                  </w:rPr>
                </m:ctrlPr>
              </m:eqArrP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特殊使用级抗菌药物</m:t>
                </m:r>
              </m:e>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使用量（累计</m:t>
                </m:r>
                <m:r>
                  <m:rPr>
                    <m:sty m:val="p"/>
                  </m:rPr>
                  <w:rPr>
                    <w:rFonts w:ascii="Cambria Math" w:eastAsia="仿宋_GB2312" w:hAnsi="Cambria Math" w:cs="Times New Roman" w:hint="eastAsia"/>
                    <w:sz w:val="32"/>
                    <w:szCs w:val="32"/>
                  </w:rPr>
                  <m:t>DDD</m:t>
                </m:r>
                <m:r>
                  <m:rPr>
                    <m:sty m:val="p"/>
                  </m:rPr>
                  <w:rPr>
                    <w:rFonts w:ascii="仿宋_GB2312" w:eastAsia="仿宋_GB2312" w:hAnsi="Cambria Math" w:cs="Times New Roman" w:hint="eastAsia"/>
                    <w:sz w:val="32"/>
                    <w:szCs w:val="32"/>
                  </w:rPr>
                  <m:t>数）</m:t>
                </m:r>
              </m:e>
            </m:eqArr>
          </m:num>
          <m:den>
            <m:ctrlPr>
              <w:rPr>
                <w:rFonts w:ascii="Cambria Math" w:eastAsia="仿宋_GB2312" w:hAnsi="Cambria Math" w:cs="Times New Roman" w:hint="eastAsia"/>
                <w:sz w:val="32"/>
                <w:szCs w:val="32"/>
              </w:rPr>
            </m:ctrlPr>
            <m:eqArr>
              <m:eqArrPr>
                <m:ctrlPr>
                  <w:rPr>
                    <w:rFonts w:ascii="Cambria Math" w:eastAsia="仿宋_GB2312" w:hAnsi="Cambria Math" w:cs="Times New Roman" w:hint="eastAsia"/>
                    <w:sz w:val="32"/>
                    <w:szCs w:val="32"/>
                  </w:rPr>
                </m:ctrlPr>
              </m:eqArrP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同期抗菌药物</m:t>
                </m:r>
              </m:e>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使用量（累计</m:t>
                </m:r>
                <m:r>
                  <m:rPr>
                    <m:sty m:val="p"/>
                  </m:rPr>
                  <w:rPr>
                    <w:rFonts w:ascii="Cambria Math" w:eastAsia="仿宋_GB2312" w:hAnsi="Cambria Math" w:cs="Times New Roman" w:hint="eastAsia"/>
                    <w:sz w:val="32"/>
                    <w:szCs w:val="32"/>
                  </w:rPr>
                  <m:t>DDD</m:t>
                </m:r>
                <m:r>
                  <m:rPr>
                    <m:sty m:val="p"/>
                  </m:rPr>
                  <w:rPr>
                    <w:rFonts w:ascii="仿宋_GB2312" w:eastAsia="仿宋_GB2312" w:hAnsi="Cambria Math" w:cs="Times New Roman" w:hint="eastAsia"/>
                    <w:sz w:val="32"/>
                    <w:szCs w:val="32"/>
                  </w:rPr>
                  <m:t>数）</m:t>
                </m:r>
              </m:e>
            </m:eqAr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反映医疗机构特殊使用级抗菌药物的使用情况。</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特殊使用级抗菌药物是指按照2015版《抗菌药物临床应用指导原则》，纳入特殊使用级管理的抗菌药物。具体品种见各医疗机构抗菌药物分级管理目录。</w:t>
      </w:r>
    </w:p>
    <w:p>
      <w:pPr>
        <w:adjustRightInd w:val="0"/>
        <w:snapToGrid w:val="0"/>
        <w:spacing w:line="360" w:lineRule="auto"/>
        <w:ind w:firstLine="640" w:firstLineChars="200"/>
        <w:rPr>
          <w:rFonts w:ascii="黑体" w:eastAsia="黑体" w:hAnsi="黑体"/>
          <w:sz w:val="32"/>
          <w:szCs w:val="32"/>
        </w:rPr>
      </w:pPr>
      <w:r>
        <w:rPr>
          <w:rFonts w:ascii="黑体" w:eastAsia="黑体" w:hAnsi="黑体" w:hint="eastAsia"/>
          <w:sz w:val="32"/>
          <w:szCs w:val="32"/>
        </w:rPr>
        <w:t>十二、Ⅰ类切口手术</w:t>
      </w:r>
      <w:r>
        <w:rPr>
          <w:rFonts w:ascii="黑体" w:eastAsia="黑体" w:hAnsi="黑体"/>
          <w:sz w:val="32"/>
          <w:szCs w:val="32"/>
        </w:rPr>
        <w:t>预防</w:t>
      </w:r>
      <w:r>
        <w:rPr>
          <w:rFonts w:ascii="黑体" w:eastAsia="黑体" w:hAnsi="黑体" w:hint="eastAsia"/>
          <w:sz w:val="32"/>
          <w:szCs w:val="32"/>
        </w:rPr>
        <w:t>使</w:t>
      </w:r>
      <w:r>
        <w:rPr>
          <w:rFonts w:ascii="黑体" w:eastAsia="黑体" w:hAnsi="黑体"/>
          <w:sz w:val="32"/>
          <w:szCs w:val="32"/>
        </w:rPr>
        <w:t>用抗菌药物</w:t>
      </w:r>
      <w:r>
        <w:rPr>
          <w:rFonts w:ascii="黑体" w:eastAsia="黑体" w:hAnsi="黑体" w:hint="eastAsia"/>
          <w:sz w:val="32"/>
          <w:szCs w:val="32"/>
        </w:rPr>
        <w:t>品种选择符合率</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Ⅰ类切口手术预防使用抗菌药物品种选择符合2015版《抗菌药物临床应用指导原则》要求的患者人次数占同期Ⅰ类切口手术预防使用抗菌药物患者总人次数的比例。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rPr>
          <w:rFonts w:ascii="仿宋_GB2312" w:eastAsia="仿宋_GB2312" w:hAnsi="仿宋" w:cs="Times New Roman"/>
          <w:sz w:val="32"/>
          <w:szCs w:val="32"/>
        </w:rPr>
      </w:pPr>
      <m:oMath>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Ⅰ类切口手术预防使用</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抗菌药物品种选择符合率</m:t>
              </m:r>
            </m:e>
          </m:mr>
        </m:m>
        <m:r>
          <m:rPr>
            <m:sty m:val="p"/>
          </m:rPr>
          <w:rPr>
            <w:rFonts w:ascii="Cambria Math" w:eastAsia="仿宋_GB2312" w:hAnsi="Cambria Math" w:cs="Times New Roman" w:hint="eastAsia"/>
            <w:sz w:val="32"/>
            <w:szCs w:val="32"/>
          </w:rPr>
          <m:t xml:space="preserve"> </m:t>
        </m:r>
      </m:oMath>
      <w:r>
        <w:rPr>
          <w:rFonts w:ascii="仿宋_GB2312" w:eastAsia="仿宋_GB2312" w:hAnsi="仿宋" w:cs="Times New Roman" w:hint="eastAsia"/>
          <w:sz w:val="32"/>
          <w:szCs w:val="32"/>
        </w:rPr>
        <w:t>=</w:t>
      </w:r>
      <m:oMath>
        <m:r>
          <m:rPr>
            <m:sty m:val="p"/>
          </m:rPr>
          <w:rPr>
            <w:rFonts w:ascii="Cambria Math" w:eastAsia="仿宋_GB2312" w:hAnsi="Cambria Math" w:cs="Times New Roman" w:hint="eastAsia"/>
            <w:sz w:val="32"/>
            <w:szCs w:val="32"/>
          </w:rPr>
          <m:t xml:space="preserve"> </m:t>
        </m:r>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eqArr>
              <m:eqArrPr>
                <m:ctrlPr>
                  <w:rPr>
                    <w:rFonts w:ascii="Cambria Math" w:eastAsia="仿宋_GB2312" w:hAnsi="Cambria Math" w:cs="Times New Roman" w:hint="eastAsia"/>
                    <w:sz w:val="32"/>
                    <w:szCs w:val="32"/>
                  </w:rPr>
                </m:ctrlPr>
              </m:eqArrP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Ⅰ类切口手术预防使用抗菌药物</m:t>
                </m:r>
              </m:e>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品种选择符合指南要求的患者人次数</m:t>
                </m:r>
              </m:e>
            </m:eqArr>
          </m:num>
          <m:den>
            <m:ctrlPr>
              <w:rPr>
                <w:rFonts w:ascii="Cambria Math" w:eastAsia="仿宋_GB2312" w:hAnsi="Cambria Math" w:cs="Times New Roman" w:hint="eastAsia"/>
                <w:sz w:val="32"/>
                <w:szCs w:val="32"/>
              </w:rPr>
            </m:ctrlPr>
            <m:eqArr>
              <m:eqArrPr>
                <m:ctrlPr>
                  <w:rPr>
                    <w:rFonts w:ascii="Cambria Math" w:eastAsia="仿宋_GB2312" w:hAnsi="Cambria Math" w:cs="Times New Roman" w:hint="eastAsia"/>
                    <w:sz w:val="32"/>
                    <w:szCs w:val="32"/>
                  </w:rPr>
                </m:ctrlPr>
              </m:eqArrP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同期Ⅰ类切口手术预防使用</m:t>
                </m:r>
              </m:e>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抗菌药物患者总人次数</m:t>
                </m:r>
              </m:e>
            </m:eqAr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kern w:val="0"/>
          <w:sz w:val="32"/>
          <w:szCs w:val="32"/>
        </w:rPr>
        <w:t>反映医疗机构抗菌药物预防用药</w:t>
      </w:r>
      <w:r>
        <w:rPr>
          <w:rFonts w:ascii="仿宋_GB2312" w:eastAsia="仿宋_GB2312" w:hAnsi="仿宋" w:cs="Times New Roman" w:hint="eastAsia"/>
          <w:sz w:val="32"/>
          <w:szCs w:val="32"/>
        </w:rPr>
        <w:t>情况。</w:t>
      </w:r>
    </w:p>
    <w:p>
      <w:pPr>
        <w:adjustRightInd w:val="0"/>
        <w:snapToGrid w:val="0"/>
        <w:spacing w:line="360" w:lineRule="auto"/>
        <w:ind w:firstLine="640" w:firstLineChars="200"/>
        <w:rPr>
          <w:rFonts w:ascii="黑体" w:eastAsia="黑体" w:hAnsi="黑体" w:cs="Times New Roman"/>
          <w:sz w:val="32"/>
          <w:szCs w:val="32"/>
        </w:rPr>
        <w:sectPr>
          <w:footerReference w:type="default" r:id="rId13"/>
          <w:type w:val="nextPage"/>
          <w:pgSz w:w="11910" w:h="16840"/>
          <w:pgMar w:top="1480" w:right="1100" w:bottom="1380" w:left="1680" w:header="0" w:footer="1195" w:gutter="0"/>
          <w:pgNumType w:start="8"/>
          <w:cols w:num="1" w:space="720"/>
          <w:titlePg w:val="0"/>
        </w:sectPr>
      </w:pPr>
      <w:r>
        <w:rPr>
          <w:rFonts w:ascii="黑体" w:eastAsia="黑体" w:hAnsi="黑体" w:cs="Times New Roman" w:hint="eastAsia"/>
          <w:sz w:val="32"/>
          <w:szCs w:val="32"/>
        </w:rPr>
        <w:t>十三、手术患者围手术期</w:t>
      </w:r>
      <w:r>
        <w:rPr>
          <w:rFonts w:ascii="黑体" w:eastAsia="黑体" w:hAnsi="黑体" w:cs="Times New Roman"/>
          <w:sz w:val="32"/>
          <w:szCs w:val="32"/>
        </w:rPr>
        <w:t>质子泵抑制剂</w:t>
      </w:r>
      <w:r>
        <w:rPr>
          <w:rFonts w:ascii="黑体" w:eastAsia="黑体" w:hAnsi="黑体" w:cs="Times New Roman" w:hint="eastAsia"/>
          <w:sz w:val="32"/>
          <w:szCs w:val="32"/>
        </w:rPr>
        <w:t>使用</w:t>
      </w:r>
      <w:r>
        <w:rPr>
          <w:rFonts w:ascii="黑体" w:eastAsia="黑体" w:hAnsi="黑体" w:cs="Times New Roman"/>
          <w:sz w:val="32"/>
          <w:szCs w:val="32"/>
        </w:rPr>
        <w:t>率</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围手术期使用质子泵抑制剂的患者人次数占同期手术患者总人次数的比例。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420" w:firstLineChars="200"/>
        <w:rPr>
          <w:rFonts w:ascii="仿宋_GB2312" w:eastAsia="仿宋_GB2312" w:hAnsi="仿宋" w:cs="Times New Roman"/>
          <w:sz w:val="32"/>
          <w:szCs w:val="32"/>
        </w:rPr>
      </w:pPr>
      <m:oMath>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手术患者围手术期</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质子泵抑制剂使用率</m:t>
              </m:r>
            </m:e>
          </m:mr>
        </m:m>
        <m:r>
          <m:rPr>
            <m:sty m:val="p"/>
          </m:rPr>
          <w:rPr>
            <w:rFonts w:ascii="Cambria Math" w:eastAsia="仿宋_GB2312" w:hAnsi="Cambria Math" w:cs="Times New Roman" w:hint="eastAsia"/>
            <w:sz w:val="32"/>
            <w:szCs w:val="32"/>
          </w:rPr>
          <m:t xml:space="preserve"> </m:t>
        </m:r>
      </m:oMath>
      <w:r>
        <w:rPr>
          <w:rFonts w:ascii="仿宋_GB2312" w:eastAsia="仿宋_GB2312" w:hAnsi="仿宋" w:cs="Times New Roman" w:hint="eastAsia"/>
          <w:sz w:val="32"/>
          <w:szCs w:val="32"/>
        </w:rPr>
        <w:t>=</w:t>
      </w:r>
      <m:oMath>
        <m:r>
          <m:rPr>
            <m:sty m:val="p"/>
          </m:rPr>
          <w:rPr>
            <w:rFonts w:ascii="Cambria Math" w:eastAsia="仿宋_GB2312" w:hAnsi="Cambria Math" w:cs="Times New Roman" w:hint="eastAsia"/>
            <w:sz w:val="32"/>
            <w:szCs w:val="32"/>
          </w:rPr>
          <m:t xml:space="preserve"> </m:t>
        </m:r>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eqArr>
              <m:eqArrPr>
                <m:ctrlPr>
                  <w:rPr>
                    <w:rFonts w:ascii="Cambria Math" w:eastAsia="仿宋_GB2312" w:hAnsi="Cambria Math" w:cs="Times New Roman" w:hint="eastAsia"/>
                    <w:sz w:val="32"/>
                    <w:szCs w:val="32"/>
                  </w:rPr>
                </m:ctrlPr>
              </m:eqArrP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围手术期使用</m:t>
                </m:r>
              </m:e>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质子泵抑制剂患者人次数</m:t>
                </m:r>
              </m:e>
            </m:eqAr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同期手术患者总人次数</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反映医疗机构质子泵抑制剂使用情况。</w:t>
      </w:r>
    </w:p>
    <w:p>
      <w:pPr>
        <w:adjustRightInd w:val="0"/>
        <w:snapToGrid w:val="0"/>
        <w:spacing w:line="360" w:lineRule="auto"/>
        <w:ind w:firstLine="640" w:firstLineChars="200"/>
        <w:rPr>
          <w:rFonts w:ascii="仿宋_GB2312" w:eastAsia="仿宋_GB2312" w:hAnsiTheme="minorEastAsia" w:cs="Times New Roman"/>
          <w:sz w:val="32"/>
          <w:szCs w:val="32"/>
        </w:r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同一患者同一次诊疗活动中使用质子泵抑制剂（不考虑品种、剂量、疗程等），记为1人次。</w:t>
      </w:r>
    </w:p>
    <w:p>
      <w:pPr>
        <w:adjustRightInd w:val="0"/>
        <w:snapToGrid w:val="0"/>
        <w:spacing w:line="360" w:lineRule="auto"/>
        <w:ind w:firstLine="640" w:firstLineChars="200"/>
        <w:rPr>
          <w:rFonts w:ascii="黑体" w:eastAsia="黑体" w:hAnsi="黑体"/>
          <w:sz w:val="32"/>
          <w:szCs w:val="32"/>
        </w:rPr>
      </w:pPr>
      <w:r>
        <w:rPr>
          <w:rFonts w:ascii="黑体" w:eastAsia="黑体" w:hAnsi="黑体" w:hint="eastAsia"/>
          <w:sz w:val="32"/>
          <w:szCs w:val="32"/>
        </w:rPr>
        <w:t>十四、住院患者</w:t>
      </w:r>
      <w:r>
        <w:rPr>
          <w:rFonts w:ascii="黑体" w:eastAsia="黑体" w:hAnsi="黑体"/>
          <w:sz w:val="32"/>
          <w:szCs w:val="32"/>
        </w:rPr>
        <w:t>静脉输液</w:t>
      </w:r>
      <w:r>
        <w:rPr>
          <w:rFonts w:ascii="黑体" w:eastAsia="黑体" w:hAnsi="黑体" w:hint="eastAsia"/>
          <w:sz w:val="32"/>
          <w:szCs w:val="32"/>
        </w:rPr>
        <w:t>使用</w:t>
      </w:r>
      <w:r>
        <w:rPr>
          <w:rFonts w:ascii="黑体" w:eastAsia="黑体" w:hAnsi="黑体"/>
          <w:sz w:val="32"/>
          <w:szCs w:val="32"/>
        </w:rPr>
        <w:t>率</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使用静脉输液的住院患者人次数占同期住院患者总人次数的比例。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rPr>
          <w:rFonts w:ascii="仿宋_GB2312" w:eastAsia="仿宋_GB2312" w:hAnsi="仿宋" w:cs="Times New Roman"/>
          <w:sz w:val="32"/>
          <w:szCs w:val="32"/>
        </w:rPr>
      </w:pPr>
      <w:r>
        <w:rPr>
          <w:rFonts w:ascii="仿宋_GB2312" w:eastAsia="仿宋_GB2312" w:hAnsi="仿宋" w:cs="Times New Roman" w:hint="eastAsia"/>
          <w:sz w:val="32"/>
          <w:szCs w:val="32"/>
        </w:rPr>
        <w:t xml:space="preserve">    </w:t>
      </w:r>
      <m:oMath>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住院患者</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静脉输液使用率</m:t>
              </m:r>
            </m:e>
          </m:mr>
        </m:m>
      </m:oMath>
      <w:r>
        <w:rPr>
          <w:rFonts w:ascii="仿宋_GB2312" w:eastAsia="仿宋_GB2312" w:hAnsi="仿宋" w:cs="Times New Roman" w:hint="eastAsia"/>
          <w:sz w:val="32"/>
          <w:szCs w:val="32"/>
        </w:rPr>
        <w:t xml:space="preserve">=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使用静脉输液的住院患者人次数</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同期住院患者总人次数</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反映医疗机构住院患者静脉输液的使用情况。</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静脉输液包括静脉滴注和静脉推注。疫苗、溶媒、局麻、封闭、结膜下、肌肉、皮下、球后注射、皮试液、对比剂等不列入静脉输液的统计范围。同一患者一次出入院中使用多种静脉输注药物，记为1人次。</w:t>
      </w:r>
    </w:p>
    <w:p>
      <w:pPr>
        <w:adjustRightInd w:val="0"/>
        <w:snapToGrid w:val="0"/>
        <w:spacing w:line="360" w:lineRule="auto"/>
        <w:ind w:firstLine="640" w:firstLineChars="200"/>
        <w:rPr>
          <w:rFonts w:ascii="黑体" w:eastAsia="黑体" w:hAnsi="黑体"/>
          <w:sz w:val="32"/>
          <w:szCs w:val="32"/>
        </w:rPr>
        <w:sectPr>
          <w:footerReference w:type="default" r:id="rId14"/>
          <w:type w:val="nextPage"/>
          <w:pgSz w:w="11910" w:h="16840"/>
          <w:pgMar w:top="1480" w:right="1100" w:bottom="1380" w:left="1680" w:header="0" w:footer="1195" w:gutter="0"/>
          <w:pgNumType w:start="9"/>
          <w:cols w:num="1" w:space="720"/>
          <w:titlePg w:val="0"/>
        </w:sectPr>
      </w:pPr>
      <w:r>
        <w:rPr>
          <w:rFonts w:ascii="黑体" w:eastAsia="黑体" w:hAnsi="黑体" w:hint="eastAsia"/>
          <w:sz w:val="32"/>
          <w:szCs w:val="32"/>
        </w:rPr>
        <w:t>十五、</w:t>
      </w:r>
      <w:r>
        <w:rPr>
          <w:rFonts w:ascii="黑体" w:eastAsia="黑体" w:hAnsi="黑体"/>
          <w:sz w:val="32"/>
          <w:szCs w:val="32"/>
        </w:rPr>
        <w:t>住院患者</w:t>
      </w:r>
      <w:r>
        <w:rPr>
          <w:rFonts w:ascii="黑体" w:eastAsia="黑体" w:hAnsi="黑体" w:hint="eastAsia"/>
          <w:sz w:val="32"/>
          <w:szCs w:val="32"/>
        </w:rPr>
        <w:t>平均每床日静脉输液</w:t>
      </w:r>
      <w:r>
        <w:rPr>
          <w:rFonts w:ascii="黑体" w:eastAsia="黑体" w:hAnsi="黑体"/>
          <w:sz w:val="32"/>
          <w:szCs w:val="32"/>
        </w:rPr>
        <w:t>使用</w:t>
      </w:r>
      <w:r>
        <w:rPr>
          <w:rFonts w:ascii="黑体" w:eastAsia="黑体" w:hAnsi="黑体" w:hint="eastAsia"/>
          <w:sz w:val="32"/>
          <w:szCs w:val="32"/>
        </w:rPr>
        <w:t>数量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住院患者平均每床日使用静脉输液的数量（袋/瓶）。</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420" w:firstLineChars="200"/>
        <w:rPr>
          <w:rFonts w:ascii="仿宋_GB2312" w:eastAsia="仿宋_GB2312" w:hAnsi="仿宋" w:cs="Times New Roman"/>
          <w:sz w:val="32"/>
          <w:szCs w:val="32"/>
        </w:rPr>
      </w:pPr>
      <m:oMath>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Cambria Math" w:eastAsia="仿宋_GB2312" w:hAnsi="Cambria Math" w:cs="Times New Roman" w:hint="eastAsia"/>
                  <w:sz w:val="32"/>
                  <w:szCs w:val="32"/>
                </w:rPr>
                <m:t xml:space="preserve">    </m:t>
              </m:r>
              <m:r>
                <m:rPr>
                  <m:sty m:val="p"/>
                </m:rPr>
                <w:rPr>
                  <w:rFonts w:ascii="仿宋_GB2312" w:eastAsia="仿宋_GB2312" w:hAnsi="Cambria Math" w:cs="Times New Roman" w:hint="eastAsia"/>
                  <w:sz w:val="32"/>
                  <w:szCs w:val="32"/>
                </w:rPr>
                <m:t>住院患者平均每床日</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静脉输液使用数量</m:t>
              </m:r>
            </m:e>
          </m:mr>
        </m:m>
      </m:oMath>
      <w:r>
        <w:rPr>
          <w:rFonts w:ascii="仿宋_GB2312" w:eastAsia="仿宋_GB2312" w:hAnsi="仿宋" w:cs="Times New Roman" w:hint="eastAsia"/>
          <w:sz w:val="32"/>
          <w:szCs w:val="32"/>
        </w:rPr>
        <w:t xml:space="preserve">=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住院患者使用静脉输液的数量（袋</m:t>
            </m:r>
            <m:r>
              <m:rPr>
                <m:sty m:val="p"/>
              </m:rPr>
              <w:rPr>
                <w:rFonts w:ascii="Cambria Math" w:eastAsia="仿宋_GB2312" w:hAnsi="Cambria Math" w:cs="Times New Roman" w:hint="eastAsia"/>
                <w:sz w:val="32"/>
                <w:szCs w:val="32"/>
              </w:rPr>
              <m:t>/</m:t>
            </m:r>
            <m:r>
              <m:rPr>
                <m:sty m:val="p"/>
              </m:rPr>
              <w:rPr>
                <w:rFonts w:ascii="仿宋_GB2312" w:eastAsia="仿宋_GB2312" w:hAnsi="Cambria Math" w:cs="Times New Roman" w:hint="eastAsia"/>
                <w:sz w:val="32"/>
                <w:szCs w:val="32"/>
              </w:rPr>
              <m:t>瓶）</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同期住院患者实际占用总床日数</m:t>
            </m:r>
          </m:den>
        </m:f>
      </m:oMath>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反映医疗机构住院患者静脉输液的使用情况。</w:t>
      </w:r>
    </w:p>
    <w:p>
      <w:pPr>
        <w:adjustRightInd w:val="0"/>
        <w:snapToGrid w:val="0"/>
        <w:spacing w:line="360" w:lineRule="auto"/>
        <w:ind w:firstLine="640" w:firstLineChars="200"/>
        <w:rPr>
          <w:rFonts w:ascii="仿宋_GB2312" w:eastAsia="仿宋_GB2312" w:hAnsiTheme="minorEastAsia" w:cs="Times New Roman"/>
          <w:sz w:val="32"/>
          <w:szCs w:val="32"/>
        </w:r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实际占用总床日数指医疗机构各科每日夜晚12点实际占用病床数（即每日夜晚12点住院人数）总和，包括实际占用的临时加床。患者入院后于当晚12点前死亡或因故出院，应记为1床日数。</w:t>
      </w:r>
    </w:p>
    <w:p>
      <w:pPr>
        <w:adjustRightInd w:val="0"/>
        <w:snapToGrid w:val="0"/>
        <w:spacing w:line="360" w:lineRule="auto"/>
        <w:ind w:firstLine="640" w:firstLineChars="200"/>
        <w:rPr>
          <w:rFonts w:ascii="黑体" w:eastAsia="黑体" w:hAnsi="黑体"/>
          <w:sz w:val="32"/>
          <w:szCs w:val="32"/>
        </w:rPr>
      </w:pPr>
      <w:r>
        <w:rPr>
          <w:rFonts w:ascii="黑体" w:eastAsia="黑体" w:hAnsi="黑体" w:hint="eastAsia"/>
          <w:sz w:val="32"/>
          <w:szCs w:val="32"/>
        </w:rPr>
        <w:t>十六、住院患者</w:t>
      </w:r>
      <w:r>
        <w:rPr>
          <w:rFonts w:ascii="黑体" w:eastAsia="黑体" w:hAnsi="黑体"/>
          <w:sz w:val="32"/>
          <w:szCs w:val="32"/>
        </w:rPr>
        <w:t>中药注射剂</w:t>
      </w:r>
      <w:r>
        <w:rPr>
          <w:rFonts w:ascii="黑体" w:eastAsia="黑体" w:hAnsi="黑体" w:hint="eastAsia"/>
          <w:sz w:val="32"/>
          <w:szCs w:val="32"/>
        </w:rPr>
        <w:t>静脉输液</w:t>
      </w:r>
      <w:r>
        <w:rPr>
          <w:rFonts w:ascii="黑体" w:eastAsia="黑体" w:hAnsi="黑体"/>
          <w:sz w:val="32"/>
          <w:szCs w:val="32"/>
        </w:rPr>
        <w:t>使用</w:t>
      </w:r>
      <w:r>
        <w:rPr>
          <w:rFonts w:ascii="黑体" w:eastAsia="黑体" w:hAnsi="黑体" w:hint="eastAsia"/>
          <w:sz w:val="32"/>
          <w:szCs w:val="32"/>
        </w:rPr>
        <w:t>率</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使用中药注射剂静脉输液的住院患者人次数占同期住院患者总人次数的比例。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420" w:firstLineChars="200"/>
        <w:rPr>
          <w:rFonts w:ascii="仿宋_GB2312" w:eastAsia="仿宋_GB2312" w:hAnsi="仿宋" w:cs="Times New Roman"/>
          <w:sz w:val="32"/>
          <w:szCs w:val="32"/>
        </w:rPr>
      </w:pPr>
      <m:oMath>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住院患者中药注射剂</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静脉输液使用率</m:t>
              </m:r>
            </m:e>
          </m:mr>
        </m:m>
        <m:r>
          <m:rPr>
            <m:sty m:val="p"/>
          </m:rPr>
          <w:rPr>
            <w:rFonts w:ascii="Cambria Math" w:eastAsia="仿宋_GB2312" w:hAnsi="Cambria Math" w:cs="Times New Roman" w:hint="eastAsia"/>
            <w:sz w:val="32"/>
            <w:szCs w:val="32"/>
          </w:rPr>
          <m:t xml:space="preserve"> </m:t>
        </m:r>
      </m:oMath>
      <w:r>
        <w:rPr>
          <w:rFonts w:ascii="仿宋_GB2312" w:eastAsia="仿宋_GB2312" w:hAnsi="仿宋" w:cs="Times New Roman" w:hint="eastAsia"/>
          <w:sz w:val="32"/>
          <w:szCs w:val="32"/>
        </w:rPr>
        <w:t>=</w:t>
      </w:r>
      <m:oMath>
        <m:r>
          <m:rPr>
            <m:sty m:val="p"/>
          </m:rPr>
          <w:rPr>
            <w:rFonts w:ascii="Cambria Math" w:eastAsia="仿宋_GB2312" w:hAnsi="Cambria Math" w:cs="Times New Roman" w:hint="eastAsia"/>
            <w:sz w:val="32"/>
            <w:szCs w:val="32"/>
          </w:rPr>
          <m:t xml:space="preserve"> </m:t>
        </m:r>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eqArr>
              <m:eqArrPr>
                <m:ctrlPr>
                  <w:rPr>
                    <w:rFonts w:ascii="Cambria Math" w:eastAsia="仿宋_GB2312" w:hAnsi="Cambria Math" w:cs="Times New Roman" w:hint="eastAsia"/>
                    <w:sz w:val="32"/>
                    <w:szCs w:val="32"/>
                  </w:rPr>
                </m:ctrlPr>
              </m:eqArrP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使用中药注射剂静脉输液</m:t>
                </m:r>
              </m:e>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住院患者人次数</m:t>
                </m:r>
              </m:e>
            </m:eqAr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同期住院患者总人次数</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反映医疗机构住院患者中药注射剂静脉输液使用情况。</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中药注射剂指批准文号为国药准字“Z”开头的注射剂。</w:t>
      </w:r>
    </w:p>
    <w:p>
      <w:pPr>
        <w:adjustRightInd w:val="0"/>
        <w:snapToGrid w:val="0"/>
        <w:spacing w:line="360" w:lineRule="auto"/>
        <w:ind w:firstLine="640" w:firstLineChars="200"/>
        <w:rPr>
          <w:rFonts w:ascii="黑体" w:eastAsia="黑体" w:hAnsi="黑体" w:cs="Times New Roman"/>
          <w:sz w:val="32"/>
          <w:szCs w:val="32"/>
        </w:rPr>
      </w:pPr>
      <w:r>
        <w:rPr>
          <w:rFonts w:ascii="黑体" w:eastAsia="黑体" w:hAnsi="黑体" w:cs="Times New Roman" w:hint="eastAsia"/>
          <w:sz w:val="32"/>
          <w:szCs w:val="32"/>
        </w:rPr>
        <w:t>十七、门诊患者用药咨询率</w:t>
      </w:r>
    </w:p>
    <w:p>
      <w:pPr>
        <w:adjustRightInd w:val="0"/>
        <w:snapToGrid w:val="0"/>
        <w:spacing w:line="360" w:lineRule="auto"/>
        <w:ind w:firstLine="640" w:firstLineChars="200"/>
        <w:rPr>
          <w:rFonts w:ascii="仿宋_GB2312" w:eastAsia="仿宋_GB2312" w:hAnsi="仿宋" w:cs="Times New Roman"/>
          <w:b/>
          <w:sz w:val="32"/>
          <w:szCs w:val="32"/>
        </w:rPr>
        <w:sectPr>
          <w:footerReference w:type="default" r:id="rId15"/>
          <w:type w:val="nextPage"/>
          <w:pgSz w:w="11910" w:h="16840"/>
          <w:pgMar w:top="1480" w:right="1100" w:bottom="1380" w:left="1680" w:header="0" w:footer="1195" w:gutter="0"/>
          <w:pgNumType w:start="10"/>
          <w:cols w:num="1" w:space="720"/>
          <w:titlePg w:val="0"/>
        </w:sect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药师接待门诊患者用药咨询（药房窗口或用药咨询门诊）的人次数占同期门诊就诊人次数的比例。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 xml:space="preserve">门诊患者用药咨询率=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药师接待门诊患者用药咨询人次数</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同期门诊就诊人次数</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反映医疗机构药师为门诊患者提供用药咨询服务的情况。</w:t>
      </w:r>
    </w:p>
    <w:p>
      <w:pPr>
        <w:adjustRightInd w:val="0"/>
        <w:snapToGrid w:val="0"/>
        <w:spacing w:line="360" w:lineRule="auto"/>
        <w:ind w:firstLine="627" w:firstLineChars="196"/>
        <w:rPr>
          <w:rFonts w:ascii="仿宋_GB2312" w:eastAsia="仿宋_GB2312" w:hAnsi="仿宋" w:cs="Times New Roman"/>
          <w:sz w:val="32"/>
          <w:szCs w:val="32"/>
        </w:rPr>
      </w:pPr>
      <w:r>
        <w:rPr>
          <w:rFonts w:ascii="仿宋_GB2312" w:eastAsia="仿宋_GB2312" w:hAnsi="仿宋" w:cs="Times New Roman" w:hint="eastAsia"/>
          <w:b/>
          <w:sz w:val="32"/>
          <w:szCs w:val="32"/>
        </w:rPr>
        <w:t>注：</w:t>
      </w:r>
      <w:r>
        <w:rPr>
          <w:rFonts w:ascii="仿宋_GB2312" w:eastAsia="仿宋_GB2312" w:hAnsi="仿宋" w:cs="Times New Roman" w:hint="eastAsia"/>
          <w:sz w:val="32"/>
          <w:szCs w:val="32"/>
        </w:rPr>
        <w:t>按照《医疗机构药事管理规定》，医疗机构药师应掌握与临床用药相关的药物信息，提供用药信息与药学咨询服务，向公众宣传合理用药知识。用药咨询内容应具有药学专业技术价值，要求回答正确，记录完整，定期评价结果，保障质量，持续改进。</w:t>
      </w:r>
    </w:p>
    <w:p>
      <w:pPr>
        <w:adjustRightInd w:val="0"/>
        <w:snapToGrid w:val="0"/>
        <w:spacing w:line="360" w:lineRule="auto"/>
        <w:ind w:firstLine="640" w:firstLineChars="200"/>
        <w:rPr>
          <w:rFonts w:ascii="黑体" w:eastAsia="黑体" w:hAnsi="黑体"/>
          <w:sz w:val="32"/>
          <w:szCs w:val="32"/>
        </w:rPr>
      </w:pPr>
      <w:r>
        <w:rPr>
          <w:rFonts w:ascii="黑体" w:eastAsia="黑体" w:hAnsi="黑体" w:hint="eastAsia"/>
          <w:sz w:val="32"/>
          <w:szCs w:val="32"/>
        </w:rPr>
        <w:t>十八、处方/用药医嘱审核率</w:t>
      </w:r>
    </w:p>
    <w:p>
      <w:pPr>
        <w:adjustRightInd w:val="0"/>
        <w:snapToGrid w:val="0"/>
        <w:spacing w:line="360" w:lineRule="auto"/>
        <w:ind w:firstLine="640" w:firstLineChars="200"/>
        <w:rPr>
          <w:rFonts w:ascii="仿宋_GB2312" w:eastAsia="仿宋_GB2312" w:hAnsi="仿宋"/>
          <w:b/>
          <w:sz w:val="32"/>
          <w:szCs w:val="32"/>
        </w:rPr>
      </w:pPr>
      <w:r>
        <w:rPr>
          <w:rFonts w:ascii="仿宋_GB2312" w:eastAsia="仿宋_GB2312" w:hAnsi="仿宋" w:hint="eastAsia"/>
          <w:b/>
          <w:sz w:val="32"/>
          <w:szCs w:val="32"/>
        </w:rPr>
        <w:t>1、门诊处方审核率</w: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定义：</w:t>
      </w:r>
      <w:r>
        <w:rPr>
          <w:rFonts w:ascii="仿宋_GB2312" w:eastAsia="仿宋_GB2312" w:hAnsi="仿宋" w:hint="eastAsia"/>
          <w:sz w:val="32"/>
          <w:szCs w:val="32"/>
        </w:rPr>
        <w:t>药师通过合理用药软件提示并（或）经人工审核门诊处方数（人次）占同期门诊处方总数（人次）的比例。</w:t>
      </w:r>
    </w:p>
    <w:p>
      <w:pPr>
        <w:adjustRightInd w:val="0"/>
        <w:snapToGrid w:val="0"/>
        <w:spacing w:line="360" w:lineRule="auto"/>
        <w:ind w:firstLine="627" w:firstLineChars="196"/>
        <w:rPr>
          <w:rFonts w:ascii="仿宋_GB2312" w:eastAsia="仿宋_GB2312" w:hAnsi="仿宋"/>
          <w:b/>
          <w:sz w:val="32"/>
          <w:szCs w:val="32"/>
        </w:rPr>
      </w:pPr>
      <w:r>
        <w:rPr>
          <w:rFonts w:ascii="仿宋_GB2312" w:eastAsia="仿宋_GB2312" w:hAnsi="仿宋" w:hint="eastAsia"/>
          <w:b/>
          <w:sz w:val="32"/>
          <w:szCs w:val="32"/>
        </w:rPr>
        <w:t>计算公式：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Cambria Math" w:cs="Times New Roman" w:hint="eastAsia"/>
          <w:sz w:val="32"/>
          <w:szCs w:val="32"/>
        </w:rPr>
        <w:t>门诊处方审核率</w:t>
      </w:r>
      <w:r>
        <w:rPr>
          <w:rFonts w:ascii="仿宋_GB2312" w:eastAsia="仿宋_GB2312" w:hAnsi="仿宋" w:cs="Times New Roman" w:hint="eastAsia"/>
          <w:sz w:val="32"/>
          <w:szCs w:val="32"/>
        </w:rPr>
        <w:t>=</w:t>
      </w:r>
      <m:oMath>
        <m:f>
          <m:fPr>
            <m:ctrlPr>
              <w:rPr>
                <w:rFonts w:ascii="Cambria Math" w:eastAsia="仿宋_GB2312" w:hAnsi="Cambria Math" w:hint="eastAsia"/>
                <w:sz w:val="32"/>
                <w:szCs w:val="32"/>
              </w:rPr>
            </m:ctrlPr>
          </m:fPr>
          <m:num>
            <m:ctrlPr>
              <w:rPr>
                <w:rFonts w:ascii="Cambria Math" w:eastAsia="仿宋_GB2312" w:hAnsi="Cambria Math" w:hint="eastAsia"/>
                <w:sz w:val="32"/>
                <w:szCs w:val="32"/>
              </w:rPr>
            </m:ctrlPr>
            <m:r>
              <m:rPr>
                <m:sty m:val="p"/>
              </m:rPr>
              <w:rPr>
                <w:rFonts w:ascii="仿宋_GB2312" w:eastAsia="仿宋_GB2312" w:hAnsi="Cambria Math" w:hint="eastAsia"/>
                <w:sz w:val="32"/>
                <w:szCs w:val="32"/>
              </w:rPr>
              <m:t>药师审核门诊处方数（人次）</m:t>
            </m:r>
          </m:num>
          <m:den>
            <m:ctrlPr>
              <w:rPr>
                <w:rFonts w:ascii="Cambria Math" w:eastAsia="仿宋_GB2312" w:hAnsi="Cambria Math" w:hint="eastAsia"/>
                <w:sz w:val="32"/>
                <w:szCs w:val="32"/>
              </w:rPr>
            </m:ctrlPr>
            <m:r>
              <m:rPr>
                <m:sty m:val="p"/>
              </m:rPr>
              <w:rPr>
                <w:rFonts w:ascii="仿宋_GB2312" w:eastAsia="仿宋_GB2312" w:hAnsi="Cambria Math" w:hint="eastAsia"/>
                <w:sz w:val="32"/>
                <w:szCs w:val="32"/>
              </w:rPr>
              <m:t>门诊处方总数（人次）</m:t>
            </m:r>
          </m:den>
        </m:f>
      </m:oMath>
      <w:r>
        <w:rPr>
          <w:rFonts w:ascii="仿宋_GB2312" w:eastAsia="仿宋_GB2312" w:hAnsi="仿宋" w:cs="Times New Roman" w:hint="eastAsia"/>
          <w:sz w:val="32"/>
          <w:szCs w:val="32"/>
        </w:rPr>
        <w:t>×100%</w:t>
      </w:r>
    </w:p>
    <w:p>
      <w:pPr>
        <w:adjustRightInd w:val="0"/>
        <w:snapToGrid w:val="0"/>
        <w:spacing w:line="360" w:lineRule="auto"/>
        <w:ind w:firstLine="627" w:firstLineChars="196"/>
        <w:rPr>
          <w:rFonts w:ascii="仿宋_GB2312" w:eastAsia="仿宋_GB2312" w:hAnsi="仿宋" w:cs="Times New Roman"/>
          <w:sz w:val="32"/>
          <w:szCs w:val="32"/>
        </w:rPr>
      </w:pPr>
      <w:r>
        <w:rPr>
          <w:rFonts w:ascii="仿宋_GB2312" w:eastAsia="仿宋_GB2312" w:hAnsi="仿宋" w:hint="eastAsia"/>
          <w:b/>
          <w:sz w:val="32"/>
          <w:szCs w:val="32"/>
        </w:rPr>
        <w:t>意义：</w:t>
      </w:r>
      <w:r>
        <w:rPr>
          <w:rFonts w:ascii="仿宋_GB2312" w:eastAsia="仿宋_GB2312" w:hAnsi="仿宋" w:hint="eastAsia"/>
          <w:sz w:val="32"/>
          <w:szCs w:val="32"/>
        </w:rPr>
        <w:t>反映医疗机构药师对门诊处方的审核情况。</w:t>
      </w:r>
    </w:p>
    <w:p>
      <w:pPr>
        <w:adjustRightInd w:val="0"/>
        <w:snapToGrid w:val="0"/>
        <w:spacing w:line="360" w:lineRule="auto"/>
        <w:ind w:firstLine="640" w:firstLineChars="200"/>
        <w:rPr>
          <w:rFonts w:ascii="仿宋_GB2312" w:eastAsia="仿宋_GB2312" w:hAnsi="仿宋"/>
          <w:b/>
          <w:sz w:val="32"/>
          <w:szCs w:val="32"/>
        </w:rPr>
      </w:pPr>
      <w:r>
        <w:rPr>
          <w:rFonts w:ascii="仿宋_GB2312" w:eastAsia="仿宋_GB2312" w:hAnsi="仿宋" w:hint="eastAsia"/>
          <w:b/>
          <w:sz w:val="32"/>
          <w:szCs w:val="32"/>
        </w:rPr>
        <w:t>2、急诊处方审核率</w: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定义：</w:t>
      </w:r>
      <w:r>
        <w:rPr>
          <w:rFonts w:ascii="仿宋_GB2312" w:eastAsia="仿宋_GB2312" w:hAnsi="仿宋" w:hint="eastAsia"/>
          <w:sz w:val="32"/>
          <w:szCs w:val="32"/>
        </w:rPr>
        <w:t>药师通过合理用药软件提示并（或）经人工审核急诊处方数（人次）占同期急诊处方总数（人次）的比例。</w:t>
      </w:r>
    </w:p>
    <w:p>
      <w:pPr>
        <w:adjustRightInd w:val="0"/>
        <w:snapToGrid w:val="0"/>
        <w:spacing w:line="360" w:lineRule="auto"/>
        <w:ind w:firstLine="627" w:firstLineChars="196"/>
        <w:rPr>
          <w:rFonts w:ascii="仿宋_GB2312" w:eastAsia="仿宋_GB2312" w:hAnsi="仿宋"/>
          <w:b/>
          <w:sz w:val="32"/>
          <w:szCs w:val="32"/>
        </w:rPr>
        <w:sectPr>
          <w:footerReference w:type="default" r:id="rId16"/>
          <w:type w:val="nextPage"/>
          <w:pgSz w:w="11910" w:h="16840"/>
          <w:pgMar w:top="1480" w:right="1100" w:bottom="1380" w:left="1680" w:header="0" w:footer="1195" w:gutter="0"/>
          <w:pgNumType w:start="11"/>
          <w:cols w:num="1" w:space="720"/>
          <w:titlePg w:val="0"/>
        </w:sectPr>
      </w:pPr>
      <w:r>
        <w:rPr>
          <w:rFonts w:ascii="仿宋_GB2312" w:eastAsia="仿宋_GB2312" w:hAnsi="仿宋" w:hint="eastAsia"/>
          <w:b/>
          <w:sz w:val="32"/>
          <w:szCs w:val="32"/>
        </w:rPr>
        <w:t>计算公式：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Cambria Math" w:cs="Times New Roman" w:hint="eastAsia"/>
          <w:sz w:val="32"/>
          <w:szCs w:val="32"/>
        </w:rPr>
        <w:t>急诊处方审核率</w:t>
      </w:r>
      <w:r>
        <w:rPr>
          <w:rFonts w:ascii="仿宋_GB2312" w:eastAsia="仿宋_GB2312" w:hAnsi="仿宋" w:cs="Times New Roman" w:hint="eastAsia"/>
          <w:sz w:val="32"/>
          <w:szCs w:val="32"/>
        </w:rPr>
        <w:t>=</w:t>
      </w:r>
      <m:oMath>
        <m:f>
          <m:fPr>
            <m:ctrlPr>
              <w:rPr>
                <w:rFonts w:ascii="Cambria Math" w:eastAsia="仿宋_GB2312" w:hAnsi="Cambria Math" w:hint="eastAsia"/>
                <w:sz w:val="32"/>
                <w:szCs w:val="32"/>
              </w:rPr>
            </m:ctrlPr>
          </m:fPr>
          <m:num>
            <m:ctrlPr>
              <w:rPr>
                <w:rFonts w:ascii="Cambria Math" w:eastAsia="仿宋_GB2312" w:hAnsi="Cambria Math" w:hint="eastAsia"/>
                <w:sz w:val="32"/>
                <w:szCs w:val="32"/>
              </w:rPr>
            </m:ctrlPr>
            <m:r>
              <m:rPr>
                <m:sty m:val="p"/>
              </m:rPr>
              <w:rPr>
                <w:rFonts w:ascii="仿宋_GB2312" w:eastAsia="仿宋_GB2312" w:hAnsi="Cambria Math" w:hint="eastAsia"/>
                <w:sz w:val="32"/>
                <w:szCs w:val="32"/>
              </w:rPr>
              <m:t>药师审核急诊处方数（人次）</m:t>
            </m:r>
          </m:num>
          <m:den>
            <m:ctrlPr>
              <w:rPr>
                <w:rFonts w:ascii="Cambria Math" w:eastAsia="仿宋_GB2312" w:hAnsi="Cambria Math" w:hint="eastAsia"/>
                <w:sz w:val="32"/>
                <w:szCs w:val="32"/>
              </w:rPr>
            </m:ctrlPr>
            <m:r>
              <m:rPr>
                <m:sty m:val="p"/>
              </m:rPr>
              <w:rPr>
                <w:rFonts w:ascii="仿宋_GB2312" w:eastAsia="仿宋_GB2312" w:hAnsi="Cambria Math" w:hint="eastAsia"/>
                <w:sz w:val="32"/>
                <w:szCs w:val="32"/>
              </w:rPr>
              <m:t>急诊处方总数（人次）</m:t>
            </m:r>
          </m:den>
        </m:f>
      </m:oMath>
      <w:r>
        <w:rPr>
          <w:rFonts w:ascii="仿宋_GB2312" w:eastAsia="仿宋_GB2312" w:hAnsi="仿宋" w:cs="Times New Roman" w:hint="eastAsia"/>
          <w:sz w:val="32"/>
          <w:szCs w:val="32"/>
        </w:rPr>
        <w:t>×100%</w:t>
      </w:r>
    </w:p>
    <w:p>
      <w:pPr>
        <w:adjustRightInd w:val="0"/>
        <w:snapToGrid w:val="0"/>
        <w:spacing w:line="360" w:lineRule="auto"/>
        <w:ind w:firstLine="627" w:firstLineChars="196"/>
        <w:rPr>
          <w:rFonts w:ascii="仿宋_GB2312" w:eastAsia="仿宋_GB2312" w:hAnsi="仿宋"/>
          <w:b/>
          <w:sz w:val="32"/>
          <w:szCs w:val="32"/>
        </w:rPr>
      </w:pPr>
      <w:r>
        <w:rPr>
          <w:rFonts w:ascii="仿宋_GB2312" w:eastAsia="仿宋_GB2312" w:hAnsi="仿宋" w:hint="eastAsia"/>
          <w:b/>
          <w:sz w:val="32"/>
          <w:szCs w:val="32"/>
        </w:rPr>
        <w:t>意义：</w:t>
      </w:r>
      <w:r>
        <w:rPr>
          <w:rFonts w:ascii="仿宋_GB2312" w:eastAsia="仿宋_GB2312" w:hAnsi="仿宋" w:hint="eastAsia"/>
          <w:sz w:val="32"/>
          <w:szCs w:val="32"/>
        </w:rPr>
        <w:t>反映医疗机构药师对急诊处方的审核情况。</w:t>
      </w:r>
    </w:p>
    <w:p>
      <w:pPr>
        <w:adjustRightInd w:val="0"/>
        <w:snapToGrid w:val="0"/>
        <w:spacing w:line="360" w:lineRule="auto"/>
        <w:ind w:firstLine="640" w:firstLineChars="200"/>
        <w:rPr>
          <w:rFonts w:ascii="仿宋_GB2312" w:eastAsia="仿宋_GB2312" w:hAnsi="仿宋"/>
          <w:b/>
          <w:sz w:val="32"/>
          <w:szCs w:val="32"/>
        </w:rPr>
      </w:pPr>
      <w:r>
        <w:rPr>
          <w:rFonts w:ascii="仿宋_GB2312" w:eastAsia="仿宋_GB2312" w:hAnsi="仿宋" w:hint="eastAsia"/>
          <w:b/>
          <w:sz w:val="32"/>
          <w:szCs w:val="32"/>
        </w:rPr>
        <w:t>3、住院用药医嘱审核率</w: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定义：</w:t>
      </w:r>
      <w:r>
        <w:rPr>
          <w:rFonts w:ascii="仿宋_GB2312" w:eastAsia="仿宋_GB2312" w:hAnsi="仿宋" w:hint="eastAsia"/>
          <w:sz w:val="32"/>
          <w:szCs w:val="32"/>
        </w:rPr>
        <w:t>药品调配前药师通过合理用药软件提示并（或）经人工审核住院患者用药医嘱条数占同期医疗机构住院患者用药医嘱开具总条数的比例。</w:t>
      </w:r>
    </w:p>
    <w:p>
      <w:pPr>
        <w:adjustRightInd w:val="0"/>
        <w:snapToGrid w:val="0"/>
        <w:spacing w:line="360" w:lineRule="auto"/>
        <w:ind w:firstLine="640" w:firstLineChars="200"/>
        <w:rPr>
          <w:rFonts w:ascii="仿宋_GB2312" w:eastAsia="仿宋_GB2312" w:hAnsi="仿宋"/>
          <w:b/>
          <w:sz w:val="32"/>
          <w:szCs w:val="32"/>
        </w:rPr>
      </w:pPr>
      <w:r>
        <w:rPr>
          <w:rFonts w:ascii="仿宋_GB2312" w:eastAsia="仿宋_GB2312" w:hAnsi="仿宋" w:hint="eastAsia"/>
          <w:b/>
          <w:sz w:val="32"/>
          <w:szCs w:val="32"/>
        </w:rPr>
        <w:t>计算公式：</w:t>
      </w:r>
    </w:p>
    <w:p>
      <w:pPr>
        <w:adjustRightInd w:val="0"/>
        <w:snapToGrid w:val="0"/>
        <w:spacing w:line="360" w:lineRule="auto"/>
        <w:rPr>
          <w:rFonts w:ascii="仿宋_GB2312" w:eastAsia="仿宋_GB2312" w:hAnsi="仿宋" w:cs="Times New Roman"/>
          <w:sz w:val="32"/>
          <w:szCs w:val="32"/>
        </w:rPr>
      </w:pPr>
      <m:oMath>
        <m:r>
          <m:rPr>
            <m:sty m:val="p"/>
          </m:rPr>
          <w:rPr>
            <w:rFonts w:ascii="Cambria Math" w:eastAsia="仿宋_GB2312" w:hAnsi="Cambria Math" w:hint="eastAsia"/>
            <w:sz w:val="32"/>
            <w:szCs w:val="32"/>
          </w:rPr>
          <m:t xml:space="preserve">        </m:t>
        </m:r>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住院用药</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医嘱审核率</m:t>
              </m:r>
            </m:e>
          </m:mr>
        </m:m>
      </m:oMath>
      <w:r>
        <w:rPr>
          <w:rFonts w:ascii="仿宋_GB2312" w:eastAsia="仿宋_GB2312" w:hAnsi="仿宋" w:cs="Times New Roman" w:hint="eastAsia"/>
          <w:sz w:val="32"/>
          <w:szCs w:val="32"/>
        </w:rPr>
        <w:t xml:space="preserve">= </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药品调配前药师审核住院患者用药医嘱条数</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同期医疗机构住院患者用药医嘱开具总条数</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意义：</w:t>
      </w:r>
      <w:r>
        <w:rPr>
          <w:rFonts w:ascii="仿宋_GB2312" w:eastAsia="仿宋_GB2312" w:hAnsi="仿宋" w:hint="eastAsia"/>
          <w:sz w:val="32"/>
          <w:szCs w:val="32"/>
        </w:rPr>
        <w:t>反映医疗机构药师对住院用药医嘱的审核情况。</w: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注：</w:t>
      </w:r>
      <w:r>
        <w:rPr>
          <w:rFonts w:ascii="仿宋_GB2312" w:eastAsia="仿宋_GB2312" w:hAnsi="仿宋" w:hint="eastAsia"/>
          <w:sz w:val="32"/>
          <w:szCs w:val="32"/>
        </w:rPr>
        <w:t>按照《处方审核规范》（待颁布），药师应当在药品调配前认真审核处方，处方包括门、急诊处方和住院用药医嘱。</w:t>
      </w:r>
    </w:p>
    <w:p>
      <w:pPr>
        <w:adjustRightInd w:val="0"/>
        <w:snapToGrid w:val="0"/>
        <w:spacing w:line="360" w:lineRule="auto"/>
        <w:ind w:firstLine="640" w:firstLineChars="200"/>
        <w:rPr>
          <w:rFonts w:ascii="黑体" w:eastAsia="黑体" w:hAnsi="黑体" w:cs="Times New Roman"/>
          <w:sz w:val="32"/>
          <w:szCs w:val="32"/>
        </w:rPr>
      </w:pPr>
      <w:r>
        <w:rPr>
          <w:rFonts w:ascii="黑体" w:eastAsia="黑体" w:hAnsi="黑体" w:cs="Times New Roman" w:hint="eastAsia"/>
          <w:sz w:val="32"/>
          <w:szCs w:val="32"/>
        </w:rPr>
        <w:t>十九、处方/用药医嘱干预率</w:t>
      </w:r>
    </w:p>
    <w:p>
      <w:pPr>
        <w:adjustRightInd w:val="0"/>
        <w:snapToGrid w:val="0"/>
        <w:spacing w:line="360" w:lineRule="auto"/>
        <w:ind w:firstLine="640" w:firstLineChars="200"/>
        <w:rPr>
          <w:rFonts w:ascii="仿宋_GB2312" w:eastAsia="仿宋_GB2312" w:hAnsi="仿宋"/>
          <w:b/>
          <w:sz w:val="32"/>
          <w:szCs w:val="32"/>
        </w:rPr>
      </w:pPr>
      <w:r>
        <w:rPr>
          <w:rFonts w:ascii="仿宋_GB2312" w:eastAsia="仿宋_GB2312" w:hAnsi="仿宋" w:hint="eastAsia"/>
          <w:b/>
          <w:sz w:val="32"/>
          <w:szCs w:val="32"/>
        </w:rPr>
        <w:t>1、门诊处方干预率</w: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定义：</w:t>
      </w:r>
      <w:r>
        <w:rPr>
          <w:rFonts w:ascii="仿宋_GB2312" w:eastAsia="仿宋_GB2312" w:hAnsi="仿宋" w:hint="eastAsia"/>
          <w:sz w:val="32"/>
          <w:szCs w:val="32"/>
        </w:rPr>
        <w:t>药师过合理用药软件审核并（或）经人工判断发现门诊处方为不合理处方，经过沟通医师同意对处方用药适宜性进行修改的处方数（张）占同期同范围门诊处方数（张）的比例。</w:t>
      </w:r>
    </w:p>
    <w:p>
      <w:pPr>
        <w:adjustRightInd w:val="0"/>
        <w:snapToGrid w:val="0"/>
        <w:spacing w:line="360" w:lineRule="auto"/>
        <w:ind w:firstLine="640" w:firstLineChars="200"/>
        <w:rPr>
          <w:rFonts w:ascii="仿宋_GB2312" w:eastAsia="仿宋_GB2312" w:hAnsi="仿宋"/>
          <w:b/>
          <w:sz w:val="32"/>
          <w:szCs w:val="32"/>
        </w:rPr>
      </w:pPr>
      <w:r>
        <w:rPr>
          <w:rFonts w:ascii="仿宋_GB2312" w:eastAsia="仿宋_GB2312" w:hAnsi="仿宋" w:hint="eastAsia"/>
          <w:b/>
          <w:sz w:val="32"/>
          <w:szCs w:val="32"/>
        </w:rPr>
        <w:t>计算公式：</w:t>
      </w:r>
    </w:p>
    <w:p>
      <w:pPr>
        <w:adjustRightInd w:val="0"/>
        <w:snapToGrid w:val="0"/>
        <w:spacing w:line="360" w:lineRule="auto"/>
        <w:ind w:firstLine="640" w:firstLineChars="200"/>
        <w:jc w:val="left"/>
        <w:rPr>
          <w:rFonts w:ascii="仿宋_GB2312" w:eastAsia="仿宋_GB2312" w:hAnsi="仿宋" w:cs="Times New Roman"/>
          <w:sz w:val="32"/>
          <w:szCs w:val="32"/>
        </w:rPr>
        <w:sectPr>
          <w:footerReference w:type="default" r:id="rId17"/>
          <w:type w:val="nextPage"/>
          <w:pgSz w:w="11910" w:h="16840"/>
          <w:pgMar w:top="1480" w:right="1100" w:bottom="1380" w:left="1680" w:header="0" w:footer="1195" w:gutter="0"/>
          <w:pgNumType w:start="12"/>
          <w:cols w:num="1" w:space="720"/>
          <w:titlePg w:val="0"/>
        </w:sectPr>
      </w:pPr>
      <w:r>
        <w:rPr>
          <w:rFonts w:ascii="仿宋_GB2312" w:eastAsia="仿宋_GB2312" w:hAnsi="仿宋" w:cs="Times New Roman" w:hint="eastAsia"/>
          <w:sz w:val="32"/>
          <w:szCs w:val="32"/>
        </w:rPr>
        <w:t>门诊处方干预率=</w:t>
      </w:r>
      <m:oMath>
        <m:f>
          <m:fPr>
            <m:ctrlPr>
              <w:rPr>
                <w:rFonts w:ascii="Cambria Math" w:eastAsia="仿宋_GB2312" w:hAnsi="Cambria Math" w:hint="eastAsia"/>
                <w:sz w:val="28"/>
                <w:szCs w:val="28"/>
              </w:rPr>
            </m:ctrlPr>
          </m:fPr>
          <m:num>
            <m:ctrlPr>
              <w:rPr>
                <w:rFonts w:ascii="Cambria Math" w:eastAsia="仿宋_GB2312" w:hAnsi="Cambria Math" w:hint="eastAsia"/>
                <w:sz w:val="28"/>
                <w:szCs w:val="28"/>
              </w:rPr>
            </m:ctrlPr>
            <m:r>
              <m:rPr>
                <m:sty m:val="p"/>
              </m:rPr>
              <w:rPr>
                <w:rFonts w:ascii="仿宋_GB2312" w:eastAsia="仿宋_GB2312" w:hAnsi="Cambria Math" w:hint="eastAsia"/>
                <w:sz w:val="28"/>
                <w:szCs w:val="28"/>
              </w:rPr>
              <m:t>医师同意对处方用药适宜性进行修改的门诊处方数（张）</m:t>
            </m:r>
          </m:num>
          <m:den>
            <m:ctrlPr>
              <w:rPr>
                <w:rFonts w:ascii="Cambria Math" w:eastAsia="仿宋_GB2312" w:hAnsi="Cambria Math" w:hint="eastAsia"/>
                <w:sz w:val="28"/>
                <w:szCs w:val="28"/>
              </w:rPr>
            </m:ctrlPr>
            <m:r>
              <m:rPr>
                <m:sty m:val="p"/>
              </m:rPr>
              <w:rPr>
                <w:rFonts w:ascii="仿宋_GB2312" w:eastAsia="仿宋_GB2312" w:hAnsi="Cambria Math" w:hint="eastAsia"/>
                <w:sz w:val="28"/>
                <w:szCs w:val="28"/>
              </w:rPr>
              <m:t>同期同范围门诊处方数（张）</m:t>
            </m:r>
          </m:den>
        </m:f>
      </m:oMath>
    </w:p>
    <w:p>
      <w:pPr>
        <w:adjustRightInd w:val="0"/>
        <w:snapToGrid w:val="0"/>
        <w:spacing w:line="360" w:lineRule="auto"/>
        <w:ind w:firstLine="560" w:firstLineChars="200"/>
        <w:jc w:val="left"/>
        <w:rPr>
          <w:rFonts w:ascii="仿宋_GB2312" w:eastAsia="仿宋_GB2312" w:hAnsi="仿宋" w:cs="Times New Roman"/>
          <w:sz w:val="32"/>
          <w:szCs w:val="32"/>
        </w:rPr>
      </w:pPr>
      <w:r>
        <w:rPr>
          <w:rFonts w:ascii="仿宋_GB2312" w:eastAsia="仿宋_GB2312" w:hAnsi="仿宋" w:cs="Times New Roman" w:hint="eastAsia"/>
          <w:sz w:val="28"/>
          <w:szCs w:val="28"/>
        </w:rPr>
        <w:t>×100%</w: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意义：</w:t>
      </w:r>
      <w:r>
        <w:rPr>
          <w:rFonts w:ascii="仿宋_GB2312" w:eastAsia="仿宋_GB2312" w:hAnsi="仿宋" w:hint="eastAsia"/>
          <w:sz w:val="32"/>
          <w:szCs w:val="32"/>
        </w:rPr>
        <w:t>反映门诊处方审核质量与药学服务能力的临床认可程度。</w:t>
      </w:r>
    </w:p>
    <w:p>
      <w:pPr>
        <w:adjustRightInd w:val="0"/>
        <w:snapToGrid w:val="0"/>
        <w:spacing w:line="360" w:lineRule="auto"/>
        <w:ind w:firstLine="640" w:firstLineChars="200"/>
        <w:rPr>
          <w:rFonts w:ascii="仿宋_GB2312" w:eastAsia="仿宋_GB2312" w:hAnsi="仿宋"/>
          <w:b/>
          <w:sz w:val="32"/>
          <w:szCs w:val="32"/>
        </w:rPr>
      </w:pPr>
      <w:r>
        <w:rPr>
          <w:rFonts w:ascii="仿宋_GB2312" w:eastAsia="仿宋_GB2312" w:hAnsi="仿宋" w:hint="eastAsia"/>
          <w:b/>
          <w:sz w:val="32"/>
          <w:szCs w:val="32"/>
        </w:rPr>
        <w:t>2、急诊处方干预率</w: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定义：</w:t>
      </w:r>
      <w:r>
        <w:rPr>
          <w:rFonts w:ascii="仿宋_GB2312" w:eastAsia="仿宋_GB2312" w:hAnsi="仿宋" w:hint="eastAsia"/>
          <w:sz w:val="32"/>
          <w:szCs w:val="32"/>
        </w:rPr>
        <w:t>药师通过合理用药软件审核并（或）经人工判断发现急诊处方为不合理处方，经过沟通医师同意对处方用药适宜性进行修改的处方数（张）占同期急诊处方数（张）的比例。</w:t>
      </w:r>
    </w:p>
    <w:p>
      <w:pPr>
        <w:adjustRightInd w:val="0"/>
        <w:snapToGrid w:val="0"/>
        <w:spacing w:line="360" w:lineRule="auto"/>
        <w:ind w:firstLine="640" w:firstLineChars="200"/>
        <w:rPr>
          <w:rFonts w:ascii="仿宋_GB2312" w:eastAsia="仿宋_GB2312" w:hAnsi="仿宋"/>
          <w:b/>
          <w:sz w:val="32"/>
          <w:szCs w:val="32"/>
        </w:rPr>
      </w:pPr>
      <w:r>
        <w:rPr>
          <w:rFonts w:ascii="仿宋_GB2312" w:eastAsia="仿宋_GB2312" w:hAnsi="仿宋" w:hint="eastAsia"/>
          <w:b/>
          <w:sz w:val="32"/>
          <w:szCs w:val="32"/>
        </w:rPr>
        <w:t>计算公式：</w:t>
      </w:r>
    </w:p>
    <w:p>
      <w:pPr>
        <w:adjustRightInd w:val="0"/>
        <w:snapToGrid w:val="0"/>
        <w:spacing w:line="360" w:lineRule="auto"/>
        <w:ind w:firstLine="600" w:firstLineChars="200"/>
        <w:jc w:val="left"/>
        <w:rPr>
          <w:rFonts w:ascii="仿宋_GB2312" w:eastAsia="仿宋_GB2312" w:hAnsi="仿宋"/>
          <w:sz w:val="30"/>
          <w:szCs w:val="30"/>
        </w:rPr>
      </w:pPr>
      <w:r>
        <w:rPr>
          <w:rFonts w:ascii="仿宋_GB2312" w:eastAsia="仿宋_GB2312" w:hAnsi="仿宋" w:cs="Times New Roman" w:hint="eastAsia"/>
          <w:sz w:val="30"/>
          <w:szCs w:val="30"/>
        </w:rPr>
        <w:t>急诊处方干预率=</w:t>
      </w:r>
      <m:oMath>
        <m:f>
          <m:fPr>
            <m:ctrlPr>
              <w:rPr>
                <w:rFonts w:ascii="Cambria Math" w:eastAsia="仿宋_GB2312" w:hAnsi="Cambria Math" w:hint="eastAsia"/>
                <w:sz w:val="30"/>
                <w:szCs w:val="30"/>
              </w:rPr>
            </m:ctrlPr>
          </m:fPr>
          <m:num>
            <m:ctrlPr>
              <w:rPr>
                <w:rFonts w:ascii="Cambria Math" w:eastAsia="仿宋_GB2312" w:hAnsi="Cambria Math" w:hint="eastAsia"/>
                <w:sz w:val="30"/>
                <w:szCs w:val="30"/>
              </w:rPr>
            </m:ctrlPr>
            <m:r>
              <m:rPr>
                <m:sty m:val="p"/>
              </m:rPr>
              <w:rPr>
                <w:rFonts w:ascii="仿宋_GB2312" w:eastAsia="仿宋_GB2312" w:hAnsi="Cambria Math" w:hint="eastAsia"/>
                <w:sz w:val="30"/>
                <w:szCs w:val="30"/>
              </w:rPr>
              <m:t>医师同意对处方用药适宜性进行修改的急诊处方数（张）</m:t>
            </m:r>
          </m:num>
          <m:den>
            <m:ctrlPr>
              <w:rPr>
                <w:rFonts w:ascii="Cambria Math" w:eastAsia="仿宋_GB2312" w:hAnsi="Cambria Math" w:hint="eastAsia"/>
                <w:sz w:val="30"/>
                <w:szCs w:val="30"/>
              </w:rPr>
            </m:ctrlPr>
            <m:r>
              <m:rPr>
                <m:sty m:val="p"/>
              </m:rPr>
              <w:rPr>
                <w:rFonts w:ascii="仿宋_GB2312" w:eastAsia="仿宋_GB2312" w:hAnsi="Cambria Math" w:hint="eastAsia"/>
                <w:sz w:val="30"/>
                <w:szCs w:val="30"/>
              </w:rPr>
              <m:t>同期急诊处方数（张）</m:t>
            </m:r>
          </m:den>
        </m:f>
      </m:oMath>
      <w:r>
        <w:rPr>
          <w:rFonts w:ascii="仿宋_GB2312" w:eastAsia="仿宋_GB2312" w:hAnsi="仿宋" w:cs="Times New Roman" w:hint="eastAsia"/>
          <w:sz w:val="30"/>
          <w:szCs w:val="30"/>
        </w:rPr>
        <w:t>×100%</w: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意义：</w:t>
      </w:r>
      <w:r>
        <w:rPr>
          <w:rFonts w:ascii="仿宋_GB2312" w:eastAsia="仿宋_GB2312" w:hAnsi="仿宋" w:hint="eastAsia"/>
          <w:sz w:val="32"/>
          <w:szCs w:val="32"/>
        </w:rPr>
        <w:t>反映急诊处方审核质量与药学服务能力的临床认可程度。</w:t>
      </w:r>
    </w:p>
    <w:p>
      <w:pPr>
        <w:adjustRightInd w:val="0"/>
        <w:snapToGrid w:val="0"/>
        <w:spacing w:line="360" w:lineRule="auto"/>
        <w:ind w:firstLine="640" w:firstLineChars="200"/>
        <w:rPr>
          <w:rFonts w:ascii="仿宋_GB2312" w:eastAsia="仿宋_GB2312" w:hAnsi="仿宋"/>
          <w:b/>
          <w:sz w:val="32"/>
          <w:szCs w:val="32"/>
        </w:rPr>
      </w:pPr>
      <w:r>
        <w:rPr>
          <w:rFonts w:ascii="仿宋_GB2312" w:eastAsia="仿宋_GB2312" w:hAnsi="仿宋" w:hint="eastAsia"/>
          <w:b/>
          <w:sz w:val="32"/>
          <w:szCs w:val="32"/>
        </w:rPr>
        <w:t>3、住院用药医嘱干预率</w: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定义：</w:t>
      </w:r>
      <w:r>
        <w:rPr>
          <w:rFonts w:ascii="仿宋_GB2312" w:eastAsia="仿宋_GB2312" w:hAnsi="仿宋" w:hint="eastAsia"/>
          <w:sz w:val="32"/>
          <w:szCs w:val="32"/>
        </w:rPr>
        <w:t>药师过合理用药软件审核并（或）经人工判断发现住院用药医嘱为不适宜医嘱，经过沟通医师同意对用药适宜性进行修改的医嘱条目数占同期同范围住院用药医嘱条目数的比例。</w:t>
      </w:r>
    </w:p>
    <w:p>
      <w:pPr>
        <w:adjustRightInd w:val="0"/>
        <w:snapToGrid w:val="0"/>
        <w:spacing w:line="360" w:lineRule="auto"/>
        <w:ind w:firstLine="640" w:firstLineChars="200"/>
        <w:rPr>
          <w:rFonts w:ascii="仿宋_GB2312" w:eastAsia="仿宋_GB2312" w:hAnsi="仿宋"/>
          <w:b/>
          <w:sz w:val="32"/>
          <w:szCs w:val="32"/>
        </w:rPr>
      </w:pPr>
      <w:r>
        <w:rPr>
          <w:rFonts w:ascii="仿宋_GB2312" w:eastAsia="仿宋_GB2312" w:hAnsi="仿宋" w:hint="eastAsia"/>
          <w:b/>
          <w:sz w:val="32"/>
          <w:szCs w:val="32"/>
        </w:rPr>
        <w:t>计算公式：</w:t>
      </w:r>
    </w:p>
    <w:p>
      <w:pPr>
        <w:adjustRightInd w:val="0"/>
        <w:snapToGrid w:val="0"/>
        <w:spacing w:line="360" w:lineRule="auto"/>
        <w:ind w:firstLine="420" w:firstLineChars="200"/>
        <w:rPr>
          <w:rFonts w:ascii="仿宋_GB2312" w:eastAsia="仿宋_GB2312" w:hAnsi="仿宋"/>
          <w:b/>
          <w:sz w:val="32"/>
          <w:szCs w:val="32"/>
        </w:rPr>
      </w:pPr>
      <m:oMath>
        <m:m>
          <m:mPr>
            <m:mcs>
              <m:mc>
                <m:mcPr>
                  <m:count m:val="1"/>
                  <m:mcJc m:val="center"/>
                </m:mcPr>
              </m:mc>
            </m:mcs>
            <m:ctrlPr>
              <w:rPr>
                <w:rFonts w:ascii="Cambria Math" w:eastAsia="仿宋_GB2312" w:hAnsi="Cambria Math" w:cs="Times New Roman" w:hint="eastAsia"/>
                <w:sz w:val="32"/>
                <w:szCs w:val="32"/>
              </w:rPr>
            </m:ctrlPr>
          </m:mP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住院用药</m:t>
              </m:r>
            </m:e>
          </m:mr>
          <m:mr>
            <m:e>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医嘱干预率</m:t>
              </m:r>
            </m:e>
          </m:mr>
        </m:m>
      </m:oMath>
      <w:r>
        <w:rPr>
          <w:rFonts w:ascii="仿宋_GB2312" w:eastAsia="仿宋_GB2312" w:hAnsi="仿宋" w:cs="Times New Roman" w:hint="eastAsia"/>
          <w:sz w:val="32"/>
          <w:szCs w:val="32"/>
        </w:rPr>
        <w:t>=</w:t>
      </w:r>
      <m:oMath>
        <m:f>
          <m:fPr>
            <m:ctrlPr>
              <w:rPr>
                <w:rFonts w:ascii="Cambria Math" w:eastAsia="仿宋_GB2312" w:hAnsi="Cambria Math" w:hint="eastAsia"/>
                <w:sz w:val="32"/>
                <w:szCs w:val="32"/>
              </w:rPr>
            </m:ctrlPr>
          </m:fPr>
          <m:num>
            <m:ctrlPr>
              <w:rPr>
                <w:rFonts w:ascii="Cambria Math" w:eastAsia="仿宋_GB2312" w:hAnsi="Cambria Math" w:hint="eastAsia"/>
                <w:sz w:val="32"/>
                <w:szCs w:val="32"/>
              </w:rPr>
            </m:ctrlPr>
            <m:eqArr>
              <m:eqArrPr>
                <m:ctrlPr>
                  <w:rPr>
                    <w:rFonts w:ascii="Cambria Math" w:eastAsia="仿宋_GB2312" w:hAnsi="Cambria Math" w:hint="eastAsia"/>
                    <w:sz w:val="32"/>
                    <w:szCs w:val="32"/>
                  </w:rPr>
                </m:ctrlPr>
              </m:eqArrPr>
              <m:e>
                <m:ctrlPr>
                  <w:rPr>
                    <w:rFonts w:ascii="Cambria Math" w:eastAsia="仿宋_GB2312" w:hAnsi="Cambria Math" w:hint="eastAsia"/>
                    <w:sz w:val="32"/>
                    <w:szCs w:val="32"/>
                  </w:rPr>
                </m:ctrlPr>
                <m:r>
                  <m:rPr>
                    <m:sty m:val="p"/>
                  </m:rPr>
                  <w:rPr>
                    <w:rFonts w:ascii="仿宋_GB2312" w:eastAsia="仿宋_GB2312" w:hAnsi="Cambria Math" w:hint="eastAsia"/>
                    <w:sz w:val="32"/>
                    <w:szCs w:val="32"/>
                  </w:rPr>
                  <m:t>医师同意对医嘱用药</m:t>
                </m:r>
              </m:e>
              <m:e>
                <m:ctrlPr>
                  <w:rPr>
                    <w:rFonts w:ascii="Cambria Math" w:eastAsia="仿宋_GB2312" w:hAnsi="Cambria Math" w:hint="eastAsia"/>
                    <w:sz w:val="32"/>
                    <w:szCs w:val="32"/>
                  </w:rPr>
                </m:ctrlPr>
                <m:r>
                  <m:rPr>
                    <m:sty m:val="p"/>
                  </m:rPr>
                  <w:rPr>
                    <w:rFonts w:ascii="仿宋_GB2312" w:eastAsia="仿宋_GB2312" w:hAnsi="Cambria Math" w:hint="eastAsia"/>
                    <w:sz w:val="32"/>
                    <w:szCs w:val="32"/>
                  </w:rPr>
                  <m:t>适宜性进行修改的用药医嘱条目数</m:t>
                </m:r>
              </m:e>
            </m:eqArr>
          </m:num>
          <m:den>
            <m:ctrlPr>
              <w:rPr>
                <w:rFonts w:ascii="Cambria Math" w:eastAsia="仿宋_GB2312" w:hAnsi="Cambria Math" w:hint="eastAsia"/>
                <w:sz w:val="32"/>
                <w:szCs w:val="32"/>
              </w:rPr>
            </m:ctrlPr>
            <m:r>
              <m:rPr>
                <m:sty m:val="p"/>
              </m:rPr>
              <w:rPr>
                <w:rFonts w:ascii="仿宋_GB2312" w:eastAsia="仿宋_GB2312" w:hAnsi="Cambria Math" w:hint="eastAsia"/>
                <w:sz w:val="32"/>
                <w:szCs w:val="32"/>
              </w:rPr>
              <m:t>同期同范围住院用药医嘱条目数</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b/>
          <w:sz w:val="32"/>
          <w:szCs w:val="32"/>
        </w:rPr>
        <w:sectPr>
          <w:footerReference w:type="default" r:id="rId18"/>
          <w:type w:val="nextPage"/>
          <w:pgSz w:w="11910" w:h="16840"/>
          <w:pgMar w:top="1480" w:right="1100" w:bottom="1380" w:left="1680" w:header="0" w:footer="1195" w:gutter="0"/>
          <w:pgNumType w:start="13"/>
          <w:cols w:num="1" w:space="720"/>
          <w:titlePg w:val="0"/>
        </w:sectPr>
      </w:pPr>
      <w:r>
        <w:rPr>
          <w:rFonts w:ascii="仿宋_GB2312" w:eastAsia="仿宋_GB2312" w:hAnsi="仿宋" w:hint="eastAsia"/>
          <w:b/>
          <w:sz w:val="32"/>
          <w:szCs w:val="32"/>
        </w:rPr>
        <w:t>意义：</w:t>
      </w:r>
      <w:r>
        <w:rPr>
          <w:rFonts w:ascii="仿宋_GB2312" w:eastAsia="仿宋_GB2312" w:hAnsi="仿宋" w:hint="eastAsia"/>
          <w:sz w:val="32"/>
          <w:szCs w:val="32"/>
        </w:rPr>
        <w:t>反映住院用药医嘱审核质量与药学服务能力的临床认可程度。</w:t>
      </w:r>
    </w:p>
    <w:p>
      <w:pPr>
        <w:adjustRightInd w:val="0"/>
        <w:snapToGrid w:val="0"/>
        <w:spacing w:line="360" w:lineRule="auto"/>
        <w:ind w:firstLine="640" w:firstLineChars="200"/>
        <w:rPr>
          <w:rFonts w:ascii="仿宋_GB2312" w:eastAsia="仿宋_GB2312" w:hAnsi="黑体" w:cs="Times New Roman"/>
          <w:sz w:val="32"/>
          <w:szCs w:val="32"/>
        </w:rPr>
      </w:pPr>
      <w:r>
        <w:rPr>
          <w:rFonts w:ascii="仿宋_GB2312" w:eastAsia="仿宋_GB2312" w:hAnsi="仿宋" w:hint="eastAsia"/>
          <w:b/>
          <w:sz w:val="32"/>
          <w:szCs w:val="32"/>
        </w:rPr>
        <w:t>4、静脉用药集中调配医嘱干预率</w:t>
      </w:r>
    </w:p>
    <w:p>
      <w:pPr>
        <w:adjustRightInd w:val="0"/>
        <w:snapToGrid w:val="0"/>
        <w:spacing w:line="360" w:lineRule="auto"/>
        <w:ind w:firstLine="640" w:firstLineChars="200"/>
        <w:rPr>
          <w:rFonts w:ascii="仿宋_GB2312" w:eastAsia="仿宋_GB2312" w:hAnsi="仿宋_GB2312" w:cs="仿宋_GB2312"/>
          <w:sz w:val="32"/>
          <w:szCs w:val="32"/>
        </w:rPr>
      </w:pPr>
      <w:r>
        <w:rPr>
          <w:rFonts w:ascii="仿宋_GB2312" w:eastAsia="仿宋_GB2312" w:hAnsi="仿宋" w:hint="eastAsia"/>
          <w:b/>
          <w:sz w:val="32"/>
          <w:szCs w:val="32"/>
        </w:rPr>
        <w:t>定义：</w:t>
      </w:r>
      <w:r>
        <w:rPr>
          <w:rFonts w:ascii="仿宋_GB2312" w:eastAsia="仿宋_GB2312" w:hAnsi="仿宋" w:hint="eastAsia"/>
          <w:sz w:val="32"/>
          <w:szCs w:val="32"/>
        </w:rPr>
        <w:t>静脉用药调配中心药师审核静脉用药医嘱时发现不适宜医嘱，经过沟通，医师同意对医嘱用药的适宜性进行修改的医嘱条目数占同期静脉用药调配中心药师审核发现的不适宜医嘱条目数的比例。</w:t>
      </w:r>
    </w:p>
    <w:p>
      <w:pPr>
        <w:adjustRightInd w:val="0"/>
        <w:snapToGrid w:val="0"/>
        <w:spacing w:line="360" w:lineRule="auto"/>
        <w:ind w:firstLine="1280" w:firstLineChars="400"/>
        <w:rPr>
          <w:rFonts w:ascii="仿宋_GB2312" w:eastAsia="仿宋_GB2312" w:hAnsi="仿宋"/>
          <w:b/>
          <w:sz w:val="32"/>
          <w:szCs w:val="32"/>
        </w:rPr>
      </w:pPr>
      <w:r>
        <w:rPr>
          <w:rFonts w:ascii="仿宋_GB2312" w:eastAsia="仿宋_GB2312" w:hAnsi="仿宋" w:hint="eastAsia"/>
          <w:b/>
          <w:position w:val="-28"/>
          <w:sz w:val="32"/>
          <w:szCs w:val="32"/>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3pt;height:33.5pt" o:ole="" coordsize="21600,21600" o:preferrelative="t" filled="f" stroked="f">
            <v:stroke joinstyle="miter"/>
            <v:imagedata r:id="rId19" o:title=""/>
            <o:lock v:ext="edit" aspectratio="t"/>
            <w10:anchorlock/>
          </v:shape>
          <o:OLEObject Type="Embed" ProgID="Equation.3" ShapeID="_x0000_i1025" DrawAspect="Content" ObjectID="_1468075725" r:id="rId20"/>
        </w:object>
      </w:r>
      <w:r>
        <w:rPr>
          <w:rFonts w:ascii="仿宋_GB2312" w:eastAsia="仿宋_GB2312" w:hAnsi="仿宋" w:hint="eastAsia"/>
          <w:b/>
          <w:sz w:val="32"/>
          <w:szCs w:val="32"/>
        </w:rPr>
        <w:t>=</w:t>
      </w:r>
      <w:r>
        <w:rPr>
          <w:rFonts w:ascii="仿宋_GB2312" w:eastAsia="仿宋_GB2312" w:hAnsi="仿宋" w:hint="eastAsia"/>
          <w:b/>
          <w:position w:val="-26"/>
          <w:sz w:val="32"/>
          <w:szCs w:val="32"/>
        </w:rPr>
        <w:object>
          <v:shape id="_x0000_i1026" type="#_x0000_t75" style="width:148.95pt;height:33.5pt" o:ole="" coordsize="21600,21600" o:preferrelative="t" filled="f" stroked="f">
            <v:stroke joinstyle="miter"/>
            <v:imagedata r:id="rId21" o:title=""/>
            <o:lock v:ext="edit" aspectratio="t"/>
            <w10:anchorlock/>
          </v:shape>
          <o:OLEObject Type="Embed" ProgID="Equation.3" ShapeID="_x0000_i1026" DrawAspect="Content" ObjectID="_1468075726" r:id="rId22"/>
        </w:object>
      </w:r>
      <w:r>
        <w:rPr>
          <w:rFonts w:ascii="宋体" w:eastAsia="宋体" w:hAnsi="宋体" w:cs="宋体" w:hint="eastAsia"/>
          <w:b/>
          <w:sz w:val="32"/>
          <w:szCs w:val="32"/>
        </w:rPr>
        <w:t>×</w:t>
      </w:r>
      <w:r>
        <w:rPr>
          <w:rFonts w:ascii="仿宋_GB2312" w:eastAsia="仿宋_GB2312" w:hAnsi="仿宋" w:hint="eastAsia"/>
          <w:b/>
          <w:sz w:val="32"/>
          <w:szCs w:val="32"/>
        </w:rPr>
        <w:t>100%</w:t>
      </w:r>
      <w:r>
        <w:rPr>
          <w:rFonts w:ascii="仿宋_GB2312" w:eastAsia="仿宋_GB2312" w:hAnsi="仿宋" w:hint="eastAsia"/>
          <w:b/>
          <w:position w:val="-10"/>
          <w:sz w:val="32"/>
          <w:szCs w:val="32"/>
        </w:rPr>
        <w:object>
          <v:shape id="_x0000_i1027" type="#_x0000_t75" style="width:1in;height:17.4pt" o:ole="" coordsize="21600,21600" o:preferrelative="t" filled="f" stroked="f">
            <v:stroke joinstyle="miter"/>
            <v:imagedata r:id="rId23" o:title=""/>
            <o:lock v:ext="edit" aspectratio="t"/>
            <w10:anchorlock/>
          </v:shape>
          <o:OLEObject Type="Embed" ProgID="Equation.3" ShapeID="_x0000_i1027" DrawAspect="Content" ObjectID="_1468075727" r:id="rId24"/>
        </w:object>
      </w:r>
    </w:p>
    <w:p>
      <w:pPr>
        <w:adjustRightInd w:val="0"/>
        <w:snapToGrid w:val="0"/>
        <w:spacing w:line="360" w:lineRule="auto"/>
        <w:ind w:firstLine="640" w:firstLineChars="200"/>
        <w:rPr>
          <w:rFonts w:ascii="仿宋_GB2312" w:eastAsia="仿宋_GB2312" w:hAnsi="仿宋"/>
          <w:sz w:val="32"/>
          <w:szCs w:val="32"/>
        </w:rPr>
      </w:pPr>
      <w:r>
        <w:rPr>
          <w:rFonts w:ascii="仿宋_GB2312" w:eastAsia="仿宋_GB2312" w:hAnsi="仿宋" w:hint="eastAsia"/>
          <w:b/>
          <w:sz w:val="32"/>
          <w:szCs w:val="32"/>
        </w:rPr>
        <w:t>意义：</w:t>
      </w:r>
      <w:r>
        <w:rPr>
          <w:rFonts w:ascii="仿宋_GB2312" w:eastAsia="仿宋_GB2312" w:hAnsi="仿宋" w:hint="eastAsia"/>
          <w:sz w:val="32"/>
          <w:szCs w:val="32"/>
        </w:rPr>
        <w:t>反映静脉用药调配中心医嘱审核质量与药学服务能力的临床认可程度。</w:t>
      </w:r>
    </w:p>
    <w:p>
      <w:pPr>
        <w:adjustRightInd w:val="0"/>
        <w:snapToGrid w:val="0"/>
        <w:spacing w:line="360" w:lineRule="auto"/>
        <w:ind w:firstLine="640" w:firstLineChars="200"/>
        <w:jc w:val="left"/>
        <w:rPr>
          <w:rFonts w:ascii="仿宋_GB2312" w:eastAsia="仿宋_GB2312" w:hAnsi="仿宋"/>
          <w:sz w:val="32"/>
          <w:szCs w:val="32"/>
        </w:rPr>
      </w:pPr>
      <w:r>
        <w:rPr>
          <w:rFonts w:ascii="仿宋_GB2312" w:eastAsia="仿宋_GB2312" w:hAnsi="仿宋" w:hint="eastAsia"/>
          <w:b/>
          <w:sz w:val="32"/>
          <w:szCs w:val="32"/>
        </w:rPr>
        <w:t>注：</w:t>
      </w:r>
      <w:r>
        <w:rPr>
          <w:rFonts w:ascii="仿宋_GB2312" w:eastAsia="仿宋_GB2312" w:hAnsi="仿宋" w:hint="eastAsia"/>
          <w:sz w:val="32"/>
          <w:szCs w:val="32"/>
        </w:rPr>
        <w:t>按照《处方管理办法》、《医疗机构药事管理规定》和《静脉用药集中调配质量管理规范》等，审核处方或用药医嘱存在问题时，应当及时与处方医师沟通，请其修改并签名。因病情需要的超剂量等特殊用药，医师应当再次确认签名。对用药错误处方或医嘱药师应当拒绝调配。</w:t>
      </w:r>
    </w:p>
    <w:p>
      <w:pPr>
        <w:adjustRightInd w:val="0"/>
        <w:snapToGrid w:val="0"/>
        <w:spacing w:line="360" w:lineRule="auto"/>
        <w:ind w:firstLine="640" w:firstLineChars="200"/>
        <w:rPr>
          <w:rFonts w:ascii="黑体" w:eastAsia="黑体" w:hAnsi="黑体"/>
          <w:sz w:val="32"/>
          <w:szCs w:val="32"/>
        </w:rPr>
      </w:pPr>
      <w:r>
        <w:rPr>
          <w:rFonts w:ascii="黑体" w:eastAsia="黑体" w:hAnsi="黑体" w:hint="eastAsia"/>
          <w:sz w:val="32"/>
          <w:szCs w:val="32"/>
        </w:rPr>
        <w:t>二十、住院患者药学监护率</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b/>
          <w:sz w:val="32"/>
          <w:szCs w:val="32"/>
        </w:rPr>
        <w:t>定义：</w:t>
      </w:r>
      <w:r>
        <w:rPr>
          <w:rFonts w:ascii="仿宋_GB2312" w:eastAsia="仿宋_GB2312" w:hAnsi="仿宋" w:cs="Times New Roman" w:hint="eastAsia"/>
          <w:sz w:val="32"/>
          <w:szCs w:val="32"/>
        </w:rPr>
        <w:t>实施药学监护的住院患者人次数占同期住院患者总人次数的比例。</w:t>
      </w:r>
    </w:p>
    <w:p>
      <w:pPr>
        <w:adjustRightInd w:val="0"/>
        <w:snapToGrid w:val="0"/>
        <w:spacing w:line="360" w:lineRule="auto"/>
        <w:ind w:firstLine="640" w:firstLineChars="200"/>
        <w:rPr>
          <w:rFonts w:ascii="仿宋_GB2312" w:eastAsia="仿宋_GB2312" w:hAnsi="仿宋" w:cs="Times New Roman"/>
          <w:b/>
          <w:sz w:val="32"/>
          <w:szCs w:val="32"/>
        </w:rPr>
      </w:pPr>
      <w:r>
        <w:rPr>
          <w:rFonts w:ascii="仿宋_GB2312" w:eastAsia="仿宋_GB2312" w:hAnsi="仿宋" w:cs="Times New Roman" w:hint="eastAsia"/>
          <w:b/>
          <w:sz w:val="32"/>
          <w:szCs w:val="32"/>
        </w:rPr>
        <w:t>计算公式：</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hint="eastAsia"/>
          <w:sz w:val="32"/>
          <w:szCs w:val="32"/>
        </w:rPr>
        <w:t>住院患者药学监护率=</w:t>
      </w:r>
      <m:oMath>
        <m:f>
          <m:fPr>
            <m:ctrlPr>
              <w:rPr>
                <w:rFonts w:ascii="Cambria Math" w:eastAsia="仿宋_GB2312" w:hAnsi="Cambria Math" w:cs="Times New Roman" w:hint="eastAsia"/>
                <w:sz w:val="32"/>
                <w:szCs w:val="32"/>
              </w:rPr>
            </m:ctrlPr>
          </m:fPr>
          <m:num>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实施药学监护的住院患者人次数</m:t>
            </m:r>
          </m:num>
          <m:den>
            <m:ctrlPr>
              <w:rPr>
                <w:rFonts w:ascii="Cambria Math" w:eastAsia="仿宋_GB2312" w:hAnsi="Cambria Math" w:cs="Times New Roman" w:hint="eastAsia"/>
                <w:sz w:val="32"/>
                <w:szCs w:val="32"/>
              </w:rPr>
            </m:ctrlPr>
            <m:r>
              <m:rPr>
                <m:sty m:val="p"/>
              </m:rPr>
              <w:rPr>
                <w:rFonts w:ascii="仿宋_GB2312" w:eastAsia="仿宋_GB2312" w:hAnsi="Cambria Math" w:cs="Times New Roman" w:hint="eastAsia"/>
                <w:sz w:val="32"/>
                <w:szCs w:val="32"/>
              </w:rPr>
              <m:t>同期住院患者总人次数</m:t>
            </m:r>
          </m:den>
        </m:f>
      </m:oMath>
      <w:r>
        <w:rPr>
          <w:rFonts w:ascii="仿宋_GB2312" w:eastAsia="仿宋_GB2312" w:hAnsi="仿宋" w:cs="Times New Roman" w:hint="eastAsia"/>
          <w:sz w:val="32"/>
          <w:szCs w:val="32"/>
        </w:rPr>
        <w:t>×100%</w:t>
      </w:r>
    </w:p>
    <w:p>
      <w:pPr>
        <w:adjustRightInd w:val="0"/>
        <w:snapToGrid w:val="0"/>
        <w:spacing w:line="360" w:lineRule="auto"/>
        <w:ind w:firstLine="640" w:firstLineChars="200"/>
        <w:rPr>
          <w:rFonts w:ascii="仿宋_GB2312" w:eastAsia="仿宋_GB2312" w:hAnsi="仿宋" w:cs="Times New Roman"/>
          <w:sz w:val="32"/>
          <w:szCs w:val="32"/>
        </w:rPr>
        <w:sectPr>
          <w:footerReference w:type="default" r:id="rId25"/>
          <w:type w:val="nextPage"/>
          <w:pgSz w:w="11910" w:h="16840"/>
          <w:pgMar w:top="1480" w:right="1100" w:bottom="1380" w:left="1680" w:header="0" w:footer="1195" w:gutter="0"/>
          <w:pgNumType w:start="14"/>
          <w:cols w:num="1" w:space="720"/>
          <w:titlePg w:val="0"/>
        </w:sectPr>
      </w:pPr>
      <w:r>
        <w:rPr>
          <w:rFonts w:ascii="仿宋_GB2312" w:eastAsia="仿宋_GB2312" w:hAnsi="仿宋" w:cs="Times New Roman" w:hint="eastAsia"/>
          <w:b/>
          <w:sz w:val="32"/>
          <w:szCs w:val="32"/>
        </w:rPr>
        <w:t>意义：</w:t>
      </w:r>
      <w:r>
        <w:rPr>
          <w:rFonts w:ascii="仿宋_GB2312" w:eastAsia="仿宋_GB2312" w:hAnsi="仿宋" w:cs="Times New Roman" w:hint="eastAsia"/>
          <w:sz w:val="32"/>
          <w:szCs w:val="32"/>
        </w:rPr>
        <w:t>反映临床药师为住院患者提供药学服务的情况。</w:t>
      </w:r>
    </w:p>
    <w:p>
      <w:pPr>
        <w:pStyle w:val="Default"/>
        <w:snapToGrid w:val="0"/>
        <w:spacing w:line="360" w:lineRule="auto"/>
        <w:ind w:firstLine="640" w:firstLineChars="200"/>
        <w:rPr>
          <w:rFonts w:ascii="仿宋_GB2312" w:eastAsia="仿宋_GB2312" w:hAnsi="仿宋" w:cstheme="minorBidi"/>
          <w:color w:val="auto"/>
          <w:kern w:val="2"/>
          <w:sz w:val="32"/>
          <w:szCs w:val="32"/>
        </w:rPr>
      </w:pPr>
      <w:r>
        <w:rPr>
          <w:rFonts w:ascii="仿宋_GB2312" w:eastAsia="仿宋_GB2312" w:hAnsi="仿宋" w:hint="eastAsia"/>
          <w:b/>
          <w:color w:val="auto"/>
          <w:sz w:val="32"/>
          <w:szCs w:val="32"/>
        </w:rPr>
        <w:t>注：</w:t>
      </w:r>
      <w:r>
        <w:rPr>
          <w:rFonts w:ascii="仿宋_GB2312" w:eastAsia="仿宋_GB2312" w:hAnsi="仿宋" w:cstheme="minorBidi" w:hint="eastAsia"/>
          <w:color w:val="auto"/>
          <w:kern w:val="2"/>
          <w:sz w:val="32"/>
          <w:szCs w:val="32"/>
        </w:rPr>
        <w:t>药学监护主要内容包括入院药学评估，制定监护计划，审核用药医嘱，用药教育，参与查房、会诊，药品不良反应监测，根据血药浓度监测和药物基因组检测结果调整药物治疗方案及文书记录。</w:t>
      </w:r>
    </w:p>
    <w:p>
      <w:pPr>
        <w:adjustRightInd w:val="0"/>
        <w:snapToGrid w:val="0"/>
        <w:spacing w:line="360" w:lineRule="auto"/>
        <w:ind w:firstLine="640" w:firstLineChars="200"/>
        <w:rPr>
          <w:rFonts w:ascii="仿宋_GB2312" w:eastAsia="仿宋_GB2312" w:hAnsi="仿宋" w:cs="Times New Roman"/>
          <w:sz w:val="32"/>
          <w:szCs w:val="32"/>
        </w:rPr>
      </w:pPr>
      <w:r>
        <w:rPr>
          <w:rFonts w:ascii="仿宋_GB2312" w:eastAsia="仿宋_GB2312" w:hAnsi="仿宋" w:cs="Times New Roman"/>
          <w:sz w:val="32"/>
          <w:szCs w:val="32"/>
        </w:rPr>
        <w:br/>
      </w:r>
      <w:r>
        <w:rPr>
          <w:rFonts w:ascii="仿宋_GB2312" w:eastAsia="仿宋_GB2312" w:hAnsi="仿宋" w:cs="Times New Roman"/>
          <w:sz w:val="32"/>
          <w:szCs w:val="32"/>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https://d.book118.com/018064034143006043</w:t>
        </w:r>
      </w:hyperlink>
    </w:p>
    <w:p>
      <w:pPr>
        <w:adjustRightInd w:val="0"/>
        <w:snapToGrid w:val="0"/>
        <w:spacing w:line="360" w:lineRule="auto"/>
        <w:ind w:firstLine="640" w:firstLineChars="200"/>
        <w:rPr>
          <w:rFonts w:ascii="仿宋_GB2312" w:eastAsia="仿宋_GB2312" w:hAnsi="仿宋" w:cs="Times New Roman"/>
          <w:sz w:val="32"/>
          <w:szCs w:val="32"/>
        </w:rPr>
      </w:pPr>
    </w:p>
    <w:sectPr>
      <w:footerReference w:type="default" r:id="rId27"/>
      <w:type w:val="nextPage"/>
      <w:pgSz w:w="11910" w:h="16840"/>
      <w:pgMar w:top="1480" w:right="1100" w:bottom="1380" w:left="1680" w:header="0" w:footer="1195" w:gutter="0"/>
      <w:pgNumType w:start="15"/>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JhengHei">
    <w:panose1 w:val="020B0604030504040204"/>
    <w:charset w:val="88"/>
    <w:family w:val="swiss"/>
    <w:pitch w:val="default"/>
    <w:sig w:usb0="00000087" w:usb1="28AF4000" w:usb2="00000016" w:usb3="00000000" w:csb0="00100009" w:csb1="00000000"/>
  </w:font>
  <w:font w:name="小标宋">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华文仿宋">
    <w:altName w:val="仿宋"/>
    <w:panose1 w:val="02010600040101010101"/>
    <w:charset w:val="86"/>
    <w:family w:val="auto"/>
    <w:pitch w:val="default"/>
    <w:sig w:usb0="00000000" w:usb1="00000000" w:usb2="00000010" w:usb3="00000000" w:csb0="0004009F" w:csb1="00000000"/>
  </w:font>
  <w:font w:name="MS Mincho">
    <w:panose1 w:val="02020609040205080304"/>
    <w:charset w:val="80"/>
    <w:family w:val="modern"/>
    <w:pitch w:val="default"/>
    <w:sig w:usb0="E00002FF" w:usb1="6AC7FDFB" w:usb2="00000012" w:usb3="00000000" w:csb0="4002009F" w:csb1="DFD70000"/>
  </w:font>
  <w:font w:name="Arial Unicode MS">
    <w:altName w:val="宋体"/>
    <w:panose1 w:val="020B0604020202020204"/>
    <w:charset w:val="86"/>
    <w:family w:val="swiss"/>
    <w:pitch w:val="default"/>
    <w:sig w:usb0="00000000" w:usb1="00000000" w:usb2="0000003F" w:usb3="00000000" w:csb0="003F01FF" w:csb1="00000000"/>
  </w:font>
  <w:font w:name="Microsoft YaHei UI">
    <w:altName w:val="宋体"/>
    <w:panose1 w:val="00000000000000000000"/>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470508"/>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w:t>
        </w:r>
        <w:r>
          <w:rPr>
            <w:lang w:val="zh-CN"/>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33907652"/>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2</w:t>
        </w:r>
        <w:r>
          <w:rPr>
            <w:lang w:val="zh-CN"/>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11252487"/>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3</w:t>
        </w:r>
        <w:r>
          <w:rPr>
            <w:lang w:val="zh-CN"/>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28511121"/>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4</w:t>
        </w:r>
        <w:r>
          <w:rPr>
            <w:lang w:val="zh-CN"/>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08806169"/>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5</w:t>
        </w:r>
        <w:r>
          <w:rPr>
            <w:lang w:val="zh-CN"/>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67488555"/>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6</w:t>
        </w:r>
        <w:r>
          <w:rPr>
            <w:lang w:val="zh-CN"/>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19041412"/>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7</w:t>
        </w:r>
        <w:r>
          <w:rPr>
            <w:lang w:val="zh-CN"/>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29663446"/>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8</w:t>
        </w:r>
        <w:r>
          <w:rPr>
            <w:lang w:val="zh-CN"/>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10316892"/>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9</w:t>
        </w:r>
        <w:r>
          <w:rPr>
            <w:lang w:val="zh-CN"/>
          </w:rP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81679719"/>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10</w:t>
        </w:r>
        <w:r>
          <w:rPr>
            <w:lang w:val="zh-CN"/>
          </w:rP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3210271"/>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11</w:t>
        </w:r>
        <w:r>
          <w:rPr>
            <w:lang w:val="zh-CN"/>
          </w:rP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49084636"/>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12</w:t>
        </w:r>
        <w:r>
          <w:rPr>
            <w:lang w:val="zh-CN"/>
          </w:rPr>
          <w:fldChar w:fldCharType="end"/>
        </w:r>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71509341"/>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13</w:t>
        </w:r>
        <w:r>
          <w:rPr>
            <w:lang w:val="zh-CN"/>
          </w:rPr>
          <w:fldChar w:fldCharType="end"/>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27030152"/>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14</w:t>
        </w:r>
        <w:r>
          <w:rPr>
            <w:lang w:val="zh-CN"/>
          </w:rPr>
          <w:fldChar w:fldCharType="end"/>
        </w:r>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54004355"/>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15</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9EC"/>
    <w:rsid w:val="000719EC"/>
    <w:rsid w:val="004C6470"/>
    <w:rsid w:val="005A2EF4"/>
    <w:rsid w:val="005C1ABD"/>
    <w:rsid w:val="008E74EC"/>
    <w:rsid w:val="00A47E7E"/>
    <w:rsid w:val="00B10EDD"/>
    <w:rsid w:val="00BD5B41"/>
    <w:rsid w:val="350D68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lsdException w:name="Table Theme"/>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link w:val="Char3"/>
    <w:uiPriority w:val="1"/>
    <w:qFormat/>
    <w:pPr>
      <w:ind w:left="120"/>
      <w:jc w:val="left"/>
    </w:pPr>
    <w:rPr>
      <w:rFonts w:ascii="宋体" w:eastAsia="宋体" w:hAnsi="宋体"/>
      <w:kern w:val="0"/>
      <w:sz w:val="32"/>
      <w:szCs w:val="32"/>
      <w:lang w:eastAsia="en-US"/>
    </w:rPr>
  </w:style>
  <w:style w:type="paragraph" w:styleId="Date">
    <w:name w:val="Date"/>
    <w:basedOn w:val="Normal"/>
    <w:next w:val="Normal"/>
    <w:link w:val="Char2"/>
    <w:uiPriority w:val="99"/>
    <w:semiHidden/>
    <w:unhideWhenUsed/>
    <w:qFormat/>
    <w:pPr>
      <w:ind w:left="100" w:leftChars="2500"/>
    </w:pPr>
  </w:style>
  <w:style w:type="paragraph" w:styleId="BalloonText">
    <w:name w:val="Balloon Text"/>
    <w:basedOn w:val="Normal"/>
    <w:link w:val="Char1"/>
    <w:uiPriority w:val="99"/>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Pr>
      <w:color w:val="0000FF"/>
      <w:u w:val="single"/>
    </w:rPr>
  </w:style>
  <w:style w:type="character" w:customStyle="1" w:styleId="Char">
    <w:name w:val="页眉 Char"/>
    <w:basedOn w:val="DefaultParagraphFont"/>
    <w:link w:val="Header"/>
    <w:uiPriority w:val="99"/>
    <w:semiHidden/>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1Char">
    <w:name w:val="标题 1 Char"/>
    <w:basedOn w:val="DefaultParagraphFont"/>
    <w:link w:val="Heading1"/>
    <w:uiPriority w:val="9"/>
    <w:qFormat/>
    <w:rPr>
      <w:b/>
      <w:bCs/>
      <w:kern w:val="44"/>
      <w:sz w:val="44"/>
      <w:szCs w:val="44"/>
    </w:rPr>
  </w:style>
  <w:style w:type="character" w:customStyle="1" w:styleId="Char1">
    <w:name w:val="批注框文本 Char"/>
    <w:basedOn w:val="DefaultParagraphFont"/>
    <w:link w:val="BalloonText"/>
    <w:uiPriority w:val="99"/>
    <w:qFormat/>
    <w:rPr>
      <w:sz w:val="18"/>
      <w:szCs w:val="18"/>
    </w:rPr>
  </w:style>
  <w:style w:type="paragraph" w:customStyle="1" w:styleId="1">
    <w:name w:val="列出段落1"/>
    <w:basedOn w:val="Normal"/>
    <w:uiPriority w:val="34"/>
    <w:qFormat/>
    <w:pPr>
      <w:ind w:firstLine="420" w:firstLineChars="200"/>
    </w:pPr>
  </w:style>
  <w:style w:type="character" w:styleId="PlaceholderText">
    <w:name w:val="Placeholder Text"/>
    <w:basedOn w:val="DefaultParagraphFont"/>
    <w:uiPriority w:val="99"/>
    <w:unhideWhenUsed/>
    <w:qFormat/>
    <w:rPr>
      <w:color w:val="808080"/>
    </w:rPr>
  </w:style>
  <w:style w:type="character" w:customStyle="1" w:styleId="Char2">
    <w:name w:val="日期 Char"/>
    <w:basedOn w:val="DefaultParagraphFont"/>
    <w:link w:val="Date"/>
    <w:uiPriority w:val="99"/>
    <w:semiHidden/>
  </w:style>
  <w:style w:type="paragraph" w:styleId="ListParagraph">
    <w:name w:val="List Paragraph"/>
    <w:basedOn w:val="Normal"/>
    <w:uiPriority w:val="99"/>
    <w:qFormat/>
    <w:pPr>
      <w:ind w:firstLine="420" w:firstLineChars="200"/>
    </w:pPr>
    <w:rPr>
      <w:rFonts w:cs="Times New Roman"/>
    </w:rPr>
  </w:style>
  <w:style w:type="character" w:customStyle="1" w:styleId="Char3">
    <w:name w:val="正文文本 Char"/>
    <w:basedOn w:val="DefaultParagraphFont"/>
    <w:link w:val="BodyText"/>
    <w:uiPriority w:val="1"/>
    <w:qFormat/>
    <w:rPr>
      <w:rFonts w:ascii="宋体" w:eastAsia="宋体" w:hAnsi="宋体"/>
      <w:kern w:val="0"/>
      <w:sz w:val="32"/>
      <w:szCs w:val="32"/>
      <w:lang w:eastAsia="en-US"/>
    </w:rPr>
  </w:style>
  <w:style w:type="paragraph" w:customStyle="1" w:styleId="11">
    <w:name w:val="标题 11"/>
    <w:basedOn w:val="Normal"/>
    <w:uiPriority w:val="1"/>
    <w:qFormat/>
    <w:pPr>
      <w:ind w:left="3394"/>
      <w:jc w:val="left"/>
      <w:outlineLvl w:val="1"/>
    </w:pPr>
    <w:rPr>
      <w:rFonts w:ascii="Symbol" w:eastAsia="Symbol" w:hAnsi="Symbol"/>
      <w:kern w:val="0"/>
      <w:sz w:val="45"/>
      <w:szCs w:val="45"/>
      <w:lang w:eastAsia="en-US"/>
    </w:rPr>
  </w:style>
  <w:style w:type="paragraph" w:customStyle="1" w:styleId="21">
    <w:name w:val="标题 21"/>
    <w:basedOn w:val="Normal"/>
    <w:uiPriority w:val="1"/>
    <w:qFormat/>
    <w:pPr>
      <w:ind w:left="3120"/>
      <w:jc w:val="left"/>
      <w:outlineLvl w:val="2"/>
    </w:pPr>
    <w:rPr>
      <w:rFonts w:ascii="Symbol" w:eastAsia="Symbol" w:hAnsi="Symbol"/>
      <w:kern w:val="0"/>
      <w:sz w:val="43"/>
      <w:szCs w:val="43"/>
      <w:lang w:eastAsia="en-US"/>
    </w:rPr>
  </w:style>
  <w:style w:type="paragraph" w:customStyle="1" w:styleId="31">
    <w:name w:val="标题 31"/>
    <w:basedOn w:val="Normal"/>
    <w:uiPriority w:val="1"/>
    <w:qFormat/>
    <w:pPr>
      <w:ind w:left="751"/>
      <w:jc w:val="left"/>
      <w:outlineLvl w:val="3"/>
    </w:pPr>
    <w:rPr>
      <w:rFonts w:ascii="Microsoft JhengHei" w:eastAsia="Microsoft JhengHei" w:hAnsi="Microsoft JhengHei"/>
      <w:b/>
      <w:bCs/>
      <w:kern w:val="0"/>
      <w:sz w:val="32"/>
      <w:szCs w:val="32"/>
      <w:lang w:eastAsia="en-US"/>
    </w:rPr>
  </w:style>
  <w:style w:type="paragraph" w:customStyle="1" w:styleId="Default">
    <w:name w:val="Default"/>
    <w:qFormat/>
    <w:pPr>
      <w:widowControl w:val="0"/>
      <w:autoSpaceDE w:val="0"/>
      <w:autoSpaceDN w:val="0"/>
      <w:adjustRightInd w:val="0"/>
    </w:pPr>
    <w:rPr>
      <w:rFonts w:ascii="Times New Roman" w:hAnsi="Times New Roman" w:eastAsiaTheme="minorEastAsia" w:cs="Times New Roman"/>
      <w:color w:val="000000"/>
      <w:kern w:val="0"/>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image" Target="media/image1.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2.wmf" /><Relationship Id="rId22" Type="http://schemas.openxmlformats.org/officeDocument/2006/relationships/oleObject" Target="embeddings/oleObject2.bin" /><Relationship Id="rId23" Type="http://schemas.openxmlformats.org/officeDocument/2006/relationships/image" Target="media/image3.wmf" /><Relationship Id="rId24" Type="http://schemas.openxmlformats.org/officeDocument/2006/relationships/oleObject" Target="embeddings/oleObject3.bin" /><Relationship Id="rId25" Type="http://schemas.openxmlformats.org/officeDocument/2006/relationships/footer" Target="footer14.xml" /><Relationship Id="rId26" Type="http://schemas.openxmlformats.org/officeDocument/2006/relationships/hyperlink" Target="https://d.book118.com/018064034143006043" TargetMode="External" /><Relationship Id="rId27" Type="http://schemas.openxmlformats.org/officeDocument/2006/relationships/footer" Target="footer15.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F9ECC2-7772-4000-B314-0C6882937C64}">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15</Pages>
  <Words>3830</Words>
  <Characters>21834</Characters>
  <Application>Microsoft Office Word</Application>
  <DocSecurity>0</DocSecurity>
  <Lines>181</Lines>
  <Paragraphs>51</Paragraphs>
  <ScaleCrop>false</ScaleCrop>
  <Company>Microsoft</Company>
  <LinksUpToDate>false</LinksUpToDate>
  <CharactersWithSpaces>25613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蝶衣</cp:lastModifiedBy>
  <cp:revision>4</cp:revision>
  <cp:lastPrinted>2019-03-07T01:03:00Z</cp:lastPrinted>
  <dcterms:created xsi:type="dcterms:W3CDTF">2019-03-05T01:42:00Z</dcterms:created>
  <dcterms:modified xsi:type="dcterms:W3CDTF">2019-03-14T09:04:32Z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