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净水絮凝剂项目评估报告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804" w:history="1">
        <w:r>
          <w:rPr>
            <w:rFonts w:ascii="仿宋" w:eastAsia="仿宋" w:hAnsi="仿宋" w:cs="仿宋" w:hint="eastAsia"/>
            <w:lang w:eastAsia="zh-CN"/>
          </w:rPr>
          <w:t>序言</w:t>
        </w:r>
        <w:r>
          <w:tab/>
        </w:r>
        <w:r>
          <w:fldChar w:fldCharType="begin"/>
        </w:r>
        <w:r>
          <w:instrText xml:space="preserve"> PAGEREF _Toc26804 \h </w:instrText>
        </w:r>
        <w:r>
          <w:fldChar w:fldCharType="separate"/>
        </w:r>
        <w:r>
          <w:t>3</w:t>
        </w:r>
        <w:r>
          <w:fldChar w:fldCharType="end"/>
        </w:r>
      </w:hyperlink>
    </w:p>
    <w:p>
      <w:pPr>
        <w:pStyle w:val="TOC1"/>
        <w:tabs>
          <w:tab w:val="right" w:leader="dot" w:pos="8306"/>
        </w:tabs>
      </w:pPr>
      <w:hyperlink w:anchor="_Toc7209" w:history="1">
        <w:r>
          <w:rPr>
            <w:rFonts w:ascii="仿宋" w:eastAsia="仿宋" w:hAnsi="仿宋" w:cs="仿宋" w:hint="eastAsia"/>
            <w:lang w:eastAsia="zh-CN"/>
          </w:rPr>
          <w:t>一、建设规划</w:t>
        </w:r>
        <w:r>
          <w:tab/>
        </w:r>
        <w:r>
          <w:fldChar w:fldCharType="begin"/>
        </w:r>
        <w:r>
          <w:instrText xml:space="preserve"> PAGEREF _Toc7209 \h </w:instrText>
        </w:r>
        <w:r>
          <w:fldChar w:fldCharType="separate"/>
        </w:r>
        <w:r>
          <w:t>3</w:t>
        </w:r>
        <w:r>
          <w:fldChar w:fldCharType="end"/>
        </w:r>
      </w:hyperlink>
    </w:p>
    <w:p>
      <w:pPr>
        <w:pStyle w:val="TOC2"/>
        <w:tabs>
          <w:tab w:val="right" w:leader="dot" w:pos="8306"/>
        </w:tabs>
      </w:pPr>
      <w:hyperlink w:anchor="_Toc25753" w:history="1">
        <w:r>
          <w:rPr>
            <w:rFonts w:ascii="仿宋" w:eastAsia="仿宋" w:hAnsi="仿宋" w:cs="仿宋" w:hint="eastAsia"/>
            <w:lang w:eastAsia="zh-CN"/>
          </w:rPr>
          <w:t>(一)、产品规划</w:t>
        </w:r>
        <w:r>
          <w:tab/>
        </w:r>
        <w:r>
          <w:fldChar w:fldCharType="begin"/>
        </w:r>
        <w:r>
          <w:instrText xml:space="preserve"> PAGEREF _Toc25753 \h </w:instrText>
        </w:r>
        <w:r>
          <w:fldChar w:fldCharType="separate"/>
        </w:r>
        <w:r>
          <w:t>3</w:t>
        </w:r>
        <w:r>
          <w:fldChar w:fldCharType="end"/>
        </w:r>
      </w:hyperlink>
    </w:p>
    <w:p>
      <w:pPr>
        <w:pStyle w:val="TOC2"/>
        <w:tabs>
          <w:tab w:val="right" w:leader="dot" w:pos="8306"/>
        </w:tabs>
      </w:pPr>
      <w:hyperlink w:anchor="_Toc22927" w:history="1">
        <w:r>
          <w:rPr>
            <w:rFonts w:ascii="仿宋" w:eastAsia="仿宋" w:hAnsi="仿宋" w:cs="仿宋" w:hint="eastAsia"/>
            <w:lang w:eastAsia="zh-CN"/>
          </w:rPr>
          <w:t>(二)、建设规模</w:t>
        </w:r>
        <w:r>
          <w:tab/>
        </w:r>
        <w:r>
          <w:fldChar w:fldCharType="begin"/>
        </w:r>
        <w:r>
          <w:instrText xml:space="preserve"> PAGEREF _Toc22927 \h </w:instrText>
        </w:r>
        <w:r>
          <w:fldChar w:fldCharType="separate"/>
        </w:r>
        <w:r>
          <w:t>5</w:t>
        </w:r>
        <w:r>
          <w:fldChar w:fldCharType="end"/>
        </w:r>
      </w:hyperlink>
    </w:p>
    <w:p>
      <w:pPr>
        <w:pStyle w:val="TOC1"/>
        <w:tabs>
          <w:tab w:val="right" w:leader="dot" w:pos="8306"/>
        </w:tabs>
      </w:pPr>
      <w:hyperlink w:anchor="_Toc27594" w:history="1">
        <w:r>
          <w:rPr>
            <w:rFonts w:ascii="仿宋" w:eastAsia="仿宋" w:hAnsi="仿宋" w:cs="仿宋" w:hint="eastAsia"/>
            <w:lang w:eastAsia="zh-CN"/>
          </w:rPr>
          <w:t>二、建设单位基本信息</w:t>
        </w:r>
        <w:r>
          <w:tab/>
        </w:r>
        <w:r>
          <w:fldChar w:fldCharType="begin"/>
        </w:r>
        <w:r>
          <w:instrText xml:space="preserve"> PAGEREF _Toc27594 \h </w:instrText>
        </w:r>
        <w:r>
          <w:fldChar w:fldCharType="separate"/>
        </w:r>
        <w:r>
          <w:t>6</w:t>
        </w:r>
        <w:r>
          <w:fldChar w:fldCharType="end"/>
        </w:r>
      </w:hyperlink>
    </w:p>
    <w:p>
      <w:pPr>
        <w:pStyle w:val="TOC2"/>
        <w:tabs>
          <w:tab w:val="right" w:leader="dot" w:pos="8306"/>
        </w:tabs>
      </w:pPr>
      <w:hyperlink w:anchor="_Toc3570" w:history="1">
        <w:r>
          <w:rPr>
            <w:rFonts w:ascii="仿宋" w:eastAsia="仿宋" w:hAnsi="仿宋" w:cs="仿宋" w:hint="eastAsia"/>
            <w:lang w:eastAsia="zh-CN"/>
          </w:rPr>
          <w:t>(一)、净水絮凝剂项目承办单位基本情况</w:t>
        </w:r>
        <w:r>
          <w:tab/>
        </w:r>
        <w:r>
          <w:fldChar w:fldCharType="begin"/>
        </w:r>
        <w:r>
          <w:instrText xml:space="preserve"> PAGEREF _Toc3570 \h </w:instrText>
        </w:r>
        <w:r>
          <w:fldChar w:fldCharType="separate"/>
        </w:r>
        <w:r>
          <w:t>6</w:t>
        </w:r>
        <w:r>
          <w:fldChar w:fldCharType="end"/>
        </w:r>
      </w:hyperlink>
    </w:p>
    <w:p>
      <w:pPr>
        <w:pStyle w:val="TOC2"/>
        <w:tabs>
          <w:tab w:val="right" w:leader="dot" w:pos="8306"/>
        </w:tabs>
      </w:pPr>
      <w:hyperlink w:anchor="_Toc22626" w:history="1">
        <w:r>
          <w:rPr>
            <w:rFonts w:ascii="仿宋" w:eastAsia="仿宋" w:hAnsi="仿宋" w:cs="仿宋" w:hint="eastAsia"/>
            <w:lang w:eastAsia="zh-CN"/>
          </w:rPr>
          <w:t>(二)、公司经济效益分析</w:t>
        </w:r>
        <w:r>
          <w:tab/>
        </w:r>
        <w:r>
          <w:fldChar w:fldCharType="begin"/>
        </w:r>
        <w:r>
          <w:instrText xml:space="preserve"> PAGEREF _Toc22626 \h </w:instrText>
        </w:r>
        <w:r>
          <w:fldChar w:fldCharType="separate"/>
        </w:r>
        <w:r>
          <w:t>8</w:t>
        </w:r>
        <w:r>
          <w:fldChar w:fldCharType="end"/>
        </w:r>
      </w:hyperlink>
    </w:p>
    <w:p>
      <w:pPr>
        <w:pStyle w:val="TOC1"/>
        <w:tabs>
          <w:tab w:val="right" w:leader="dot" w:pos="8306"/>
        </w:tabs>
      </w:pPr>
      <w:hyperlink w:anchor="_Toc29707" w:history="1">
        <w:r>
          <w:rPr>
            <w:rFonts w:ascii="仿宋" w:eastAsia="仿宋" w:hAnsi="仿宋" w:cs="仿宋" w:hint="eastAsia"/>
            <w:lang w:eastAsia="zh-CN"/>
          </w:rPr>
          <w:t>三、净水絮凝剂项目环境保护分析</w:t>
        </w:r>
        <w:r>
          <w:tab/>
        </w:r>
        <w:r>
          <w:fldChar w:fldCharType="begin"/>
        </w:r>
        <w:r>
          <w:instrText xml:space="preserve"> PAGEREF _Toc29707 \h </w:instrText>
        </w:r>
        <w:r>
          <w:fldChar w:fldCharType="separate"/>
        </w:r>
        <w:r>
          <w:t>9</w:t>
        </w:r>
        <w:r>
          <w:fldChar w:fldCharType="end"/>
        </w:r>
      </w:hyperlink>
    </w:p>
    <w:p>
      <w:pPr>
        <w:pStyle w:val="TOC2"/>
        <w:tabs>
          <w:tab w:val="right" w:leader="dot" w:pos="8306"/>
        </w:tabs>
      </w:pPr>
      <w:hyperlink w:anchor="_Toc18197" w:history="1">
        <w:r>
          <w:rPr>
            <w:rFonts w:ascii="仿宋" w:eastAsia="仿宋" w:hAnsi="仿宋" w:cs="仿宋" w:hint="eastAsia"/>
            <w:lang w:eastAsia="zh-CN"/>
          </w:rPr>
          <w:t>(一)、建设区域环境质量现状</w:t>
        </w:r>
        <w:r>
          <w:tab/>
        </w:r>
        <w:r>
          <w:fldChar w:fldCharType="begin"/>
        </w:r>
        <w:r>
          <w:instrText xml:space="preserve"> PAGEREF _Toc18197 \h </w:instrText>
        </w:r>
        <w:r>
          <w:fldChar w:fldCharType="separate"/>
        </w:r>
        <w:r>
          <w:t>9</w:t>
        </w:r>
        <w:r>
          <w:fldChar w:fldCharType="end"/>
        </w:r>
      </w:hyperlink>
    </w:p>
    <w:p>
      <w:pPr>
        <w:pStyle w:val="TOC2"/>
        <w:tabs>
          <w:tab w:val="right" w:leader="dot" w:pos="8306"/>
        </w:tabs>
      </w:pPr>
      <w:hyperlink w:anchor="_Toc22294" w:history="1">
        <w:r>
          <w:rPr>
            <w:rFonts w:ascii="仿宋" w:eastAsia="仿宋" w:hAnsi="仿宋" w:cs="仿宋" w:hint="eastAsia"/>
            <w:lang w:eastAsia="zh-CN"/>
          </w:rPr>
          <w:t>(二)、建设期环境保护</w:t>
        </w:r>
        <w:r>
          <w:tab/>
        </w:r>
        <w:r>
          <w:fldChar w:fldCharType="begin"/>
        </w:r>
        <w:r>
          <w:instrText xml:space="preserve"> PAGEREF _Toc22294 \h </w:instrText>
        </w:r>
        <w:r>
          <w:fldChar w:fldCharType="separate"/>
        </w:r>
        <w:r>
          <w:t>10</w:t>
        </w:r>
        <w:r>
          <w:fldChar w:fldCharType="end"/>
        </w:r>
      </w:hyperlink>
    </w:p>
    <w:p>
      <w:pPr>
        <w:pStyle w:val="TOC2"/>
        <w:tabs>
          <w:tab w:val="right" w:leader="dot" w:pos="8306"/>
        </w:tabs>
      </w:pPr>
      <w:hyperlink w:anchor="_Toc23074" w:history="1">
        <w:r>
          <w:rPr>
            <w:rFonts w:ascii="仿宋" w:eastAsia="仿宋" w:hAnsi="仿宋" w:cs="仿宋" w:hint="eastAsia"/>
            <w:lang w:eastAsia="zh-CN"/>
          </w:rPr>
          <w:t>(三)、运营期环境保护</w:t>
        </w:r>
        <w:r>
          <w:tab/>
        </w:r>
        <w:r>
          <w:fldChar w:fldCharType="begin"/>
        </w:r>
        <w:r>
          <w:instrText xml:space="preserve"> PAGEREF _Toc23074 \h </w:instrText>
        </w:r>
        <w:r>
          <w:fldChar w:fldCharType="separate"/>
        </w:r>
        <w:r>
          <w:t>12</w:t>
        </w:r>
        <w:r>
          <w:fldChar w:fldCharType="end"/>
        </w:r>
      </w:hyperlink>
    </w:p>
    <w:p>
      <w:pPr>
        <w:pStyle w:val="TOC2"/>
        <w:tabs>
          <w:tab w:val="right" w:leader="dot" w:pos="8306"/>
        </w:tabs>
      </w:pPr>
      <w:hyperlink w:anchor="_Toc3207" w:history="1">
        <w:r>
          <w:rPr>
            <w:rFonts w:ascii="仿宋" w:eastAsia="仿宋" w:hAnsi="仿宋" w:cs="仿宋" w:hint="eastAsia"/>
            <w:lang w:eastAsia="zh-CN"/>
          </w:rPr>
          <w:t>(四)、净水絮凝剂项目建设对区域经济的影响</w:t>
        </w:r>
        <w:r>
          <w:tab/>
        </w:r>
        <w:r>
          <w:fldChar w:fldCharType="begin"/>
        </w:r>
        <w:r>
          <w:instrText xml:space="preserve"> PAGEREF _Toc3207 \h </w:instrText>
        </w:r>
        <w:r>
          <w:fldChar w:fldCharType="separate"/>
        </w:r>
        <w:r>
          <w:t>13</w:t>
        </w:r>
        <w:r>
          <w:fldChar w:fldCharType="end"/>
        </w:r>
      </w:hyperlink>
    </w:p>
    <w:p>
      <w:pPr>
        <w:pStyle w:val="TOC2"/>
        <w:tabs>
          <w:tab w:val="right" w:leader="dot" w:pos="8306"/>
        </w:tabs>
      </w:pPr>
      <w:hyperlink w:anchor="_Toc1199" w:history="1">
        <w:r>
          <w:rPr>
            <w:rFonts w:ascii="仿宋" w:eastAsia="仿宋" w:hAnsi="仿宋" w:cs="仿宋" w:hint="eastAsia"/>
            <w:lang w:eastAsia="zh-CN"/>
          </w:rPr>
          <w:t>(五)、废弃物处理</w:t>
        </w:r>
        <w:r>
          <w:tab/>
        </w:r>
        <w:r>
          <w:fldChar w:fldCharType="begin"/>
        </w:r>
        <w:r>
          <w:instrText xml:space="preserve"> PAGEREF _Toc1199 \h </w:instrText>
        </w:r>
        <w:r>
          <w:fldChar w:fldCharType="separate"/>
        </w:r>
        <w:r>
          <w:t>14</w:t>
        </w:r>
        <w:r>
          <w:fldChar w:fldCharType="end"/>
        </w:r>
      </w:hyperlink>
    </w:p>
    <w:p>
      <w:pPr>
        <w:pStyle w:val="TOC2"/>
        <w:tabs>
          <w:tab w:val="right" w:leader="dot" w:pos="8306"/>
        </w:tabs>
      </w:pPr>
      <w:hyperlink w:anchor="_Toc26716" w:history="1">
        <w:r>
          <w:rPr>
            <w:rFonts w:ascii="仿宋" w:eastAsia="仿宋" w:hAnsi="仿宋" w:cs="仿宋" w:hint="eastAsia"/>
            <w:lang w:eastAsia="zh-CN"/>
          </w:rPr>
          <w:t>(六)、特殊环境影响分析</w:t>
        </w:r>
        <w:r>
          <w:tab/>
        </w:r>
        <w:r>
          <w:fldChar w:fldCharType="begin"/>
        </w:r>
        <w:r>
          <w:instrText xml:space="preserve"> PAGEREF _Toc26716 \h </w:instrText>
        </w:r>
        <w:r>
          <w:fldChar w:fldCharType="separate"/>
        </w:r>
        <w:r>
          <w:t>16</w:t>
        </w:r>
        <w:r>
          <w:fldChar w:fldCharType="end"/>
        </w:r>
      </w:hyperlink>
    </w:p>
    <w:p>
      <w:pPr>
        <w:pStyle w:val="TOC2"/>
        <w:tabs>
          <w:tab w:val="right" w:leader="dot" w:pos="8306"/>
        </w:tabs>
      </w:pPr>
      <w:hyperlink w:anchor="_Toc10836" w:history="1">
        <w:r>
          <w:rPr>
            <w:rFonts w:ascii="仿宋" w:eastAsia="仿宋" w:hAnsi="仿宋" w:cs="仿宋" w:hint="eastAsia"/>
            <w:lang w:eastAsia="zh-CN"/>
          </w:rPr>
          <w:t>(七)、清洁生产</w:t>
        </w:r>
        <w:r>
          <w:tab/>
        </w:r>
        <w:r>
          <w:fldChar w:fldCharType="begin"/>
        </w:r>
        <w:r>
          <w:instrText xml:space="preserve"> PAGEREF _Toc10836 \h </w:instrText>
        </w:r>
        <w:r>
          <w:fldChar w:fldCharType="separate"/>
        </w:r>
        <w:r>
          <w:t>17</w:t>
        </w:r>
        <w:r>
          <w:fldChar w:fldCharType="end"/>
        </w:r>
      </w:hyperlink>
    </w:p>
    <w:p>
      <w:pPr>
        <w:pStyle w:val="TOC2"/>
        <w:tabs>
          <w:tab w:val="right" w:leader="dot" w:pos="8306"/>
        </w:tabs>
      </w:pPr>
      <w:hyperlink w:anchor="_Toc26910" w:history="1">
        <w:r>
          <w:rPr>
            <w:rFonts w:ascii="仿宋" w:eastAsia="仿宋" w:hAnsi="仿宋" w:cs="仿宋" w:hint="eastAsia"/>
            <w:lang w:eastAsia="zh-CN"/>
          </w:rPr>
          <w:t>(八)、环境保护综合评价</w:t>
        </w:r>
        <w:r>
          <w:tab/>
        </w:r>
        <w:r>
          <w:fldChar w:fldCharType="begin"/>
        </w:r>
        <w:r>
          <w:instrText xml:space="preserve"> PAGEREF _Toc26910 \h </w:instrText>
        </w:r>
        <w:r>
          <w:fldChar w:fldCharType="separate"/>
        </w:r>
        <w:r>
          <w:t>19</w:t>
        </w:r>
        <w:r>
          <w:fldChar w:fldCharType="end"/>
        </w:r>
      </w:hyperlink>
    </w:p>
    <w:p>
      <w:pPr>
        <w:pStyle w:val="TOC1"/>
        <w:tabs>
          <w:tab w:val="right" w:leader="dot" w:pos="8306"/>
        </w:tabs>
      </w:pPr>
      <w:hyperlink w:anchor="_Toc31641" w:history="1">
        <w:r>
          <w:rPr>
            <w:rFonts w:ascii="仿宋" w:eastAsia="仿宋" w:hAnsi="仿宋" w:cs="仿宋" w:hint="eastAsia"/>
            <w:lang w:eastAsia="zh-CN"/>
          </w:rPr>
          <w:t>四、工艺分析</w:t>
        </w:r>
        <w:r>
          <w:tab/>
        </w:r>
        <w:r>
          <w:fldChar w:fldCharType="begin"/>
        </w:r>
        <w:r>
          <w:instrText xml:space="preserve"> PAGEREF _Toc31641 \h </w:instrText>
        </w:r>
        <w:r>
          <w:fldChar w:fldCharType="separate"/>
        </w:r>
        <w:r>
          <w:t>20</w:t>
        </w:r>
        <w:r>
          <w:fldChar w:fldCharType="end"/>
        </w:r>
      </w:hyperlink>
    </w:p>
    <w:p>
      <w:pPr>
        <w:pStyle w:val="TOC2"/>
        <w:tabs>
          <w:tab w:val="right" w:leader="dot" w:pos="8306"/>
        </w:tabs>
      </w:pPr>
      <w:hyperlink w:anchor="_Toc207" w:history="1">
        <w:r>
          <w:rPr>
            <w:rFonts w:ascii="仿宋" w:eastAsia="仿宋" w:hAnsi="仿宋" w:cs="仿宋" w:hint="eastAsia"/>
            <w:lang w:eastAsia="zh-CN"/>
          </w:rPr>
          <w:t>(一)、技术管理特点</w:t>
        </w:r>
        <w:r>
          <w:tab/>
        </w:r>
        <w:r>
          <w:fldChar w:fldCharType="begin"/>
        </w:r>
        <w:r>
          <w:instrText xml:space="preserve"> PAGEREF _Toc207 \h </w:instrText>
        </w:r>
        <w:r>
          <w:fldChar w:fldCharType="separate"/>
        </w:r>
        <w:r>
          <w:t>20</w:t>
        </w:r>
        <w:r>
          <w:fldChar w:fldCharType="end"/>
        </w:r>
      </w:hyperlink>
    </w:p>
    <w:p>
      <w:pPr>
        <w:pStyle w:val="TOC2"/>
        <w:tabs>
          <w:tab w:val="right" w:leader="dot" w:pos="8306"/>
        </w:tabs>
      </w:pPr>
      <w:hyperlink w:anchor="_Toc32683" w:history="1">
        <w:r>
          <w:rPr>
            <w:rFonts w:ascii="仿宋" w:eastAsia="仿宋" w:hAnsi="仿宋" w:cs="仿宋" w:hint="eastAsia"/>
            <w:lang w:eastAsia="zh-CN"/>
          </w:rPr>
          <w:t>(二)、净水絮凝剂项目工艺技术设计方案</w:t>
        </w:r>
        <w:r>
          <w:tab/>
        </w:r>
        <w:r>
          <w:fldChar w:fldCharType="begin"/>
        </w:r>
        <w:r>
          <w:instrText xml:space="preserve"> PAGEREF _Toc32683 \h </w:instrText>
        </w:r>
        <w:r>
          <w:fldChar w:fldCharType="separate"/>
        </w:r>
        <w:r>
          <w:t>21</w:t>
        </w:r>
        <w:r>
          <w:fldChar w:fldCharType="end"/>
        </w:r>
      </w:hyperlink>
    </w:p>
    <w:p>
      <w:pPr>
        <w:pStyle w:val="TOC2"/>
        <w:tabs>
          <w:tab w:val="right" w:leader="dot" w:pos="8306"/>
        </w:tabs>
      </w:pPr>
      <w:hyperlink w:anchor="_Toc19025" w:history="1">
        <w:r>
          <w:rPr>
            <w:rFonts w:ascii="仿宋" w:eastAsia="仿宋" w:hAnsi="仿宋" w:cs="仿宋" w:hint="eastAsia"/>
            <w:lang w:eastAsia="zh-CN"/>
          </w:rPr>
          <w:t>(三)、设备选型方案</w:t>
        </w:r>
        <w:r>
          <w:tab/>
        </w:r>
        <w:r>
          <w:fldChar w:fldCharType="begin"/>
        </w:r>
        <w:r>
          <w:instrText xml:space="preserve"> PAGEREF _Toc19025 \h </w:instrText>
        </w:r>
        <w:r>
          <w:fldChar w:fldCharType="separate"/>
        </w:r>
        <w:r>
          <w:t>22</w:t>
        </w:r>
        <w:r>
          <w:fldChar w:fldCharType="end"/>
        </w:r>
      </w:hyperlink>
    </w:p>
    <w:p>
      <w:pPr>
        <w:pStyle w:val="TOC1"/>
        <w:tabs>
          <w:tab w:val="right" w:leader="dot" w:pos="8306"/>
        </w:tabs>
      </w:pPr>
      <w:hyperlink w:anchor="_Toc31906" w:history="1">
        <w:r>
          <w:rPr>
            <w:rFonts w:ascii="仿宋" w:eastAsia="仿宋" w:hAnsi="仿宋" w:cs="仿宋" w:hint="eastAsia"/>
            <w:lang w:eastAsia="zh-CN"/>
          </w:rPr>
          <w:t>五、知识管理与技术创新</w:t>
        </w:r>
        <w:r>
          <w:tab/>
        </w:r>
        <w:r>
          <w:fldChar w:fldCharType="begin"/>
        </w:r>
        <w:r>
          <w:instrText xml:space="preserve"> PAGEREF _Toc31906 \h </w:instrText>
        </w:r>
        <w:r>
          <w:fldChar w:fldCharType="separate"/>
        </w:r>
        <w:r>
          <w:t>23</w:t>
        </w:r>
        <w:r>
          <w:fldChar w:fldCharType="end"/>
        </w:r>
      </w:hyperlink>
    </w:p>
    <w:p>
      <w:pPr>
        <w:pStyle w:val="TOC2"/>
        <w:tabs>
          <w:tab w:val="right" w:leader="dot" w:pos="8306"/>
        </w:tabs>
      </w:pPr>
      <w:hyperlink w:anchor="_Toc14097" w:history="1">
        <w:r>
          <w:rPr>
            <w:rFonts w:ascii="仿宋" w:eastAsia="仿宋" w:hAnsi="仿宋" w:cs="仿宋" w:hint="eastAsia"/>
            <w:lang w:eastAsia="zh-CN"/>
          </w:rPr>
          <w:t>(一)、知识管理体系建设</w:t>
        </w:r>
        <w:r>
          <w:tab/>
        </w:r>
        <w:r>
          <w:fldChar w:fldCharType="begin"/>
        </w:r>
        <w:r>
          <w:instrText xml:space="preserve"> PAGEREF _Toc14097 \h </w:instrText>
        </w:r>
        <w:r>
          <w:fldChar w:fldCharType="separate"/>
        </w:r>
        <w:r>
          <w:t>23</w:t>
        </w:r>
        <w:r>
          <w:fldChar w:fldCharType="end"/>
        </w:r>
      </w:hyperlink>
    </w:p>
    <w:p>
      <w:pPr>
        <w:pStyle w:val="TOC2"/>
        <w:tabs>
          <w:tab w:val="right" w:leader="dot" w:pos="8306"/>
        </w:tabs>
      </w:pPr>
      <w:hyperlink w:anchor="_Toc15115" w:history="1">
        <w:r>
          <w:rPr>
            <w:rFonts w:ascii="仿宋" w:eastAsia="仿宋" w:hAnsi="仿宋" w:cs="仿宋" w:hint="eastAsia"/>
            <w:lang w:eastAsia="zh-CN"/>
          </w:rPr>
          <w:t>(二)、技术创新与研发投入</w:t>
        </w:r>
        <w:r>
          <w:tab/>
        </w:r>
        <w:r>
          <w:fldChar w:fldCharType="begin"/>
        </w:r>
        <w:r>
          <w:instrText xml:space="preserve"> PAGEREF _Toc15115 \h </w:instrText>
        </w:r>
        <w:r>
          <w:fldChar w:fldCharType="separate"/>
        </w:r>
        <w:r>
          <w:t>25</w:t>
        </w:r>
        <w:r>
          <w:fldChar w:fldCharType="end"/>
        </w:r>
      </w:hyperlink>
    </w:p>
    <w:p>
      <w:pPr>
        <w:pStyle w:val="TOC2"/>
        <w:tabs>
          <w:tab w:val="right" w:leader="dot" w:pos="8306"/>
        </w:tabs>
      </w:pPr>
      <w:hyperlink w:anchor="_Toc24313" w:history="1">
        <w:r>
          <w:rPr>
            <w:rFonts w:ascii="仿宋" w:eastAsia="仿宋" w:hAnsi="仿宋" w:cs="仿宋" w:hint="eastAsia"/>
            <w:lang w:eastAsia="zh-CN"/>
          </w:rPr>
          <w:t>(三)、专利申请与技术保护</w:t>
        </w:r>
        <w:r>
          <w:tab/>
        </w:r>
        <w:r>
          <w:fldChar w:fldCharType="begin"/>
        </w:r>
        <w:r>
          <w:instrText xml:space="preserve"> PAGEREF _Toc24313 \h </w:instrText>
        </w:r>
        <w:r>
          <w:fldChar w:fldCharType="separate"/>
        </w:r>
        <w:r>
          <w:t>26</w:t>
        </w:r>
        <w:r>
          <w:fldChar w:fldCharType="end"/>
        </w:r>
      </w:hyperlink>
    </w:p>
    <w:p>
      <w:pPr>
        <w:pStyle w:val="TOC2"/>
        <w:tabs>
          <w:tab w:val="right" w:leader="dot" w:pos="8306"/>
        </w:tabs>
      </w:pPr>
      <w:hyperlink w:anchor="_Toc18059" w:history="1">
        <w:r>
          <w:rPr>
            <w:rFonts w:ascii="仿宋" w:eastAsia="仿宋" w:hAnsi="仿宋" w:cs="仿宋" w:hint="eastAsia"/>
            <w:lang w:eastAsia="zh-CN"/>
          </w:rPr>
          <w:t>(四)、人才培养与团队建设</w:t>
        </w:r>
        <w:r>
          <w:tab/>
        </w:r>
        <w:r>
          <w:fldChar w:fldCharType="begin"/>
        </w:r>
        <w:r>
          <w:instrText xml:space="preserve"> PAGEREF _Toc18059 \h </w:instrText>
        </w:r>
        <w:r>
          <w:fldChar w:fldCharType="separate"/>
        </w:r>
        <w:r>
          <w:t>29</w:t>
        </w:r>
        <w:r>
          <w:fldChar w:fldCharType="end"/>
        </w:r>
      </w:hyperlink>
    </w:p>
    <w:p>
      <w:pPr>
        <w:pStyle w:val="TOC1"/>
        <w:tabs>
          <w:tab w:val="right" w:leader="dot" w:pos="8306"/>
        </w:tabs>
      </w:pPr>
      <w:hyperlink w:anchor="_Toc11506" w:history="1">
        <w:r>
          <w:rPr>
            <w:rFonts w:ascii="仿宋" w:eastAsia="仿宋" w:hAnsi="仿宋" w:cs="仿宋" w:hint="eastAsia"/>
            <w:lang w:eastAsia="zh-CN"/>
          </w:rPr>
          <w:t>六、投资背景及必要性分析</w:t>
        </w:r>
        <w:r>
          <w:tab/>
        </w:r>
        <w:r>
          <w:fldChar w:fldCharType="begin"/>
        </w:r>
        <w:r>
          <w:instrText xml:space="preserve"> PAGEREF _Toc11506 \h </w:instrText>
        </w:r>
        <w:r>
          <w:fldChar w:fldCharType="separate"/>
        </w:r>
        <w:r>
          <w:t>31</w:t>
        </w:r>
        <w:r>
          <w:fldChar w:fldCharType="end"/>
        </w:r>
      </w:hyperlink>
    </w:p>
    <w:p>
      <w:pPr>
        <w:pStyle w:val="TOC2"/>
        <w:tabs>
          <w:tab w:val="right" w:leader="dot" w:pos="8306"/>
        </w:tabs>
      </w:pPr>
      <w:hyperlink w:anchor="_Toc7384" w:history="1">
        <w:r>
          <w:rPr>
            <w:rFonts w:ascii="仿宋" w:eastAsia="仿宋" w:hAnsi="仿宋" w:cs="仿宋" w:hint="eastAsia"/>
            <w:lang w:eastAsia="zh-CN"/>
          </w:rPr>
          <w:t>(一)、净水絮凝剂项目承办单位背景分析</w:t>
        </w:r>
        <w:r>
          <w:tab/>
        </w:r>
        <w:r>
          <w:fldChar w:fldCharType="begin"/>
        </w:r>
        <w:r>
          <w:instrText xml:space="preserve"> PAGEREF _Toc7384 \h </w:instrText>
        </w:r>
        <w:r>
          <w:fldChar w:fldCharType="separate"/>
        </w:r>
        <w:r>
          <w:t>31</w:t>
        </w:r>
        <w:r>
          <w:fldChar w:fldCharType="end"/>
        </w:r>
      </w:hyperlink>
    </w:p>
    <w:p>
      <w:pPr>
        <w:pStyle w:val="TOC2"/>
        <w:tabs>
          <w:tab w:val="right" w:leader="dot" w:pos="8306"/>
        </w:tabs>
      </w:pPr>
      <w:hyperlink w:anchor="_Toc13440" w:history="1">
        <w:r>
          <w:rPr>
            <w:rFonts w:ascii="仿宋" w:eastAsia="仿宋" w:hAnsi="仿宋" w:cs="仿宋" w:hint="eastAsia"/>
            <w:lang w:eastAsia="zh-CN"/>
          </w:rPr>
          <w:t>(二)、产业政策及发展规划</w:t>
        </w:r>
        <w:r>
          <w:tab/>
        </w:r>
        <w:r>
          <w:fldChar w:fldCharType="begin"/>
        </w:r>
        <w:r>
          <w:instrText xml:space="preserve"> PAGEREF _Toc13440 \h </w:instrText>
        </w:r>
        <w:r>
          <w:fldChar w:fldCharType="separate"/>
        </w:r>
        <w:r>
          <w:t>32</w:t>
        </w:r>
        <w:r>
          <w:fldChar w:fldCharType="end"/>
        </w:r>
      </w:hyperlink>
    </w:p>
    <w:p>
      <w:pPr>
        <w:pStyle w:val="TOC2"/>
        <w:tabs>
          <w:tab w:val="right" w:leader="dot" w:pos="8306"/>
        </w:tabs>
      </w:pPr>
      <w:hyperlink w:anchor="_Toc1384" w:history="1">
        <w:r>
          <w:rPr>
            <w:rFonts w:ascii="仿宋" w:eastAsia="仿宋" w:hAnsi="仿宋" w:cs="仿宋" w:hint="eastAsia"/>
            <w:lang w:eastAsia="zh-CN"/>
          </w:rPr>
          <w:t>(三)、鼓励中小企业发展</w:t>
        </w:r>
        <w:r>
          <w:tab/>
        </w:r>
        <w:r>
          <w:fldChar w:fldCharType="begin"/>
        </w:r>
        <w:r>
          <w:instrText xml:space="preserve"> PAGEREF _Toc1384 \h </w:instrText>
        </w:r>
        <w:r>
          <w:fldChar w:fldCharType="separate"/>
        </w:r>
        <w:r>
          <w:t>34</w:t>
        </w:r>
        <w:r>
          <w:fldChar w:fldCharType="end"/>
        </w:r>
      </w:hyperlink>
    </w:p>
    <w:p>
      <w:pPr>
        <w:pStyle w:val="TOC2"/>
        <w:tabs>
          <w:tab w:val="right" w:leader="dot" w:pos="8306"/>
        </w:tabs>
      </w:pPr>
      <w:hyperlink w:anchor="_Toc8513" w:history="1">
        <w:r>
          <w:rPr>
            <w:rFonts w:ascii="仿宋" w:eastAsia="仿宋" w:hAnsi="仿宋" w:cs="仿宋" w:hint="eastAsia"/>
            <w:lang w:eastAsia="zh-CN"/>
          </w:rPr>
          <w:t>(四)、宏观经济形势分析</w:t>
        </w:r>
        <w:r>
          <w:tab/>
        </w:r>
        <w:r>
          <w:fldChar w:fldCharType="begin"/>
        </w:r>
        <w:r>
          <w:instrText xml:space="preserve"> PAGEREF _Toc8513 \h </w:instrText>
        </w:r>
        <w:r>
          <w:fldChar w:fldCharType="separate"/>
        </w:r>
        <w:r>
          <w:t>35</w:t>
        </w:r>
        <w:r>
          <w:fldChar w:fldCharType="end"/>
        </w:r>
      </w:hyperlink>
    </w:p>
    <w:p>
      <w:pPr>
        <w:pStyle w:val="TOC2"/>
        <w:tabs>
          <w:tab w:val="right" w:leader="dot" w:pos="8306"/>
        </w:tabs>
      </w:pPr>
      <w:hyperlink w:anchor="_Toc24436" w:history="1">
        <w:r>
          <w:rPr>
            <w:rFonts w:ascii="仿宋" w:eastAsia="仿宋" w:hAnsi="仿宋" w:cs="仿宋" w:hint="eastAsia"/>
            <w:lang w:eastAsia="zh-CN"/>
          </w:rPr>
          <w:t>(五)、区域经济发展概况</w:t>
        </w:r>
        <w:r>
          <w:tab/>
        </w:r>
        <w:r>
          <w:fldChar w:fldCharType="begin"/>
        </w:r>
        <w:r>
          <w:instrText xml:space="preserve"> PAGEREF _Toc24436 \h </w:instrText>
        </w:r>
        <w:r>
          <w:fldChar w:fldCharType="separate"/>
        </w:r>
        <w:r>
          <w:t>36</w:t>
        </w:r>
        <w:r>
          <w:fldChar w:fldCharType="end"/>
        </w:r>
      </w:hyperlink>
    </w:p>
    <w:p>
      <w:pPr>
        <w:pStyle w:val="TOC2"/>
        <w:tabs>
          <w:tab w:val="right" w:leader="dot" w:pos="8306"/>
        </w:tabs>
      </w:pPr>
      <w:hyperlink w:anchor="_Toc30545" w:history="1">
        <w:r>
          <w:rPr>
            <w:rFonts w:ascii="仿宋" w:eastAsia="仿宋" w:hAnsi="仿宋" w:cs="仿宋" w:hint="eastAsia"/>
            <w:lang w:eastAsia="zh-CN"/>
          </w:rPr>
          <w:t>(六)、净水絮凝剂项目必要性分析</w:t>
        </w:r>
        <w:r>
          <w:tab/>
        </w:r>
        <w:r>
          <w:fldChar w:fldCharType="begin"/>
        </w:r>
        <w:r>
          <w:instrText xml:space="preserve"> PAGEREF _Toc30545 \h </w:instrText>
        </w:r>
        <w:r>
          <w:fldChar w:fldCharType="separate"/>
        </w:r>
        <w:r>
          <w:t>38</w:t>
        </w:r>
        <w:r>
          <w:fldChar w:fldCharType="end"/>
        </w:r>
      </w:hyperlink>
    </w:p>
    <w:p>
      <w:pPr>
        <w:pStyle w:val="TOC1"/>
        <w:tabs>
          <w:tab w:val="right" w:leader="dot" w:pos="8306"/>
        </w:tabs>
      </w:pPr>
      <w:hyperlink w:anchor="_Toc24905" w:history="1">
        <w:r>
          <w:rPr>
            <w:rFonts w:ascii="仿宋" w:eastAsia="仿宋" w:hAnsi="仿宋" w:cs="仿宋" w:hint="eastAsia"/>
            <w:lang w:eastAsia="zh-CN"/>
          </w:rPr>
          <w:t>七、净水絮凝剂项目运营管理</w:t>
        </w:r>
        <w:r>
          <w:tab/>
        </w:r>
        <w:r>
          <w:fldChar w:fldCharType="begin"/>
        </w:r>
        <w:r>
          <w:instrText xml:space="preserve"> PAGEREF _Toc24905 \h </w:instrText>
        </w:r>
        <w:r>
          <w:fldChar w:fldCharType="separate"/>
        </w:r>
        <w:r>
          <w:t>39</w:t>
        </w:r>
        <w:r>
          <w:fldChar w:fldCharType="end"/>
        </w:r>
      </w:hyperlink>
    </w:p>
    <w:p>
      <w:pPr>
        <w:pStyle w:val="TOC2"/>
        <w:tabs>
          <w:tab w:val="right" w:leader="dot" w:pos="8306"/>
        </w:tabs>
      </w:pPr>
      <w:hyperlink w:anchor="_Toc21475" w:history="1">
        <w:r>
          <w:rPr>
            <w:rFonts w:ascii="仿宋" w:eastAsia="仿宋" w:hAnsi="仿宋" w:cs="仿宋" w:hint="eastAsia"/>
            <w:lang w:eastAsia="zh-CN"/>
          </w:rPr>
          <w:t>(一)、运营管理机构设置</w:t>
        </w:r>
        <w:r>
          <w:tab/>
        </w:r>
        <w:r>
          <w:fldChar w:fldCharType="begin"/>
        </w:r>
        <w:r>
          <w:instrText xml:space="preserve"> PAGEREF _Toc21475 \h </w:instrText>
        </w:r>
        <w:r>
          <w:fldChar w:fldCharType="separate"/>
        </w:r>
        <w:r>
          <w:t>39</w:t>
        </w:r>
        <w:r>
          <w:fldChar w:fldCharType="end"/>
        </w:r>
      </w:hyperlink>
    </w:p>
    <w:p>
      <w:pPr>
        <w:pStyle w:val="TOC2"/>
        <w:tabs>
          <w:tab w:val="right" w:leader="dot" w:pos="8306"/>
        </w:tabs>
      </w:pPr>
      <w:hyperlink w:anchor="_Toc23299" w:history="1">
        <w:r>
          <w:rPr>
            <w:rFonts w:ascii="仿宋" w:eastAsia="仿宋" w:hAnsi="仿宋" w:cs="仿宋" w:hint="eastAsia"/>
            <w:lang w:eastAsia="zh-CN"/>
          </w:rPr>
          <w:t>(二)、运营管理流程</w:t>
        </w:r>
        <w:r>
          <w:tab/>
        </w:r>
        <w:r>
          <w:fldChar w:fldCharType="begin"/>
        </w:r>
        <w:r>
          <w:instrText xml:space="preserve"> PAGEREF _Toc23299 \h </w:instrText>
        </w:r>
        <w:r>
          <w:fldChar w:fldCharType="separate"/>
        </w:r>
        <w:r>
          <w:t>43</w:t>
        </w:r>
        <w:r>
          <w:fldChar w:fldCharType="end"/>
        </w:r>
      </w:hyperlink>
    </w:p>
    <w:p>
      <w:pPr>
        <w:pStyle w:val="TOC2"/>
        <w:tabs>
          <w:tab w:val="right" w:leader="dot" w:pos="8306"/>
        </w:tabs>
      </w:pPr>
      <w:hyperlink w:anchor="_Toc6029" w:history="1">
        <w:r>
          <w:rPr>
            <w:rFonts w:ascii="仿宋" w:eastAsia="仿宋" w:hAnsi="仿宋" w:cs="仿宋" w:hint="eastAsia"/>
            <w:lang w:eastAsia="zh-CN"/>
          </w:rPr>
          <w:t>(三)、人员配备及培训</w:t>
        </w:r>
        <w:r>
          <w:tab/>
        </w:r>
        <w:r>
          <w:fldChar w:fldCharType="begin"/>
        </w:r>
        <w:r>
          <w:instrText xml:space="preserve"> PAGEREF _Toc6029 \h </w:instrText>
        </w:r>
        <w:r>
          <w:fldChar w:fldCharType="separate"/>
        </w:r>
        <w:r>
          <w:t>46</w:t>
        </w:r>
        <w:r>
          <w:fldChar w:fldCharType="end"/>
        </w:r>
      </w:hyperlink>
    </w:p>
    <w:p>
      <w:pPr>
        <w:pStyle w:val="TOC2"/>
        <w:tabs>
          <w:tab w:val="right" w:leader="dot" w:pos="8306"/>
        </w:tabs>
      </w:pPr>
      <w:hyperlink w:anchor="_Toc24602" w:history="1">
        <w:r>
          <w:rPr>
            <w:rFonts w:ascii="仿宋" w:eastAsia="仿宋" w:hAnsi="仿宋" w:cs="仿宋" w:hint="eastAsia"/>
            <w:lang w:eastAsia="zh-CN"/>
          </w:rPr>
          <w:t>(四)、质量管理体系</w:t>
        </w:r>
        <w:r>
          <w:tab/>
        </w:r>
        <w:r>
          <w:fldChar w:fldCharType="begin"/>
        </w:r>
        <w:r>
          <w:instrText xml:space="preserve"> PAGEREF _Toc24602 \h </w:instrText>
        </w:r>
        <w:r>
          <w:fldChar w:fldCharType="separate"/>
        </w:r>
        <w:r>
          <w:t>48</w:t>
        </w:r>
        <w:r>
          <w:fldChar w:fldCharType="end"/>
        </w:r>
      </w:hyperlink>
    </w:p>
    <w:p>
      <w:pPr>
        <w:pStyle w:val="TOC2"/>
        <w:tabs>
          <w:tab w:val="right" w:leader="dot" w:pos="8306"/>
        </w:tabs>
      </w:pPr>
      <w:hyperlink w:anchor="_Toc28705" w:history="1">
        <w:r>
          <w:rPr>
            <w:rFonts w:ascii="仿宋" w:eastAsia="仿宋" w:hAnsi="仿宋" w:cs="仿宋" w:hint="eastAsia"/>
            <w:lang w:eastAsia="zh-CN"/>
          </w:rPr>
          <w:t>(五)、安全生产管理</w:t>
        </w:r>
        <w:r>
          <w:tab/>
        </w:r>
        <w:r>
          <w:fldChar w:fldCharType="begin"/>
        </w:r>
        <w:r>
          <w:instrText xml:space="preserve"> PAGEREF _Toc28705 \h </w:instrText>
        </w:r>
        <w:r>
          <w:fldChar w:fldCharType="separate"/>
        </w:r>
        <w:r>
          <w:t>50</w:t>
        </w:r>
        <w:r>
          <w:fldChar w:fldCharType="end"/>
        </w:r>
      </w:hyperlink>
    </w:p>
    <w:p>
      <w:pPr>
        <w:pStyle w:val="TOC2"/>
        <w:tabs>
          <w:tab w:val="right" w:leader="dot" w:pos="8306"/>
        </w:tabs>
      </w:pPr>
      <w:hyperlink w:anchor="_Toc5746" w:history="1">
        <w:r>
          <w:rPr>
            <w:rFonts w:ascii="仿宋" w:eastAsia="仿宋" w:hAnsi="仿宋" w:cs="仿宋" w:hint="eastAsia"/>
            <w:lang w:eastAsia="zh-CN"/>
          </w:rPr>
          <w:t>(六)、环境管理</w:t>
        </w:r>
        <w:r>
          <w:tab/>
        </w:r>
        <w:r>
          <w:fldChar w:fldCharType="begin"/>
        </w:r>
        <w:r>
          <w:instrText xml:space="preserve"> PAGEREF _Toc5746 \h </w:instrText>
        </w:r>
        <w:r>
          <w:fldChar w:fldCharType="separate"/>
        </w:r>
        <w:r>
          <w:t>53</w:t>
        </w:r>
        <w:r>
          <w:fldChar w:fldCharType="end"/>
        </w:r>
      </w:hyperlink>
    </w:p>
    <w:p>
      <w:pPr>
        <w:pStyle w:val="TOC2"/>
        <w:tabs>
          <w:tab w:val="right" w:leader="dot" w:pos="8306"/>
        </w:tabs>
      </w:pPr>
      <w:hyperlink w:anchor="_Toc9728" w:history="1">
        <w:r>
          <w:rPr>
            <w:rFonts w:ascii="仿宋" w:eastAsia="仿宋" w:hAnsi="仿宋" w:cs="仿宋" w:hint="eastAsia"/>
            <w:lang w:eastAsia="zh-CN"/>
          </w:rPr>
          <w:t>(七)、设备维护与保养</w:t>
        </w:r>
        <w:r>
          <w:tab/>
        </w:r>
        <w:r>
          <w:fldChar w:fldCharType="begin"/>
        </w:r>
        <w:r>
          <w:instrText xml:space="preserve"> PAGEREF _Toc9728 \h </w:instrText>
        </w:r>
        <w:r>
          <w:fldChar w:fldCharType="separate"/>
        </w:r>
        <w:r>
          <w:t>55</w:t>
        </w:r>
        <w:r>
          <w:fldChar w:fldCharType="end"/>
        </w:r>
      </w:hyperlink>
    </w:p>
    <w:p>
      <w:pPr>
        <w:pStyle w:val="TOC2"/>
        <w:tabs>
          <w:tab w:val="right" w:leader="dot" w:pos="8306"/>
        </w:tabs>
      </w:pPr>
      <w:hyperlink w:anchor="_Toc7880" w:history="1">
        <w:r>
          <w:rPr>
            <w:rFonts w:ascii="仿宋" w:eastAsia="仿宋" w:hAnsi="仿宋" w:cs="仿宋" w:hint="eastAsia"/>
            <w:lang w:eastAsia="zh-CN"/>
          </w:rPr>
          <w:t>(八)、应急预案与处置</w:t>
        </w:r>
        <w:r>
          <w:tab/>
        </w:r>
        <w:r>
          <w:fldChar w:fldCharType="begin"/>
        </w:r>
        <w:r>
          <w:instrText xml:space="preserve"> PAGEREF _Toc7880 \h </w:instrText>
        </w:r>
        <w:r>
          <w:fldChar w:fldCharType="separate"/>
        </w:r>
        <w:r>
          <w:t>57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998" w:history="1">
        <w:r>
          <w:rPr>
            <w:rFonts w:ascii="仿宋" w:eastAsia="仿宋" w:hAnsi="仿宋" w:cs="仿宋" w:hint="eastAsia"/>
            <w:lang w:eastAsia="zh-CN"/>
          </w:rPr>
          <w:t>(九)、绩效评估</w:t>
        </w:r>
        <w:r>
          <w:tab/>
        </w:r>
        <w:r>
          <w:fldChar w:fldCharType="begin"/>
        </w:r>
        <w:r>
          <w:instrText xml:space="preserve"> PAGEREF _Toc28998 \h </w:instrText>
        </w:r>
        <w:r>
          <w:fldChar w:fldCharType="separate"/>
        </w:r>
        <w:r>
          <w:t>59</w:t>
        </w:r>
        <w:r>
          <w:fldChar w:fldCharType="end"/>
        </w:r>
      </w:hyperlink>
    </w:p>
    <w:p>
      <w:pPr>
        <w:pStyle w:val="TOC1"/>
        <w:tabs>
          <w:tab w:val="right" w:leader="dot" w:pos="8306"/>
        </w:tabs>
      </w:pPr>
      <w:hyperlink w:anchor="_Toc27063" w:history="1">
        <w:r>
          <w:rPr>
            <w:rFonts w:ascii="仿宋" w:eastAsia="仿宋" w:hAnsi="仿宋" w:cs="仿宋" w:hint="eastAsia"/>
            <w:lang w:eastAsia="zh-CN"/>
          </w:rPr>
          <w:t>八、危机管理与应急预案</w:t>
        </w:r>
        <w:r>
          <w:tab/>
        </w:r>
        <w:r>
          <w:fldChar w:fldCharType="begin"/>
        </w:r>
        <w:r>
          <w:instrText xml:space="preserve"> PAGEREF _Toc27063 \h </w:instrText>
        </w:r>
        <w:r>
          <w:fldChar w:fldCharType="separate"/>
        </w:r>
        <w:r>
          <w:t>60</w:t>
        </w:r>
        <w:r>
          <w:fldChar w:fldCharType="end"/>
        </w:r>
      </w:hyperlink>
    </w:p>
    <w:p>
      <w:pPr>
        <w:pStyle w:val="TOC2"/>
        <w:tabs>
          <w:tab w:val="right" w:leader="dot" w:pos="8306"/>
        </w:tabs>
      </w:pPr>
      <w:hyperlink w:anchor="_Toc32083" w:history="1">
        <w:r>
          <w:rPr>
            <w:rFonts w:ascii="仿宋" w:eastAsia="仿宋" w:hAnsi="仿宋" w:cs="仿宋" w:hint="eastAsia"/>
            <w:lang w:eastAsia="zh-CN"/>
          </w:rPr>
          <w:t>(一)、危机预警与监测</w:t>
        </w:r>
        <w:r>
          <w:tab/>
        </w:r>
        <w:r>
          <w:fldChar w:fldCharType="begin"/>
        </w:r>
        <w:r>
          <w:instrText xml:space="preserve"> PAGEREF _Toc32083 \h </w:instrText>
        </w:r>
        <w:r>
          <w:fldChar w:fldCharType="separate"/>
        </w:r>
        <w:r>
          <w:t>60</w:t>
        </w:r>
        <w:r>
          <w:fldChar w:fldCharType="end"/>
        </w:r>
      </w:hyperlink>
    </w:p>
    <w:p>
      <w:pPr>
        <w:pStyle w:val="TOC2"/>
        <w:tabs>
          <w:tab w:val="right" w:leader="dot" w:pos="8306"/>
        </w:tabs>
      </w:pPr>
      <w:hyperlink w:anchor="_Toc9638" w:history="1">
        <w:r>
          <w:rPr>
            <w:rFonts w:ascii="仿宋" w:eastAsia="仿宋" w:hAnsi="仿宋" w:cs="仿宋" w:hint="eastAsia"/>
            <w:lang w:eastAsia="zh-CN"/>
          </w:rPr>
          <w:t>(二)、应急预案与危机响应</w:t>
        </w:r>
        <w:r>
          <w:tab/>
        </w:r>
        <w:r>
          <w:fldChar w:fldCharType="begin"/>
        </w:r>
        <w:r>
          <w:instrText xml:space="preserve"> PAGEREF _Toc9638 \h </w:instrText>
        </w:r>
        <w:r>
          <w:fldChar w:fldCharType="separate"/>
        </w:r>
        <w:r>
          <w:t>62</w:t>
        </w:r>
        <w:r>
          <w:fldChar w:fldCharType="end"/>
        </w:r>
      </w:hyperlink>
    </w:p>
    <w:p>
      <w:pPr>
        <w:pStyle w:val="TOC2"/>
        <w:tabs>
          <w:tab w:val="right" w:leader="dot" w:pos="8306"/>
        </w:tabs>
      </w:pPr>
      <w:hyperlink w:anchor="_Toc13674" w:history="1">
        <w:r>
          <w:rPr>
            <w:rFonts w:ascii="仿宋" w:eastAsia="仿宋" w:hAnsi="仿宋" w:cs="仿宋" w:hint="eastAsia"/>
            <w:lang w:eastAsia="zh-CN"/>
          </w:rPr>
          <w:t>(三)、危机沟通与舆情控制</w:t>
        </w:r>
        <w:r>
          <w:tab/>
        </w:r>
        <w:r>
          <w:fldChar w:fldCharType="begin"/>
        </w:r>
        <w:r>
          <w:instrText xml:space="preserve"> PAGEREF _Toc13674 \h </w:instrText>
        </w:r>
        <w:r>
          <w:fldChar w:fldCharType="separate"/>
        </w:r>
        <w:r>
          <w:t>64</w:t>
        </w:r>
        <w:r>
          <w:fldChar w:fldCharType="end"/>
        </w:r>
      </w:hyperlink>
    </w:p>
    <w:p>
      <w:pPr>
        <w:pStyle w:val="TOC2"/>
        <w:tabs>
          <w:tab w:val="right" w:leader="dot" w:pos="8306"/>
        </w:tabs>
      </w:pPr>
      <w:hyperlink w:anchor="_Toc5466" w:history="1">
        <w:r>
          <w:rPr>
            <w:rFonts w:ascii="仿宋" w:eastAsia="仿宋" w:hAnsi="仿宋" w:cs="仿宋" w:hint="eastAsia"/>
            <w:lang w:eastAsia="zh-CN"/>
          </w:rPr>
          <w:t>(四)、危机后教训与改进</w:t>
        </w:r>
        <w:r>
          <w:tab/>
        </w:r>
        <w:r>
          <w:fldChar w:fldCharType="begin"/>
        </w:r>
        <w:r>
          <w:instrText xml:space="preserve"> PAGEREF _Toc5466 \h </w:instrText>
        </w:r>
        <w:r>
          <w:fldChar w:fldCharType="separate"/>
        </w:r>
        <w:r>
          <w:t>66</w:t>
        </w:r>
        <w:r>
          <w:fldChar w:fldCharType="end"/>
        </w:r>
      </w:hyperlink>
    </w:p>
    <w:p>
      <w:pPr>
        <w:pStyle w:val="TOC1"/>
        <w:tabs>
          <w:tab w:val="right" w:leader="dot" w:pos="8306"/>
        </w:tabs>
      </w:pPr>
      <w:hyperlink w:anchor="_Toc2947" w:history="1">
        <w:r>
          <w:rPr>
            <w:rFonts w:ascii="仿宋" w:eastAsia="仿宋" w:hAnsi="仿宋" w:cs="仿宋" w:hint="eastAsia"/>
            <w:lang w:eastAsia="zh-CN"/>
          </w:rPr>
          <w:t>九、风险管理与应对策略</w:t>
        </w:r>
        <w:r>
          <w:tab/>
        </w:r>
        <w:r>
          <w:fldChar w:fldCharType="begin"/>
        </w:r>
        <w:r>
          <w:instrText xml:space="preserve"> PAGEREF _Toc2947 \h </w:instrText>
        </w:r>
        <w:r>
          <w:fldChar w:fldCharType="separate"/>
        </w:r>
        <w:r>
          <w:t>68</w:t>
        </w:r>
        <w:r>
          <w:fldChar w:fldCharType="end"/>
        </w:r>
      </w:hyperlink>
    </w:p>
    <w:p>
      <w:pPr>
        <w:pStyle w:val="TOC2"/>
        <w:tabs>
          <w:tab w:val="right" w:leader="dot" w:pos="8306"/>
        </w:tabs>
      </w:pPr>
      <w:hyperlink w:anchor="_Toc23566" w:history="1">
        <w:r>
          <w:rPr>
            <w:rFonts w:ascii="仿宋" w:eastAsia="仿宋" w:hAnsi="仿宋" w:cs="仿宋" w:hint="eastAsia"/>
            <w:lang w:eastAsia="zh-CN"/>
          </w:rPr>
          <w:t>(一)、风险管理流程</w:t>
        </w:r>
        <w:r>
          <w:tab/>
        </w:r>
        <w:r>
          <w:fldChar w:fldCharType="begin"/>
        </w:r>
        <w:r>
          <w:instrText xml:space="preserve"> PAGEREF _Toc23566 \h </w:instrText>
        </w:r>
        <w:r>
          <w:fldChar w:fldCharType="separate"/>
        </w:r>
        <w:r>
          <w:t>68</w:t>
        </w:r>
        <w:r>
          <w:fldChar w:fldCharType="end"/>
        </w:r>
      </w:hyperlink>
    </w:p>
    <w:p>
      <w:pPr>
        <w:pStyle w:val="TOC2"/>
        <w:tabs>
          <w:tab w:val="right" w:leader="dot" w:pos="8306"/>
        </w:tabs>
      </w:pPr>
      <w:hyperlink w:anchor="_Toc12937" w:history="1">
        <w:r>
          <w:rPr>
            <w:rFonts w:ascii="仿宋" w:eastAsia="仿宋" w:hAnsi="仿宋" w:cs="仿宋" w:hint="eastAsia"/>
            <w:lang w:eastAsia="zh-CN"/>
          </w:rPr>
          <w:t>(二)、风险识别与评估</w:t>
        </w:r>
        <w:r>
          <w:tab/>
        </w:r>
        <w:r>
          <w:fldChar w:fldCharType="begin"/>
        </w:r>
        <w:r>
          <w:instrText xml:space="preserve"> PAGEREF _Toc12937 \h </w:instrText>
        </w:r>
        <w:r>
          <w:fldChar w:fldCharType="separate"/>
        </w:r>
        <w:r>
          <w:t>71</w:t>
        </w:r>
        <w:r>
          <w:fldChar w:fldCharType="end"/>
        </w:r>
      </w:hyperlink>
    </w:p>
    <w:p>
      <w:pPr>
        <w:pStyle w:val="TOC2"/>
        <w:tabs>
          <w:tab w:val="right" w:leader="dot" w:pos="8306"/>
        </w:tabs>
      </w:pPr>
      <w:hyperlink w:anchor="_Toc29492" w:history="1">
        <w:r>
          <w:rPr>
            <w:rFonts w:ascii="仿宋" w:eastAsia="仿宋" w:hAnsi="仿宋" w:cs="仿宋" w:hint="eastAsia"/>
            <w:lang w:eastAsia="zh-CN"/>
          </w:rPr>
          <w:t>(三)、风险控制与应对策略</w:t>
        </w:r>
        <w:r>
          <w:tab/>
        </w:r>
        <w:r>
          <w:fldChar w:fldCharType="begin"/>
        </w:r>
        <w:r>
          <w:instrText xml:space="preserve"> PAGEREF _Toc29492 \h </w:instrText>
        </w:r>
        <w:r>
          <w:fldChar w:fldCharType="separate"/>
        </w:r>
        <w:r>
          <w:t>73</w:t>
        </w:r>
        <w:r>
          <w:fldChar w:fldCharType="end"/>
        </w:r>
      </w:hyperlink>
    </w:p>
    <w:p>
      <w:pPr>
        <w:pStyle w:val="TOC2"/>
        <w:tabs>
          <w:tab w:val="right" w:leader="dot" w:pos="8306"/>
        </w:tabs>
      </w:pPr>
      <w:hyperlink w:anchor="_Toc20370" w:history="1">
        <w:r>
          <w:rPr>
            <w:rFonts w:ascii="仿宋" w:eastAsia="仿宋" w:hAnsi="仿宋" w:cs="仿宋" w:hint="eastAsia"/>
            <w:lang w:eastAsia="zh-CN"/>
          </w:rPr>
          <w:t>(四)、危机管理与应急预案</w:t>
        </w:r>
        <w:r>
          <w:tab/>
        </w:r>
        <w:r>
          <w:fldChar w:fldCharType="begin"/>
        </w:r>
        <w:r>
          <w:instrText xml:space="preserve"> PAGEREF _Toc20370 \h </w:instrText>
        </w:r>
        <w:r>
          <w:fldChar w:fldCharType="separate"/>
        </w:r>
        <w:r>
          <w:t>75</w:t>
        </w:r>
        <w:r>
          <w:fldChar w:fldCharType="end"/>
        </w:r>
      </w:hyperlink>
    </w:p>
    <w:p>
      <w:pPr>
        <w:pStyle w:val="TOC1"/>
        <w:tabs>
          <w:tab w:val="right" w:leader="dot" w:pos="8306"/>
        </w:tabs>
      </w:pPr>
      <w:hyperlink w:anchor="_Toc24395" w:history="1">
        <w:r>
          <w:rPr>
            <w:rFonts w:ascii="仿宋" w:eastAsia="仿宋" w:hAnsi="仿宋" w:cs="仿宋" w:hint="eastAsia"/>
            <w:lang w:eastAsia="zh-CN"/>
          </w:rPr>
          <w:t>十、社会责任与可持续发展</w:t>
        </w:r>
        <w:r>
          <w:tab/>
        </w:r>
        <w:r>
          <w:fldChar w:fldCharType="begin"/>
        </w:r>
        <w:r>
          <w:instrText xml:space="preserve"> PAGEREF _Toc24395 \h </w:instrText>
        </w:r>
        <w:r>
          <w:fldChar w:fldCharType="separate"/>
        </w:r>
        <w:r>
          <w:t>77</w:t>
        </w:r>
        <w:r>
          <w:fldChar w:fldCharType="end"/>
        </w:r>
      </w:hyperlink>
    </w:p>
    <w:p>
      <w:pPr>
        <w:pStyle w:val="TOC2"/>
        <w:tabs>
          <w:tab w:val="right" w:leader="dot" w:pos="8306"/>
        </w:tabs>
      </w:pPr>
      <w:hyperlink w:anchor="_Toc472" w:history="1">
        <w:r>
          <w:rPr>
            <w:rFonts w:ascii="仿宋" w:eastAsia="仿宋" w:hAnsi="仿宋" w:cs="仿宋" w:hint="eastAsia"/>
            <w:lang w:eastAsia="zh-CN"/>
          </w:rPr>
          <w:t>(一)、社会责任理念</w:t>
        </w:r>
        <w:r>
          <w:tab/>
        </w:r>
        <w:r>
          <w:fldChar w:fldCharType="begin"/>
        </w:r>
        <w:r>
          <w:instrText xml:space="preserve"> PAGEREF _Toc472 \h </w:instrText>
        </w:r>
        <w:r>
          <w:fldChar w:fldCharType="separate"/>
        </w:r>
        <w:r>
          <w:t>77</w:t>
        </w:r>
        <w:r>
          <w:fldChar w:fldCharType="end"/>
        </w:r>
      </w:hyperlink>
    </w:p>
    <w:p>
      <w:pPr>
        <w:pStyle w:val="TOC2"/>
        <w:tabs>
          <w:tab w:val="right" w:leader="dot" w:pos="8306"/>
        </w:tabs>
      </w:pPr>
      <w:hyperlink w:anchor="_Toc9335" w:history="1">
        <w:r>
          <w:rPr>
            <w:rFonts w:ascii="仿宋" w:eastAsia="仿宋" w:hAnsi="仿宋" w:cs="仿宋" w:hint="eastAsia"/>
            <w:lang w:eastAsia="zh-CN"/>
          </w:rPr>
          <w:t>(二)、公益活动与社区参与</w:t>
        </w:r>
        <w:r>
          <w:tab/>
        </w:r>
        <w:r>
          <w:fldChar w:fldCharType="begin"/>
        </w:r>
        <w:r>
          <w:instrText xml:space="preserve"> PAGEREF _Toc9335 \h </w:instrText>
        </w:r>
        <w:r>
          <w:fldChar w:fldCharType="separate"/>
        </w:r>
        <w:r>
          <w:t>79</w:t>
        </w:r>
        <w:r>
          <w:fldChar w:fldCharType="end"/>
        </w:r>
      </w:hyperlink>
    </w:p>
    <w:p>
      <w:pPr>
        <w:pStyle w:val="TOC2"/>
        <w:tabs>
          <w:tab w:val="right" w:leader="dot" w:pos="8306"/>
        </w:tabs>
      </w:pPr>
      <w:hyperlink w:anchor="_Toc24444" w:history="1">
        <w:r>
          <w:rPr>
            <w:rFonts w:ascii="仿宋" w:eastAsia="仿宋" w:hAnsi="仿宋" w:cs="仿宋" w:hint="eastAsia"/>
            <w:lang w:eastAsia="zh-CN"/>
          </w:rPr>
          <w:t>(三)、可持续发展策略</w:t>
        </w:r>
        <w:r>
          <w:tab/>
        </w:r>
        <w:r>
          <w:fldChar w:fldCharType="begin"/>
        </w:r>
        <w:r>
          <w:instrText xml:space="preserve"> PAGEREF _Toc24444 \h </w:instrText>
        </w:r>
        <w:r>
          <w:fldChar w:fldCharType="separate"/>
        </w:r>
        <w:r>
          <w:t>80</w:t>
        </w:r>
        <w:r>
          <w:fldChar w:fldCharType="end"/>
        </w:r>
      </w:hyperlink>
    </w:p>
    <w:p>
      <w:pPr>
        <w:pStyle w:val="TOC2"/>
        <w:tabs>
          <w:tab w:val="right" w:leader="dot" w:pos="8306"/>
        </w:tabs>
      </w:pPr>
      <w:hyperlink w:anchor="_Toc16566" w:history="1">
        <w:r>
          <w:rPr>
            <w:rFonts w:ascii="仿宋" w:eastAsia="仿宋" w:hAnsi="仿宋" w:cs="仿宋" w:hint="eastAsia"/>
            <w:lang w:eastAsia="zh-CN"/>
          </w:rPr>
          <w:t>(四)、企业文化与价值观</w:t>
        </w:r>
        <w:r>
          <w:tab/>
        </w:r>
        <w:r>
          <w:fldChar w:fldCharType="begin"/>
        </w:r>
        <w:r>
          <w:instrText xml:space="preserve"> PAGEREF _Toc16566 \h </w:instrText>
        </w:r>
        <w:r>
          <w:fldChar w:fldCharType="separate"/>
        </w:r>
        <w:r>
          <w:t>82</w:t>
        </w:r>
        <w:r>
          <w:fldChar w:fldCharType="end"/>
        </w:r>
      </w:hyperlink>
    </w:p>
    <w:p>
      <w:pPr>
        <w:pStyle w:val="TOC1"/>
        <w:tabs>
          <w:tab w:val="right" w:leader="dot" w:pos="8306"/>
        </w:tabs>
      </w:pPr>
      <w:hyperlink w:anchor="_Toc13656" w:history="1">
        <w:r>
          <w:rPr>
            <w:rFonts w:ascii="仿宋" w:eastAsia="仿宋" w:hAnsi="仿宋" w:cs="仿宋" w:hint="eastAsia"/>
            <w:lang w:eastAsia="zh-CN"/>
          </w:rPr>
          <w:t>十一、未来发展战略</w:t>
        </w:r>
        <w:r>
          <w:tab/>
        </w:r>
        <w:r>
          <w:fldChar w:fldCharType="begin"/>
        </w:r>
        <w:r>
          <w:instrText xml:space="preserve"> PAGEREF _Toc13656 \h </w:instrText>
        </w:r>
        <w:r>
          <w:fldChar w:fldCharType="separate"/>
        </w:r>
        <w:r>
          <w:t>83</w:t>
        </w:r>
        <w:r>
          <w:fldChar w:fldCharType="end"/>
        </w:r>
      </w:hyperlink>
    </w:p>
    <w:p>
      <w:pPr>
        <w:pStyle w:val="TOC2"/>
        <w:tabs>
          <w:tab w:val="right" w:leader="dot" w:pos="8306"/>
        </w:tabs>
      </w:pPr>
      <w:hyperlink w:anchor="_Toc24814" w:history="1">
        <w:r>
          <w:rPr>
            <w:rFonts w:ascii="仿宋" w:eastAsia="仿宋" w:hAnsi="仿宋" w:cs="仿宋" w:hint="eastAsia"/>
            <w:lang w:eastAsia="zh-CN"/>
          </w:rPr>
          <w:t>(一)、未来市场定位与业务拓展</w:t>
        </w:r>
        <w:r>
          <w:tab/>
        </w:r>
        <w:r>
          <w:fldChar w:fldCharType="begin"/>
        </w:r>
        <w:r>
          <w:instrText xml:space="preserve"> PAGEREF _Toc24814 \h </w:instrText>
        </w:r>
        <w:r>
          <w:fldChar w:fldCharType="separate"/>
        </w:r>
        <w:r>
          <w:t>83</w:t>
        </w:r>
        <w:r>
          <w:fldChar w:fldCharType="end"/>
        </w:r>
      </w:hyperlink>
    </w:p>
    <w:p>
      <w:pPr>
        <w:pStyle w:val="TOC2"/>
        <w:tabs>
          <w:tab w:val="right" w:leader="dot" w:pos="8306"/>
        </w:tabs>
      </w:pPr>
      <w:hyperlink w:anchor="_Toc2668" w:history="1">
        <w:r>
          <w:rPr>
            <w:rFonts w:ascii="仿宋" w:eastAsia="仿宋" w:hAnsi="仿宋" w:cs="仿宋" w:hint="eastAsia"/>
            <w:lang w:eastAsia="zh-CN"/>
          </w:rPr>
          <w:t>(二)、技术创新与研发方向</w:t>
        </w:r>
        <w:r>
          <w:tab/>
        </w:r>
        <w:r>
          <w:fldChar w:fldCharType="begin"/>
        </w:r>
        <w:r>
          <w:instrText xml:space="preserve"> PAGEREF _Toc2668 \h </w:instrText>
        </w:r>
        <w:r>
          <w:fldChar w:fldCharType="separate"/>
        </w:r>
        <w:r>
          <w:t>86</w:t>
        </w:r>
        <w:r>
          <w:fldChar w:fldCharType="end"/>
        </w:r>
      </w:hyperlink>
    </w:p>
    <w:p>
      <w:pPr>
        <w:pStyle w:val="TOC2"/>
        <w:tabs>
          <w:tab w:val="right" w:leader="dot" w:pos="8306"/>
        </w:tabs>
      </w:pPr>
      <w:hyperlink w:anchor="_Toc28448" w:history="1">
        <w:r>
          <w:rPr>
            <w:rFonts w:ascii="仿宋" w:eastAsia="仿宋" w:hAnsi="仿宋" w:cs="仿宋" w:hint="eastAsia"/>
            <w:lang w:eastAsia="zh-CN"/>
          </w:rPr>
          <w:t>(三)、国际化战略与全球市场</w:t>
        </w:r>
        <w:r>
          <w:tab/>
        </w:r>
        <w:r>
          <w:fldChar w:fldCharType="begin"/>
        </w:r>
        <w:r>
          <w:instrText xml:space="preserve"> PAGEREF _Toc28448 \h </w:instrText>
        </w:r>
        <w:r>
          <w:fldChar w:fldCharType="separate"/>
        </w:r>
        <w:r>
          <w:t>87</w:t>
        </w:r>
        <w:r>
          <w:fldChar w:fldCharType="end"/>
        </w:r>
      </w:hyperlink>
    </w:p>
    <w:p>
      <w:pPr>
        <w:pStyle w:val="TOC2"/>
        <w:tabs>
          <w:tab w:val="right" w:leader="dot" w:pos="8306"/>
        </w:tabs>
      </w:pPr>
      <w:hyperlink w:anchor="_Toc11179" w:history="1">
        <w:r>
          <w:rPr>
            <w:rFonts w:ascii="仿宋" w:eastAsia="仿宋" w:hAnsi="仿宋" w:cs="仿宋" w:hint="eastAsia"/>
            <w:lang w:eastAsia="zh-CN"/>
          </w:rPr>
          <w:t>(四)、可持续发展战略</w:t>
        </w:r>
        <w:r>
          <w:tab/>
        </w:r>
        <w:r>
          <w:fldChar w:fldCharType="begin"/>
        </w:r>
        <w:r>
          <w:instrText xml:space="preserve"> PAGEREF _Toc11179 \h </w:instrText>
        </w:r>
        <w:r>
          <w:fldChar w:fldCharType="separate"/>
        </w:r>
        <w:r>
          <w:t>89</w:t>
        </w:r>
        <w:r>
          <w:fldChar w:fldCharType="end"/>
        </w:r>
      </w:hyperlink>
    </w:p>
    <w:p>
      <w:pPr>
        <w:pStyle w:val="TOC1"/>
        <w:tabs>
          <w:tab w:val="right" w:leader="dot" w:pos="8306"/>
        </w:tabs>
      </w:pPr>
      <w:hyperlink w:anchor="_Toc19334" w:history="1">
        <w:r>
          <w:rPr>
            <w:rFonts w:ascii="仿宋" w:eastAsia="仿宋" w:hAnsi="仿宋" w:cs="仿宋" w:hint="eastAsia"/>
            <w:lang w:eastAsia="zh-CN"/>
          </w:rPr>
          <w:t>十二、市场趋势与竞争分析</w:t>
        </w:r>
        <w:r>
          <w:tab/>
        </w:r>
        <w:r>
          <w:fldChar w:fldCharType="begin"/>
        </w:r>
        <w:r>
          <w:instrText xml:space="preserve"> PAGEREF _Toc19334 \h </w:instrText>
        </w:r>
        <w:r>
          <w:fldChar w:fldCharType="separate"/>
        </w:r>
        <w:r>
          <w:t>91</w:t>
        </w:r>
        <w:r>
          <w:fldChar w:fldCharType="end"/>
        </w:r>
      </w:hyperlink>
    </w:p>
    <w:p>
      <w:pPr>
        <w:pStyle w:val="TOC2"/>
        <w:tabs>
          <w:tab w:val="right" w:leader="dot" w:pos="8306"/>
        </w:tabs>
      </w:pPr>
      <w:hyperlink w:anchor="_Toc27440" w:history="1">
        <w:r>
          <w:rPr>
            <w:rFonts w:ascii="仿宋" w:eastAsia="仿宋" w:hAnsi="仿宋" w:cs="仿宋" w:hint="eastAsia"/>
            <w:lang w:eastAsia="zh-CN"/>
          </w:rPr>
          <w:t>(一)、行业市场趋势分析</w:t>
        </w:r>
        <w:r>
          <w:tab/>
        </w:r>
        <w:r>
          <w:fldChar w:fldCharType="begin"/>
        </w:r>
        <w:r>
          <w:instrText xml:space="preserve"> PAGEREF _Toc27440 \h </w:instrText>
        </w:r>
        <w:r>
          <w:fldChar w:fldCharType="separate"/>
        </w:r>
        <w:r>
          <w:t>91</w:t>
        </w:r>
        <w:r>
          <w:fldChar w:fldCharType="end"/>
        </w:r>
      </w:hyperlink>
    </w:p>
    <w:p>
      <w:pPr>
        <w:pStyle w:val="TOC2"/>
        <w:tabs>
          <w:tab w:val="right" w:leader="dot" w:pos="8306"/>
        </w:tabs>
      </w:pPr>
      <w:hyperlink w:anchor="_Toc20336" w:history="1">
        <w:r>
          <w:rPr>
            <w:rFonts w:ascii="仿宋" w:eastAsia="仿宋" w:hAnsi="仿宋" w:cs="仿宋" w:hint="eastAsia"/>
            <w:lang w:eastAsia="zh-CN"/>
          </w:rPr>
          <w:t>(二)、竞争对手动态监测</w:t>
        </w:r>
        <w:r>
          <w:tab/>
        </w:r>
        <w:r>
          <w:fldChar w:fldCharType="begin"/>
        </w:r>
        <w:r>
          <w:instrText xml:space="preserve"> PAGEREF _Toc20336 \h </w:instrText>
        </w:r>
        <w:r>
          <w:fldChar w:fldCharType="separate"/>
        </w:r>
        <w:r>
          <w:t>93</w:t>
        </w:r>
        <w:r>
          <w:fldChar w:fldCharType="end"/>
        </w:r>
      </w:hyperlink>
    </w:p>
    <w:p>
      <w:pPr>
        <w:pStyle w:val="TOC2"/>
        <w:tabs>
          <w:tab w:val="right" w:leader="dot" w:pos="8306"/>
        </w:tabs>
      </w:pPr>
      <w:hyperlink w:anchor="_Toc22055" w:history="1">
        <w:r>
          <w:rPr>
            <w:rFonts w:ascii="仿宋" w:eastAsia="仿宋" w:hAnsi="仿宋" w:cs="仿宋" w:hint="eastAsia"/>
            <w:lang w:eastAsia="zh-CN"/>
          </w:rPr>
          <w:t>(三)、新兴技术与创新趋势</w:t>
        </w:r>
        <w:r>
          <w:tab/>
        </w:r>
        <w:r>
          <w:fldChar w:fldCharType="begin"/>
        </w:r>
        <w:r>
          <w:instrText xml:space="preserve"> PAGEREF _Toc22055 \h </w:instrText>
        </w:r>
        <w:r>
          <w:fldChar w:fldCharType="separate"/>
        </w:r>
        <w:r>
          <w:t>95</w:t>
        </w:r>
        <w:r>
          <w:fldChar w:fldCharType="end"/>
        </w:r>
      </w:hyperlink>
    </w:p>
    <w:p>
      <w:pPr>
        <w:pStyle w:val="TOC2"/>
        <w:tabs>
          <w:tab w:val="right" w:leader="dot" w:pos="8306"/>
        </w:tabs>
      </w:pPr>
      <w:hyperlink w:anchor="_Toc28686" w:history="1">
        <w:r>
          <w:rPr>
            <w:rFonts w:ascii="仿宋" w:eastAsia="仿宋" w:hAnsi="仿宋" w:cs="仿宋" w:hint="eastAsia"/>
            <w:lang w:eastAsia="zh-CN"/>
          </w:rPr>
          <w:t>(四)、市场机会与威胁评估</w:t>
        </w:r>
        <w:r>
          <w:tab/>
        </w:r>
        <w:r>
          <w:fldChar w:fldCharType="begin"/>
        </w:r>
        <w:r>
          <w:instrText xml:space="preserve"> PAGEREF _Toc28686 \h </w:instrText>
        </w:r>
        <w:r>
          <w:fldChar w:fldCharType="separate"/>
        </w:r>
        <w:r>
          <w:t>97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80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前知识经济迅猛发展的大背景下，净水絮凝剂项目管理已成为推动企业及组织持续创新的核心动力。本净水絮凝剂项目报告集中讨论了净水絮凝剂项目策划、实施与评估的关键环节，旨在通过系统分析和反思净水絮凝剂项目管理实践中的优势与不足，提升净水絮凝剂项目执行的有效性和效率。报告内容涵盖了净水絮凝剂项目的目标设定、资源配置、风险控制与成果交付等多个维度，为读者提供了一套完整的净水絮凝剂项目管理解决方案。需要强调的是，本报告仅用于学术研讨，不得用于商业目的，其内部详细资料和结论供学习交流使用，以促进净水絮凝剂项目管理领域的知识共享和专业发展。</w:t>
      </w:r>
    </w:p>
    <w:p>
      <w:pPr>
        <w:pStyle w:val="Heading1"/>
        <w:ind w:firstLine="560" w:firstLineChars="200"/>
        <w:rPr>
          <w:rFonts w:ascii="仿宋" w:eastAsia="仿宋" w:hAnsi="仿宋" w:cs="仿宋" w:hint="eastAsia"/>
          <w:sz w:val="28"/>
          <w:lang w:eastAsia="zh-CN"/>
        </w:rPr>
      </w:pPr>
      <w:bookmarkStart w:id="2" w:name="_Toc7209"/>
      <w:r>
        <w:rPr>
          <w:rFonts w:ascii="仿宋" w:eastAsia="仿宋" w:hAnsi="仿宋" w:cs="仿宋" w:hint="eastAsia"/>
          <w:sz w:val="28"/>
          <w:lang w:eastAsia="zh-CN"/>
        </w:rPr>
        <w:t>一、建设规划</w:t>
      </w:r>
      <w:bookmarkEnd w:id="2"/>
    </w:p>
    <w:p>
      <w:pPr>
        <w:pStyle w:val="Heading2"/>
        <w:rPr>
          <w:rFonts w:ascii="仿宋" w:eastAsia="仿宋" w:hAnsi="仿宋" w:cs="仿宋" w:hint="eastAsia"/>
          <w:lang w:eastAsia="zh-CN"/>
        </w:rPr>
      </w:pPr>
      <w:bookmarkStart w:id="3" w:name="_Toc25753"/>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商业竞争激烈的当今市场，成功的产品规划是企业实现可持续发展的基石。产品规划不仅仅是对产品生命周期的考量，更是对市场、用户需求、技术趋势以及竞争局势的深度分析和综合考虑。从市场调研到技术开发，再到最终的推广营销，每个环节都至关重要，决定了产品在市场中的命运。一场成功的产品规划需要兼顾短期和长期的目标，紧密结合市场动态，确保产品具备持续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市场调研与需求分析</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产品规划的起点是对市场的深入了解和用户需求的精准洞察。市场调研通过数据收集和分析，描绘了目标市场的地形图，帮助企业更好地理解市场规模、趋势和潜在机会。同时，深入的用户需求分析能够为产品设计和开发提供有力指导，确保产品真正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创新与设计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的成功往往离不开创新和精良的设计。创新不仅仅是对市场的回应，更是对用户未来需求的预见。通过不断地创新，企业能够在市场中保持领先地位。设计则是产品的外在表现，一个好的设计不仅提高了产品的美观性，更是提升了用户体验，从而形成了产品的差异化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技术开发与研发投入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是产品的核心，而技术开发和研发投入则是产品规划中至关重要的组成部分。通过技术的不断创新，企业可以在竞争中脱颖而出。研发投入不仅包括人力和物力，更需要注重科研成果的应用和实际运用，确保产品在技术上的领先地位，满足市场对高质量产品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生产与供应链管理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一旦产品规划确定，高效的生产和供应链管理是确保产品顺利上市的关键。生产过程的优化和供应链的畅通是产品能否按时交付和维持市场竞争力的决定性因素。建立稳定的供应链网络和精细的生产管理体系，有助于提高生产效率、降低成本，确保产品的质量和及时交付。</w:t>
      </w:r>
    </w:p>
    <w:p>
      <w:pPr>
        <w:ind w:firstLine="560" w:firstLineChars="200"/>
        <w:rPr>
          <w:rFonts w:ascii="仿宋" w:eastAsia="仿宋" w:hAnsi="仿宋" w:cs="仿宋" w:hint="eastAsia"/>
          <w:sz w:val="28"/>
        </w:rPr>
      </w:pPr>
      <w:r>
        <w:rPr>
          <w:rFonts w:ascii="仿宋" w:eastAsia="仿宋" w:hAnsi="仿宋" w:cs="仿宋" w:hint="eastAsia"/>
          <w:sz w:val="28"/>
          <w:lang w:eastAsia="zh-CN"/>
        </w:rPr>
        <w:t>营销与推广策略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产品规划的成功不仅仅在于产品本身，还需要通过有效的营销和推广策略将产品引入市场。品牌定位、渠道选择、广告宣传等环节需要深思熟虑。通过巧妙的市场推广，企业能够提高产品的知名度和美誉度，吸引更多目标客户。</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市场反馈与持续改进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上市后，与市场的互动成为产品规划中的一个重要环节。通过市场反馈、用户体验和销售数据的持续监测，企业能够不断优化产品，适应市场变化，提高产品的竞争力。持续改进是产品规划的保障，确保产品始终符合市场和用户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调研的深入了解，创新和设计的巧妙运用，技术开发和研发投入的不懈努力，生产和供应链管理的高效运作，以及营销与推广策略的巧妙运用，产品规划能够更好地适应市场的需求，确保产品在竞争激烈的市场中立于不败之地。</w:t>
      </w:r>
    </w:p>
    <w:p>
      <w:pPr>
        <w:pStyle w:val="Heading2"/>
        <w:ind w:firstLine="560" w:firstLineChars="200"/>
        <w:rPr>
          <w:rFonts w:ascii="仿宋" w:eastAsia="仿宋" w:hAnsi="仿宋" w:cs="仿宋" w:hint="eastAsia"/>
          <w:sz w:val="28"/>
          <w:lang w:eastAsia="zh-CN"/>
        </w:rPr>
      </w:pPr>
      <w:bookmarkStart w:id="4" w:name="_Toc22927"/>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净水絮凝剂项目总征地面积XXXX平方米（折合约XX亩），其中：净用地面积XXXX平方米（红线范围折合约XX亩）。净水絮凝剂项目规划总建筑面积XXXX平方米，其中规划建设主体工程XXXX平方米，计容建筑面积XXXX平方米。预计建筑工程投资XXXX万元，这包括了基础设施建设、园区绿化等多个方面的投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净水絮凝剂项目所占用的地面积充分考虑了红线范围，确保了净水絮凝剂项目的合规性和可持续发展。规划建设主体工程和计容建筑面积的设定旨在满足净水絮凝剂项目的生产和办公需求，为企业提供充足的工作空间。预计的建筑工程投资将用于净水絮凝剂项目的基础设施建设，为净水絮凝剂项目的未来发展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净水絮凝剂项目计划购置设备共计XX台（套），设备购置费XXXX万元。这些设备涵盖了生产、研发和办公等多个领域，包括先进的生产设备、办公设备和实验室设备等。设备购置费用的投入将确保净水絮凝剂项目具备先进的生产技术和高效的办公环境，提高企业的生产效率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净水絮凝剂项目计划总投资XXXX万元，预计年实现营业收入XXXX万元。这一部分涵盖了整个净水絮凝剂项目的经济规模和财务计划。总投资将用于净水絮凝剂项目的建设、设备购置、人才引进等多个方面，确保净水絮凝剂项目的全面发展。预计年实现的营业收入则是对净水絮凝剂项目盈利能力的预估，考虑了市场需求、销售计划等多个因素。</w:t>
      </w:r>
    </w:p>
    <w:p>
      <w:pPr>
        <w:pStyle w:val="Heading1"/>
        <w:ind w:firstLine="560" w:firstLineChars="200"/>
        <w:rPr>
          <w:rFonts w:ascii="仿宋" w:eastAsia="仿宋" w:hAnsi="仿宋" w:cs="仿宋" w:hint="eastAsia"/>
          <w:sz w:val="28"/>
          <w:lang w:eastAsia="zh-CN"/>
        </w:rPr>
      </w:pPr>
      <w:bookmarkStart w:id="5" w:name="_Toc27594"/>
      <w:r>
        <w:rPr>
          <w:rFonts w:ascii="仿宋" w:eastAsia="仿宋" w:hAnsi="仿宋" w:cs="仿宋" w:hint="eastAsia"/>
          <w:sz w:val="28"/>
          <w:lang w:eastAsia="zh-CN"/>
        </w:rPr>
        <w:t>二、建设单位基本信息</w:t>
      </w:r>
      <w:bookmarkEnd w:id="5"/>
    </w:p>
    <w:p>
      <w:pPr>
        <w:pStyle w:val="Heading2"/>
        <w:rPr>
          <w:rFonts w:ascii="仿宋" w:eastAsia="仿宋" w:hAnsi="仿宋" w:cs="仿宋" w:hint="eastAsia"/>
          <w:lang w:eastAsia="zh-CN"/>
        </w:rPr>
      </w:pPr>
      <w:bookmarkStart w:id="6" w:name="_Toc3570"/>
      <w:r>
        <w:rPr>
          <w:rFonts w:ascii="仿宋" w:eastAsia="仿宋" w:hAnsi="仿宋" w:cs="仿宋" w:hint="eastAsia"/>
          <w:lang w:eastAsia="zh-CN"/>
        </w:rPr>
        <w:t>(一)、净水絮凝剂项目承办单位基本情况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一、净水絮凝剂项目承办单位基本情况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公司名称：XXXX有限公司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XXXX有限公司是一家多元化的企业服务提供商，专注于为各类企业提供全方位的支持和解决方案。我们的团队由经验丰富的专业人士组成，致力于帮助企业实现业务目标，提升竞争力。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核心业务领域：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企业管理咨询与规划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组织架构优化与流程改善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人才培养与团队建设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营销策略与市场拓展</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公司特色：</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XXXX有限公司以灵活的服务模式和客户至上的理念为特色。我们注重深入了解客户需求，为其提供定制化的解决方案，助力企业在不断变化的市场中蓬勃发展。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发展历程：</w:t>
      </w:r>
    </w:p>
    <w:p>
      <w:pPr>
        <w:ind w:firstLine="560" w:firstLineChars="200"/>
        <w:rPr>
          <w:rFonts w:ascii="仿宋" w:eastAsia="仿宋" w:hAnsi="仿宋" w:cs="仿宋" w:hint="eastAsia"/>
          <w:sz w:val="28"/>
        </w:rPr>
      </w:pPr>
      <w:r>
        <w:rPr>
          <w:rFonts w:ascii="仿宋" w:eastAsia="仿宋" w:hAnsi="仿宋" w:cs="仿宋" w:hint="eastAsia"/>
          <w:sz w:val="28"/>
          <w:lang w:eastAsia="zh-CN"/>
        </w:rPr>
        <w:t>2010年：XXXX有限公司成立，专注于企业管理咨询服务。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2014年：逐步拓展服务领域，加强组织优化和团队建设方面的实践。</w:t>
      </w:r>
    </w:p>
    <w:p>
      <w:pPr>
        <w:ind w:firstLine="560" w:firstLineChars="200"/>
        <w:rPr>
          <w:rFonts w:ascii="仿宋" w:eastAsia="仿宋" w:hAnsi="仿宋" w:cs="仿宋" w:hint="eastAsia"/>
          <w:sz w:val="28"/>
        </w:rPr>
      </w:pPr>
      <w:r>
        <w:rPr>
          <w:rFonts w:ascii="仿宋" w:eastAsia="仿宋" w:hAnsi="仿宋" w:cs="仿宋" w:hint="eastAsia"/>
          <w:sz w:val="28"/>
          <w:lang w:eastAsia="zh-CN"/>
        </w:rPr>
        <w:t>2017年：成功协助多家企业实现业务增长，树立了良好的业界口碑。</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2021年：与各行各业建立战略伙伴关系，共同推动服务领域的发展。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XXXX有限公司的使命是通过提供高效专业的服务，助力客户在竞争激烈的市场中脱颖而出。我们的愿景是成为企业服务领域的领军者，不断创新，为更多企业创造长期价值。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我们诚挚欢迎各界合作伙伴与我们携手，共同推动企业发展，共创美好的未来。</w:t>
      </w:r>
    </w:p>
    <w:p>
      <w:pPr>
        <w:pStyle w:val="Heading2"/>
        <w:ind w:firstLine="560" w:firstLineChars="200"/>
        <w:rPr>
          <w:rFonts w:ascii="仿宋" w:eastAsia="仿宋" w:hAnsi="仿宋" w:cs="仿宋" w:hint="eastAsia"/>
          <w:sz w:val="28"/>
          <w:lang w:eastAsia="zh-CN"/>
        </w:rPr>
      </w:pPr>
      <w:bookmarkStart w:id="7" w:name="_Toc22626"/>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财务状况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公司的财务状况是评估其经济效益的核心指标之一。关注以下几个方面：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利润状况： 公司近几年的利润状况显示稳健，净利润达到XX万元，毛利润率和净利润率均保持在行业水平之上。</w:t>
      </w:r>
    </w:p>
    <w:p>
      <w:pPr>
        <w:ind w:firstLine="560" w:firstLineChars="200"/>
        <w:rPr>
          <w:rFonts w:ascii="仿宋" w:eastAsia="仿宋" w:hAnsi="仿宋" w:cs="仿宋" w:hint="eastAsia"/>
          <w:sz w:val="28"/>
        </w:rPr>
      </w:pPr>
      <w:r>
        <w:rPr>
          <w:rFonts w:ascii="仿宋" w:eastAsia="仿宋" w:hAnsi="仿宋" w:cs="仿宋" w:hint="eastAsia"/>
          <w:sz w:val="28"/>
          <w:lang w:eastAsia="zh-CN"/>
        </w:rPr>
        <w:t>资产负债表： 公司资产负债表显示资产总额为XX万元，其中流动资产占比较高，负债结构较为健康，具备较强的偿债能力。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市场份额和竞争力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市场份额： 公司在行业内的市场份额为XX%，并且近年来市场份额有所增长，显示出较强的市场竞争力。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客户满意度： 最新的客户满意度调查显示，客户满意度达到XX%，证明公司的产品或服务在市场上受到高度认可。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投资回报率（ROI）： 公司的综合投资回报率为XX%，在净水絮凝剂项目、市场推广和研发等方面的投资取得了良好的回报。</w:t>
      </w:r>
    </w:p>
    <w:p>
      <w:pPr>
        <w:ind w:firstLine="560" w:firstLineChars="200"/>
        <w:rPr>
          <w:rFonts w:ascii="仿宋" w:eastAsia="仿宋" w:hAnsi="仿宋" w:cs="仿宋" w:hint="eastAsia"/>
          <w:sz w:val="28"/>
        </w:rPr>
      </w:pPr>
      <w:r>
        <w:rPr>
          <w:rFonts w:ascii="仿宋" w:eastAsia="仿宋" w:hAnsi="仿宋" w:cs="仿宋" w:hint="eastAsia"/>
          <w:sz w:val="28"/>
          <w:lang w:eastAsia="zh-CN"/>
        </w:rPr>
        <w:t>4. 成本结构和效率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成本结构： 公司的成本结构经过优化，生产成本、运营成本和管理成本均得到有效控制，为公司的经济效益提供了有力支持。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 公司的生产效率较高，资源利用率得到有效提升，进一步推动了产能的提高。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环境影响和社会责任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环境和社会责任： 公司积极参与环境友好型和社会责任活动，体现出对可持续发展的关注，为公司形象增色不少。</w:t>
      </w:r>
    </w:p>
    <w:p>
      <w:pPr>
        <w:ind w:firstLine="560" w:firstLineChars="200"/>
        <w:rPr>
          <w:rFonts w:ascii="仿宋" w:eastAsia="仿宋" w:hAnsi="仿宋" w:cs="仿宋" w:hint="eastAsia"/>
          <w:sz w:val="28"/>
        </w:rPr>
      </w:pPr>
      <w:r>
        <w:rPr>
          <w:rFonts w:ascii="仿宋" w:eastAsia="仿宋" w:hAnsi="仿宋" w:cs="仿宋" w:hint="eastAsia"/>
          <w:sz w:val="28"/>
          <w:lang w:eastAsia="zh-CN"/>
        </w:rPr>
        <w:t>6. 行业趋势和风险管理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行业趋势： 公司积极适应行业趋势，关注市场需求和技术变革，有助于提高公司的经济效益。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 公司建立了有效的风险管理体系，对市场、经济和运营风险有明确的防范和控制措施。</w:t>
      </w:r>
    </w:p>
    <w:p>
      <w:pPr>
        <w:pStyle w:val="Heading1"/>
        <w:ind w:firstLine="560" w:firstLineChars="200"/>
        <w:rPr>
          <w:rFonts w:ascii="仿宋" w:eastAsia="仿宋" w:hAnsi="仿宋" w:cs="仿宋" w:hint="eastAsia"/>
          <w:sz w:val="28"/>
          <w:lang w:eastAsia="zh-CN"/>
        </w:rPr>
      </w:pPr>
      <w:bookmarkStart w:id="8" w:name="_Toc29707"/>
      <w:r>
        <w:rPr>
          <w:rFonts w:ascii="仿宋" w:eastAsia="仿宋" w:hAnsi="仿宋" w:cs="仿宋" w:hint="eastAsia"/>
          <w:sz w:val="28"/>
          <w:lang w:eastAsia="zh-CN"/>
        </w:rPr>
        <w:t>三、净水絮凝剂项目环境保护分析</w:t>
      </w:r>
      <w:bookmarkEnd w:id="8"/>
    </w:p>
    <w:p>
      <w:pPr>
        <w:pStyle w:val="Heading2"/>
        <w:rPr>
          <w:rFonts w:ascii="仿宋" w:eastAsia="仿宋" w:hAnsi="仿宋" w:cs="仿宋" w:hint="eastAsia"/>
          <w:lang w:eastAsia="zh-CN"/>
        </w:rPr>
      </w:pPr>
      <w:bookmarkStart w:id="9" w:name="_Toc18197"/>
      <w:r>
        <w:rPr>
          <w:rFonts w:ascii="仿宋" w:eastAsia="仿宋" w:hAnsi="仿宋" w:cs="仿宋" w:hint="eastAsia"/>
          <w:lang w:eastAsia="zh-CN"/>
        </w:rPr>
        <w:t>(一)、建设区域环境质量现状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大气环境：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的大气环境质量主要受附近工业、交通和自然条件等多方面影响。通过监测数据显示，空气中的颗粒物和氮氧化物浓度可能存在一定程度的超标现象，尤其是在高峰期。此外，气象条件也对空气质量产生一定影响，需要更详细的气象数据来深入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水质状况：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水质状况受附近水体的排放和自然水质条件等多方面因素影响。当前水体可能存在一些化学污染物的浓度略有波动，但整体水质维持在可接受范围内。然而，需要注意的是水体富营养化现象可能存在，需要更深入的水质监测与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对建设区域土壤的调查显示，土壤质量可能受到历史工业活动和农业实践的影响。部分土壤可能存在轻微的污染，需要进一步的土壤采样和化验来准确评估土壤中可能存在的污染物。</w:t>
      </w:r>
    </w:p>
    <w:p>
      <w:pPr>
        <w:ind w:firstLine="560" w:firstLineChars="200"/>
        <w:rPr>
          <w:rFonts w:ascii="仿宋" w:eastAsia="仿宋" w:hAnsi="仿宋" w:cs="仿宋" w:hint="eastAsia"/>
          <w:sz w:val="28"/>
        </w:rPr>
      </w:pPr>
      <w:r>
        <w:rPr>
          <w:rFonts w:ascii="仿宋" w:eastAsia="仿宋" w:hAnsi="仿宋" w:cs="仿宋" w:hint="eastAsia"/>
          <w:sz w:val="28"/>
          <w:lang w:eastAsia="zh-CN"/>
        </w:rPr>
        <w:t>4. 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建设区域的生态环境主要由植被覆盖、动植物种类和生态系统的完整性等因素构成。当前生态环境可能面临一定的压力，特别是在城市化进程中，需要关注城市绿化和保护自然生态系统的措施。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5. 噪音与振动：</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建设区域的噪音和振动水平受到交通、工业和城市建设活动的影响。可能存在一定程度的噪音超标，尤其是在交通繁忙的区域。需要继续监测和评估这些影响，制定相应的噪音控制措施。</w:t>
      </w:r>
    </w:p>
    <w:p>
      <w:pPr>
        <w:pStyle w:val="Heading2"/>
        <w:ind w:firstLine="560" w:firstLineChars="200"/>
        <w:rPr>
          <w:rFonts w:ascii="仿宋" w:eastAsia="仿宋" w:hAnsi="仿宋" w:cs="仿宋" w:hint="eastAsia"/>
          <w:sz w:val="28"/>
          <w:lang w:eastAsia="zh-CN"/>
        </w:rPr>
      </w:pPr>
      <w:bookmarkStart w:id="10" w:name="_Toc22294"/>
      <w:r>
        <w:rPr>
          <w:rFonts w:ascii="仿宋" w:eastAsia="仿宋" w:hAnsi="仿宋" w:cs="仿宋" w:hint="eastAsia"/>
          <w:sz w:val="28"/>
          <w:lang w:eastAsia="zh-CN"/>
        </w:rPr>
        <w:t>(二)、建设期环境保护</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水土保持：</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在施工阶段，需要实施有效的水土保持措施，以防止因工程活动引起的水土流失和土壤侵蚀。这包括合理的植被覆盖、设立沉淀池、设置防护网等，以最大程度地保护土地资源。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施工废弃物管理：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合理管理施工期间产生的废弃物是环境保护的重要一环。采用分类收集、减量化处理和循环利用的方法，最小化废弃物对环境的影响，确保废弃物处理符合环保法规。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噪音与振动控制：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在建设期，噪音和振动是可能对周边居民和生态环境造成干扰的因素。采用低噪音设备、限制施工时间、设置隔音屏障等措施，有效降低工程活动对周边噪音环境的负面影响。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4. 污染物排放控制：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净水絮凝剂项目建设过程中可能伴随一些排放物，如扬尘、废水等。通过采用封闭施工、喷淋降尘、设立沉淀池等方法，最小化污染物的排放，确保符合环境标准。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5. 自然生态保护：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在施工期，需要尽量减少对自然生态的破坏。设立施工限制区，合理划定施工边界，确保对周边自然生态系统的影响降至最低。</w:t>
      </w:r>
    </w:p>
    <w:p>
      <w:pPr>
        <w:ind w:firstLine="560" w:firstLineChars="200"/>
        <w:rPr>
          <w:rFonts w:ascii="仿宋" w:eastAsia="仿宋" w:hAnsi="仿宋" w:cs="仿宋" w:hint="eastAsia"/>
          <w:sz w:val="28"/>
        </w:rPr>
      </w:pPr>
      <w:r>
        <w:rPr>
          <w:rFonts w:ascii="仿宋" w:eastAsia="仿宋" w:hAnsi="仿宋" w:cs="仿宋" w:hint="eastAsia"/>
          <w:sz w:val="28"/>
          <w:lang w:eastAsia="zh-CN"/>
        </w:rPr>
        <w:t>6. 安全监测与应急预案：</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建设期间需要建立全面的安全监测体系和应急预案，及时应对可能发生的环境安全事故，最小化事故对环境的负面影响。</w:t>
      </w:r>
    </w:p>
    <w:p>
      <w:pPr>
        <w:pStyle w:val="Heading2"/>
        <w:ind w:firstLine="560" w:firstLineChars="200"/>
        <w:rPr>
          <w:rFonts w:ascii="仿宋" w:eastAsia="仿宋" w:hAnsi="仿宋" w:cs="仿宋" w:hint="eastAsia"/>
          <w:sz w:val="28"/>
          <w:lang w:eastAsia="zh-CN"/>
        </w:rPr>
      </w:pPr>
      <w:bookmarkStart w:id="11" w:name="_Toc23074"/>
      <w:r>
        <w:rPr>
          <w:rFonts w:ascii="仿宋" w:eastAsia="仿宋" w:hAnsi="仿宋" w:cs="仿宋" w:hint="eastAsia"/>
          <w:sz w:val="28"/>
          <w:lang w:eastAsia="zh-CN"/>
        </w:rPr>
        <w:t>(三)、运营期环境保护</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污染物排放监测：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在运营期，需要建立完善的污染物排放监测体系，实时监测大气、水体、土壤等环境中的污染物浓度。这有助于及时发现和解决潜在的排放问题，确保排放符合环境标准。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 废物管理与资源循环利用：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持续推进废物管理，采用分类收集、减量化处理和资源循环利用的方法，最小化废物对环境的影响。建立废物清理和处置的规范流程，确保符合环保法规。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节能减排：</w:t>
      </w:r>
    </w:p>
    <w:p>
      <w:pPr>
        <w:ind w:firstLine="560" w:firstLineChars="200"/>
        <w:rPr>
          <w:rFonts w:ascii="仿宋" w:eastAsia="仿宋" w:hAnsi="仿宋" w:cs="仿宋" w:hint="eastAsia"/>
          <w:sz w:val="28"/>
        </w:rPr>
      </w:pPr>
      <w:r>
        <w:rPr>
          <w:rFonts w:ascii="仿宋" w:eastAsia="仿宋" w:hAnsi="仿宋" w:cs="仿宋" w:hint="eastAsia"/>
          <w:sz w:val="28"/>
          <w:lang w:eastAsia="zh-CN"/>
        </w:rPr>
        <w:t>采取节能减排措施，提高设备和工艺的能效。通过技术升级、设备优化等手段，减少能源消耗和温室气体排放，提高净水絮凝剂项目的环保效益。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自然生态保护：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在运营期，仍需保持对自然生态的关注。继续划定保护区域，加强对植被、动植物等生态要素的监测和保护，确保净水絮凝剂项目运营对生态系统的影响最小化。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5. 治理污染源：</w:t>
      </w:r>
    </w:p>
    <w:p>
      <w:pPr>
        <w:ind w:firstLine="560" w:firstLineChars="200"/>
        <w:rPr>
          <w:rFonts w:ascii="仿宋" w:eastAsia="仿宋" w:hAnsi="仿宋" w:cs="仿宋" w:hint="eastAsia"/>
          <w:sz w:val="28"/>
        </w:rPr>
      </w:pPr>
      <w:r>
        <w:rPr>
          <w:rFonts w:ascii="仿宋" w:eastAsia="仿宋" w:hAnsi="仿宋" w:cs="仿宋" w:hint="eastAsia"/>
          <w:sz w:val="28"/>
          <w:lang w:eastAsia="zh-CN"/>
        </w:rPr>
        <w:t>对可能存在的污染源进行定期检查和治理，确保设备和工艺的正常运行，减少污染物的产生。建立清晰的责任体系，确保治理工作的持续有效性。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 社区环境管理：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加强与周边社区的沟通，建立环境管理沟通渠道。及时响应社区的环境反馈，保障周边居民的环境权益，提高净水絮凝剂项目在社区的社会责任感。</w:t>
      </w:r>
    </w:p>
    <w:p>
      <w:pPr>
        <w:pStyle w:val="Heading2"/>
        <w:ind w:firstLine="560" w:firstLineChars="200"/>
        <w:rPr>
          <w:rFonts w:ascii="仿宋" w:eastAsia="仿宋" w:hAnsi="仿宋" w:cs="仿宋" w:hint="eastAsia"/>
          <w:sz w:val="28"/>
          <w:lang w:eastAsia="zh-CN"/>
        </w:rPr>
      </w:pPr>
      <w:bookmarkStart w:id="12" w:name="_Toc3207"/>
      <w:r>
        <w:rPr>
          <w:rFonts w:ascii="仿宋" w:eastAsia="仿宋" w:hAnsi="仿宋" w:cs="仿宋" w:hint="eastAsia"/>
          <w:sz w:val="28"/>
          <w:lang w:eastAsia="zh-CN"/>
        </w:rPr>
        <w:t>(四)、净水絮凝剂项目建设对区域经济的影响</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就业机会提升：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净水絮凝剂项目建设通常伴随着大量的劳动力需求，从建筑工人到专业技术人才，涵盖多个领域。这将提供大量就业机会，减缓区域就业压力，提高居民的收入水平。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2. 投资增长：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净水絮凝剂项目建设通常需要大量资金投入，这将直接刺激区域内的投资增长。投资的流入可能不仅来自企业本身，还可能吸引其他相关产业的投资，推动区域经济的全面发展。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增加税收收入：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随着净水絮凝剂项目建设的进行，产生的税收也会相应增加。企业、从业人员以及相关产业的税收贡献将成为区域财政的重要来源，用于支持公共服务和基础设施建设。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4. 产业结构优化：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某些净水絮凝剂项目建设可能会引入新的产业，推动区域产业结构的优化。新兴产业的引入可能促使区域实现产业升级，提高整体经济的竞争力。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 基础设施建设：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净水絮凝剂项目建设通常需要相应的基础设施支持，如道路、桥梁、水电站等。这不仅提升了区域基础设施水平，也为未来的经济发展创造了更好的条件。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6. 增加商业活动：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净水絮凝剂项目建设将吸引更多的商业活动，如酒店、餐饮、零售等，以满足净水絮凝剂项目工程和员工的需求。这将推动商业活动的增长，促进区域内商业环境的繁荣。</w:t>
      </w:r>
    </w:p>
    <w:p>
      <w:pPr>
        <w:ind w:firstLine="560" w:firstLineChars="200"/>
        <w:rPr>
          <w:rFonts w:ascii="仿宋" w:eastAsia="仿宋" w:hAnsi="仿宋" w:cs="仿宋" w:hint="eastAsia"/>
          <w:sz w:val="28"/>
        </w:rPr>
      </w:pPr>
      <w:r>
        <w:rPr>
          <w:rFonts w:ascii="仿宋" w:eastAsia="仿宋" w:hAnsi="仿宋" w:cs="仿宋" w:hint="eastAsia"/>
          <w:sz w:val="28"/>
          <w:lang w:eastAsia="zh-CN"/>
        </w:rPr>
        <w:t>7. 土地价值提升：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随着净水絮凝剂项目建设的完成，周边土地价值可能会提升。这对于地方政府和地产开发商来说是一种潜在的经济利好，有助于进一步吸引投资。</w:t>
      </w:r>
    </w:p>
    <w:p>
      <w:pPr>
        <w:pStyle w:val="Heading2"/>
        <w:ind w:firstLine="560" w:firstLineChars="200"/>
        <w:rPr>
          <w:rFonts w:ascii="仿宋" w:eastAsia="仿宋" w:hAnsi="仿宋" w:cs="仿宋" w:hint="eastAsia"/>
          <w:sz w:val="28"/>
          <w:lang w:eastAsia="zh-CN"/>
        </w:rPr>
      </w:pPr>
      <w:bookmarkStart w:id="13" w:name="_Toc1199"/>
      <w:r>
        <w:rPr>
          <w:rFonts w:ascii="仿宋" w:eastAsia="仿宋" w:hAnsi="仿宋" w:cs="仿宋" w:hint="eastAsia"/>
          <w:sz w:val="28"/>
          <w:lang w:eastAsia="zh-CN"/>
        </w:rPr>
        <w:t>(五)、废弃物处理</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废弃物处理是任何净水絮凝剂项目建设和运营过程中都必须认真考虑和有效实施的关键环节。废弃物包括建设废弃物、生产废弃物等，如果不得当处理可能对环境和人类健康造成负面影响。因此，科学合理的废弃物处理策略成为确保净水絮凝剂项目可持续发展的不可或缺的一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1. 废弃物分类与收集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废弃物的分类是废弃物管理的首要步骤。通过对不同类型的废弃物进行有效分类，可以更好地采取相应的处理方式。这包括建筑废弃物、生活垃圾、危险废物等。在废弃物分类的基础上，建立相应的收集系统，确保废弃物能够被有序地收集起来，不同类型的废弃物得到合适的处理。</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净水絮凝剂项目阶段，建筑废弃物是一个不可忽视的方面。通过在施工现场设置分类垃圾箱，鼓励工人按照废弃物的性质进行分类投放。对于生产废弃物，也需要建立合理的收集系统，确保废弃物不会随意丢弃，降低对周边环境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 废弃物处理技术与设施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选择适当的废弃物处理技术和设施对于有效处理废弃物至关重要。常见的废弃物处理技术包括焚烧、填埋、物理化学处理等。具体的选择取决于废弃物的性质、数量和环境政策法规。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净水絮凝剂项目中，建议采用可回收物资的再利用技术，减少对原材料的需求。对于生产废弃物，应优先考虑采用环保型处理技术，最大限度地减少对环境的负面影响。危险废弃物需要采取专门的处理措施，确保其不对环境和人体健康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3. 废弃物监测与法规遵循</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废弃物处理过程中，监测是确保废弃物得到妥善处理的重要手段。通过建立监测系统，对废弃物的产生、收集、处理等环节进行实时监控，及时发现问题并采取相应的纠正措施。监测还有助于评估废弃物处理效果，确保废弃物处理符合环境标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同时，废弃物处理必须遵循相关的法规和政策。在建设和运营过程中，确保废弃物处理符合国家和地方的环保法规，以免因不当处理引发法律问题。</w:t>
      </w:r>
    </w:p>
    <w:p>
      <w:pPr>
        <w:pStyle w:val="Heading2"/>
        <w:ind w:firstLine="560" w:firstLineChars="200"/>
        <w:rPr>
          <w:rFonts w:ascii="仿宋" w:eastAsia="仿宋" w:hAnsi="仿宋" w:cs="仿宋" w:hint="eastAsia"/>
          <w:sz w:val="28"/>
          <w:lang w:eastAsia="zh-CN"/>
        </w:rPr>
      </w:pPr>
      <w:bookmarkStart w:id="14" w:name="_Toc26716"/>
      <w:r>
        <w:rPr>
          <w:rFonts w:ascii="仿宋" w:eastAsia="仿宋" w:hAnsi="仿宋" w:cs="仿宋" w:hint="eastAsia"/>
          <w:sz w:val="28"/>
          <w:lang w:eastAsia="zh-CN"/>
        </w:rPr>
        <w:t>(六)、特殊环境影响分析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生态环境影响分析：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净水絮凝剂项目可能对周边生态系统产生直接或间接的影响。这包括植被覆盖、动植物栖息地、生态平衡等方面。生态环境影响分析需要全面考虑净水絮凝剂项目可能引起的生态破坏，以及采取的措施来保护和修复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水体影响分析：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净水絮凝剂项目可能涉及的水体，需要分析净水絮凝剂项目对水体质量、水文地质条件和水生态系统的潜在影响。这可能包括水体污染、水流变化、对水生物的影响等。合理的水体管理方案和环境保护措施将成为必要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3. 大气环境影响分析：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特殊的地理位置或气象条件可能使净水絮凝剂项目对大气环境产生更为显著的影响。分析净水絮凝剂项目可能引起的空气污染、气象条件变化等情况，制定减排方案和适应性措施，以保护大气环境的质量。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社会文化影响分析：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某些情况下，净水絮凝剂项目可能对当地社会文化产生特殊的影响。这包括对当地社区结构、文化传统、居民生活方式等方面的可能影响。社会文化影响分析需要在净水絮凝剂项目实施前进行广泛的社会调查，确保净水絮凝剂项目不会对当地社会造成不可逆的破坏。</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5. 土地利用影响分析：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净水絮凝剂项目可能涉及的土地利用变化需要进行详细分析。这包括土地覆盖类型的改变、土地资源的可持续利用等方面。特别是在涉及到农业用地或自然保护区等特殊土地类型时，需要谨慎评估可能的影响。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6. 噪音与振动影响分析：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一些净水絮凝剂项目可能在特殊环境中引起噪音或振动污染。在特殊环境影响分析中，需要详细评估净水絮凝剂项目可能引起的噪音水平和振动强度，并提出相应的控制和减缓措施。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特殊环境影响分析是净水絮凝剂项目环境影响评价的关键部分，通过充分了解和评估净水絮凝剂项目可能的特殊环境影响，可以制定出更加科学和可持续的净水絮凝剂项目实施方案。</w:t>
      </w:r>
    </w:p>
    <w:p>
      <w:pPr>
        <w:pStyle w:val="Heading2"/>
        <w:ind w:firstLine="560" w:firstLineChars="200"/>
        <w:rPr>
          <w:rFonts w:ascii="仿宋" w:eastAsia="仿宋" w:hAnsi="仿宋" w:cs="仿宋" w:hint="eastAsia"/>
          <w:sz w:val="28"/>
          <w:lang w:eastAsia="zh-CN"/>
        </w:rPr>
      </w:pPr>
      <w:bookmarkStart w:id="15" w:name="_Toc10836"/>
      <w:r>
        <w:rPr>
          <w:rFonts w:ascii="仿宋" w:eastAsia="仿宋" w:hAnsi="仿宋" w:cs="仿宋" w:hint="eastAsia"/>
          <w:sz w:val="28"/>
          <w:lang w:eastAsia="zh-CN"/>
        </w:rPr>
        <w:t>(七)、清洁生产</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资源有效利用：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注重最大限度地提高资源的利用效率。通过采用先进的生产技术和工艺，减少原材料的使用，实现对资源的有效管理。循环经济理念在清洁生产中扮演着重要角色，通过回收再利用废弃物和副产品，最大程度地减少资源浪费。</w:t>
      </w:r>
    </w:p>
    <w:p>
      <w:pPr>
        <w:ind w:firstLine="560" w:firstLineChars="200"/>
        <w:rPr>
          <w:rFonts w:ascii="仿宋" w:eastAsia="仿宋" w:hAnsi="仿宋" w:cs="仿宋" w:hint="eastAsia"/>
          <w:sz w:val="28"/>
        </w:rPr>
      </w:pPr>
      <w:r>
        <w:rPr>
          <w:rFonts w:ascii="仿宋" w:eastAsia="仿宋" w:hAnsi="仿宋" w:cs="仿宋" w:hint="eastAsia"/>
          <w:sz w:val="28"/>
          <w:lang w:eastAsia="zh-CN"/>
        </w:rPr>
        <w:t>2. 减少环境污染：</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的核心目标之一是减少对环境的负面影响。通过采用低污染的生产技术，降低废物排放和有害物质的生成，实现对环境的保护。生产过程中，优先选择绿色、环保的原材料和生产方法，以减缓对生态系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节约能源：</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清洁生产着力降低能源消耗，通过优化生产流程、使用高效设备和采用新能源等手段，实现能源的有效利用。减少对非可再生能源的依赖，促进可持续能源的应用。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创新技术应用：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清洁生产鼓励创新技术的应用，采用先进的、环保的生产技术。通过研发和引进新技术，不断提高生产效率，减少对环境的负面影响。这包括数字化生产、智能制造等现代化技术手段。</w:t>
      </w:r>
    </w:p>
    <w:p>
      <w:pPr>
        <w:ind w:firstLine="560" w:firstLineChars="200"/>
        <w:rPr>
          <w:rFonts w:ascii="仿宋" w:eastAsia="仿宋" w:hAnsi="仿宋" w:cs="仿宋" w:hint="eastAsia"/>
          <w:sz w:val="28"/>
        </w:rPr>
      </w:pPr>
      <w:r>
        <w:rPr>
          <w:rFonts w:ascii="仿宋" w:eastAsia="仿宋" w:hAnsi="仿宋" w:cs="仿宋" w:hint="eastAsia"/>
          <w:sz w:val="28"/>
          <w:lang w:eastAsia="zh-CN"/>
        </w:rPr>
        <w:t>5. 生命周期分析：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清洁生产要求进行全面的生命周期分析，评估产品从原材料采购到生产、使用、再到废弃的整个过程中对环境的影响。这有助于全面了解产品的环境足迹，从而提出改进措施。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6. 培养清洁生产意识：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清洁生产不仅仅是一种技术手段，更是一种生产文化和理念。培养企业和员工对清洁生产的意识，倡导绿色生产方式，有助于在组织内部建立可持续发展的理念。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7. 法规遵循：</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清洁生产需要符合相关的法规和标准，确保生产活动在法律框架内进行。遵循法规不仅是对环境的保护，也是企业社会责任的体现。</w:t>
      </w:r>
    </w:p>
    <w:p>
      <w:pPr>
        <w:pStyle w:val="Heading2"/>
        <w:ind w:firstLine="560" w:firstLineChars="200"/>
        <w:rPr>
          <w:rFonts w:ascii="仿宋" w:eastAsia="仿宋" w:hAnsi="仿宋" w:cs="仿宋" w:hint="eastAsia"/>
          <w:sz w:val="28"/>
          <w:lang w:eastAsia="zh-CN"/>
        </w:rPr>
      </w:pPr>
      <w:bookmarkStart w:id="16" w:name="_Toc26910"/>
      <w:r>
        <w:rPr>
          <w:rFonts w:ascii="仿宋" w:eastAsia="仿宋" w:hAnsi="仿宋" w:cs="仿宋" w:hint="eastAsia"/>
          <w:sz w:val="28"/>
          <w:lang w:eastAsia="zh-CN"/>
        </w:rPr>
        <w:t>(八)、环境保护综合评价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环境保护综合评价是对净水絮凝剂项目、企业或活动在环保方面综合表现的评估。这种评价综合考虑了对自然环境、生态系统、空气、水体等的影响，以及对环保法规和标准的遵守程度。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的第一步是对净水絮凝剂项目或活动的环境影响进行评估。这包括对空气质量、水质、土壤质量、生态系统等方面的影响进行科学分析。通过各种监测和模拟手段，全面了解净水絮凝剂项目可能引起的环境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2. 废弃物管理：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评价净水絮凝剂项目的废弃物管理情况，包括废弃物的分类、收集、处理和处置。清晰的废弃物管理计划对于降低对环境的负担至关重要。合规处理和减少废弃物对生态系统和人类健康的影响是综合评价的重要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3. 水资源管理：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评估净水絮凝剂项目对水资源的利用和管理情况，包括对水体的取水、排放和水质保护。特别关注是否存在过度取水、水质污染等问题，以及采取的补救和改进措施。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4. 大气排放控制：</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分析净水絮凝剂项目的大气排放情况，包括对大气污染物的排放、空气质量的影响等。评估净水絮凝剂项目是否采取有效的减排措施，以保护大气环境质量。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5. 能源效益评估：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综合评价净水絮凝剂项目的能源效益，包括能源的使用效率、可再生能源的应用情况等。推动清洁能源的使用，提高能源效益是环境保护的重要方向。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6. 法规遵从与合规性：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评估净水絮凝剂项目是否遵守国家和地方的环境保护法规和标准。合规性是一个企业或净水絮凝剂项目在环境保护方面的基本要求，对于环保综合评价至关重要。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7. 环境保护投入：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评价净水絮凝剂项目在环境保护方面的投入，包括环境监测、治理设施建设、环保培训等方面的支出。这反映了企业对环保责任的认识和履行。</w:t>
      </w:r>
    </w:p>
    <w:p>
      <w:pPr>
        <w:ind w:firstLine="560" w:firstLineChars="200"/>
        <w:rPr>
          <w:rFonts w:ascii="仿宋" w:eastAsia="仿宋" w:hAnsi="仿宋" w:cs="仿宋" w:hint="eastAsia"/>
          <w:sz w:val="28"/>
        </w:rPr>
      </w:pPr>
      <w:r>
        <w:rPr>
          <w:rFonts w:ascii="仿宋" w:eastAsia="仿宋" w:hAnsi="仿宋" w:cs="仿宋" w:hint="eastAsia"/>
          <w:sz w:val="28"/>
          <w:lang w:eastAsia="zh-CN"/>
        </w:rPr>
        <w:t>8. 社会责任与公众参与：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考察净水絮凝剂项目对社会的责任感和公众参与程度。是否建立了有效的沟通机制，是否主动回应社会关切，这些都是综合评价的一部分。</w:t>
      </w:r>
    </w:p>
    <w:p>
      <w:pPr>
        <w:pStyle w:val="Heading1"/>
        <w:ind w:firstLine="560" w:firstLineChars="200"/>
        <w:rPr>
          <w:rFonts w:ascii="仿宋" w:eastAsia="仿宋" w:hAnsi="仿宋" w:cs="仿宋" w:hint="eastAsia"/>
          <w:sz w:val="28"/>
          <w:lang w:eastAsia="zh-CN"/>
        </w:rPr>
      </w:pPr>
      <w:bookmarkStart w:id="17" w:name="_Toc31641"/>
      <w:r>
        <w:rPr>
          <w:rFonts w:ascii="仿宋" w:eastAsia="仿宋" w:hAnsi="仿宋" w:cs="仿宋" w:hint="eastAsia"/>
          <w:sz w:val="28"/>
          <w:lang w:eastAsia="zh-CN"/>
        </w:rPr>
        <w:t>四、工艺分析</w:t>
      </w:r>
      <w:bookmarkEnd w:id="17"/>
    </w:p>
    <w:p>
      <w:pPr>
        <w:pStyle w:val="Heading2"/>
        <w:rPr>
          <w:rFonts w:ascii="仿宋" w:eastAsia="仿宋" w:hAnsi="仿宋" w:cs="仿宋" w:hint="eastAsia"/>
          <w:lang w:eastAsia="zh-CN"/>
        </w:rPr>
      </w:pPr>
      <w:bookmarkStart w:id="18" w:name="_Toc207"/>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在净水絮凝剂项目中显现出多层面的复杂性和有机性。其系统性突显在对广泛技术领域的全面规划和整合，要求各技术要素相互协调，以确保净水絮凝剂项目整体协同。这种系统性要求技术管理者在净水絮凝剂项目中全局思考，以适应多元领域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在不断变化的环境中具备创新能力，团队需要持续提出独具创意的技术解决方案，作为推动净水絮凝剂项目进步的引擎。这种创新力使技术管理不仅仅是问题应对，更是净水絮凝剂项目发展的推动力，促使团队在技术层面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另一方面，技术管理体现出综合性。它要求在不同领域中进行全面考虑，将各种技术要素有机融合，以实现更高水平和更大范围的效果。技术管理者需要跨领域协调，确保净水絮凝剂项目技术方案的综合有效性。</w:t>
      </w:r>
    </w:p>
    <w:p>
      <w:pPr>
        <w:pStyle w:val="Heading2"/>
        <w:ind w:firstLine="560" w:firstLineChars="200"/>
        <w:rPr>
          <w:rFonts w:ascii="仿宋" w:eastAsia="仿宋" w:hAnsi="仿宋" w:cs="仿宋" w:hint="eastAsia"/>
          <w:sz w:val="28"/>
          <w:lang w:eastAsia="zh-CN"/>
        </w:rPr>
      </w:pPr>
      <w:bookmarkStart w:id="19" w:name="_Toc32683"/>
      <w:r>
        <w:rPr>
          <w:rFonts w:ascii="仿宋" w:eastAsia="仿宋" w:hAnsi="仿宋" w:cs="仿宋" w:hint="eastAsia"/>
          <w:sz w:val="28"/>
          <w:lang w:eastAsia="zh-CN"/>
        </w:rPr>
        <w:t>(二)、净水絮凝剂项目工艺技术设计方案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工艺流程设计：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流程设计是净水絮凝剂项目工艺技术设计的核心。在设计中，需要明确每一步骤的操作顺序、所需时间和资源，以确保生产过程的高效性和流畅性。此外，要考虑可能出现的变数，采取灵活的设计以适应实际生产环境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工艺参数设定：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对关键的工艺参数进行合理设定至关重要。这包括但不限于温度、压力、流速等因素。合理的参数设置有助于提高生产效率，确保产品质量的稳定性，并降低可能的生产风险。</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3. 工艺设备选择：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在选择工艺设备时，需要考虑其性能、稳定性和可维护性。设备应符合净水絮凝剂项目的实际需求，并与整个生产流程协同工作，确保设备的使用不成为净水絮凝剂项目的瓶颈。</w:t>
      </w:r>
    </w:p>
    <w:p>
      <w:pPr>
        <w:ind w:firstLine="560" w:firstLineChars="200"/>
        <w:rPr>
          <w:rFonts w:ascii="仿宋" w:eastAsia="仿宋" w:hAnsi="仿宋" w:cs="仿宋" w:hint="eastAsia"/>
          <w:sz w:val="28"/>
        </w:rPr>
      </w:pPr>
      <w:r>
        <w:rPr>
          <w:rFonts w:ascii="仿宋" w:eastAsia="仿宋" w:hAnsi="仿宋" w:cs="仿宋" w:hint="eastAsia"/>
          <w:sz w:val="28"/>
          <w:lang w:eastAsia="zh-CN"/>
        </w:rPr>
        <w:t>4. 能源消耗优化：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工艺技术设计应考虑能源消耗的优化。采取先进的节能技术，降低能源浪费，有助于提高生产效益的同时，减少对环境的不良影响。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在工艺技术设计中，环保因素是不可忽视的。采用环保友好型的工艺，减少对环境的污染，符合可持续发展的要求，同时也有助于提升企业的社会形象。</w:t>
      </w:r>
    </w:p>
    <w:p>
      <w:pPr>
        <w:pStyle w:val="Heading2"/>
        <w:ind w:firstLine="560" w:firstLineChars="200"/>
        <w:rPr>
          <w:rFonts w:ascii="仿宋" w:eastAsia="仿宋" w:hAnsi="仿宋" w:cs="仿宋" w:hint="eastAsia"/>
          <w:sz w:val="28"/>
          <w:lang w:eastAsia="zh-CN"/>
        </w:rPr>
      </w:pPr>
      <w:bookmarkStart w:id="20" w:name="_Toc19025"/>
      <w:r>
        <w:rPr>
          <w:rFonts w:ascii="仿宋" w:eastAsia="仿宋" w:hAnsi="仿宋" w:cs="仿宋" w:hint="eastAsia"/>
          <w:sz w:val="28"/>
          <w:lang w:eastAsia="zh-CN"/>
        </w:rPr>
        <w:t>(三)、设备选型方案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以挑选卓越供应商为导向，确保所选设备能够按时交付，满足工程进度需求。我们注重售后服务的卓越性，以及设备生产厂家能够及时提供备品备件的能力，以降低净水絮凝剂项目投资风险，最大限度地减少总体净水絮凝剂项目成本。在投资净水絮凝剂项目中，主要工艺设备及仪器将优先选择国产设备，并确保所选生产设备厂家具备国内领先的技术水平和符合国际认证标准的科学企业管理。</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以“先进、高效、实用、节能、可靠”为准则，特别关注净水絮凝剂项目产品生产设备在效率、质量、物料损耗、自动化程度、劳动强度和噪音水平等方面的特性。计划采购国内领先的关键工艺设备和国内外尖端的检测设备，预计购置并安装主要设备合共XXXX台(套)，设备购置费用为XXX万元。通过这一选取原则，我们旨在确保净水絮凝剂项目的生产设备具备最佳性能和效益，以满足净水絮凝剂项目长期的发展需求。</w:t>
      </w:r>
    </w:p>
    <w:p>
      <w:pPr>
        <w:pStyle w:val="Heading1"/>
        <w:ind w:firstLine="560" w:firstLineChars="200"/>
        <w:rPr>
          <w:rFonts w:ascii="仿宋" w:eastAsia="仿宋" w:hAnsi="仿宋" w:cs="仿宋" w:hint="eastAsia"/>
          <w:sz w:val="28"/>
          <w:lang w:eastAsia="zh-CN"/>
        </w:rPr>
      </w:pPr>
      <w:bookmarkStart w:id="21" w:name="_Toc31906"/>
      <w:r>
        <w:rPr>
          <w:rFonts w:ascii="仿宋" w:eastAsia="仿宋" w:hAnsi="仿宋" w:cs="仿宋" w:hint="eastAsia"/>
          <w:sz w:val="28"/>
          <w:lang w:eastAsia="zh-CN"/>
        </w:rPr>
        <w:t>五、知识管理与技术创新</w:t>
      </w:r>
      <w:bookmarkEnd w:id="21"/>
    </w:p>
    <w:p>
      <w:pPr>
        <w:pStyle w:val="Heading2"/>
        <w:rPr>
          <w:rFonts w:ascii="仿宋" w:eastAsia="仿宋" w:hAnsi="仿宋" w:cs="仿宋" w:hint="eastAsia"/>
          <w:lang w:eastAsia="zh-CN"/>
        </w:rPr>
      </w:pPr>
      <w:bookmarkStart w:id="22" w:name="_Toc14097"/>
      <w:r>
        <w:rPr>
          <w:rFonts w:ascii="仿宋" w:eastAsia="仿宋" w:hAnsi="仿宋" w:cs="仿宋" w:hint="eastAsia"/>
          <w:lang w:eastAsia="zh-CN"/>
        </w:rPr>
        <w:t>(一)、知识管理体系建设</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当前，企业和组织面临着巨大的信息涌入，要素多样的环境。在这种情况下，建立一套完善的知识管理体系变得至关重要，以确保组织能够高效地获取、共享和利用知识资源，提高竞争力和创新能力。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人员培训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构建一个有效的知识管理体系，首先需要对组织内的员工进行全面的培训。培训内容应包括如何使用知识管理工具，如何有效地协作和共享信息，以及如何利用数据分析工具提炼有用的见解。通过这样的培训，员工能够更好地适应知识管理体系的运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技术支持</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知识管理体系的建设离不开先进的技术支持。组织需要投资于强大的知识管理软件和平台，确保能够有效地组织和存储各种形式的知识。这些系统应当具备直观友好的用户界面，强大的搜索和分类功能，以及能够集成其他业务工具的能力。技术支持还包括对系统的及时更新和维护，以适应不断变化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文化转变</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管理的成功需要组织内部的文化得到转变，使知识共享成为一种日常习惯。领导层在这个过程中起到了关键的引导作用。他们需要倡导开放、透明的沟通文化，鼓励员工分享自己的经验和见解。此外，奖励制度和认可机制也应当调整，以更好地激励员工参与知识分享和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知识安全与隐私保护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知识管理体系建设中，保护知识的安全性和员工隐私是至关重要的。组织需要采取适当的措施，包括制定权限管理策略、加密敏感信息、并建立监控机制以及定期的安全审查。明确的知识管理政策能够帮助员工了解在知识共享和利用方面的规范，降低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效果评估与持续改进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知识管理体系是一个漫长而渐进的过程，其效果需要不断评估和改进。组织应当建立一套科学的评估指标，包括知识流动速度、员工满意度、创新效果等方面。通过数据分析和员工反馈，及时发现问题并进行调整，保持知识管理体系的活力和适应性。</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知识管理体系的建设需要全面考虑人员培训、技术支持、文化转变、知识安全与隐私保护以及效果评估与持续改进等多个方面。只有这样，组织才能够构建出一个真正健全、高效的知识管理体系，为未来的发展提供强有力的支持。在充满挑战的商业环境中，拥有强大的知识管理体系将成为组织持续创新和成功的重要保障。</w:t>
      </w:r>
    </w:p>
    <w:p>
      <w:pPr>
        <w:pStyle w:val="Heading2"/>
        <w:ind w:firstLine="560" w:firstLineChars="200"/>
        <w:rPr>
          <w:rFonts w:ascii="仿宋" w:eastAsia="仿宋" w:hAnsi="仿宋" w:cs="仿宋" w:hint="eastAsia"/>
          <w:sz w:val="28"/>
          <w:lang w:eastAsia="zh-CN"/>
        </w:rPr>
      </w:pPr>
      <w:bookmarkStart w:id="23" w:name="_Toc15115"/>
      <w:r>
        <w:rPr>
          <w:rFonts w:ascii="仿宋" w:eastAsia="仿宋" w:hAnsi="仿宋" w:cs="仿宋" w:hint="eastAsia"/>
          <w:sz w:val="28"/>
          <w:lang w:eastAsia="zh-CN"/>
        </w:rPr>
        <w:t>(二)、技术创新与研发投入</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技术创新和研发投入是企业在竞争激烈的市场中保持竞争优势和实现长期可持续发展的关键要素。在科技不断进步的时代，企业需要不断引入新技术、提升产品和服务的创新水平，以满足市场需求并应对变化。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研发投入的重要性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研发投入是企业实现技术创新的主要手段之一。通过增加在研发领域的投资，企业能够获得更多的技术资源、人才和设备，推动科技水平的提升。这不仅有助于产品和服务的创新，还能够提高生产效率，降低成本，并在市场上赢得更大的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技术团队的建设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高效的技术团队是实现技术创新的基础。企业需要吸引并留住高素质的研发人才，通过培训和激励机制激发团队创造力。同时，鼓励跨学科的合作和知识分享，打破部门之间的壁垒，促进全员参与创新的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市场导向的研发策略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研发投入能够创造出有市场竞争力的产品和服务，企业需要采取市场导向的研发策略。这包括对市场需求和趋势的敏感性，与客户保持紧密的合作关系，及时调整研发方向，确保研发的成果能够满足市场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合作与开放创新</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外部机构和企业建立合作伙伴关系是推动技术创新的重要手段之一。通过开放创新，企业可以获取外部的技术资源和创新理念，加速新技术的引入和应用。这种合作不仅有助于降低研发成本，还能够促进产业生态系统的共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研发投入伴随着一定的风险，包括技术失败、市场变化等。因此，企业需要建立有效的风险管理机制，及时调整研发计划，最小化潜在的损失。同时，持续改进研发流程和方法，不断提升研发效能，确保企业在快速变化的市场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与研发投入是企业实现长期竞争优势的重要推动力。通过增加研发投入、建设高效的技术团队、采取市场导向的研发策略、与外部合作伙伴开展开放创新，企业可以不断提升技术水平，推动产品和服务的创新，适应市场的变化，实现可持续的发展。在这个快速变化的时代，积极投入研发领域将成为企业保持竞争力和创造价值的不可或缺的要素。</w:t>
      </w:r>
    </w:p>
    <w:p>
      <w:pPr>
        <w:pStyle w:val="Heading2"/>
        <w:ind w:firstLine="560" w:firstLineChars="200"/>
        <w:rPr>
          <w:rFonts w:ascii="仿宋" w:eastAsia="仿宋" w:hAnsi="仿宋" w:cs="仿宋" w:hint="eastAsia"/>
          <w:sz w:val="28"/>
          <w:lang w:eastAsia="zh-CN"/>
        </w:rPr>
      </w:pPr>
      <w:bookmarkStart w:id="24" w:name="_Toc24313"/>
      <w:r>
        <w:rPr>
          <w:rFonts w:ascii="仿宋" w:eastAsia="仿宋" w:hAnsi="仿宋" w:cs="仿宋" w:hint="eastAsia"/>
          <w:sz w:val="28"/>
          <w:lang w:eastAsia="zh-CN"/>
        </w:rPr>
        <w:t>(三)、专利申请与技术保护</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在科技不断进步的时代，企业在创新和研发过程中所获得的技术成果需要得到有效的保护，以确保其在市场竞争中的长期优势。专利申请成为企业保护技术创新的主要手段之一。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专利的定义与种类</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专利是一种对于发明创造的独占权利，它不仅给予发明者一定的权益，也为社会创新注入了新的动力。专利分为不同的种类，包括发明专利、实用新型专利和外观设计专利。每种专利类型都有其独特的保护范围和要求，企业在申请专利时需根据实际情况选择适用的类型。</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专利申请的流程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是一个相对繁琐的流程，包括发明的提出、检索与分析、起草申请文件、递交申请、审查等环节。在这个过程中，申请者需要充分了解相关法规、技术标准，并确保所提出的发明达到一定的创新水平。专业的专利代理机构或专利律师的参与有助于提高申请的质量，减少审查的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专利的保护期限与范围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保护期限是其保护力量的关键因素之一。发明专利的保护期一般为20年，实用新型专利和外观设计专利的保护期分别为10年和15年。这意味着在保护期内，申请者拥有对发明的独占权。然而，在专利保护期结束后，其他企业可以合法地使用该技术。因此，企业需要在专利期限届满前寻找其他方式维持技术的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专利的地域保护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地域保护是指专利在一定地理范围内生效。虽然国际上有一些专利合作体系，但在不同国家的专利保护仍然存在一定的差异。因此，企业在全球范围内经营时需要考虑在不同国家或地区分别申请专利。这有助于在全球范围内维护技术的独占权，提高企业在国际市场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专利的费用与效益分析</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和保护并非免费，企业需要在申请、维持和保护专利的过程中支付一定的费用。因此，企业在决定申请专利时需要进行费用与效益的综合分析。这包括了专利的商业价值、市场潜力、技术创新水平等多个因素的综合考虑。在有限的资源下，企业需要权衡投入与产出，确保专利的申请与保护对企业具有实质性的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专利申请与技术创新的关系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不仅是对技术成果的一种法律保护，也与技术创新密切相关。在申请专利的过程中，企业需要清晰地表达发明的创新点，强调其在技术上的先进性。这促使企业在研发中更注重创新，推动技术水平的提升。同时，专利的申请也为企业创新提供了一定的资金支持，使得企业更有动力进行长期的研发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专利申请与竞争优势的维护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竞争激烈的环境中，拥有有效的专利可以帮助企业建立和维护竞争优势。专利保护使企业能够独占其创新成果，降低被复制的风险，从而在市场上建立品牌形象。有效的专利战略有助于巩固企业在行业中的地位，吸引更多的合作伙伴和投资者。</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专利侵权与纠纷解决</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在专利保护的同时，企业也需要关注专利侵权的风险。专利侵权可能导致法律纠纷，对企业产生不良影响。因此，企业在申请专利时需要进行充分的专利检索，确保所申请的专利不会侵犯他人的权益。同时，企业还需要建立专业的法务团队，以便在发生纠纷时能够迅速、有效地解决问题。</w:t>
      </w:r>
    </w:p>
    <w:p>
      <w:pPr>
        <w:pStyle w:val="Heading2"/>
        <w:ind w:firstLine="560" w:firstLineChars="200"/>
        <w:rPr>
          <w:rFonts w:ascii="仿宋" w:eastAsia="仿宋" w:hAnsi="仿宋" w:cs="仿宋" w:hint="eastAsia"/>
          <w:sz w:val="28"/>
          <w:lang w:eastAsia="zh-CN"/>
        </w:rPr>
      </w:pPr>
      <w:bookmarkStart w:id="25" w:name="_Toc18059"/>
      <w:r>
        <w:rPr>
          <w:rFonts w:ascii="仿宋" w:eastAsia="仿宋" w:hAnsi="仿宋" w:cs="仿宋" w:hint="eastAsia"/>
          <w:sz w:val="28"/>
          <w:lang w:eastAsia="zh-CN"/>
        </w:rPr>
        <w:t>(四)、人才培养与团队建设</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在当今竞争激烈的商业环境中，企业越来越意识到人才的重要性，而人才培养和团队建设成为实现组织长期成功的关键因素。在这个背景下，人才培养和团队建设的有效实施对于企业的可持续发展至关重要。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是企业为了满足业务需求、提高员工综合素质而采取的一系列有组织、有计划的培训和发展活动。这不仅包括技术培训，还包括领导力、沟通技巧、创新思维等方面的培训。企业通过不断提升员工的专业技能和综合素养，以适应变化莫测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内部导师制度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内部导师制度是人才培养的重要组成部分。通过在团队内部建立导师制度，新员工能够更快速地融入团队，掌握工作技能，同时更有机会了解企业文化。对于导师而言，这也是一种领导力的锻炼，促进知识和经验的传承，实现员工间的互动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跨部门轮岗</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拓宽员工的视野和经验，企业可以实施跨部门轮岗计划。通过在不同部门的工作经历，员工可以更全面地了解企业的运作机制，培养多方面的能力和技能。这有助于打破部门之间的信息壁垒，促进组织内部的协作与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培养创新思维</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不断发展，创新思维成为企业成功的关键。为了培养创新思维，企业可以通过组织创意工作坊、鼓励员工提出新观点、设立创新奖励等方式。这种培养不仅仅关注技术创新，还包括管理和业务模式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团队建设是通过一系列的活动和培训来提高团队成员之间的合作和协作能力，达到提高整个团队绩效的目的。团队的协同效应可以使企业更具竞争力，因此团队建设也成为了组织发展中的不可或缺的一环。</w:t>
      </w:r>
    </w:p>
    <w:p>
      <w:pPr>
        <w:ind w:firstLine="560" w:firstLineChars="200"/>
        <w:rPr>
          <w:rFonts w:ascii="仿宋" w:eastAsia="仿宋" w:hAnsi="仿宋" w:cs="仿宋" w:hint="eastAsia"/>
          <w:sz w:val="28"/>
        </w:rPr>
      </w:pPr>
      <w:r>
        <w:rPr>
          <w:rFonts w:ascii="仿宋" w:eastAsia="仿宋" w:hAnsi="仿宋" w:cs="仿宋" w:hint="eastAsia"/>
          <w:sz w:val="28"/>
          <w:lang w:eastAsia="zh-CN"/>
        </w:rPr>
        <w:t>设立明确的团队目标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团队建设的首要任务是设立明确的团队目标。通过明确的目标，团队成员能够更好地理解组织的战略方向，形成共同的愿景。这有助于提高团队的凝聚力，使成员共同努力实现共同的目标。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促进有效沟通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在团队协作中，沟通是至关重要的。企业可以通过建立开放透明的沟通渠道，鼓励团队成员分享信息和想法。定期的团队会议、在线协作平台等都是促进团队成员有效沟通的工具。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培养团队协作精神</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协作精神是团队建设的核心。企业可以通过组织团队活动、制定团队奖励机制等方式，培养团队成员的合作意识。此外，建立公平的激励机制，让每个团队成员都能够分享团队的成功，进一步增强团队凝聚力。</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r>
        <w:rPr>
          <w:rFonts w:ascii="仿宋" w:eastAsia="仿宋" w:hAnsi="仿宋" w:cs="仿宋" w:hint="eastAsia"/>
          <w:sz w:val="28"/>
          <w:lang w:eastAsia="zh-CN"/>
        </w:rPr>
        <w:t>解决团队冲突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在团队协作中，难免会出现一些分歧和冲突。有效解决团队冲突是团队建设的一个重要环节。企业可以通过引入专业的冲突解决机制、提供冲突解决培训等方式，帮助团队成员更好地应对和解决冲突。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与团队建设是企业实现可持续发展的重要手段。通过培养全面素质的人才，建设高效协作的团队，企业能够更好地适应市场变化，提高创新能力，增强竞争力。在人才激烈争夺的时代，注重人才培养与团队建设将成为企业取得成功的关键因素之一。</w:t>
      </w:r>
    </w:p>
    <w:p>
      <w:pPr>
        <w:pStyle w:val="Heading1"/>
        <w:ind w:firstLine="560" w:firstLineChars="200"/>
        <w:rPr>
          <w:rFonts w:ascii="仿宋" w:eastAsia="仿宋" w:hAnsi="仿宋" w:cs="仿宋" w:hint="eastAsia"/>
          <w:sz w:val="28"/>
          <w:lang w:eastAsia="zh-CN"/>
        </w:rPr>
      </w:pPr>
      <w:bookmarkStart w:id="26" w:name="_Toc11506"/>
      <w:r>
        <w:rPr>
          <w:rFonts w:ascii="仿宋" w:eastAsia="仿宋" w:hAnsi="仿宋" w:cs="仿宋" w:hint="eastAsia"/>
          <w:sz w:val="28"/>
          <w:lang w:eastAsia="zh-CN"/>
        </w:rPr>
        <w:t>六、投资背景及必要性分析</w:t>
      </w:r>
      <w:bookmarkEnd w:id="26"/>
    </w:p>
    <w:p>
      <w:pPr>
        <w:pStyle w:val="Heading2"/>
        <w:rPr>
          <w:rFonts w:ascii="仿宋" w:eastAsia="仿宋" w:hAnsi="仿宋" w:cs="仿宋" w:hint="eastAsia"/>
          <w:lang w:eastAsia="zh-CN"/>
        </w:rPr>
      </w:pPr>
      <w:bookmarkStart w:id="27" w:name="_Toc7384"/>
      <w:r>
        <w:rPr>
          <w:rFonts w:ascii="仿宋" w:eastAsia="仿宋" w:hAnsi="仿宋" w:cs="仿宋" w:hint="eastAsia"/>
          <w:lang w:eastAsia="zh-CN"/>
        </w:rPr>
        <w:t>(一)、净水絮凝剂项目承办单位背景分析</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概况：XX有限公司是一家在XX行业具有丰富经验和卓越业绩的企业。成立于XXXX年，公司总部位于XX市，目前拥有一支专业的管理团队和技术团队，致力于提供高质量的产品和服务。公司秉承“创新、质量、服务”的理念，不断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业务范围：公司主要从事XX领域的生产和销售，涵盖了XX、XX、XX等领域。公司产品以其高品质和先进技术在市场上赢得了良好的口碑。</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发展历程：公司经过多年的发展，已经建立了稳定的市场地位。先后获得了多项荣誉和认证，是行业内的佼佼者。公司始终秉持着诚信经营、客户至上的原则，与众多客户建立了长期合作关系。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公司经济效益分析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公司经济效益在过去几年取得了显著的成果。公司经济效益的主要亮点：</w:t>
      </w:r>
    </w:p>
    <w:p>
      <w:pPr>
        <w:ind w:firstLine="560" w:firstLineChars="200"/>
        <w:rPr>
          <w:rFonts w:ascii="仿宋" w:eastAsia="仿宋" w:hAnsi="仿宋" w:cs="仿宋" w:hint="eastAsia"/>
          <w:sz w:val="28"/>
        </w:rPr>
      </w:pPr>
      <w:r>
        <w:rPr>
          <w:rFonts w:ascii="仿宋" w:eastAsia="仿宋" w:hAnsi="仿宋" w:cs="仿宋" w:hint="eastAsia"/>
          <w:sz w:val="28"/>
          <w:lang w:eastAsia="zh-CN"/>
        </w:rPr>
        <w:t>1. 营业收入增长： 公司在过去三年中，营业收入呈现稳步增长的趋势，主要得益于产品市场需求的提升和市场份额的扩大。</w:t>
      </w:r>
    </w:p>
    <w:p>
      <w:pPr>
        <w:ind w:firstLine="560" w:firstLineChars="200"/>
        <w:rPr>
          <w:rFonts w:ascii="仿宋" w:eastAsia="仿宋" w:hAnsi="仿宋" w:cs="仿宋" w:hint="eastAsia"/>
          <w:sz w:val="28"/>
        </w:rPr>
      </w:pPr>
      <w:r>
        <w:rPr>
          <w:rFonts w:ascii="仿宋" w:eastAsia="仿宋" w:hAnsi="仿宋" w:cs="仿宋" w:hint="eastAsia"/>
          <w:sz w:val="28"/>
          <w:lang w:eastAsia="zh-CN"/>
        </w:rPr>
        <w:t>2. 盈利能力提升： 公司的盈利能力逐年提升，净利润持续增加。这主要归功于公司在产品研发、生产管理和市场拓展方面的不断优化。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资产稳健： 公司的资产结构健康，资产回报率保持在行业领先水平。这表明公司在资金运作和资产配置方面具备较强的管理水平。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市场份额提升： 公司成功扩大了市场份额，成为行业内的重要参与者。通过提高产品质量和服务水平，公司赢得了客户的信任，增强了市场竞争力。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持续创新： 公司注重技术创新和产品研发，推出了一系列领先行业的产品。这为公司在市场上保持竞争力提供了有力支持。</w:t>
      </w:r>
    </w:p>
    <w:p>
      <w:pPr>
        <w:pStyle w:val="Heading2"/>
        <w:ind w:firstLine="560" w:firstLineChars="200"/>
        <w:rPr>
          <w:rFonts w:ascii="仿宋" w:eastAsia="仿宋" w:hAnsi="仿宋" w:cs="仿宋" w:hint="eastAsia"/>
          <w:sz w:val="28"/>
          <w:lang w:eastAsia="zh-CN"/>
        </w:rPr>
      </w:pPr>
      <w:bookmarkStart w:id="28" w:name="_Toc13440"/>
      <w:r>
        <w:rPr>
          <w:rFonts w:ascii="仿宋" w:eastAsia="仿宋" w:hAnsi="仿宋" w:cs="仿宋" w:hint="eastAsia"/>
          <w:sz w:val="28"/>
          <w:lang w:eastAsia="zh-CN"/>
        </w:rPr>
        <w:t>(二)、产业政策及发展规划</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产业政策及发展规划是企业在特定行业运营中必须关注和遵循的重要指导原则。对于XX有限公司而言，制定明晰的产业政策和发展规划至关重要，以适应行业的发展趋势和政府的相关政策。该公司在产业政策和发展规划方面的主要考虑：</w:t>
      </w:r>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政府政策关注：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公司将密切关注相关政府部门出台的产业政策。这包括关于技术创新、环保标准、产业发展方向等方面的政策。及时了解并遵循这些政策对公司的长期发展至关重要。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技术创新导向： 公司将注重技术创新，积极采用先进的生产工艺和设备。通过不断提升技术水平，公司可以在行业中保持竞争优势，并满足市场对高质量产品的需求。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环保要求履行： 公司将遵循并超越国家和地方的环保标准。在生产过程中，注重降低能耗、减少排放，实施清洁生产，以确保企业的可持续发展。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4. 市场需求预测： 公司将通过市场调研，准确了解市场需求和趋势。基于市场的变化，灵活调整产品结构和服务，以满足客户不断变化的需求。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合规经营： 公司将始终遵循各项法规和政策，确保经营活动的合法合规性。建立健全的内部管理制度，进行规范的财务和经营报告，保持企业的良好声誉。</w:t>
      </w:r>
    </w:p>
    <w:p>
      <w:pPr>
        <w:ind w:firstLine="560" w:firstLineChars="200"/>
        <w:rPr>
          <w:rFonts w:ascii="仿宋" w:eastAsia="仿宋" w:hAnsi="仿宋" w:cs="仿宋" w:hint="eastAsia"/>
          <w:sz w:val="28"/>
        </w:rPr>
      </w:pPr>
      <w:r>
        <w:rPr>
          <w:rFonts w:ascii="仿宋" w:eastAsia="仿宋" w:hAnsi="仿宋" w:cs="仿宋" w:hint="eastAsia"/>
          <w:sz w:val="28"/>
          <w:lang w:eastAsia="zh-CN"/>
        </w:rPr>
        <w:t>6. 人才培养： 公司将注重人才培养和引进，建立完善的人才梯队。通过培训和激励机制，激发员工的创新潜力，为公司的可持续发展提供人才支持。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7. 国际市场拓展： 公司将积极响应国家政策，拓展国际市场。通过与国际同行合作、参与国际展会等方式，提升公司在国际市场的竞争力。</w:t>
      </w:r>
    </w:p>
    <w:p>
      <w:pPr>
        <w:ind w:firstLine="560" w:firstLineChars="200"/>
        <w:rPr>
          <w:rFonts w:ascii="仿宋" w:eastAsia="仿宋" w:hAnsi="仿宋" w:cs="仿宋" w:hint="eastAsia"/>
          <w:sz w:val="28"/>
        </w:rPr>
        <w:sectPr>
          <w:headerReference w:type="default" r:id="rId70"/>
          <w:footerReference w:type="default" r:id="rId71"/>
          <w:type w:val="nextPage"/>
          <w:pgSz w:w="11906" w:h="16838"/>
          <w:pgMar w:top="1440" w:right="1800" w:bottom="1440" w:left="1800" w:header="851" w:footer="992" w:gutter="0"/>
          <w:pgNumType w:start="3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通过制定科学合理的产业政策和发展规划，XX有限公司将能够更好地适应外部环境的变化，确保企业在行业中稳健发展，为实施净水絮凝剂项目提供坚实支持。</w:t>
      </w:r>
    </w:p>
    <w:p>
      <w:pPr>
        <w:pStyle w:val="Heading2"/>
        <w:ind w:firstLine="560" w:firstLineChars="200"/>
        <w:rPr>
          <w:rFonts w:ascii="仿宋" w:eastAsia="仿宋" w:hAnsi="仿宋" w:cs="仿宋" w:hint="eastAsia"/>
          <w:sz w:val="28"/>
          <w:lang w:eastAsia="zh-CN"/>
        </w:rPr>
      </w:pPr>
      <w:bookmarkStart w:id="29" w:name="_Toc1384"/>
      <w:r>
        <w:rPr>
          <w:rFonts w:ascii="仿宋" w:eastAsia="仿宋" w:hAnsi="仿宋" w:cs="仿宋" w:hint="eastAsia"/>
          <w:sz w:val="28"/>
          <w:lang w:eastAsia="zh-CN"/>
        </w:rPr>
        <w:t>(三)、鼓励中小企业发展</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1. 融资支持： 通过建立专门的中小企业融资渠道，提供低息贷款、创业担保贷款、风险投资等融资工具，帮助中小企业解决融资难题，推动其良性发展。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技术创新支持： 鼓励中小企业进行技术创新，设立专项资金支持科技研发净水絮凝剂项目。提供创新券、科技补贴等奖励措施，推动中小企业提升技术水平，增强市场竞争力。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税收优惠政策： 制定税收政策，对中小企业给予适当的减免税收优惠，降低其经营成本。例如，减免企业所得税、增值税减免、研发费用税前扣除等政策。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4. 创业培训和咨询服务： 提供免费或低成本的创业培训和咨询服务，帮助中小企业提升管理水平、市场拓展能力，降低创业风险。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市场准入便利化： 简化中小企业市场准入手续，降低市场准入门槛。减少行政审批环节，提高创业和经营的便利性，激发中小企业的创业热情。</w:t>
      </w:r>
    </w:p>
    <w:p>
      <w:pPr>
        <w:ind w:firstLine="560" w:firstLineChars="200"/>
        <w:rPr>
          <w:rFonts w:ascii="仿宋" w:eastAsia="仿宋" w:hAnsi="仿宋" w:cs="仿宋" w:hint="eastAsia"/>
          <w:sz w:val="28"/>
        </w:rPr>
      </w:pPr>
      <w:r>
        <w:rPr>
          <w:rFonts w:ascii="仿宋" w:eastAsia="仿宋" w:hAnsi="仿宋" w:cs="仿宋" w:hint="eastAsia"/>
          <w:sz w:val="28"/>
          <w:lang w:eastAsia="zh-CN"/>
        </w:rPr>
        <w:t>6. 国际合作与对外贸易支持： 鼓励中小企业参与国际市场竞争，提供国际市场开拓的支持政策。为中小企业提供国际合作平台，促进对外贸易合作。</w:t>
      </w:r>
    </w:p>
    <w:p>
      <w:pPr>
        <w:ind w:firstLine="560" w:firstLineChars="200"/>
        <w:rPr>
          <w:rFonts w:ascii="仿宋" w:eastAsia="仿宋" w:hAnsi="仿宋" w:cs="仿宋" w:hint="eastAsia"/>
          <w:sz w:val="28"/>
        </w:rPr>
        <w:sectPr>
          <w:headerReference w:type="default" r:id="rId72"/>
          <w:footerReference w:type="default" r:id="rId73"/>
          <w:type w:val="nextPage"/>
          <w:pgSz w:w="11906" w:h="16838"/>
          <w:pgMar w:top="1440" w:right="1800" w:bottom="1440" w:left="1800" w:header="851" w:footer="992" w:gutter="0"/>
          <w:pgNumType w:start="35"/>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人才引进和培养：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实施人才引进计划，为中小企业引进高层次、高技能的专业人才。同时，通过培训计划提升中小企业员工的综合素质。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8. 绿色可持续发展： 鼓励中小企业采用绿色生产方式，推动可持续发展。制定环保和绿色产业的相关政策，引导中小企业逐步实现绿色转型。</w:t>
      </w:r>
    </w:p>
    <w:p>
      <w:pPr>
        <w:pStyle w:val="Heading2"/>
        <w:ind w:firstLine="560" w:firstLineChars="200"/>
        <w:rPr>
          <w:rFonts w:ascii="仿宋" w:eastAsia="仿宋" w:hAnsi="仿宋" w:cs="仿宋" w:hint="eastAsia"/>
          <w:sz w:val="28"/>
          <w:lang w:eastAsia="zh-CN"/>
        </w:rPr>
      </w:pPr>
      <w:bookmarkStart w:id="30" w:name="_Toc8513"/>
      <w:r>
        <w:rPr>
          <w:rFonts w:ascii="仿宋" w:eastAsia="仿宋" w:hAnsi="仿宋" w:cs="仿宋" w:hint="eastAsia"/>
          <w:sz w:val="28"/>
          <w:lang w:eastAsia="zh-CN"/>
        </w:rPr>
        <w:t>(四)、宏观经济形势分析</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首先，我国的GDP增长率表现强劲。根据最新的统计数据，上一季度我国的GDP增速达到了X.X%，显示出经济持续增长的势头。这一增长主要得益于消费升级、科技创新以及政府采取的积极财政政策，为企业提供了更广阔的市场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通货膨胀率保持在合理水平。尽管在全球范围内存在一些通货膨胀的压力，但我国通过有效的宏观调控，成功地保持了通货膨胀率在目标范围内。这有助于维护货币的稳定，为企业提供了更加可控的经营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失业率方面，尽管受到疫情等因素的影响，失业率有所上升，但政府积极采取就业刺激政策，通过扩大内需、促进创业等方式，努力缓解就业压力，为社会提供更多就业机会。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在财政政策方面，政府加大了对基础设施建设和高技术产业的投入，通过提高政府支出来刺激经济增长。这为相关产业提供了更多的发展机会，也有望带动更多中小企业的壮大。</w:t>
      </w:r>
    </w:p>
    <w:p>
      <w:pPr>
        <w:ind w:firstLine="560" w:firstLineChars="200"/>
        <w:rPr>
          <w:rFonts w:ascii="仿宋" w:eastAsia="仿宋" w:hAnsi="仿宋" w:cs="仿宋" w:hint="eastAsia"/>
          <w:sz w:val="28"/>
        </w:rPr>
        <w:sectPr>
          <w:headerReference w:type="default" r:id="rId74"/>
          <w:footerReference w:type="default" r:id="rId75"/>
          <w:type w:val="nextPage"/>
          <w:pgSz w:w="11906" w:h="16838"/>
          <w:pgMar w:top="1440" w:right="1800" w:bottom="1440" w:left="1800" w:header="851" w:footer="992" w:gutter="0"/>
          <w:pgNumType w:start="3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货币政策上，央行继续实施稳健的货币政策，保持流动性合理充裕。这有助于支持企业的融资需求，降低融资成本，推动实体经济的发展。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国际贸易方面，我国积极参与全球贸易体系，加强与多个国家的合作。同时，我国继续推进贸易便利化和开放政策，为企业提供更广泛的市场和更多的合作机会。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总体而言，我国的宏观经济形势呈现出积极的趋势，为企业提供了丰富的发展机遇。然而，也需要企业密切关注全球经济环境的变化，灵活调整经营策略，以更好地应对不确定性因素，确保稳健发展。</w:t>
      </w:r>
    </w:p>
    <w:p>
      <w:pPr>
        <w:pStyle w:val="Heading2"/>
        <w:ind w:firstLine="560" w:firstLineChars="200"/>
        <w:rPr>
          <w:rFonts w:ascii="仿宋" w:eastAsia="仿宋" w:hAnsi="仿宋" w:cs="仿宋" w:hint="eastAsia"/>
          <w:sz w:val="28"/>
          <w:lang w:eastAsia="zh-CN"/>
        </w:rPr>
      </w:pPr>
      <w:bookmarkStart w:id="31" w:name="_Toc24436"/>
      <w:r>
        <w:rPr>
          <w:rFonts w:ascii="仿宋" w:eastAsia="仿宋" w:hAnsi="仿宋" w:cs="仿宋" w:hint="eastAsia"/>
          <w:sz w:val="28"/>
          <w:lang w:eastAsia="zh-CN"/>
        </w:rPr>
        <w:t>(五)、区域经济发展概况</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一、地理位置及资源优势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该区域位于XXX地区，具有得天独厚的地理位置优势。地理位置的便利性对区域的经济发展起到积极的推动作用，有利于物流、贸易和人员流动。</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该区域拥有丰富的自然资源，如XXX、XXX等，为产业发展提供了坚实的基础。这些资源的合理开发利用是该区域经济可持续发展的重要保障。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二、产业结构及特色产业</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该区域的产业结构呈现出多元化的特点。传统产业与新兴产业相结合，形成了较为完善的产业体系。特别是XXX领域的发展相对较为突出，成为该区域的特色产业之一。</w:t>
      </w:r>
    </w:p>
    <w:p>
      <w:pPr>
        <w:ind w:firstLine="560" w:firstLineChars="200"/>
        <w:rPr>
          <w:rFonts w:ascii="仿宋" w:eastAsia="仿宋" w:hAnsi="仿宋" w:cs="仿宋" w:hint="eastAsia"/>
          <w:sz w:val="28"/>
        </w:rPr>
        <w:sectPr>
          <w:headerReference w:type="default" r:id="rId76"/>
          <w:footerReference w:type="default" r:id="rId77"/>
          <w:type w:val="nextPage"/>
          <w:pgSz w:w="11906" w:h="16838"/>
          <w:pgMar w:top="1440" w:right="1800" w:bottom="1440" w:left="1800" w:header="851" w:footer="992" w:gutter="0"/>
          <w:pgNumType w:start="3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新兴产业方面，科技创新、高端制造等领域逐渐崭露头角，为该区域经济注入了新的活力。政府对新兴产业的扶持政策也进一步促进了这些领域的发展。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三、投资环境及政策支持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该区域的投资环境相对较好。政府通过一系列政策和措施鼓励企业投资兴业，提供税收优惠、用地支持等政策，吸引了一批知名企业在此设立生产基地或研发中心。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政府还积极推动营商环境的改善，简化行政手续，提高服务效率，降低企业运营成本，为投资者提供更便利的发展环境。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四、基础设施建设及城市化水平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该区域的基础设施建设相对完善。交通网络、能源供应、信息技术等基础设施水平较高，为企业提供了便捷的生产和生活条件。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城市化水平逐渐提升，城市规划与建设得到有效推动。新建的城市区域吸引了大量人口流入，形成了人口、产业、文化等多方面的融合效应。</w:t>
      </w:r>
    </w:p>
    <w:p>
      <w:pPr>
        <w:ind w:firstLine="560" w:firstLineChars="200"/>
        <w:rPr>
          <w:rFonts w:ascii="仿宋" w:eastAsia="仿宋" w:hAnsi="仿宋" w:cs="仿宋" w:hint="eastAsia"/>
          <w:sz w:val="28"/>
        </w:rPr>
      </w:pPr>
      <w:r>
        <w:rPr>
          <w:rFonts w:ascii="仿宋" w:eastAsia="仿宋" w:hAnsi="仿宋" w:cs="仿宋" w:hint="eastAsia"/>
          <w:sz w:val="28"/>
          <w:lang w:eastAsia="zh-CN"/>
        </w:rPr>
        <w:t>五、社会服务水平及人才储备</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该区域的社会服务水平相对较高，教育、医疗、文化等领域得到了有效的支持和提升。这为企业提供了更好的人才保障和劳动力素质。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人才储备方面，该区域培养了一批高素质的专业人才，为企业的技术创新和管理提供了强有力的支持。同时，政府还采取措施吸引外部优秀人才，形成了人才资源的集聚效应。</w:t>
      </w:r>
    </w:p>
    <w:p>
      <w:pPr>
        <w:ind w:firstLine="560" w:firstLineChars="200"/>
        <w:rPr>
          <w:rFonts w:ascii="仿宋" w:eastAsia="仿宋" w:hAnsi="仿宋" w:cs="仿宋" w:hint="eastAsia"/>
          <w:sz w:val="28"/>
        </w:rPr>
      </w:pPr>
      <w:r>
        <w:rPr>
          <w:rFonts w:ascii="仿宋" w:eastAsia="仿宋" w:hAnsi="仿宋" w:cs="仿宋" w:hint="eastAsia"/>
          <w:sz w:val="28"/>
          <w:lang w:eastAsia="zh-CN"/>
        </w:rPr>
        <w:t>六、环境保护与可持续发展</w:t>
      </w:r>
    </w:p>
    <w:p>
      <w:pPr>
        <w:ind w:firstLine="560" w:firstLineChars="200"/>
        <w:rPr>
          <w:rFonts w:ascii="仿宋" w:eastAsia="仿宋" w:hAnsi="仿宋" w:cs="仿宋" w:hint="eastAsia"/>
          <w:sz w:val="28"/>
        </w:rPr>
        <w:sectPr>
          <w:headerReference w:type="default" r:id="rId78"/>
          <w:footerReference w:type="default" r:id="rId79"/>
          <w:type w:val="nextPage"/>
          <w:pgSz w:w="11906" w:h="16838"/>
          <w:pgMar w:top="1440" w:right="1800" w:bottom="1440" w:left="1800" w:header="851" w:footer="992" w:gutter="0"/>
          <w:pgNumType w:start="3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该区域注重环境保护和可持续发展。政府出台了一系列环保政策，推动企业进行清洁生产，加强资源利用效率，努力实现经济增长与环境保护的良性互动。</w:t>
      </w:r>
    </w:p>
    <w:p>
      <w:pPr>
        <w:pStyle w:val="Heading2"/>
        <w:ind w:firstLine="560" w:firstLineChars="200"/>
        <w:rPr>
          <w:rFonts w:ascii="仿宋" w:eastAsia="仿宋" w:hAnsi="仿宋" w:cs="仿宋" w:hint="eastAsia"/>
          <w:sz w:val="28"/>
          <w:lang w:eastAsia="zh-CN"/>
        </w:rPr>
      </w:pPr>
      <w:bookmarkStart w:id="32" w:name="_Toc30545"/>
      <w:r>
        <w:rPr>
          <w:rFonts w:ascii="仿宋" w:eastAsia="仿宋" w:hAnsi="仿宋" w:cs="仿宋" w:hint="eastAsia"/>
          <w:sz w:val="28"/>
          <w:lang w:eastAsia="zh-CN"/>
        </w:rPr>
        <w:t>(六)、净水絮凝剂项目必要性分析</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一、市场需求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该净水絮凝剂项目的实施是否能够满足当前市场的需求是净水絮凝剂项目必要性的首要考量。通过市场调研和需求分析，我们发现目标市场存在对相关产品或服务的需求。净水絮凝剂项目的推动将能够填补市场空白，满足客户的需求，有望取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二、行业发展趋势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考察所处行业的发展趋势对净水絮凝剂项目的必要性评估至关重要。如果行业正处于增长期或具有良好的前景，净水絮凝剂项目实施将更具有前瞻性。相反，如果行业饱和或面临下行趋势，净水絮凝剂项目的必要性可能会受到质疑。</w:t>
      </w:r>
    </w:p>
    <w:p>
      <w:pPr>
        <w:ind w:firstLine="560" w:firstLineChars="200"/>
        <w:rPr>
          <w:rFonts w:ascii="仿宋" w:eastAsia="仿宋" w:hAnsi="仿宋" w:cs="仿宋" w:hint="eastAsia"/>
          <w:sz w:val="28"/>
        </w:rPr>
      </w:pPr>
      <w:r>
        <w:rPr>
          <w:rFonts w:ascii="仿宋" w:eastAsia="仿宋" w:hAnsi="仿宋" w:cs="仿宋" w:hint="eastAsia"/>
          <w:sz w:val="28"/>
          <w:lang w:eastAsia="zh-CN"/>
        </w:rPr>
        <w:t>三、技术创新与竞争力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净水絮凝剂项目是否引入了新的技术或提升了企业的竞争力也是必要性的考量因素。如果净水絮凝剂项目能够带来技术创新，提高产品或服务的质量和效率，将有助于企业在市场竞争中占据优势。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四、资源优势与战略布局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净水絮凝剂项目实施是否充分发挥了企业的资源优势，并符合其长期战略规划也是必要性分析的一部分。净水絮凝剂项目应该与企业整体战略相契合，使得企业在资源配置上更具效益。</w:t>
      </w:r>
    </w:p>
    <w:p>
      <w:pPr>
        <w:ind w:firstLine="560" w:firstLineChars="200"/>
        <w:rPr>
          <w:rFonts w:ascii="仿宋" w:eastAsia="仿宋" w:hAnsi="仿宋" w:cs="仿宋" w:hint="eastAsia"/>
          <w:sz w:val="28"/>
        </w:rPr>
        <w:sectPr>
          <w:headerReference w:type="default" r:id="rId80"/>
          <w:footerReference w:type="default" r:id="rId81"/>
          <w:type w:val="nextPage"/>
          <w:pgSz w:w="11906" w:h="16838"/>
          <w:pgMar w:top="1440" w:right="1800" w:bottom="1440" w:left="1800" w:header="851" w:footer="992" w:gutter="0"/>
          <w:pgNumType w:start="39"/>
          <w:cols w:num="1" w:space="425"/>
          <w:titlePg w:val="0"/>
          <w:docGrid w:type="lines" w:linePitch="312" w:charSpace="0"/>
        </w:sectPr>
      </w:pPr>
      <w:r>
        <w:rPr>
          <w:rFonts w:ascii="仿宋" w:eastAsia="仿宋" w:hAnsi="仿宋" w:cs="仿宋" w:hint="eastAsia"/>
          <w:sz w:val="28"/>
          <w:lang w:eastAsia="zh-CN"/>
        </w:rPr>
        <w:t>五、政策和法规支持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净水絮凝剂项目是否符合相关政策和法规，是否能够获得政府的支持也是必要性的重要因素。政策和法规的支持能够降低净水絮凝剂项目的经营风险，提高实施的可行性。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六、社会效益和可持续发展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除了经济效益外，净水絮凝剂项目对社会的积极贡献和可持续发展也应该得到关注。净水絮凝剂项目是否能够创造就业机会、改善社会环境、促进可持续发展等，都是必要性的考虑因素。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七、风险管理与回报预期</w:t>
      </w:r>
    </w:p>
    <w:p>
      <w:pPr>
        <w:ind w:firstLine="560" w:firstLineChars="200"/>
        <w:rPr>
          <w:rFonts w:ascii="仿宋" w:eastAsia="仿宋" w:hAnsi="仿宋" w:cs="仿宋" w:hint="eastAsia"/>
          <w:sz w:val="28"/>
        </w:rPr>
      </w:pPr>
      <w:r>
        <w:rPr>
          <w:rFonts w:ascii="仿宋" w:eastAsia="仿宋" w:hAnsi="仿宋" w:cs="仿宋" w:hint="eastAsia"/>
          <w:sz w:val="28"/>
          <w:lang w:eastAsia="zh-CN"/>
        </w:rPr>
        <w:t>对净水絮凝剂项目的风险进行全面评估，并与预期回报相权衡，有助于判断净水絮凝剂项目的必要性。净水絮凝剂项目的风险可控性和回报的可实现性是净水絮凝剂项目决策的关键指标之一。</w:t>
      </w:r>
    </w:p>
    <w:p>
      <w:pPr>
        <w:pStyle w:val="Heading1"/>
        <w:ind w:firstLine="560" w:firstLineChars="200"/>
        <w:rPr>
          <w:rFonts w:ascii="仿宋" w:eastAsia="仿宋" w:hAnsi="仿宋" w:cs="仿宋" w:hint="eastAsia"/>
          <w:sz w:val="28"/>
          <w:lang w:eastAsia="zh-CN"/>
        </w:rPr>
      </w:pPr>
      <w:bookmarkStart w:id="33" w:name="_Toc24905"/>
      <w:r>
        <w:rPr>
          <w:rFonts w:ascii="仿宋" w:eastAsia="仿宋" w:hAnsi="仿宋" w:cs="仿宋" w:hint="eastAsia"/>
          <w:sz w:val="28"/>
          <w:lang w:eastAsia="zh-CN"/>
        </w:rPr>
        <w:t>七、净水絮凝剂项目运营管理</w:t>
      </w:r>
      <w:bookmarkEnd w:id="33"/>
    </w:p>
    <w:p>
      <w:pPr>
        <w:pStyle w:val="Heading2"/>
        <w:rPr>
          <w:rFonts w:ascii="仿宋" w:eastAsia="仿宋" w:hAnsi="仿宋" w:cs="仿宋" w:hint="eastAsia"/>
          <w:lang w:eastAsia="zh-CN"/>
        </w:rPr>
      </w:pPr>
      <w:bookmarkStart w:id="34" w:name="_Toc21475"/>
      <w:r>
        <w:rPr>
          <w:rFonts w:ascii="仿宋" w:eastAsia="仿宋" w:hAnsi="仿宋" w:cs="仿宋" w:hint="eastAsia"/>
          <w:lang w:eastAsia="zh-CN"/>
        </w:rPr>
        <w:t>(一)、运营管理机构设置</w:t>
      </w:r>
      <w:bookmarkEnd w:id="34"/>
    </w:p>
    <w:p>
      <w:pPr>
        <w:ind w:firstLine="560" w:firstLineChars="200"/>
        <w:rPr>
          <w:rFonts w:ascii="仿宋" w:eastAsia="仿宋" w:hAnsi="仿宋" w:cs="仿宋" w:hint="eastAsia"/>
          <w:sz w:val="28"/>
        </w:rPr>
      </w:pPr>
      <w:r>
        <w:rPr>
          <w:rFonts w:ascii="仿宋" w:eastAsia="仿宋" w:hAnsi="仿宋" w:cs="仿宋" w:hint="eastAsia"/>
          <w:sz w:val="28"/>
          <w:lang w:eastAsia="zh-CN"/>
        </w:rPr>
        <w:t>企业的运营管理机构设置是保障业务高效运转和战略目标实现的基础。合理的机构设置有助于各个职能部门之间的协同合作，提升决策执行效果。在运营管理机构的设计中，需要考虑业务流程、组织结构、信息传递和决策层级等多个方面。从总体运营管理部门、业务部门、支持性职能部门、信息传递和决策层级四个方面展开具体阐述。</w:t>
      </w:r>
    </w:p>
    <w:p>
      <w:pPr>
        <w:ind w:firstLine="560" w:firstLineChars="200"/>
        <w:rPr>
          <w:rFonts w:ascii="仿宋" w:eastAsia="仿宋" w:hAnsi="仿宋" w:cs="仿宋" w:hint="eastAsia"/>
          <w:sz w:val="28"/>
        </w:rPr>
      </w:pPr>
      <w:r>
        <w:rPr>
          <w:rFonts w:ascii="仿宋" w:eastAsia="仿宋" w:hAnsi="仿宋" w:cs="仿宋" w:hint="eastAsia"/>
          <w:sz w:val="28"/>
          <w:lang w:eastAsia="zh-CN"/>
        </w:rPr>
        <w:t>1. 总体运营管理部门</w:t>
      </w:r>
    </w:p>
    <w:p>
      <w:pPr>
        <w:ind w:firstLine="560" w:firstLineChars="200"/>
        <w:rPr>
          <w:rFonts w:ascii="仿宋" w:eastAsia="仿宋" w:hAnsi="仿宋" w:cs="仿宋" w:hint="eastAsia"/>
          <w:sz w:val="28"/>
        </w:rPr>
        <w:sectPr>
          <w:headerReference w:type="default" r:id="rId82"/>
          <w:footerReference w:type="default" r:id="rId83"/>
          <w:type w:val="nextPage"/>
          <w:pgSz w:w="11906" w:h="16838"/>
          <w:pgMar w:top="1440" w:right="1800" w:bottom="1440" w:left="1800" w:header="851" w:footer="992" w:gutter="0"/>
          <w:pgNumType w:start="4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运营管理部门是企业运营体系的核心，其角色是协调整个企业的运营活动，确保各个职能部门之间的合作无间。这个部门通常由首席运营官（COO）领导，其下设有多个高级管理人员，涵盖业务规划、资源分配、绩效评估等多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首席运营官作为总体运营管理部门的领导者，负责制定并执行整体运营策略。其职责包括但不限于，确保企业目标的达成、协调各业务部门的工作、监控绩效指标、对市场变化进行敏锐的感知等。同时，总体运营管理部门与其他职能部门保持紧密合作，共同推动企业的整体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业务部门</w:t>
      </w:r>
    </w:p>
    <w:p>
      <w:pPr>
        <w:ind w:firstLine="560" w:firstLineChars="200"/>
        <w:rPr>
          <w:rFonts w:ascii="仿宋" w:eastAsia="仿宋" w:hAnsi="仿宋" w:cs="仿宋" w:hint="eastAsia"/>
          <w:sz w:val="28"/>
        </w:rPr>
      </w:pPr>
      <w:r>
        <w:rPr>
          <w:rFonts w:ascii="仿宋" w:eastAsia="仿宋" w:hAnsi="仿宋" w:cs="仿宋" w:hint="eastAsia"/>
          <w:sz w:val="28"/>
          <w:lang w:eastAsia="zh-CN"/>
        </w:rPr>
        <w:t>业务部门是运营管理机构中至关重要的组成部分。根据企业的业务模式，可以设置销售部门、生产部门、供应链管理部门等。每个业务部门都有自己的职能和目标，负责企业特定领域的运营工作。通常情况下，业务部门中会设立部门经理或主管，负责部门的日常管理和执行运营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部门负责市场推广、客户关系管理和销售业绩的提升。生产部门负责生产流程的优化、生产计划的制定和产品质量的控制。供应链管理部门则负责供应链的整体规划和执行，包括原材料采购、物流管理等。这些业务部门在协同工作中实现各自目标的同时，共同推动整个企业朝着战略目标前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支持性职能部门</w:t>
      </w:r>
    </w:p>
    <w:p>
      <w:pPr>
        <w:ind w:firstLine="560" w:firstLineChars="200"/>
        <w:rPr>
          <w:rFonts w:ascii="仿宋" w:eastAsia="仿宋" w:hAnsi="仿宋" w:cs="仿宋" w:hint="eastAsia"/>
          <w:sz w:val="28"/>
        </w:rPr>
        <w:sectPr>
          <w:headerReference w:type="default" r:id="rId84"/>
          <w:footerReference w:type="default" r:id="rId85"/>
          <w:type w:val="nextPage"/>
          <w:pgSz w:w="11906" w:h="16838"/>
          <w:pgMar w:top="1440" w:right="1800" w:bottom="1440" w:left="1800" w:header="851" w:footer="992" w:gutter="0"/>
          <w:pgNumType w:start="4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支持性职能部门是确保运营流程高效运作的关键。这包括人力资源部门、财务部门、信息技术部门等。人力资源部门负责招聘、培训和员工绩效管理。财务部门负责预算、会计和财务分析。信息技术部门则负责信息系统的维护和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部门通过招募合适的人才、提供专业培训，确保企业拥有高素质的员工队伍。财务部门通过精细的预算管理、财务分析，确保企业的财务稳健。信息技术部门通过维护和创新信息系统，提升企业的信息化水平。这些支持性职能部门为企业提供了全方位的支持，确保各项业务得以顺利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4. 信息传递和决策层级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运营管理机构中，建立清晰的信息传递和决策层级是至关重要的。信息传递的畅通确保各个部门之间的沟通，决策层级的明确性保证了管理决策的高效执行。通常情况下，高级管理层负责制定战略和重大决策，而中层管理层则负责具体的业务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高级管理层负责制定企业整体的战略方向。他们通过全局视角，对市场环境和企业内部情况进行综合分析，制定发展规划和决策重大战略举措。高级管理层包括首席执行官（CEO）、首席运营官（COO）等高层领导。</w:t>
      </w:r>
    </w:p>
    <w:p>
      <w:pPr>
        <w:ind w:firstLine="560" w:firstLineChars="200"/>
        <w:rPr>
          <w:rFonts w:ascii="仿宋" w:eastAsia="仿宋" w:hAnsi="仿宋" w:cs="仿宋" w:hint="eastAsia"/>
          <w:sz w:val="28"/>
        </w:rPr>
      </w:pPr>
      <w:r>
        <w:rPr>
          <w:rFonts w:ascii="仿宋" w:eastAsia="仿宋" w:hAnsi="仿宋" w:cs="仿宋" w:hint="eastAsia"/>
          <w:sz w:val="28"/>
          <w:lang w:eastAsia="zh-CN"/>
        </w:rPr>
        <w:t>中层管理层负责执行高层制定的战略和决策。他们负责具体的业务运作、协调各个职能部门的工作，确保战略目标的顺利实现。中层管理层通常包括各个业务部门的主管或经理，以及支持性职能部门的主管。</w:t>
      </w:r>
    </w:p>
    <w:p>
      <w:pPr>
        <w:ind w:firstLine="560" w:firstLineChars="200"/>
        <w:rPr>
          <w:rFonts w:ascii="仿宋" w:eastAsia="仿宋" w:hAnsi="仿宋" w:cs="仿宋" w:hint="eastAsia"/>
          <w:sz w:val="28"/>
        </w:rPr>
        <w:sectPr>
          <w:headerReference w:type="default" r:id="rId86"/>
          <w:footerReference w:type="default" r:id="rId87"/>
          <w:type w:val="nextPage"/>
          <w:pgSz w:w="11906" w:h="16838"/>
          <w:pgMar w:top="1440" w:right="1800" w:bottom="1440" w:left="1800" w:header="851" w:footer="992" w:gutter="0"/>
          <w:pgNumType w:start="4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通过信息传递和决策层级的设立，企业能够保持信息的畅通流动，确保决策的高效执行。高级管理层的战略决策能够指导整个企业的运营方向，而中层管理层的执行力量则保证了战略的实施和目标的达成。</w:t>
      </w:r>
    </w:p>
    <w:p>
      <w:pPr>
        <w:ind w:firstLine="560" w:firstLineChars="200"/>
        <w:rPr>
          <w:rFonts w:ascii="仿宋" w:eastAsia="仿宋" w:hAnsi="仿宋" w:cs="仿宋" w:hint="eastAsia"/>
          <w:sz w:val="28"/>
        </w:rPr>
      </w:pPr>
      <w:r>
        <w:rPr>
          <w:rFonts w:ascii="仿宋" w:eastAsia="仿宋" w:hAnsi="仿宋" w:cs="仿宋" w:hint="eastAsia"/>
          <w:sz w:val="28"/>
          <w:lang w:eastAsia="zh-CN"/>
        </w:rPr>
        <w:t>客观分析运营管理机构设置</w:t>
      </w:r>
    </w:p>
    <w:p>
      <w:pPr>
        <w:ind w:firstLine="560" w:firstLineChars="200"/>
        <w:rPr>
          <w:rFonts w:ascii="仿宋" w:eastAsia="仿宋" w:hAnsi="仿宋" w:cs="仿宋" w:hint="eastAsia"/>
          <w:sz w:val="28"/>
        </w:rPr>
      </w:pPr>
      <w:r>
        <w:rPr>
          <w:rFonts w:ascii="仿宋" w:eastAsia="仿宋" w:hAnsi="仿宋" w:cs="仿宋" w:hint="eastAsia"/>
          <w:sz w:val="28"/>
          <w:lang w:eastAsia="zh-CN"/>
        </w:rPr>
        <w:t>客观分析运营管理机构设置需要考虑其适应性、高效性和灵活性。首先，机构设置需要适应企业的业务模式和战略目标，确保各个部门的职能和责任与企业发展保持一致。适应性意味着机构设置需要灵活变通，能够根据市场变化和企业发展阶段进行调整。例如，当企业扩大规模或进入新市场时，可能需要重新调整各个部门的设置和职责，以更好地适应新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机构设置需要高效运作，避免冗余和资源浪费，确保每个部门都能够发挥最大效益。高效性意味着信息传递的迅速、决策的迅捷，各个部门之间的协同合作流畅有序。这需要建立有效的沟通渠道，确保信息在各个层级和部门之间迅速传递，决策能够及时推进，避免因为信息滞后而导致的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机构设置需要灵活应对市场变化，能够迅速调整组织结构和流程，适应外部环境的变化。灵活性意味着机构设置能够适应市场的快速变化，迅速调整战略和业务重心。例如，在面对市场竞争激烈或者行业变革的时候，机构设置需要具备灵活性，能够调整部门职责、引入新的业务流程，以适应新的市场环境。</w:t>
      </w:r>
    </w:p>
    <w:p>
      <w:pPr>
        <w:ind w:firstLine="560" w:firstLineChars="200"/>
        <w:rPr>
          <w:rFonts w:ascii="仿宋" w:eastAsia="仿宋" w:hAnsi="仿宋" w:cs="仿宋" w:hint="eastAsia"/>
          <w:sz w:val="28"/>
        </w:rPr>
        <w:sectPr>
          <w:headerReference w:type="default" r:id="rId88"/>
          <w:footerReference w:type="default" r:id="rId89"/>
          <w:type w:val="nextPage"/>
          <w:pgSz w:w="11906" w:h="16838"/>
          <w:pgMar w:top="1440" w:right="1800" w:bottom="1440" w:left="1800" w:header="851" w:footer="992" w:gutter="0"/>
          <w:pgNumType w:start="4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客观地分析适应性、高效性和灵活性这三个方面，企业能够不断优化运营管理机构设置，提高运作效率，实现长期发展目标。在不断的实践中，企业可以根据具体情况进行调整和改进，确保机构设置始终符合企业的战略方向和市场需求。这种客观的分析和不断的优化是企业保持竞争力和适应市场变化的关键之一。</w:t>
      </w:r>
    </w:p>
    <w:p>
      <w:pPr>
        <w:pStyle w:val="Heading2"/>
        <w:ind w:firstLine="560" w:firstLineChars="200"/>
        <w:rPr>
          <w:rFonts w:ascii="仿宋" w:eastAsia="仿宋" w:hAnsi="仿宋" w:cs="仿宋" w:hint="eastAsia"/>
          <w:sz w:val="28"/>
          <w:lang w:eastAsia="zh-CN"/>
        </w:rPr>
      </w:pPr>
      <w:bookmarkStart w:id="35" w:name="_Toc23299"/>
      <w:r>
        <w:rPr>
          <w:rFonts w:ascii="仿宋" w:eastAsia="仿宋" w:hAnsi="仿宋" w:cs="仿宋" w:hint="eastAsia"/>
          <w:sz w:val="28"/>
          <w:lang w:eastAsia="zh-CN"/>
        </w:rPr>
        <w:t>(二)、运营管理流程</w:t>
      </w:r>
      <w:bookmarkEnd w:id="35"/>
    </w:p>
    <w:p>
      <w:pPr>
        <w:ind w:firstLine="560" w:firstLineChars="200"/>
        <w:rPr>
          <w:rFonts w:ascii="仿宋" w:eastAsia="仿宋" w:hAnsi="仿宋" w:cs="仿宋" w:hint="eastAsia"/>
          <w:sz w:val="28"/>
        </w:rPr>
      </w:pPr>
      <w:r>
        <w:rPr>
          <w:rFonts w:ascii="仿宋" w:eastAsia="仿宋" w:hAnsi="仿宋" w:cs="仿宋" w:hint="eastAsia"/>
          <w:sz w:val="28"/>
          <w:lang w:eastAsia="zh-CN"/>
        </w:rPr>
        <w:t>运营管理流程是企业实现高效运转和战略目标的关键。一个清晰、有序的运营管理流程可以确保各个部门之间的协同合作，提高生产效率，降低成本，最终实现企业的长期发展目标。从战略制定、业务执行、绩效监控和持续改进四个方面详细阐述运营管理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1. 战略制定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战略制定是运营管理流程的起点。在这一阶段，企业需要明确定义其长期目标和发展方向，同时制定相应的战略计划。这通常由高层领导层共同参与，包括首席执行官（CEO）、首席运营官（COO）等。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环境分析： 对外部环境进行全面分析，包括市场趋势、竞争状况、法规变化等，以确保制定的战略符合外部环境的变化。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内部评估： 对企业内部资源、能力、业务流程等进行评估，明确企业的核心竞争力和瓶颈。</w:t>
      </w:r>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设定具体、可衡量的长期目标，确保这些目标与企业的使命和愿景相一致。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战略制定： 制定符合目标的战略计划，包括市场拓展、产品创新、成本控制等方面的策略。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2. 业务执行</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90" w:history="1">
        <w:r>
          <w:rPr>
            <w:rFonts w:ascii="SimSun" w:eastAsia="SimSun" w:hAnsi="SimSun" w:cs="SimSun"/>
            <w:b/>
            <w:bCs/>
            <w:color w:val="0000EE"/>
            <w:kern w:val="0"/>
            <w:sz w:val="30"/>
            <w:szCs w:val="30"/>
            <w:u w:val="single" w:color="0000EE"/>
          </w:rPr>
          <w:t>https://d.book118.com/018103127055006041</w:t>
        </w:r>
      </w:hyperlink>
    </w:p>
    <w:p>
      <w:pPr>
        <w:ind w:firstLine="560" w:firstLineChars="200"/>
        <w:rPr>
          <w:rFonts w:ascii="仿宋" w:eastAsia="仿宋" w:hAnsi="仿宋" w:cs="仿宋" w:hint="eastAsia"/>
          <w:sz w:val="28"/>
        </w:rPr>
      </w:pPr>
    </w:p>
    <w:sectPr>
      <w:headerReference w:type="default" r:id="rId91"/>
      <w:footerReference w:type="default" r:id="rId92"/>
      <w:type w:val="nextPage"/>
      <w:pgSz w:w="11906" w:h="16838"/>
      <w:pgMar w:top="1440" w:right="1800" w:bottom="1440" w:left="1800" w:header="851" w:footer="992" w:gutter="0"/>
      <w:pgNumType w:start="44"/>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42</w:t>
    </w:r>
    <w:r>
      <w:rPr>
        <w:rStyle w:val="PageNumber"/>
      </w:rPr>
      <w:fldChar w:fldCharType="end"/>
    </w:r>
  </w:p>
  <w:p>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43</w:t>
    </w:r>
    <w:r>
      <w:rPr>
        <w:rStyle w:val="PageNumber"/>
      </w:rPr>
      <w:fldChar w:fldCharType="end"/>
    </w:r>
  </w:p>
  <w:p>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净水絮凝剂项目评估报告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净水絮凝剂项目评估报告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净水絮凝剂项目评估报告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净水絮凝剂项目评估报告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净水絮凝剂项目评估报告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净水絮凝剂项目评估报告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净水絮凝剂项目评估报告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净水絮凝剂项目评估报告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净水絮凝剂项目评估报告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净水絮凝剂项目评估报告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净水絮凝剂项目评估报告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净水絮凝剂项目评估报告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净水絮凝剂项目评估报告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净水絮凝剂项目评估报告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净水絮凝剂项目评估报告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净水絮凝剂项目评估报告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净水絮凝剂项目评估报告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净水絮凝剂项目评估报告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净水絮凝剂项目评估报告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净水絮凝剂项目评估报告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净水絮凝剂项目评估报告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净水絮凝剂项目评估报告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净水絮凝剂项目评估报告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净水絮凝剂项目评估报告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净水絮凝剂项目评估报告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净水絮凝剂项目评估报告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净水絮凝剂项目评估报告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净水絮凝剂项目评估报告</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净水絮凝剂项目评估报告</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净水絮凝剂项目评估报告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净水絮凝剂项目评估报告</w: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净水絮凝剂项目评估报告</w:t>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净水絮凝剂项目评估报告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净水絮凝剂项目评估报告</w:t>
    </w: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净水絮凝剂项目评估报告</w:t>
    </w: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净水絮凝剂项目评估报告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5BF1783"/>
    <w:rsid w:val="05BF178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eader" Target="header35.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footer" Target="footer37.xml" /><Relationship Id="rId78" Type="http://schemas.openxmlformats.org/officeDocument/2006/relationships/header" Target="header38.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footer" Target="footer40.xml" /><Relationship Id="rId84" Type="http://schemas.openxmlformats.org/officeDocument/2006/relationships/header" Target="header41.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footer" Target="footer43.xml" /><Relationship Id="rId9" Type="http://schemas.openxmlformats.org/officeDocument/2006/relationships/footer" Target="footer3.xml" /><Relationship Id="rId90" Type="http://schemas.openxmlformats.org/officeDocument/2006/relationships/hyperlink" Target="https://d.book118.com/018103127055006041" TargetMode="External" /><Relationship Id="rId91" Type="http://schemas.openxmlformats.org/officeDocument/2006/relationships/header" Target="header44.xml" /><Relationship Id="rId92" Type="http://schemas.openxmlformats.org/officeDocument/2006/relationships/footer" Target="footer44.xml" /><Relationship Id="rId93" Type="http://schemas.openxmlformats.org/officeDocument/2006/relationships/theme" Target="theme/theme1.xml" /><Relationship Id="rId94"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小吴</dc:creator>
  <cp:lastModifiedBy>小吴</cp:lastModifiedBy>
  <cp:revision>1</cp:revision>
  <dcterms:created xsi:type="dcterms:W3CDTF">2024-01-21T17:52:00Z</dcterms:created>
  <dcterms:modified xsi:type="dcterms:W3CDTF">2024-01-21T17:52:52Z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E718DC36E2344FBFB7A23C08C169B106_11</vt:lpwstr>
  </property>
  <property fmtid="{D5CDD505-2E9C-101B-9397-08002B2CF9AE}" pid="3" name="KSOProductBuildVer">
    <vt:lpwstr>2052-12.1.0.16120</vt:lpwstr>
  </property>
</Properties>
</file>