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射频同轴电缆项目规划设计方案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80" w:history="1">
        <w:r>
          <w:rPr>
            <w:rFonts w:ascii="仿宋" w:eastAsia="仿宋" w:hAnsi="仿宋" w:cs="仿宋" w:hint="eastAsia"/>
            <w:lang w:eastAsia="zh-CN"/>
          </w:rPr>
          <w:t>概论</w:t>
        </w:r>
        <w:r>
          <w:tab/>
        </w:r>
        <w:r>
          <w:fldChar w:fldCharType="begin"/>
        </w:r>
        <w:r>
          <w:instrText xml:space="preserve"> PAGEREF _Toc13180 \h </w:instrText>
        </w:r>
        <w:r>
          <w:fldChar w:fldCharType="separate"/>
        </w:r>
        <w:r>
          <w:t>3</w:t>
        </w:r>
        <w:r>
          <w:fldChar w:fldCharType="end"/>
        </w:r>
      </w:hyperlink>
    </w:p>
    <w:p>
      <w:pPr>
        <w:pStyle w:val="TOC1"/>
        <w:tabs>
          <w:tab w:val="right" w:leader="dot" w:pos="8306"/>
        </w:tabs>
      </w:pPr>
      <w:hyperlink w:anchor="_Toc17507" w:history="1">
        <w:r>
          <w:rPr>
            <w:rFonts w:ascii="仿宋" w:eastAsia="仿宋" w:hAnsi="仿宋" w:cs="仿宋" w:hint="eastAsia"/>
            <w:lang w:eastAsia="zh-CN"/>
          </w:rPr>
          <w:t>一、射频同轴电缆项目土建工程</w:t>
        </w:r>
        <w:r>
          <w:tab/>
        </w:r>
        <w:r>
          <w:fldChar w:fldCharType="begin"/>
        </w:r>
        <w:r>
          <w:instrText xml:space="preserve"> PAGEREF _Toc17507 \h </w:instrText>
        </w:r>
        <w:r>
          <w:fldChar w:fldCharType="separate"/>
        </w:r>
        <w:r>
          <w:t>3</w:t>
        </w:r>
        <w:r>
          <w:fldChar w:fldCharType="end"/>
        </w:r>
      </w:hyperlink>
    </w:p>
    <w:p>
      <w:pPr>
        <w:pStyle w:val="TOC2"/>
        <w:tabs>
          <w:tab w:val="right" w:leader="dot" w:pos="8306"/>
        </w:tabs>
      </w:pPr>
      <w:hyperlink w:anchor="_Toc22085" w:history="1">
        <w:r>
          <w:rPr>
            <w:rFonts w:ascii="仿宋" w:eastAsia="仿宋" w:hAnsi="仿宋" w:cs="仿宋" w:hint="eastAsia"/>
            <w:lang w:eastAsia="zh-CN"/>
          </w:rPr>
          <w:t>(一)、建筑工程设计原则</w:t>
        </w:r>
        <w:r>
          <w:tab/>
        </w:r>
        <w:r>
          <w:fldChar w:fldCharType="begin"/>
        </w:r>
        <w:r>
          <w:instrText xml:space="preserve"> PAGEREF _Toc22085 \h </w:instrText>
        </w:r>
        <w:r>
          <w:fldChar w:fldCharType="separate"/>
        </w:r>
        <w:r>
          <w:t>3</w:t>
        </w:r>
        <w:r>
          <w:fldChar w:fldCharType="end"/>
        </w:r>
      </w:hyperlink>
    </w:p>
    <w:p>
      <w:pPr>
        <w:pStyle w:val="TOC2"/>
        <w:tabs>
          <w:tab w:val="right" w:leader="dot" w:pos="8306"/>
        </w:tabs>
      </w:pPr>
      <w:hyperlink w:anchor="_Toc31052" w:history="1">
        <w:r>
          <w:rPr>
            <w:rFonts w:ascii="仿宋" w:eastAsia="仿宋" w:hAnsi="仿宋" w:cs="仿宋" w:hint="eastAsia"/>
            <w:lang w:eastAsia="zh-CN"/>
          </w:rPr>
          <w:t>(二)、土建工程设计年限及安全等级</w:t>
        </w:r>
        <w:r>
          <w:tab/>
        </w:r>
        <w:r>
          <w:fldChar w:fldCharType="begin"/>
        </w:r>
        <w:r>
          <w:instrText xml:space="preserve"> PAGEREF _Toc31052 \h </w:instrText>
        </w:r>
        <w:r>
          <w:fldChar w:fldCharType="separate"/>
        </w:r>
        <w:r>
          <w:t>4</w:t>
        </w:r>
        <w:r>
          <w:fldChar w:fldCharType="end"/>
        </w:r>
      </w:hyperlink>
    </w:p>
    <w:p>
      <w:pPr>
        <w:pStyle w:val="TOC2"/>
        <w:tabs>
          <w:tab w:val="right" w:leader="dot" w:pos="8306"/>
        </w:tabs>
      </w:pPr>
      <w:hyperlink w:anchor="_Toc21221" w:history="1">
        <w:r>
          <w:rPr>
            <w:rFonts w:ascii="仿宋" w:eastAsia="仿宋" w:hAnsi="仿宋" w:cs="仿宋" w:hint="eastAsia"/>
            <w:lang w:eastAsia="zh-CN"/>
          </w:rPr>
          <w:t>(三)、建筑工程设计总体要求</w:t>
        </w:r>
        <w:r>
          <w:tab/>
        </w:r>
        <w:r>
          <w:fldChar w:fldCharType="begin"/>
        </w:r>
        <w:r>
          <w:instrText xml:space="preserve"> PAGEREF _Toc21221 \h </w:instrText>
        </w:r>
        <w:r>
          <w:fldChar w:fldCharType="separate"/>
        </w:r>
        <w:r>
          <w:t>5</w:t>
        </w:r>
        <w:r>
          <w:fldChar w:fldCharType="end"/>
        </w:r>
      </w:hyperlink>
    </w:p>
    <w:p>
      <w:pPr>
        <w:pStyle w:val="TOC2"/>
        <w:tabs>
          <w:tab w:val="right" w:leader="dot" w:pos="8306"/>
        </w:tabs>
      </w:pPr>
      <w:hyperlink w:anchor="_Toc22529" w:history="1">
        <w:r>
          <w:rPr>
            <w:rFonts w:ascii="仿宋" w:eastAsia="仿宋" w:hAnsi="仿宋" w:cs="仿宋" w:hint="eastAsia"/>
            <w:lang w:eastAsia="zh-CN"/>
          </w:rPr>
          <w:t>(四)、土建工程建设指标</w:t>
        </w:r>
        <w:r>
          <w:tab/>
        </w:r>
        <w:r>
          <w:fldChar w:fldCharType="begin"/>
        </w:r>
        <w:r>
          <w:instrText xml:space="preserve"> PAGEREF _Toc22529 \h </w:instrText>
        </w:r>
        <w:r>
          <w:fldChar w:fldCharType="separate"/>
        </w:r>
        <w:r>
          <w:t>6</w:t>
        </w:r>
        <w:r>
          <w:fldChar w:fldCharType="end"/>
        </w:r>
      </w:hyperlink>
    </w:p>
    <w:p>
      <w:pPr>
        <w:pStyle w:val="TOC1"/>
        <w:tabs>
          <w:tab w:val="right" w:leader="dot" w:pos="8306"/>
        </w:tabs>
      </w:pPr>
      <w:hyperlink w:anchor="_Toc17704" w:history="1">
        <w:r>
          <w:rPr>
            <w:rFonts w:ascii="仿宋" w:eastAsia="仿宋" w:hAnsi="仿宋" w:cs="仿宋" w:hint="eastAsia"/>
            <w:lang w:eastAsia="zh-CN"/>
          </w:rPr>
          <w:t>二、射频同轴电缆项目建设背景及必要性分析</w:t>
        </w:r>
        <w:r>
          <w:tab/>
        </w:r>
        <w:r>
          <w:fldChar w:fldCharType="begin"/>
        </w:r>
        <w:r>
          <w:instrText xml:space="preserve"> PAGEREF _Toc17704 \h </w:instrText>
        </w:r>
        <w:r>
          <w:fldChar w:fldCharType="separate"/>
        </w:r>
        <w:r>
          <w:t>6</w:t>
        </w:r>
        <w:r>
          <w:fldChar w:fldCharType="end"/>
        </w:r>
      </w:hyperlink>
    </w:p>
    <w:p>
      <w:pPr>
        <w:pStyle w:val="TOC2"/>
        <w:tabs>
          <w:tab w:val="right" w:leader="dot" w:pos="8306"/>
        </w:tabs>
      </w:pPr>
      <w:hyperlink w:anchor="_Toc12721" w:history="1">
        <w:r>
          <w:rPr>
            <w:rFonts w:ascii="仿宋" w:eastAsia="仿宋" w:hAnsi="仿宋" w:cs="仿宋" w:hint="eastAsia"/>
            <w:lang w:eastAsia="zh-CN"/>
          </w:rPr>
          <w:t>(一)、射频同轴电缆项目背景分析</w:t>
        </w:r>
        <w:r>
          <w:tab/>
        </w:r>
        <w:r>
          <w:fldChar w:fldCharType="begin"/>
        </w:r>
        <w:r>
          <w:instrText xml:space="preserve"> PAGEREF _Toc12721 \h </w:instrText>
        </w:r>
        <w:r>
          <w:fldChar w:fldCharType="separate"/>
        </w:r>
        <w:r>
          <w:t>6</w:t>
        </w:r>
        <w:r>
          <w:fldChar w:fldCharType="end"/>
        </w:r>
      </w:hyperlink>
    </w:p>
    <w:p>
      <w:pPr>
        <w:pStyle w:val="TOC2"/>
        <w:tabs>
          <w:tab w:val="right" w:leader="dot" w:pos="8306"/>
        </w:tabs>
      </w:pPr>
      <w:hyperlink w:anchor="_Toc5070" w:history="1">
        <w:r>
          <w:rPr>
            <w:rFonts w:ascii="仿宋" w:eastAsia="仿宋" w:hAnsi="仿宋" w:cs="仿宋" w:hint="eastAsia"/>
            <w:lang w:eastAsia="zh-CN"/>
          </w:rPr>
          <w:t>(二)、射频同轴电缆项目建设必要性分析</w:t>
        </w:r>
        <w:r>
          <w:tab/>
        </w:r>
        <w:r>
          <w:fldChar w:fldCharType="begin"/>
        </w:r>
        <w:r>
          <w:instrText xml:space="preserve"> PAGEREF _Toc5070 \h </w:instrText>
        </w:r>
        <w:r>
          <w:fldChar w:fldCharType="separate"/>
        </w:r>
        <w:r>
          <w:t>8</w:t>
        </w:r>
        <w:r>
          <w:fldChar w:fldCharType="end"/>
        </w:r>
      </w:hyperlink>
    </w:p>
    <w:p>
      <w:pPr>
        <w:pStyle w:val="TOC1"/>
        <w:tabs>
          <w:tab w:val="right" w:leader="dot" w:pos="8306"/>
        </w:tabs>
      </w:pPr>
      <w:hyperlink w:anchor="_Toc27454" w:history="1">
        <w:r>
          <w:rPr>
            <w:rFonts w:ascii="仿宋" w:eastAsia="仿宋" w:hAnsi="仿宋" w:cs="仿宋" w:hint="eastAsia"/>
            <w:lang w:eastAsia="zh-CN"/>
          </w:rPr>
          <w:t>三、射频同轴电缆项目选址可行性分析</w:t>
        </w:r>
        <w:r>
          <w:tab/>
        </w:r>
        <w:r>
          <w:fldChar w:fldCharType="begin"/>
        </w:r>
        <w:r>
          <w:instrText xml:space="preserve"> PAGEREF _Toc27454 \h </w:instrText>
        </w:r>
        <w:r>
          <w:fldChar w:fldCharType="separate"/>
        </w:r>
        <w:r>
          <w:t>9</w:t>
        </w:r>
        <w:r>
          <w:fldChar w:fldCharType="end"/>
        </w:r>
      </w:hyperlink>
    </w:p>
    <w:p>
      <w:pPr>
        <w:pStyle w:val="TOC2"/>
        <w:tabs>
          <w:tab w:val="right" w:leader="dot" w:pos="8306"/>
        </w:tabs>
      </w:pPr>
      <w:hyperlink w:anchor="_Toc19658" w:history="1">
        <w:r>
          <w:rPr>
            <w:rFonts w:ascii="仿宋" w:eastAsia="仿宋" w:hAnsi="仿宋" w:cs="仿宋" w:hint="eastAsia"/>
            <w:lang w:eastAsia="zh-CN"/>
          </w:rPr>
          <w:t>(一)、射频同轴电缆项目选址</w:t>
        </w:r>
        <w:r>
          <w:tab/>
        </w:r>
        <w:r>
          <w:fldChar w:fldCharType="begin"/>
        </w:r>
        <w:r>
          <w:instrText xml:space="preserve"> PAGEREF _Toc19658 \h </w:instrText>
        </w:r>
        <w:r>
          <w:fldChar w:fldCharType="separate"/>
        </w:r>
        <w:r>
          <w:t>9</w:t>
        </w:r>
        <w:r>
          <w:fldChar w:fldCharType="end"/>
        </w:r>
      </w:hyperlink>
    </w:p>
    <w:p>
      <w:pPr>
        <w:pStyle w:val="TOC2"/>
        <w:tabs>
          <w:tab w:val="right" w:leader="dot" w:pos="8306"/>
        </w:tabs>
      </w:pPr>
      <w:hyperlink w:anchor="_Toc3329" w:history="1">
        <w:r>
          <w:rPr>
            <w:rFonts w:ascii="仿宋" w:eastAsia="仿宋" w:hAnsi="仿宋" w:cs="仿宋" w:hint="eastAsia"/>
            <w:lang w:eastAsia="zh-CN"/>
          </w:rPr>
          <w:t>(二)、用地控制指标</w:t>
        </w:r>
        <w:r>
          <w:tab/>
        </w:r>
        <w:r>
          <w:fldChar w:fldCharType="begin"/>
        </w:r>
        <w:r>
          <w:instrText xml:space="preserve"> PAGEREF _Toc3329 \h </w:instrText>
        </w:r>
        <w:r>
          <w:fldChar w:fldCharType="separate"/>
        </w:r>
        <w:r>
          <w:t>9</w:t>
        </w:r>
        <w:r>
          <w:fldChar w:fldCharType="end"/>
        </w:r>
      </w:hyperlink>
    </w:p>
    <w:p>
      <w:pPr>
        <w:pStyle w:val="TOC2"/>
        <w:tabs>
          <w:tab w:val="right" w:leader="dot" w:pos="8306"/>
        </w:tabs>
      </w:pPr>
      <w:hyperlink w:anchor="_Toc2170" w:history="1">
        <w:r>
          <w:rPr>
            <w:rFonts w:ascii="仿宋" w:eastAsia="仿宋" w:hAnsi="仿宋" w:cs="仿宋" w:hint="eastAsia"/>
            <w:lang w:eastAsia="zh-CN"/>
          </w:rPr>
          <w:t>(三)、节约用地措施</w:t>
        </w:r>
        <w:r>
          <w:tab/>
        </w:r>
        <w:r>
          <w:fldChar w:fldCharType="begin"/>
        </w:r>
        <w:r>
          <w:instrText xml:space="preserve"> PAGEREF _Toc2170 \h </w:instrText>
        </w:r>
        <w:r>
          <w:fldChar w:fldCharType="separate"/>
        </w:r>
        <w:r>
          <w:t>11</w:t>
        </w:r>
        <w:r>
          <w:fldChar w:fldCharType="end"/>
        </w:r>
      </w:hyperlink>
    </w:p>
    <w:p>
      <w:pPr>
        <w:pStyle w:val="TOC2"/>
        <w:tabs>
          <w:tab w:val="right" w:leader="dot" w:pos="8306"/>
        </w:tabs>
      </w:pPr>
      <w:hyperlink w:anchor="_Toc24995" w:history="1">
        <w:r>
          <w:rPr>
            <w:rFonts w:ascii="仿宋" w:eastAsia="仿宋" w:hAnsi="仿宋" w:cs="仿宋" w:hint="eastAsia"/>
            <w:lang w:eastAsia="zh-CN"/>
          </w:rPr>
          <w:t>(四)、总图布置方案</w:t>
        </w:r>
        <w:r>
          <w:tab/>
        </w:r>
        <w:r>
          <w:fldChar w:fldCharType="begin"/>
        </w:r>
        <w:r>
          <w:instrText xml:space="preserve"> PAGEREF _Toc24995 \h </w:instrText>
        </w:r>
        <w:r>
          <w:fldChar w:fldCharType="separate"/>
        </w:r>
        <w:r>
          <w:t>12</w:t>
        </w:r>
        <w:r>
          <w:fldChar w:fldCharType="end"/>
        </w:r>
      </w:hyperlink>
    </w:p>
    <w:p>
      <w:pPr>
        <w:pStyle w:val="TOC2"/>
        <w:tabs>
          <w:tab w:val="right" w:leader="dot" w:pos="8306"/>
        </w:tabs>
      </w:pPr>
      <w:hyperlink w:anchor="_Toc13216" w:history="1">
        <w:r>
          <w:rPr>
            <w:rFonts w:ascii="仿宋" w:eastAsia="仿宋" w:hAnsi="仿宋" w:cs="仿宋" w:hint="eastAsia"/>
            <w:lang w:eastAsia="zh-CN"/>
          </w:rPr>
          <w:t>(五)、选址综合评价</w:t>
        </w:r>
        <w:r>
          <w:tab/>
        </w:r>
        <w:r>
          <w:fldChar w:fldCharType="begin"/>
        </w:r>
        <w:r>
          <w:instrText xml:space="preserve"> PAGEREF _Toc13216 \h </w:instrText>
        </w:r>
        <w:r>
          <w:fldChar w:fldCharType="separate"/>
        </w:r>
        <w:r>
          <w:t>14</w:t>
        </w:r>
        <w:r>
          <w:fldChar w:fldCharType="end"/>
        </w:r>
      </w:hyperlink>
    </w:p>
    <w:p>
      <w:pPr>
        <w:pStyle w:val="TOC1"/>
        <w:tabs>
          <w:tab w:val="right" w:leader="dot" w:pos="8306"/>
        </w:tabs>
      </w:pPr>
      <w:hyperlink w:anchor="_Toc9390" w:history="1">
        <w:r>
          <w:rPr>
            <w:rFonts w:ascii="仿宋" w:eastAsia="仿宋" w:hAnsi="仿宋" w:cs="仿宋" w:hint="eastAsia"/>
            <w:lang w:eastAsia="zh-CN"/>
          </w:rPr>
          <w:t>四、射频同轴电缆项目危机管理</w:t>
        </w:r>
        <w:r>
          <w:tab/>
        </w:r>
        <w:r>
          <w:fldChar w:fldCharType="begin"/>
        </w:r>
        <w:r>
          <w:instrText xml:space="preserve"> PAGEREF _Toc9390 \h </w:instrText>
        </w:r>
        <w:r>
          <w:fldChar w:fldCharType="separate"/>
        </w:r>
        <w:r>
          <w:t>15</w:t>
        </w:r>
        <w:r>
          <w:fldChar w:fldCharType="end"/>
        </w:r>
      </w:hyperlink>
    </w:p>
    <w:p>
      <w:pPr>
        <w:pStyle w:val="TOC2"/>
        <w:tabs>
          <w:tab w:val="right" w:leader="dot" w:pos="8306"/>
        </w:tabs>
      </w:pPr>
      <w:hyperlink w:anchor="_Toc24101" w:history="1">
        <w:r>
          <w:rPr>
            <w:rFonts w:ascii="仿宋" w:eastAsia="仿宋" w:hAnsi="仿宋" w:cs="仿宋" w:hint="eastAsia"/>
            <w:lang w:eastAsia="zh-CN"/>
          </w:rPr>
          <w:t>(一)、危机预警与识别</w:t>
        </w:r>
        <w:r>
          <w:tab/>
        </w:r>
        <w:r>
          <w:fldChar w:fldCharType="begin"/>
        </w:r>
        <w:r>
          <w:instrText xml:space="preserve"> PAGEREF _Toc24101 \h </w:instrText>
        </w:r>
        <w:r>
          <w:fldChar w:fldCharType="separate"/>
        </w:r>
        <w:r>
          <w:t>15</w:t>
        </w:r>
        <w:r>
          <w:fldChar w:fldCharType="end"/>
        </w:r>
      </w:hyperlink>
    </w:p>
    <w:p>
      <w:pPr>
        <w:pStyle w:val="TOC2"/>
        <w:tabs>
          <w:tab w:val="right" w:leader="dot" w:pos="8306"/>
        </w:tabs>
      </w:pPr>
      <w:hyperlink w:anchor="_Toc1739" w:history="1">
        <w:r>
          <w:rPr>
            <w:rFonts w:ascii="仿宋" w:eastAsia="仿宋" w:hAnsi="仿宋" w:cs="仿宋" w:hint="eastAsia"/>
            <w:lang w:eastAsia="zh-CN"/>
          </w:rPr>
          <w:t>(二)、危机应对与恢复</w:t>
        </w:r>
        <w:r>
          <w:tab/>
        </w:r>
        <w:r>
          <w:fldChar w:fldCharType="begin"/>
        </w:r>
        <w:r>
          <w:instrText xml:space="preserve"> PAGEREF _Toc1739 \h </w:instrText>
        </w:r>
        <w:r>
          <w:fldChar w:fldCharType="separate"/>
        </w:r>
        <w:r>
          <w:t>16</w:t>
        </w:r>
        <w:r>
          <w:fldChar w:fldCharType="end"/>
        </w:r>
      </w:hyperlink>
    </w:p>
    <w:p>
      <w:pPr>
        <w:pStyle w:val="TOC1"/>
        <w:tabs>
          <w:tab w:val="right" w:leader="dot" w:pos="8306"/>
        </w:tabs>
      </w:pPr>
      <w:hyperlink w:anchor="_Toc23787" w:history="1">
        <w:r>
          <w:rPr>
            <w:rFonts w:ascii="仿宋" w:eastAsia="仿宋" w:hAnsi="仿宋" w:cs="仿宋" w:hint="eastAsia"/>
            <w:lang w:eastAsia="zh-CN"/>
          </w:rPr>
          <w:t>五、市场分析、调研</w:t>
        </w:r>
        <w:r>
          <w:tab/>
        </w:r>
        <w:r>
          <w:fldChar w:fldCharType="begin"/>
        </w:r>
        <w:r>
          <w:instrText xml:space="preserve"> PAGEREF _Toc23787 \h </w:instrText>
        </w:r>
        <w:r>
          <w:fldChar w:fldCharType="separate"/>
        </w:r>
        <w:r>
          <w:t>17</w:t>
        </w:r>
        <w:r>
          <w:fldChar w:fldCharType="end"/>
        </w:r>
      </w:hyperlink>
    </w:p>
    <w:p>
      <w:pPr>
        <w:pStyle w:val="TOC2"/>
        <w:tabs>
          <w:tab w:val="right" w:leader="dot" w:pos="8306"/>
        </w:tabs>
      </w:pPr>
      <w:hyperlink w:anchor="_Toc15556" w:history="1">
        <w:r>
          <w:rPr>
            <w:rFonts w:ascii="仿宋" w:eastAsia="仿宋" w:hAnsi="仿宋" w:cs="仿宋" w:hint="eastAsia"/>
            <w:lang w:eastAsia="zh-CN"/>
          </w:rPr>
          <w:t>(一)、射频同轴电缆行业分析</w:t>
        </w:r>
        <w:r>
          <w:tab/>
        </w:r>
        <w:r>
          <w:fldChar w:fldCharType="begin"/>
        </w:r>
        <w:r>
          <w:instrText xml:space="preserve"> PAGEREF _Toc15556 \h </w:instrText>
        </w:r>
        <w:r>
          <w:fldChar w:fldCharType="separate"/>
        </w:r>
        <w:r>
          <w:t>17</w:t>
        </w:r>
        <w:r>
          <w:fldChar w:fldCharType="end"/>
        </w:r>
      </w:hyperlink>
    </w:p>
    <w:p>
      <w:pPr>
        <w:pStyle w:val="TOC2"/>
        <w:tabs>
          <w:tab w:val="right" w:leader="dot" w:pos="8306"/>
        </w:tabs>
      </w:pPr>
      <w:hyperlink w:anchor="_Toc16187" w:history="1">
        <w:r>
          <w:rPr>
            <w:rFonts w:ascii="仿宋" w:eastAsia="仿宋" w:hAnsi="仿宋" w:cs="仿宋" w:hint="eastAsia"/>
            <w:lang w:eastAsia="zh-CN"/>
          </w:rPr>
          <w:t>(二)、射频同轴电缆市场分析预测</w:t>
        </w:r>
        <w:r>
          <w:tab/>
        </w:r>
        <w:r>
          <w:fldChar w:fldCharType="begin"/>
        </w:r>
        <w:r>
          <w:instrText xml:space="preserve"> PAGEREF _Toc16187 \h </w:instrText>
        </w:r>
        <w:r>
          <w:fldChar w:fldCharType="separate"/>
        </w:r>
        <w:r>
          <w:t>18</w:t>
        </w:r>
        <w:r>
          <w:fldChar w:fldCharType="end"/>
        </w:r>
      </w:hyperlink>
    </w:p>
    <w:p>
      <w:pPr>
        <w:pStyle w:val="TOC1"/>
        <w:tabs>
          <w:tab w:val="right" w:leader="dot" w:pos="8306"/>
        </w:tabs>
      </w:pPr>
      <w:hyperlink w:anchor="_Toc14276" w:history="1">
        <w:r>
          <w:rPr>
            <w:rFonts w:ascii="仿宋" w:eastAsia="仿宋" w:hAnsi="仿宋" w:cs="仿宋" w:hint="eastAsia"/>
            <w:lang w:eastAsia="zh-CN"/>
          </w:rPr>
          <w:t>六、工艺说明</w:t>
        </w:r>
        <w:r>
          <w:tab/>
        </w:r>
        <w:r>
          <w:fldChar w:fldCharType="begin"/>
        </w:r>
        <w:r>
          <w:instrText xml:space="preserve"> PAGEREF _Toc14276 \h </w:instrText>
        </w:r>
        <w:r>
          <w:fldChar w:fldCharType="separate"/>
        </w:r>
        <w:r>
          <w:t>19</w:t>
        </w:r>
        <w:r>
          <w:fldChar w:fldCharType="end"/>
        </w:r>
      </w:hyperlink>
    </w:p>
    <w:p>
      <w:pPr>
        <w:pStyle w:val="TOC2"/>
        <w:tabs>
          <w:tab w:val="right" w:leader="dot" w:pos="8306"/>
        </w:tabs>
      </w:pPr>
      <w:hyperlink w:anchor="_Toc23694" w:history="1">
        <w:r>
          <w:rPr>
            <w:rFonts w:ascii="仿宋" w:eastAsia="仿宋" w:hAnsi="仿宋" w:cs="仿宋" w:hint="eastAsia"/>
            <w:lang w:eastAsia="zh-CN"/>
          </w:rPr>
          <w:t>(一)、技术管理特点</w:t>
        </w:r>
        <w:r>
          <w:tab/>
        </w:r>
        <w:r>
          <w:fldChar w:fldCharType="begin"/>
        </w:r>
        <w:r>
          <w:instrText xml:space="preserve"> PAGEREF _Toc23694 \h </w:instrText>
        </w:r>
        <w:r>
          <w:fldChar w:fldCharType="separate"/>
        </w:r>
        <w:r>
          <w:t>19</w:t>
        </w:r>
        <w:r>
          <w:fldChar w:fldCharType="end"/>
        </w:r>
      </w:hyperlink>
    </w:p>
    <w:p>
      <w:pPr>
        <w:pStyle w:val="TOC2"/>
        <w:tabs>
          <w:tab w:val="right" w:leader="dot" w:pos="8306"/>
        </w:tabs>
      </w:pPr>
      <w:hyperlink w:anchor="_Toc22638" w:history="1">
        <w:r>
          <w:rPr>
            <w:rFonts w:ascii="仿宋" w:eastAsia="仿宋" w:hAnsi="仿宋" w:cs="仿宋" w:hint="eastAsia"/>
            <w:lang w:eastAsia="zh-CN"/>
          </w:rPr>
          <w:t>(二)、射频同轴电缆项目工艺技术设计方案</w:t>
        </w:r>
        <w:r>
          <w:tab/>
        </w:r>
        <w:r>
          <w:fldChar w:fldCharType="begin"/>
        </w:r>
        <w:r>
          <w:instrText xml:space="preserve"> PAGEREF _Toc22638 \h </w:instrText>
        </w:r>
        <w:r>
          <w:fldChar w:fldCharType="separate"/>
        </w:r>
        <w:r>
          <w:t>20</w:t>
        </w:r>
        <w:r>
          <w:fldChar w:fldCharType="end"/>
        </w:r>
      </w:hyperlink>
    </w:p>
    <w:p>
      <w:pPr>
        <w:pStyle w:val="TOC2"/>
        <w:tabs>
          <w:tab w:val="right" w:leader="dot" w:pos="8306"/>
        </w:tabs>
      </w:pPr>
      <w:hyperlink w:anchor="_Toc9672" w:history="1">
        <w:r>
          <w:rPr>
            <w:rFonts w:ascii="仿宋" w:eastAsia="仿宋" w:hAnsi="仿宋" w:cs="仿宋" w:hint="eastAsia"/>
            <w:lang w:eastAsia="zh-CN"/>
          </w:rPr>
          <w:t>(三)、设备选型方案</w:t>
        </w:r>
        <w:r>
          <w:tab/>
        </w:r>
        <w:r>
          <w:fldChar w:fldCharType="begin"/>
        </w:r>
        <w:r>
          <w:instrText xml:space="preserve"> PAGEREF _Toc9672 \h </w:instrText>
        </w:r>
        <w:r>
          <w:fldChar w:fldCharType="separate"/>
        </w:r>
        <w:r>
          <w:t>21</w:t>
        </w:r>
        <w:r>
          <w:fldChar w:fldCharType="end"/>
        </w:r>
      </w:hyperlink>
    </w:p>
    <w:p>
      <w:pPr>
        <w:pStyle w:val="TOC1"/>
        <w:tabs>
          <w:tab w:val="right" w:leader="dot" w:pos="8306"/>
        </w:tabs>
      </w:pPr>
      <w:hyperlink w:anchor="_Toc15289" w:history="1">
        <w:r>
          <w:rPr>
            <w:rFonts w:ascii="仿宋" w:eastAsia="仿宋" w:hAnsi="仿宋" w:cs="仿宋" w:hint="eastAsia"/>
            <w:lang w:eastAsia="zh-CN"/>
          </w:rPr>
          <w:t>七、射频同轴电缆项目经营效益</w:t>
        </w:r>
        <w:r>
          <w:tab/>
        </w:r>
        <w:r>
          <w:fldChar w:fldCharType="begin"/>
        </w:r>
        <w:r>
          <w:instrText xml:space="preserve"> PAGEREF _Toc15289 \h </w:instrText>
        </w:r>
        <w:r>
          <w:fldChar w:fldCharType="separate"/>
        </w:r>
        <w:r>
          <w:t>23</w:t>
        </w:r>
        <w:r>
          <w:fldChar w:fldCharType="end"/>
        </w:r>
      </w:hyperlink>
    </w:p>
    <w:p>
      <w:pPr>
        <w:pStyle w:val="TOC2"/>
        <w:tabs>
          <w:tab w:val="right" w:leader="dot" w:pos="8306"/>
        </w:tabs>
      </w:pPr>
      <w:hyperlink w:anchor="_Toc32028" w:history="1">
        <w:r>
          <w:rPr>
            <w:rFonts w:ascii="仿宋" w:eastAsia="仿宋" w:hAnsi="仿宋" w:cs="仿宋" w:hint="eastAsia"/>
            <w:lang w:eastAsia="zh-CN"/>
          </w:rPr>
          <w:t>(一)、经济评价财务测算</w:t>
        </w:r>
        <w:r>
          <w:tab/>
        </w:r>
        <w:r>
          <w:fldChar w:fldCharType="begin"/>
        </w:r>
        <w:r>
          <w:instrText xml:space="preserve"> PAGEREF _Toc32028 \h </w:instrText>
        </w:r>
        <w:r>
          <w:fldChar w:fldCharType="separate"/>
        </w:r>
        <w:r>
          <w:t>23</w:t>
        </w:r>
        <w:r>
          <w:fldChar w:fldCharType="end"/>
        </w:r>
      </w:hyperlink>
    </w:p>
    <w:p>
      <w:pPr>
        <w:pStyle w:val="TOC2"/>
        <w:tabs>
          <w:tab w:val="right" w:leader="dot" w:pos="8306"/>
        </w:tabs>
      </w:pPr>
      <w:hyperlink w:anchor="_Toc30652" w:history="1">
        <w:r>
          <w:rPr>
            <w:rFonts w:ascii="仿宋" w:eastAsia="仿宋" w:hAnsi="仿宋" w:cs="仿宋" w:hint="eastAsia"/>
            <w:lang w:eastAsia="zh-CN"/>
          </w:rPr>
          <w:t>(二)、射频同轴电缆项目盈利能力分析</w:t>
        </w:r>
        <w:r>
          <w:tab/>
        </w:r>
        <w:r>
          <w:fldChar w:fldCharType="begin"/>
        </w:r>
        <w:r>
          <w:instrText xml:space="preserve"> PAGEREF _Toc30652 \h </w:instrText>
        </w:r>
        <w:r>
          <w:fldChar w:fldCharType="separate"/>
        </w:r>
        <w:r>
          <w:t>24</w:t>
        </w:r>
        <w:r>
          <w:fldChar w:fldCharType="end"/>
        </w:r>
      </w:hyperlink>
    </w:p>
    <w:p>
      <w:pPr>
        <w:pStyle w:val="TOC1"/>
        <w:tabs>
          <w:tab w:val="right" w:leader="dot" w:pos="8306"/>
        </w:tabs>
      </w:pPr>
      <w:hyperlink w:anchor="_Toc12847" w:history="1">
        <w:r>
          <w:rPr>
            <w:rFonts w:ascii="仿宋" w:eastAsia="仿宋" w:hAnsi="仿宋" w:cs="仿宋" w:hint="eastAsia"/>
            <w:lang w:eastAsia="zh-CN"/>
          </w:rPr>
          <w:t>八、射频同轴电缆项目计划安排</w:t>
        </w:r>
        <w:r>
          <w:tab/>
        </w:r>
        <w:r>
          <w:fldChar w:fldCharType="begin"/>
        </w:r>
        <w:r>
          <w:instrText xml:space="preserve"> PAGEREF _Toc12847 \h </w:instrText>
        </w:r>
        <w:r>
          <w:fldChar w:fldCharType="separate"/>
        </w:r>
        <w:r>
          <w:t>25</w:t>
        </w:r>
        <w:r>
          <w:fldChar w:fldCharType="end"/>
        </w:r>
      </w:hyperlink>
    </w:p>
    <w:p>
      <w:pPr>
        <w:pStyle w:val="TOC2"/>
        <w:tabs>
          <w:tab w:val="right" w:leader="dot" w:pos="8306"/>
        </w:tabs>
      </w:pPr>
      <w:hyperlink w:anchor="_Toc4046" w:history="1">
        <w:r>
          <w:rPr>
            <w:rFonts w:ascii="仿宋" w:eastAsia="仿宋" w:hAnsi="仿宋" w:cs="仿宋" w:hint="eastAsia"/>
            <w:lang w:eastAsia="zh-CN"/>
          </w:rPr>
          <w:t>(一)、建设周期</w:t>
        </w:r>
        <w:r>
          <w:tab/>
        </w:r>
        <w:r>
          <w:fldChar w:fldCharType="begin"/>
        </w:r>
        <w:r>
          <w:instrText xml:space="preserve"> PAGEREF _Toc4046 \h </w:instrText>
        </w:r>
        <w:r>
          <w:fldChar w:fldCharType="separate"/>
        </w:r>
        <w:r>
          <w:t>25</w:t>
        </w:r>
        <w:r>
          <w:fldChar w:fldCharType="end"/>
        </w:r>
      </w:hyperlink>
    </w:p>
    <w:p>
      <w:pPr>
        <w:pStyle w:val="TOC2"/>
        <w:tabs>
          <w:tab w:val="right" w:leader="dot" w:pos="8306"/>
        </w:tabs>
      </w:pPr>
      <w:hyperlink w:anchor="_Toc27702" w:history="1">
        <w:r>
          <w:rPr>
            <w:rFonts w:ascii="仿宋" w:eastAsia="仿宋" w:hAnsi="仿宋" w:cs="仿宋" w:hint="eastAsia"/>
            <w:lang w:eastAsia="zh-CN"/>
          </w:rPr>
          <w:t>(二)、建设进度</w:t>
        </w:r>
        <w:r>
          <w:tab/>
        </w:r>
        <w:r>
          <w:fldChar w:fldCharType="begin"/>
        </w:r>
        <w:r>
          <w:instrText xml:space="preserve"> PAGEREF _Toc27702 \h </w:instrText>
        </w:r>
        <w:r>
          <w:fldChar w:fldCharType="separate"/>
        </w:r>
        <w:r>
          <w:t>25</w:t>
        </w:r>
        <w:r>
          <w:fldChar w:fldCharType="end"/>
        </w:r>
      </w:hyperlink>
    </w:p>
    <w:p>
      <w:pPr>
        <w:pStyle w:val="TOC2"/>
        <w:tabs>
          <w:tab w:val="right" w:leader="dot" w:pos="8306"/>
        </w:tabs>
      </w:pPr>
      <w:hyperlink w:anchor="_Toc25251" w:history="1">
        <w:r>
          <w:rPr>
            <w:rFonts w:ascii="仿宋" w:eastAsia="仿宋" w:hAnsi="仿宋" w:cs="仿宋" w:hint="eastAsia"/>
            <w:lang w:eastAsia="zh-CN"/>
          </w:rPr>
          <w:t>(三)、进度安排注意事项</w:t>
        </w:r>
        <w:r>
          <w:tab/>
        </w:r>
        <w:r>
          <w:fldChar w:fldCharType="begin"/>
        </w:r>
        <w:r>
          <w:instrText xml:space="preserve"> PAGEREF _Toc25251 \h </w:instrText>
        </w:r>
        <w:r>
          <w:fldChar w:fldCharType="separate"/>
        </w:r>
        <w:r>
          <w:t>26</w:t>
        </w:r>
        <w:r>
          <w:fldChar w:fldCharType="end"/>
        </w:r>
      </w:hyperlink>
    </w:p>
    <w:p>
      <w:pPr>
        <w:pStyle w:val="TOC2"/>
        <w:tabs>
          <w:tab w:val="right" w:leader="dot" w:pos="8306"/>
        </w:tabs>
      </w:pPr>
      <w:hyperlink w:anchor="_Toc23072" w:history="1">
        <w:r>
          <w:rPr>
            <w:rFonts w:ascii="仿宋" w:eastAsia="仿宋" w:hAnsi="仿宋" w:cs="仿宋" w:hint="eastAsia"/>
            <w:lang w:eastAsia="zh-CN"/>
          </w:rPr>
          <w:t>(四)、人力资源配置</w:t>
        </w:r>
        <w:r>
          <w:tab/>
        </w:r>
        <w:r>
          <w:fldChar w:fldCharType="begin"/>
        </w:r>
        <w:r>
          <w:instrText xml:space="preserve"> PAGEREF _Toc23072 \h </w:instrText>
        </w:r>
        <w:r>
          <w:fldChar w:fldCharType="separate"/>
        </w:r>
        <w:r>
          <w:t>28</w:t>
        </w:r>
        <w:r>
          <w:fldChar w:fldCharType="end"/>
        </w:r>
      </w:hyperlink>
    </w:p>
    <w:p>
      <w:pPr>
        <w:pStyle w:val="TOC1"/>
        <w:tabs>
          <w:tab w:val="right" w:leader="dot" w:pos="8306"/>
        </w:tabs>
      </w:pPr>
      <w:hyperlink w:anchor="_Toc10828" w:history="1">
        <w:r>
          <w:rPr>
            <w:rFonts w:ascii="仿宋" w:eastAsia="仿宋" w:hAnsi="仿宋" w:cs="仿宋" w:hint="eastAsia"/>
            <w:lang w:eastAsia="zh-CN"/>
          </w:rPr>
          <w:t>九、射频同轴电缆项目社会影响</w:t>
        </w:r>
        <w:r>
          <w:tab/>
        </w:r>
        <w:r>
          <w:fldChar w:fldCharType="begin"/>
        </w:r>
        <w:r>
          <w:instrText xml:space="preserve"> PAGEREF _Toc10828 \h </w:instrText>
        </w:r>
        <w:r>
          <w:fldChar w:fldCharType="separate"/>
        </w:r>
        <w:r>
          <w:t>29</w:t>
        </w:r>
        <w:r>
          <w:fldChar w:fldCharType="end"/>
        </w:r>
      </w:hyperlink>
    </w:p>
    <w:p>
      <w:pPr>
        <w:pStyle w:val="TOC2"/>
        <w:tabs>
          <w:tab w:val="right" w:leader="dot" w:pos="8306"/>
        </w:tabs>
      </w:pPr>
      <w:hyperlink w:anchor="_Toc276" w:history="1">
        <w:r>
          <w:rPr>
            <w:rFonts w:ascii="仿宋" w:eastAsia="仿宋" w:hAnsi="仿宋" w:cs="仿宋" w:hint="eastAsia"/>
            <w:lang w:eastAsia="zh-CN"/>
          </w:rPr>
          <w:t>(一)、社会责任与义务</w:t>
        </w:r>
        <w:r>
          <w:tab/>
        </w:r>
        <w:r>
          <w:fldChar w:fldCharType="begin"/>
        </w:r>
        <w:r>
          <w:instrText xml:space="preserve"> PAGEREF _Toc276 \h </w:instrText>
        </w:r>
        <w:r>
          <w:fldChar w:fldCharType="separate"/>
        </w:r>
        <w:r>
          <w:t>29</w:t>
        </w:r>
        <w:r>
          <w:fldChar w:fldCharType="end"/>
        </w:r>
      </w:hyperlink>
    </w:p>
    <w:p>
      <w:pPr>
        <w:pStyle w:val="TOC2"/>
        <w:tabs>
          <w:tab w:val="right" w:leader="dot" w:pos="8306"/>
        </w:tabs>
      </w:pPr>
      <w:hyperlink w:anchor="_Toc9542" w:history="1">
        <w:r>
          <w:rPr>
            <w:rFonts w:ascii="仿宋" w:eastAsia="仿宋" w:hAnsi="仿宋" w:cs="仿宋" w:hint="eastAsia"/>
            <w:lang w:eastAsia="zh-CN"/>
          </w:rPr>
          <w:t>(二)、社会参与与沟通</w:t>
        </w:r>
        <w:r>
          <w:tab/>
        </w:r>
        <w:r>
          <w:fldChar w:fldCharType="begin"/>
        </w:r>
        <w:r>
          <w:instrText xml:space="preserve"> PAGEREF _Toc9542 \h </w:instrText>
        </w:r>
        <w:r>
          <w:fldChar w:fldCharType="separate"/>
        </w:r>
        <w:r>
          <w:t>30</w:t>
        </w:r>
        <w:r>
          <w:fldChar w:fldCharType="end"/>
        </w:r>
      </w:hyperlink>
    </w:p>
    <w:p>
      <w:pPr>
        <w:pStyle w:val="TOC1"/>
        <w:tabs>
          <w:tab w:val="right" w:leader="dot" w:pos="8306"/>
        </w:tabs>
      </w:pPr>
      <w:hyperlink w:anchor="_Toc964" w:history="1">
        <w:r>
          <w:rPr>
            <w:rFonts w:ascii="仿宋" w:eastAsia="仿宋" w:hAnsi="仿宋" w:cs="仿宋" w:hint="eastAsia"/>
            <w:lang w:eastAsia="zh-CN"/>
          </w:rPr>
          <w:t>十、射频同轴电缆项目财务管理</w:t>
        </w:r>
        <w:r>
          <w:tab/>
        </w:r>
        <w:r>
          <w:fldChar w:fldCharType="begin"/>
        </w:r>
        <w:r>
          <w:instrText xml:space="preserve"> PAGEREF _Toc964 \h </w:instrText>
        </w:r>
        <w:r>
          <w:fldChar w:fldCharType="separate"/>
        </w:r>
        <w:r>
          <w:t>31</w:t>
        </w:r>
        <w:r>
          <w:fldChar w:fldCharType="end"/>
        </w:r>
      </w:hyperlink>
    </w:p>
    <w:p>
      <w:pPr>
        <w:pStyle w:val="TOC2"/>
        <w:tabs>
          <w:tab w:val="right" w:leader="dot" w:pos="8306"/>
        </w:tabs>
      </w:pPr>
      <w:hyperlink w:anchor="_Toc30974" w:history="1">
        <w:r>
          <w:rPr>
            <w:rFonts w:ascii="仿宋" w:eastAsia="仿宋" w:hAnsi="仿宋" w:cs="仿宋" w:hint="eastAsia"/>
            <w:lang w:eastAsia="zh-CN"/>
          </w:rPr>
          <w:t>(一)、资金需求大</w:t>
        </w:r>
        <w:r>
          <w:tab/>
        </w:r>
        <w:r>
          <w:fldChar w:fldCharType="begin"/>
        </w:r>
        <w:r>
          <w:instrText xml:space="preserve"> PAGEREF _Toc30974 \h </w:instrText>
        </w:r>
        <w:r>
          <w:fldChar w:fldCharType="separate"/>
        </w:r>
        <w:r>
          <w:t>31</w:t>
        </w:r>
        <w:r>
          <w:fldChar w:fldCharType="end"/>
        </w:r>
      </w:hyperlink>
    </w:p>
    <w:p>
      <w:pPr>
        <w:pStyle w:val="TOC2"/>
        <w:tabs>
          <w:tab w:val="right" w:leader="dot" w:pos="8306"/>
        </w:tabs>
      </w:pPr>
      <w:hyperlink w:anchor="_Toc20833" w:history="1">
        <w:r>
          <w:rPr>
            <w:rFonts w:ascii="仿宋" w:eastAsia="仿宋" w:hAnsi="仿宋" w:cs="仿宋" w:hint="eastAsia"/>
            <w:lang w:eastAsia="zh-CN"/>
          </w:rPr>
          <w:t>(二)、研发周期长</w:t>
        </w:r>
        <w:r>
          <w:tab/>
        </w:r>
        <w:r>
          <w:fldChar w:fldCharType="begin"/>
        </w:r>
        <w:r>
          <w:instrText xml:space="preserve"> PAGEREF _Toc20833 \h </w:instrText>
        </w:r>
        <w:r>
          <w:fldChar w:fldCharType="separate"/>
        </w:r>
        <w:r>
          <w:t>32</w:t>
        </w:r>
        <w:r>
          <w:fldChar w:fldCharType="end"/>
        </w:r>
      </w:hyperlink>
    </w:p>
    <w:p>
      <w:pPr>
        <w:pStyle w:val="TOC2"/>
        <w:tabs>
          <w:tab w:val="right" w:leader="dot" w:pos="8306"/>
        </w:tabs>
      </w:pPr>
      <w:hyperlink w:anchor="_Toc8563" w:history="1">
        <w:r>
          <w:rPr>
            <w:rFonts w:ascii="仿宋" w:eastAsia="仿宋" w:hAnsi="仿宋" w:cs="仿宋" w:hint="eastAsia"/>
            <w:lang w:eastAsia="zh-CN"/>
          </w:rPr>
          <w:t>(三)、市场风险大</w:t>
        </w:r>
        <w:r>
          <w:tab/>
        </w:r>
        <w:r>
          <w:fldChar w:fldCharType="begin"/>
        </w:r>
        <w:r>
          <w:instrText xml:space="preserve"> PAGEREF _Toc8563 \h </w:instrText>
        </w:r>
        <w:r>
          <w:fldChar w:fldCharType="separate"/>
        </w:r>
        <w:r>
          <w:t>33</w:t>
        </w:r>
        <w:r>
          <w:fldChar w:fldCharType="end"/>
        </w:r>
      </w:hyperlink>
    </w:p>
    <w:p>
      <w:pPr>
        <w:pStyle w:val="TOC2"/>
        <w:tabs>
          <w:tab w:val="right" w:leader="dot" w:pos="8306"/>
        </w:tabs>
      </w:pPr>
      <w:hyperlink w:anchor="_Toc24890" w:history="1">
        <w:r>
          <w:rPr>
            <w:rFonts w:ascii="仿宋" w:eastAsia="仿宋" w:hAnsi="仿宋" w:cs="仿宋" w:hint="eastAsia"/>
            <w:lang w:eastAsia="zh-CN"/>
          </w:rPr>
          <w:t>(四)、利润率高</w:t>
        </w:r>
        <w:r>
          <w:tab/>
        </w:r>
        <w:r>
          <w:fldChar w:fldCharType="begin"/>
        </w:r>
        <w:r>
          <w:instrText xml:space="preserve"> PAGEREF _Toc24890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99" w:history="1">
        <w:r>
          <w:rPr>
            <w:rFonts w:ascii="仿宋" w:eastAsia="仿宋" w:hAnsi="仿宋" w:cs="仿宋" w:hint="eastAsia"/>
            <w:lang w:eastAsia="zh-CN"/>
          </w:rPr>
          <w:t>十一、射频同轴电缆项目人力资源培养与发展</w:t>
        </w:r>
        <w:r>
          <w:tab/>
        </w:r>
        <w:r>
          <w:fldChar w:fldCharType="begin"/>
        </w:r>
        <w:r>
          <w:instrText xml:space="preserve"> PAGEREF _Toc7899 \h </w:instrText>
        </w:r>
        <w:r>
          <w:fldChar w:fldCharType="separate"/>
        </w:r>
        <w:r>
          <w:t>38</w:t>
        </w:r>
        <w:r>
          <w:fldChar w:fldCharType="end"/>
        </w:r>
      </w:hyperlink>
    </w:p>
    <w:p>
      <w:pPr>
        <w:pStyle w:val="TOC2"/>
        <w:tabs>
          <w:tab w:val="right" w:leader="dot" w:pos="8306"/>
        </w:tabs>
      </w:pPr>
      <w:hyperlink w:anchor="_Toc2124" w:history="1">
        <w:r>
          <w:rPr>
            <w:rFonts w:ascii="仿宋" w:eastAsia="仿宋" w:hAnsi="仿宋" w:cs="仿宋" w:hint="eastAsia"/>
            <w:lang w:eastAsia="zh-CN"/>
          </w:rPr>
          <w:t>(一)、人才需求与规划</w:t>
        </w:r>
        <w:r>
          <w:tab/>
        </w:r>
        <w:r>
          <w:fldChar w:fldCharType="begin"/>
        </w:r>
        <w:r>
          <w:instrText xml:space="preserve"> PAGEREF _Toc2124 \h </w:instrText>
        </w:r>
        <w:r>
          <w:fldChar w:fldCharType="separate"/>
        </w:r>
        <w:r>
          <w:t>38</w:t>
        </w:r>
        <w:r>
          <w:fldChar w:fldCharType="end"/>
        </w:r>
      </w:hyperlink>
    </w:p>
    <w:p>
      <w:pPr>
        <w:pStyle w:val="TOC2"/>
        <w:tabs>
          <w:tab w:val="right" w:leader="dot" w:pos="8306"/>
        </w:tabs>
      </w:pPr>
      <w:hyperlink w:anchor="_Toc22897" w:history="1">
        <w:r>
          <w:rPr>
            <w:rFonts w:ascii="仿宋" w:eastAsia="仿宋" w:hAnsi="仿宋" w:cs="仿宋" w:hint="eastAsia"/>
            <w:lang w:eastAsia="zh-CN"/>
          </w:rPr>
          <w:t>(二)、培训与发展计划</w:t>
        </w:r>
        <w:r>
          <w:tab/>
        </w:r>
        <w:r>
          <w:fldChar w:fldCharType="begin"/>
        </w:r>
        <w:r>
          <w:instrText xml:space="preserve"> PAGEREF _Toc22897 \h </w:instrText>
        </w:r>
        <w:r>
          <w:fldChar w:fldCharType="separate"/>
        </w:r>
        <w:r>
          <w:t>38</w:t>
        </w:r>
        <w:r>
          <w:fldChar w:fldCharType="end"/>
        </w:r>
      </w:hyperlink>
    </w:p>
    <w:p>
      <w:pPr>
        <w:pStyle w:val="TOC1"/>
        <w:tabs>
          <w:tab w:val="right" w:leader="dot" w:pos="8306"/>
        </w:tabs>
      </w:pPr>
      <w:hyperlink w:anchor="_Toc8263" w:history="1">
        <w:r>
          <w:rPr>
            <w:rFonts w:ascii="仿宋" w:eastAsia="仿宋" w:hAnsi="仿宋" w:cs="仿宋" w:hint="eastAsia"/>
            <w:lang w:eastAsia="zh-CN"/>
          </w:rPr>
          <w:t>十二、射频同轴电缆项目风险管理</w:t>
        </w:r>
        <w:r>
          <w:tab/>
        </w:r>
        <w:r>
          <w:fldChar w:fldCharType="begin"/>
        </w:r>
        <w:r>
          <w:instrText xml:space="preserve"> PAGEREF _Toc8263 \h </w:instrText>
        </w:r>
        <w:r>
          <w:fldChar w:fldCharType="separate"/>
        </w:r>
        <w:r>
          <w:t>39</w:t>
        </w:r>
        <w:r>
          <w:fldChar w:fldCharType="end"/>
        </w:r>
      </w:hyperlink>
    </w:p>
    <w:p>
      <w:pPr>
        <w:pStyle w:val="TOC2"/>
        <w:tabs>
          <w:tab w:val="right" w:leader="dot" w:pos="8306"/>
        </w:tabs>
      </w:pPr>
      <w:hyperlink w:anchor="_Toc13540" w:history="1">
        <w:r>
          <w:rPr>
            <w:rFonts w:ascii="仿宋" w:eastAsia="仿宋" w:hAnsi="仿宋" w:cs="仿宋" w:hint="eastAsia"/>
            <w:lang w:eastAsia="zh-CN"/>
          </w:rPr>
          <w:t>(一)、风险识别与评估</w:t>
        </w:r>
        <w:r>
          <w:tab/>
        </w:r>
        <w:r>
          <w:fldChar w:fldCharType="begin"/>
        </w:r>
        <w:r>
          <w:instrText xml:space="preserve"> PAGEREF _Toc13540 \h </w:instrText>
        </w:r>
        <w:r>
          <w:fldChar w:fldCharType="separate"/>
        </w:r>
        <w:r>
          <w:t>39</w:t>
        </w:r>
        <w:r>
          <w:fldChar w:fldCharType="end"/>
        </w:r>
      </w:hyperlink>
    </w:p>
    <w:p>
      <w:pPr>
        <w:pStyle w:val="TOC2"/>
        <w:tabs>
          <w:tab w:val="right" w:leader="dot" w:pos="8306"/>
        </w:tabs>
      </w:pPr>
      <w:hyperlink w:anchor="_Toc13276" w:history="1">
        <w:r>
          <w:rPr>
            <w:rFonts w:ascii="仿宋" w:eastAsia="仿宋" w:hAnsi="仿宋" w:cs="仿宋" w:hint="eastAsia"/>
            <w:lang w:eastAsia="zh-CN"/>
          </w:rPr>
          <w:t>(二)、风险应对策略</w:t>
        </w:r>
        <w:r>
          <w:tab/>
        </w:r>
        <w:r>
          <w:fldChar w:fldCharType="begin"/>
        </w:r>
        <w:r>
          <w:instrText xml:space="preserve"> PAGEREF _Toc13276 \h </w:instrText>
        </w:r>
        <w:r>
          <w:fldChar w:fldCharType="separate"/>
        </w:r>
        <w:r>
          <w:t>40</w:t>
        </w:r>
        <w:r>
          <w:fldChar w:fldCharType="end"/>
        </w:r>
      </w:hyperlink>
    </w:p>
    <w:p>
      <w:pPr>
        <w:pStyle w:val="TOC2"/>
        <w:tabs>
          <w:tab w:val="right" w:leader="dot" w:pos="8306"/>
        </w:tabs>
      </w:pPr>
      <w:hyperlink w:anchor="_Toc22521" w:history="1">
        <w:r>
          <w:rPr>
            <w:rFonts w:ascii="仿宋" w:eastAsia="仿宋" w:hAnsi="仿宋" w:cs="仿宋" w:hint="eastAsia"/>
            <w:lang w:eastAsia="zh-CN"/>
          </w:rPr>
          <w:t>(三)、风险监控与控制</w:t>
        </w:r>
        <w:r>
          <w:tab/>
        </w:r>
        <w:r>
          <w:fldChar w:fldCharType="begin"/>
        </w:r>
        <w:r>
          <w:instrText xml:space="preserve"> PAGEREF _Toc22521 \h </w:instrText>
        </w:r>
        <w:r>
          <w:fldChar w:fldCharType="separate"/>
        </w:r>
        <w:r>
          <w:t>42</w:t>
        </w:r>
        <w:r>
          <w:fldChar w:fldCharType="end"/>
        </w:r>
      </w:hyperlink>
    </w:p>
    <w:p>
      <w:pPr>
        <w:pStyle w:val="TOC1"/>
        <w:tabs>
          <w:tab w:val="right" w:leader="dot" w:pos="8306"/>
        </w:tabs>
      </w:pPr>
      <w:hyperlink w:anchor="_Toc16969" w:history="1">
        <w:r>
          <w:rPr>
            <w:rFonts w:ascii="仿宋" w:eastAsia="仿宋" w:hAnsi="仿宋" w:cs="仿宋" w:hint="eastAsia"/>
            <w:lang w:eastAsia="zh-CN"/>
          </w:rPr>
          <w:t>十三、射频同轴电缆项目实施时间节点</w:t>
        </w:r>
        <w:r>
          <w:tab/>
        </w:r>
        <w:r>
          <w:fldChar w:fldCharType="begin"/>
        </w:r>
        <w:r>
          <w:instrText xml:space="preserve"> PAGEREF _Toc16969 \h </w:instrText>
        </w:r>
        <w:r>
          <w:fldChar w:fldCharType="separate"/>
        </w:r>
        <w:r>
          <w:t>43</w:t>
        </w:r>
        <w:r>
          <w:fldChar w:fldCharType="end"/>
        </w:r>
      </w:hyperlink>
    </w:p>
    <w:p>
      <w:pPr>
        <w:pStyle w:val="TOC2"/>
        <w:tabs>
          <w:tab w:val="right" w:leader="dot" w:pos="8306"/>
        </w:tabs>
      </w:pPr>
      <w:hyperlink w:anchor="_Toc4688" w:history="1">
        <w:r>
          <w:rPr>
            <w:rFonts w:ascii="仿宋" w:eastAsia="仿宋" w:hAnsi="仿宋" w:cs="仿宋" w:hint="eastAsia"/>
            <w:lang w:eastAsia="zh-CN"/>
          </w:rPr>
          <w:t>(一)、射频同轴电缆项目启动阶段时间节点</w:t>
        </w:r>
        <w:r>
          <w:tab/>
        </w:r>
        <w:r>
          <w:fldChar w:fldCharType="begin"/>
        </w:r>
        <w:r>
          <w:instrText xml:space="preserve"> PAGEREF _Toc4688 \h </w:instrText>
        </w:r>
        <w:r>
          <w:fldChar w:fldCharType="separate"/>
        </w:r>
        <w:r>
          <w:t>43</w:t>
        </w:r>
        <w:r>
          <w:fldChar w:fldCharType="end"/>
        </w:r>
      </w:hyperlink>
    </w:p>
    <w:p>
      <w:pPr>
        <w:pStyle w:val="TOC2"/>
        <w:tabs>
          <w:tab w:val="right" w:leader="dot" w:pos="8306"/>
        </w:tabs>
      </w:pPr>
      <w:hyperlink w:anchor="_Toc31875" w:history="1">
        <w:r>
          <w:rPr>
            <w:rFonts w:ascii="仿宋" w:eastAsia="仿宋" w:hAnsi="仿宋" w:cs="仿宋" w:hint="eastAsia"/>
            <w:lang w:eastAsia="zh-CN"/>
          </w:rPr>
          <w:t>(二)、射频同轴电缆项目执行阶段时间节点</w:t>
        </w:r>
        <w:r>
          <w:tab/>
        </w:r>
        <w:r>
          <w:fldChar w:fldCharType="begin"/>
        </w:r>
        <w:r>
          <w:instrText xml:space="preserve"> PAGEREF _Toc31875 \h </w:instrText>
        </w:r>
        <w:r>
          <w:fldChar w:fldCharType="separate"/>
        </w:r>
        <w:r>
          <w:t>44</w:t>
        </w:r>
        <w:r>
          <w:fldChar w:fldCharType="end"/>
        </w:r>
      </w:hyperlink>
    </w:p>
    <w:p>
      <w:pPr>
        <w:pStyle w:val="TOC2"/>
        <w:tabs>
          <w:tab w:val="right" w:leader="dot" w:pos="8306"/>
        </w:tabs>
      </w:pPr>
      <w:hyperlink w:anchor="_Toc22914" w:history="1">
        <w:r>
          <w:rPr>
            <w:rFonts w:ascii="仿宋" w:eastAsia="仿宋" w:hAnsi="仿宋" w:cs="仿宋" w:hint="eastAsia"/>
            <w:lang w:eastAsia="zh-CN"/>
          </w:rPr>
          <w:t>(三)、射频同轴电缆项目完成阶段时间节点</w:t>
        </w:r>
        <w:r>
          <w:tab/>
        </w:r>
        <w:r>
          <w:fldChar w:fldCharType="begin"/>
        </w:r>
        <w:r>
          <w:instrText xml:space="preserve"> PAGEREF _Toc22914 \h </w:instrText>
        </w:r>
        <w:r>
          <w:fldChar w:fldCharType="separate"/>
        </w:r>
        <w:r>
          <w:t>45</w:t>
        </w:r>
        <w:r>
          <w:fldChar w:fldCharType="end"/>
        </w:r>
      </w:hyperlink>
    </w:p>
    <w:p>
      <w:pPr>
        <w:pStyle w:val="TOC1"/>
        <w:tabs>
          <w:tab w:val="right" w:leader="dot" w:pos="8306"/>
        </w:tabs>
      </w:pPr>
      <w:hyperlink w:anchor="_Toc12397" w:history="1">
        <w:r>
          <w:rPr>
            <w:rFonts w:ascii="仿宋" w:eastAsia="仿宋" w:hAnsi="仿宋" w:cs="仿宋" w:hint="eastAsia"/>
            <w:lang w:eastAsia="zh-CN"/>
          </w:rPr>
          <w:t>十四、营销与推广策略</w:t>
        </w:r>
        <w:r>
          <w:tab/>
        </w:r>
        <w:r>
          <w:fldChar w:fldCharType="begin"/>
        </w:r>
        <w:r>
          <w:instrText xml:space="preserve"> PAGEREF _Toc12397 \h </w:instrText>
        </w:r>
        <w:r>
          <w:fldChar w:fldCharType="separate"/>
        </w:r>
        <w:r>
          <w:t>46</w:t>
        </w:r>
        <w:r>
          <w:fldChar w:fldCharType="end"/>
        </w:r>
      </w:hyperlink>
    </w:p>
    <w:p>
      <w:pPr>
        <w:pStyle w:val="TOC2"/>
        <w:tabs>
          <w:tab w:val="right" w:leader="dot" w:pos="8306"/>
        </w:tabs>
      </w:pPr>
      <w:hyperlink w:anchor="_Toc24551" w:history="1">
        <w:r>
          <w:rPr>
            <w:rFonts w:ascii="仿宋" w:eastAsia="仿宋" w:hAnsi="仿宋" w:cs="仿宋" w:hint="eastAsia"/>
            <w:lang w:eastAsia="zh-CN"/>
          </w:rPr>
          <w:t>(一)、产品/服务定位与特点</w:t>
        </w:r>
        <w:r>
          <w:tab/>
        </w:r>
        <w:r>
          <w:fldChar w:fldCharType="begin"/>
        </w:r>
        <w:r>
          <w:instrText xml:space="preserve"> PAGEREF _Toc24551 \h </w:instrText>
        </w:r>
        <w:r>
          <w:fldChar w:fldCharType="separate"/>
        </w:r>
        <w:r>
          <w:t>46</w:t>
        </w:r>
        <w:r>
          <w:fldChar w:fldCharType="end"/>
        </w:r>
      </w:hyperlink>
    </w:p>
    <w:p>
      <w:pPr>
        <w:pStyle w:val="TOC2"/>
        <w:tabs>
          <w:tab w:val="right" w:leader="dot" w:pos="8306"/>
        </w:tabs>
      </w:pPr>
      <w:hyperlink w:anchor="_Toc31479" w:history="1">
        <w:r>
          <w:rPr>
            <w:rFonts w:ascii="仿宋" w:eastAsia="仿宋" w:hAnsi="仿宋" w:cs="仿宋" w:hint="eastAsia"/>
            <w:lang w:eastAsia="zh-CN"/>
          </w:rPr>
          <w:t>(二)、市场定位与竞争分析</w:t>
        </w:r>
        <w:r>
          <w:tab/>
        </w:r>
        <w:r>
          <w:fldChar w:fldCharType="begin"/>
        </w:r>
        <w:r>
          <w:instrText xml:space="preserve"> PAGEREF _Toc31479 \h </w:instrText>
        </w:r>
        <w:r>
          <w:fldChar w:fldCharType="separate"/>
        </w:r>
        <w:r>
          <w:t>47</w:t>
        </w:r>
        <w:r>
          <w:fldChar w:fldCharType="end"/>
        </w:r>
      </w:hyperlink>
    </w:p>
    <w:p>
      <w:pPr>
        <w:pStyle w:val="TOC2"/>
        <w:tabs>
          <w:tab w:val="right" w:leader="dot" w:pos="8306"/>
        </w:tabs>
      </w:pPr>
      <w:hyperlink w:anchor="_Toc6850" w:history="1">
        <w:r>
          <w:rPr>
            <w:rFonts w:ascii="仿宋" w:eastAsia="仿宋" w:hAnsi="仿宋" w:cs="仿宋" w:hint="eastAsia"/>
            <w:lang w:eastAsia="zh-CN"/>
          </w:rPr>
          <w:t>(三)、营销渠道与策略</w:t>
        </w:r>
        <w:r>
          <w:tab/>
        </w:r>
        <w:r>
          <w:fldChar w:fldCharType="begin"/>
        </w:r>
        <w:r>
          <w:instrText xml:space="preserve"> PAGEREF _Toc6850 \h </w:instrText>
        </w:r>
        <w:r>
          <w:fldChar w:fldCharType="separate"/>
        </w:r>
        <w:r>
          <w:t>49</w:t>
        </w:r>
        <w:r>
          <w:fldChar w:fldCharType="end"/>
        </w:r>
      </w:hyperlink>
    </w:p>
    <w:p>
      <w:pPr>
        <w:pStyle w:val="TOC2"/>
        <w:tabs>
          <w:tab w:val="right" w:leader="dot" w:pos="8306"/>
        </w:tabs>
      </w:pPr>
      <w:hyperlink w:anchor="_Toc24610" w:history="1">
        <w:r>
          <w:rPr>
            <w:rFonts w:ascii="仿宋" w:eastAsia="仿宋" w:hAnsi="仿宋" w:cs="仿宋" w:hint="eastAsia"/>
            <w:lang w:eastAsia="zh-CN"/>
          </w:rPr>
          <w:t>(四)、推广与宣传活动</w:t>
        </w:r>
        <w:r>
          <w:tab/>
        </w:r>
        <w:r>
          <w:fldChar w:fldCharType="begin"/>
        </w:r>
        <w:r>
          <w:instrText xml:space="preserve"> PAGEREF _Toc24610 \h </w:instrText>
        </w:r>
        <w:r>
          <w:fldChar w:fldCharType="separate"/>
        </w:r>
        <w:r>
          <w:t>50</w:t>
        </w:r>
        <w:r>
          <w:fldChar w:fldCharType="end"/>
        </w:r>
      </w:hyperlink>
    </w:p>
    <w:p>
      <w:pPr>
        <w:pStyle w:val="TOC1"/>
        <w:tabs>
          <w:tab w:val="right" w:leader="dot" w:pos="8306"/>
        </w:tabs>
      </w:pPr>
      <w:hyperlink w:anchor="_Toc31404" w:history="1">
        <w:r>
          <w:rPr>
            <w:rFonts w:ascii="仿宋" w:eastAsia="仿宋" w:hAnsi="仿宋" w:cs="仿宋" w:hint="eastAsia"/>
            <w:lang w:eastAsia="zh-CN"/>
          </w:rPr>
          <w:t>十五、供应链管理</w:t>
        </w:r>
        <w:r>
          <w:tab/>
        </w:r>
        <w:r>
          <w:fldChar w:fldCharType="begin"/>
        </w:r>
        <w:r>
          <w:instrText xml:space="preserve"> PAGEREF _Toc31404 \h </w:instrText>
        </w:r>
        <w:r>
          <w:fldChar w:fldCharType="separate"/>
        </w:r>
        <w:r>
          <w:t>55</w:t>
        </w:r>
        <w:r>
          <w:fldChar w:fldCharType="end"/>
        </w:r>
      </w:hyperlink>
    </w:p>
    <w:p>
      <w:pPr>
        <w:pStyle w:val="TOC2"/>
        <w:tabs>
          <w:tab w:val="right" w:leader="dot" w:pos="8306"/>
        </w:tabs>
      </w:pPr>
      <w:hyperlink w:anchor="_Toc8253" w:history="1">
        <w:r>
          <w:rPr>
            <w:rFonts w:ascii="仿宋" w:eastAsia="仿宋" w:hAnsi="仿宋" w:cs="仿宋" w:hint="eastAsia"/>
            <w:lang w:eastAsia="zh-CN"/>
          </w:rPr>
          <w:t>(一)、供应链战略规划</w:t>
        </w:r>
        <w:r>
          <w:tab/>
        </w:r>
        <w:r>
          <w:fldChar w:fldCharType="begin"/>
        </w:r>
        <w:r>
          <w:instrText xml:space="preserve"> PAGEREF _Toc8253 \h </w:instrText>
        </w:r>
        <w:r>
          <w:fldChar w:fldCharType="separate"/>
        </w:r>
        <w:r>
          <w:t>55</w:t>
        </w:r>
        <w:r>
          <w:fldChar w:fldCharType="end"/>
        </w:r>
      </w:hyperlink>
    </w:p>
    <w:p>
      <w:pPr>
        <w:pStyle w:val="TOC2"/>
        <w:tabs>
          <w:tab w:val="right" w:leader="dot" w:pos="8306"/>
        </w:tabs>
      </w:pPr>
      <w:hyperlink w:anchor="_Toc28785" w:history="1">
        <w:r>
          <w:rPr>
            <w:rFonts w:ascii="仿宋" w:eastAsia="仿宋" w:hAnsi="仿宋" w:cs="仿宋" w:hint="eastAsia"/>
            <w:lang w:eastAsia="zh-CN"/>
          </w:rPr>
          <w:t>(二)、供应商选择与合作</w:t>
        </w:r>
        <w:r>
          <w:tab/>
        </w:r>
        <w:r>
          <w:fldChar w:fldCharType="begin"/>
        </w:r>
        <w:r>
          <w:instrText xml:space="preserve"> PAGEREF _Toc28785 \h </w:instrText>
        </w:r>
        <w:r>
          <w:fldChar w:fldCharType="separate"/>
        </w:r>
        <w:r>
          <w:t>57</w:t>
        </w:r>
        <w:r>
          <w:fldChar w:fldCharType="end"/>
        </w:r>
      </w:hyperlink>
    </w:p>
    <w:p>
      <w:pPr>
        <w:pStyle w:val="TOC2"/>
        <w:tabs>
          <w:tab w:val="right" w:leader="dot" w:pos="8306"/>
        </w:tabs>
      </w:pPr>
      <w:hyperlink w:anchor="_Toc7118" w:history="1">
        <w:r>
          <w:rPr>
            <w:rFonts w:ascii="仿宋" w:eastAsia="仿宋" w:hAnsi="仿宋" w:cs="仿宋" w:hint="eastAsia"/>
            <w:lang w:eastAsia="zh-CN"/>
          </w:rPr>
          <w:t>(三)、物流与库存管理</w:t>
        </w:r>
        <w:r>
          <w:tab/>
        </w:r>
        <w:r>
          <w:fldChar w:fldCharType="begin"/>
        </w:r>
        <w:r>
          <w:instrText xml:space="preserve"> PAGEREF _Toc7118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507"/>
      <w:r>
        <w:rPr>
          <w:rFonts w:ascii="仿宋" w:eastAsia="仿宋" w:hAnsi="仿宋" w:cs="仿宋" w:hint="eastAsia"/>
          <w:sz w:val="28"/>
          <w:lang w:eastAsia="zh-CN"/>
        </w:rPr>
        <w:t>一、射频同轴电缆项目土建工程</w:t>
      </w:r>
      <w:bookmarkEnd w:id="2"/>
    </w:p>
    <w:p>
      <w:pPr>
        <w:pStyle w:val="Heading2"/>
        <w:rPr>
          <w:rFonts w:ascii="仿宋" w:eastAsia="仿宋" w:hAnsi="仿宋" w:cs="仿宋" w:hint="eastAsia"/>
          <w:lang w:eastAsia="zh-CN"/>
        </w:rPr>
      </w:pPr>
      <w:bookmarkStart w:id="3" w:name="_Toc2208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在射频同轴电缆项目的建筑工程设计中，我们将秉承一系列重要的设计原则，以确保射频同轴电缆项目建筑在功能、美观、可持续性等方面达到最佳效果。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首要原则是确保建筑的功能性得到最大化的发挥。我们将充分理解射频同轴电缆项目的实际需求，合理布局各个功能区域，保证建筑在满足业务需求的同时，提供高效的工作环境。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在建筑设计中，我们将综合考虑建设和运营成本。通过精细的经济效益分析，确保设计方案在高效利用资源的同时，对射频同轴电缆项目的长期盈利能力有积极的贡献。</w:t>
      </w:r>
    </w:p>
    <w:p>
      <w:pPr>
        <w:pStyle w:val="Heading2"/>
        <w:ind w:firstLine="560" w:firstLineChars="200"/>
        <w:rPr>
          <w:rFonts w:ascii="仿宋" w:eastAsia="仿宋" w:hAnsi="仿宋" w:cs="仿宋" w:hint="eastAsia"/>
          <w:sz w:val="28"/>
          <w:lang w:eastAsia="zh-CN"/>
        </w:rPr>
      </w:pPr>
      <w:bookmarkStart w:id="4" w:name="_Toc3105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电缆项目的土建工程设计中，我们将精准设定设计年限，结合射频同轴电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射频同轴电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22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射频同轴电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射频同轴电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射频同轴电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52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本期工程射频同轴电缆项目预计总建筑面积XXX平方米，其中：计容建筑面积XXX平方米，计划建筑工程投资XX万元，占射频同轴电缆项目总投资的XX%。</w:t>
      </w:r>
    </w:p>
    <w:p>
      <w:pPr>
        <w:pStyle w:val="Heading1"/>
        <w:ind w:firstLine="560" w:firstLineChars="200"/>
        <w:rPr>
          <w:rFonts w:ascii="仿宋" w:eastAsia="仿宋" w:hAnsi="仿宋" w:cs="仿宋" w:hint="eastAsia"/>
          <w:sz w:val="28"/>
          <w:lang w:eastAsia="zh-CN"/>
        </w:rPr>
      </w:pPr>
      <w:bookmarkStart w:id="7" w:name="_Toc17704"/>
      <w:r>
        <w:rPr>
          <w:rFonts w:ascii="仿宋" w:eastAsia="仿宋" w:hAnsi="仿宋" w:cs="仿宋" w:hint="eastAsia"/>
          <w:sz w:val="28"/>
          <w:lang w:eastAsia="zh-CN"/>
        </w:rPr>
        <w:t>二、射频同轴电缆项目建设背景及必要性分析</w:t>
      </w:r>
      <w:bookmarkEnd w:id="7"/>
    </w:p>
    <w:p>
      <w:pPr>
        <w:pStyle w:val="Heading2"/>
        <w:rPr>
          <w:rFonts w:ascii="仿宋" w:eastAsia="仿宋" w:hAnsi="仿宋" w:cs="仿宋" w:hint="eastAsia"/>
          <w:lang w:eastAsia="zh-CN"/>
        </w:rPr>
      </w:pPr>
      <w:bookmarkStart w:id="8" w:name="_Toc12721"/>
      <w:r>
        <w:rPr>
          <w:rFonts w:ascii="仿宋" w:eastAsia="仿宋" w:hAnsi="仿宋" w:cs="仿宋" w:hint="eastAsia"/>
          <w:lang w:eastAsia="zh-CN"/>
        </w:rPr>
        <w:t>(一)、射频同轴电缆项目背景分析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射频同轴电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射频同轴电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射频同轴电缆项目在这个潮流中的定位。同时，我们将关注行业内涌现的新兴机遇，以便射频同轴电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射频同轴电缆项目提供了强大的发展动力。我们将聚焦于行业内最新的技术发展趋势，包括但不限于人工智能、大数据分析、物联网等领域。通过深度的技术研究，我们将确保射频同轴电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射频同轴电缆项目发展的源泉。我们将投入更多的精力对市场需求进行深入剖析，超越表面的需求，深入挖掘潜在的市场痛点和机遇。通过对市场需求的细致了解，射频同轴电缆项目将更有针对性地设计解决方案，满足市场的多样化需求，从而更好地促进射频同轴电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射频同轴电缆项目战略至关重要。我们将对竞争态势进行更为深入的分析，包括但不限于市场份额、产品特点、客户满意度等多个维度。通过深度的竞争分析，射频同轴电缆项目将能够更准确地把握市场脉搏，制定具有竞争力的射频同轴电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射频同轴电缆项目的发展具有直接的影响。我们将进行更为全面的法规和政策分析，了解行业发展中的潜在法律风险和合规挑战。通过充分了解和遵守相关法规，射频同轴电缆项目将确保在法律框架内合法合规运营，为射频同轴电缆项目的稳健发展提供有力支持。</w:t>
      </w:r>
    </w:p>
    <w:p>
      <w:pPr>
        <w:pStyle w:val="Heading2"/>
        <w:ind w:firstLine="560" w:firstLineChars="200"/>
        <w:rPr>
          <w:rFonts w:ascii="仿宋" w:eastAsia="仿宋" w:hAnsi="仿宋" w:cs="仿宋" w:hint="eastAsia"/>
          <w:sz w:val="28"/>
          <w:lang w:eastAsia="zh-CN"/>
        </w:rPr>
      </w:pPr>
      <w:bookmarkStart w:id="9" w:name="_Toc5070"/>
      <w:r>
        <w:rPr>
          <w:rFonts w:ascii="仿宋" w:eastAsia="仿宋" w:hAnsi="仿宋" w:cs="仿宋" w:hint="eastAsia"/>
          <w:sz w:val="28"/>
          <w:lang w:eastAsia="zh-CN"/>
        </w:rPr>
        <w:t>(二)、射频同轴电缆项目建设必要性分析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电缆项目建设的迫切性源于对行业发展趋势的深刻洞察。我们正处于一个行业变革的时代，科技创新、数字化转型成为企业发展的关键动力。射频同轴电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电缆项目建设不仅仅是为了跟上潮流，更是为了通过技术创新推动企业的持续发展。通过引入先进的技术和解决方案，射频同轴电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射频同轴电缆项目的建设成为必然选择，通过提高产品质量、拓展服务领域，从而在竞争中获得更多的机会。射频同轴电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射频同轴电缆项目建设的必要性体现在对客户需求更精准的满足。通过射频同轴电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电缆项目建设的背后是对企业持续创新的追求。只有通过不断创新，企业才能在竞争中立于不败之地。射频同轴电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7454"/>
      <w:r>
        <w:rPr>
          <w:rFonts w:ascii="仿宋" w:eastAsia="仿宋" w:hAnsi="仿宋" w:cs="仿宋" w:hint="eastAsia"/>
          <w:sz w:val="28"/>
          <w:lang w:eastAsia="zh-CN"/>
        </w:rPr>
        <w:t>三、射频同轴电缆项目选址可行性分析</w:t>
      </w:r>
      <w:bookmarkEnd w:id="10"/>
    </w:p>
    <w:p>
      <w:pPr>
        <w:pStyle w:val="Heading2"/>
        <w:rPr>
          <w:rFonts w:ascii="仿宋" w:eastAsia="仿宋" w:hAnsi="仿宋" w:cs="仿宋" w:hint="eastAsia"/>
          <w:lang w:eastAsia="zh-CN"/>
        </w:rPr>
      </w:pPr>
      <w:bookmarkStart w:id="11" w:name="_Toc19658"/>
      <w:r>
        <w:rPr>
          <w:rFonts w:ascii="仿宋" w:eastAsia="仿宋" w:hAnsi="仿宋" w:cs="仿宋" w:hint="eastAsia"/>
          <w:lang w:eastAsia="zh-CN"/>
        </w:rPr>
        <w:t>(一)、射频同轴电缆项目选址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该射频同轴电缆项目选址位于XX省XX市XX区XXX街道</w:t>
      </w:r>
    </w:p>
    <w:p>
      <w:pPr>
        <w:pStyle w:val="Heading2"/>
        <w:ind w:firstLine="560" w:firstLineChars="200"/>
        <w:rPr>
          <w:rFonts w:ascii="仿宋" w:eastAsia="仿宋" w:hAnsi="仿宋" w:cs="仿宋" w:hint="eastAsia"/>
          <w:sz w:val="28"/>
          <w:lang w:eastAsia="zh-CN"/>
        </w:rPr>
      </w:pPr>
      <w:bookmarkStart w:id="12" w:name="_Toc3329"/>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射频同轴电缆项目的征地面积将根据射频同轴电缆项目的实际规模和需求进行精确规划。具体面积XXX平方米，旨在确保射频同轴电缆项目不仅能够满足当前的发展需求，还能够预留空间以适应未来的扩展。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净用地面积是在征地面积基础上去除不可利用面积后的实际可开发用地。具体面积XXX平方米，考虑到环保、交通、安全等多方面因素，以确保射频同轴电缆项目在整体利用效率上达到最优。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射频同轴电缆项目计划建设的建筑总规模具体面积XXX平方米。这一规模的确定综合考虑了射频同轴电缆项目的性质、规模，以及城市规划的相关要求，确保建筑布局与周边环境协调一致。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绿地率是射频同轴电缆项目用地中被规划为绿地的比例。具体面积XXX平方米，旨在通过合理规划绿地，改善射频同轴电缆项目周边环境，提升居民生活质量，并符合城市整体绿化规划。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容积率是用地上可以建设的建筑总体积与用地面积之比。具体面积XXX，通过合理的容积率规划，确保射频同轴电缆项目建筑规模与周边环境和谐共生。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射频同轴电缆项目选址与当地城市规划相一致，具体面积XXX平方米。通过与城市规划部门深入沟通，确保射频同轴电缆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射频同轴电缆项目选址符合当地产业政策，具体面积XXX平方米。这包括射频同轴电缆项目对当地经济的促进作用，以及对相关产业的带动效应，确保射频同轴电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用地总体要求必须符合环保和可持续发展的原则，具体面积XXX平方米。通过采用绿色建筑设计、节能减排等措施，确保射频同轴电缆项目在建设和运营过程中对环境的影响最小化，达到可持续发展的要求。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确保射频同轴电缆项目选址具备必要的公共设施配套，具体面积XXX平方米。这包括交通便利性、教育、医疗等基础设施，以提高居民生活品质，使得射频同轴电缆项目选址更具吸引力。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考虑用地总体要求对当地社会稳定性的影响，具体面积XXX平方米。通过深入了解当地社区反馈，确保射频同轴电缆项目的选址和建设过程对当地社会和谐稳定产生积极作用。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射频同轴电缆项目选址不仅符合法规和规划，还在实际操作中具有可行性。这一全面规划将为射频同轴电缆项目的成功实施提供坚实的基础，确保射频同轴电缆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170"/>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电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射频同轴电缆项目的设备规划和空间设计中，我们将采取灵活设备布局的措施。设备布局将根据实际需求进行灵活设计，避免不必要的浪费。通过合理规划设备摆放位置，我们将提高设备的利用率，减少设备间距，以确保射频同轴电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射频同轴电缆项目内部引入共享设施的概念，例如共享会议室、办公区等。通过这种方式，我们可以减少对资源的重复建设，提高资源共享效率，从而减小射频同轴电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4995"/>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射频同轴电缆项目的总图布置中，我们将不同功能区域进行明确的规划，以最大程度满足射频同轴电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3216"/>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射频同轴电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射频同轴电缆项目对环境的影响是综合评价的重要因素之一。我们将详细考虑选址周边的自然环境、生态保护区、水源地等情况，确保射频同轴电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对选址的评价还需充分考虑当地政府的产业政策和法规。我们将详细了解射频同轴电缆项目所在地的相关政策，确保射频同轴电缆项目的规划和运营与当地法规相符，降低不必要的法律风险。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考虑到社会稳定性对企业运营的重要性，我们将评估选址地区的社会安全情况、劳工关系、社区反馈等方面，以确保射频同轴电缆项目的建设和运营不会受到社会稳定性的负面影响。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最后，我们将综合考虑用地成本，包括土地购置费用、土地开发成本等。通过对用地成本的详细评估，我们能够做出更为精确的经济效益分析，为射频同轴电缆项目的投资决策提供有力支持。</w:t>
      </w:r>
    </w:p>
    <w:p>
      <w:pPr>
        <w:pStyle w:val="Heading1"/>
        <w:ind w:firstLine="560" w:firstLineChars="200"/>
        <w:rPr>
          <w:rFonts w:ascii="仿宋" w:eastAsia="仿宋" w:hAnsi="仿宋" w:cs="仿宋" w:hint="eastAsia"/>
          <w:sz w:val="28"/>
          <w:lang w:eastAsia="zh-CN"/>
        </w:rPr>
      </w:pPr>
      <w:bookmarkStart w:id="16" w:name="_Toc9390"/>
      <w:r>
        <w:rPr>
          <w:rFonts w:ascii="仿宋" w:eastAsia="仿宋" w:hAnsi="仿宋" w:cs="仿宋" w:hint="eastAsia"/>
          <w:sz w:val="28"/>
          <w:lang w:eastAsia="zh-CN"/>
        </w:rPr>
        <w:t>四、射频同轴电缆项目危机管理</w:t>
      </w:r>
      <w:bookmarkEnd w:id="16"/>
    </w:p>
    <w:p>
      <w:pPr>
        <w:pStyle w:val="Heading2"/>
        <w:rPr>
          <w:rFonts w:ascii="仿宋" w:eastAsia="仿宋" w:hAnsi="仿宋" w:cs="仿宋" w:hint="eastAsia"/>
          <w:lang w:eastAsia="zh-CN"/>
        </w:rPr>
      </w:pPr>
      <w:bookmarkStart w:id="17" w:name="_Toc24101"/>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电缆项目危机管理中，危机预警与识别是确保射频同轴电缆项目稳健运行的核心步骤。通过建立全面的监测机制，射频同轴电缆项目团队旨在及时发现和理解潜在的风险和危机因素，以便采取及时的预防和应对措施，确保射频同轴电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首先，通过深入的风险评估，射频同轴电缆项目团队全面分析了整个射频同轴电缆项目和各个阶段可能存在的威胁。这包括准确评估每个潜在风险的发生概率和可能影响的程度，为后续危机预警提供了有力支持。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射频同轴电缆项目团队着重于明确定义射频同轴电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射频同轴电缆项目进展的持续监控，团队能够及时发现潜在问题并作出迅速反应。射频同轴电缆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在这一阶段，团队的专业素养和反应速度将发挥至关重要的作用，以确保潜在危机能够在初期得到有效的处理，最大程度地减轻负面影响。通过危机预警与识别，射频同轴电缆项目得以更有序、可控地推进。</w:t>
      </w:r>
    </w:p>
    <w:p>
      <w:pPr>
        <w:pStyle w:val="Heading2"/>
        <w:ind w:firstLine="560" w:firstLineChars="200"/>
        <w:rPr>
          <w:rFonts w:ascii="仿宋" w:eastAsia="仿宋" w:hAnsi="仿宋" w:cs="仿宋" w:hint="eastAsia"/>
          <w:sz w:val="28"/>
          <w:lang w:eastAsia="zh-CN"/>
        </w:rPr>
      </w:pPr>
      <w:bookmarkStart w:id="18" w:name="_Toc1739"/>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在危机发生时，射频同轴电缆项目团队立即行动，成立了应急小组。该小组的任务是迅速制定并实施紧急应对措施，以最小化潜在损失。以下是采取的主要措施：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暂停射频同轴电缆项目进度：为遏制危机蔓延，射频同轴电缆项目暂时停止进行，以便全面评估当前状况。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资源重新分配：重新评估射频同轴电缆项目资源的分配，确保最大限度地减小损失。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实时沟通：与关键利益相关者建立实时沟通机制，向他们传递射频同轴电缆项目危机的实际状况，保障射频同轴电缆项目核心利益。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在紧急应对的同时，射频同轴电缆项目团队强调了团队协作和有效沟通的重要性。以下是团队协作的关键举措：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信息共享机制：建立了信息共享平台，确保团队成员能够及时获取射频同轴电缆项目危机的实时信息。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https://d.book118.com/018104037107006032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射频同轴电缆项目规划设计方案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B5C0E"/>
    <w:rsid w:val="710B5C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04037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2024-01-30T09:46:00Z</dcterms:created>
  <dcterms:modified xsi:type="dcterms:W3CDTF">2024-01-30T09:46:16Z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91EE2D7E2E31483FA140D50B474D5D2F_11</vt:lpwstr>
  </property>
  <property fmtid="{D5CDD505-2E9C-101B-9397-08002B2CF9AE}" pid="3" name="KSOProductBuildVer">
    <vt:lpwstr>2052-12.1.0.16250</vt:lpwstr>
  </property>
</Properties>
</file>