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ind w:firstLine="627" w:firstLineChars="196"/>
        <w:jc w:val="center"/>
        <w:rPr>
          <w:rFonts w:ascii="Times New Roman" w:eastAsia="黑体" w:hAnsi="Times New Roman" w:hint="eastAsia"/>
          <w:b/>
          <w:bCs/>
          <w:sz w:val="32"/>
        </w:rPr>
      </w:pPr>
      <w:bookmarkStart w:id="0" w:name="_GoBack"/>
      <w:r>
        <w:rPr>
          <w:rFonts w:ascii="Times New Roman" w:eastAsia="黑体" w:hAnsi="Times New Roman" w:hint="eastAsia"/>
          <w:b/>
          <w:bCs/>
          <w:sz w:val="32"/>
        </w:rPr>
        <w:t>年产5000吨SiO/TiO</w:t>
      </w:r>
      <w:r>
        <w:rPr>
          <w:rFonts w:ascii="Times New Roman" w:eastAsia="黑体" w:hAnsi="Times New Roman" w:hint="eastAsia"/>
          <w:b/>
          <w:bCs/>
          <w:sz w:val="32"/>
          <w:vertAlign w:val="subscript"/>
        </w:rPr>
        <w:t>2</w:t>
      </w:r>
      <w:r>
        <w:rPr>
          <w:rFonts w:ascii="Times New Roman" w:eastAsia="黑体" w:hAnsi="Times New Roman" w:hint="eastAsia"/>
          <w:b/>
          <w:bCs/>
          <w:sz w:val="32"/>
        </w:rPr>
        <w:t>/</w:t>
      </w:r>
      <w:r>
        <w:rPr>
          <w:rFonts w:ascii="Times New Roman" w:eastAsia="黑体" w:hAnsi="Times New Roman" w:hint="eastAsia"/>
          <w:b/>
          <w:bCs/>
          <w:sz w:val="32"/>
          <w:lang w:val="en-US" w:eastAsia="zh-CN"/>
        </w:rPr>
        <w:t>CNT</w:t>
      </w:r>
      <w:r>
        <w:rPr>
          <w:rFonts w:ascii="Times New Roman" w:eastAsia="黑体" w:hAnsi="Times New Roman" w:hint="eastAsia"/>
          <w:b/>
          <w:bCs/>
          <w:sz w:val="32"/>
        </w:rPr>
        <w:t>（质量比：</w:t>
      </w:r>
      <w:r>
        <w:rPr>
          <w:rFonts w:ascii="Times New Roman" w:eastAsia="黑体" w:hAnsi="Times New Roman" w:hint="eastAsia"/>
          <w:b/>
          <w:bCs/>
          <w:sz w:val="32"/>
          <w:lang w:val="en-US" w:eastAsia="zh-CN"/>
        </w:rPr>
        <w:t>5</w:t>
      </w:r>
      <w:r>
        <w:rPr>
          <w:rFonts w:ascii="Times New Roman" w:eastAsia="黑体" w:hAnsi="Times New Roman" w:hint="eastAsia"/>
          <w:b/>
          <w:bCs/>
          <w:sz w:val="32"/>
        </w:rPr>
        <w:t>:</w:t>
      </w:r>
      <w:r>
        <w:rPr>
          <w:rFonts w:ascii="Times New Roman" w:eastAsia="黑体" w:hAnsi="Times New Roman" w:hint="eastAsia"/>
          <w:b/>
          <w:bCs/>
          <w:sz w:val="32"/>
          <w:lang w:val="en-US" w:eastAsia="zh-CN"/>
        </w:rPr>
        <w:t>3</w:t>
      </w:r>
      <w:r>
        <w:rPr>
          <w:rFonts w:ascii="Times New Roman" w:eastAsia="黑体" w:hAnsi="Times New Roman" w:hint="eastAsia"/>
          <w:b/>
          <w:bCs/>
          <w:sz w:val="32"/>
        </w:rPr>
        <w:t>:</w:t>
      </w:r>
      <w:r>
        <w:rPr>
          <w:rFonts w:ascii="Times New Roman" w:eastAsia="黑体" w:hAnsi="Times New Roman" w:hint="eastAsia"/>
          <w:b/>
          <w:bCs/>
          <w:sz w:val="32"/>
          <w:lang w:val="en-US" w:eastAsia="zh-CN"/>
        </w:rPr>
        <w:t>2</w:t>
      </w:r>
      <w:r>
        <w:rPr>
          <w:rFonts w:ascii="Times New Roman" w:eastAsia="黑体" w:hAnsi="Times New Roman" w:hint="eastAsia"/>
          <w:b/>
          <w:bCs/>
          <w:sz w:val="32"/>
        </w:rPr>
        <w:t>）锂离子电池负极材料的工艺设计</w:t>
      </w:r>
      <w:bookmarkEnd w:id="0"/>
      <w:r>
        <w:rPr>
          <w:rFonts w:ascii="Times New Roman" w:eastAsia="黑体" w:hAnsi="Times New Roman" w:hint="eastAsia"/>
          <w:b/>
          <w:bCs/>
          <w:sz w:val="32"/>
        </w:rPr>
        <w:t>（重点设计：</w:t>
      </w:r>
      <w:r>
        <w:rPr>
          <w:rFonts w:ascii="Times New Roman" w:eastAsia="黑体" w:hAnsi="Times New Roman" w:hint="eastAsia"/>
          <w:b/>
          <w:bCs/>
          <w:sz w:val="32"/>
          <w:lang w:val="en-US" w:eastAsia="zh-CN"/>
        </w:rPr>
        <w:t>制备</w:t>
      </w:r>
      <w:r>
        <w:rPr>
          <w:rFonts w:ascii="Times New Roman" w:eastAsia="黑体" w:hAnsi="Times New Roman" w:hint="eastAsia"/>
          <w:b/>
          <w:bCs/>
          <w:sz w:val="32"/>
        </w:rPr>
        <w:t>工序）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黑体" w:eastAsia="黑体" w:hAnsi="宋体" w:cs="黑体"/>
          <w:color w:val="000000"/>
          <w:kern w:val="0"/>
          <w:sz w:val="30"/>
          <w:szCs w:val="30"/>
          <w:lang w:val="en-US" w:eastAsia="zh-CN" w:bidi="ar"/>
        </w:rPr>
        <w:t>摘</w:t>
      </w:r>
      <w:r>
        <w:rPr>
          <w:rFonts w:ascii="Times New Roman" w:eastAsia="宋体" w:hAnsi="Times New Roman" w:cs="Times New Roman" w:hint="default"/>
          <w:color w:val="000000"/>
          <w:kern w:val="0"/>
          <w:sz w:val="30"/>
          <w:szCs w:val="30"/>
          <w:lang w:val="en-US" w:eastAsia="zh-CN" w:bidi="ar"/>
        </w:rPr>
        <w:t xml:space="preserve"> </w:t>
      </w:r>
      <w:r>
        <w:rPr>
          <w:rFonts w:ascii="黑体" w:eastAsia="黑体" w:hAnsi="宋体" w:cs="黑体" w:hint="eastAsia"/>
          <w:color w:val="000000"/>
          <w:kern w:val="0"/>
          <w:sz w:val="30"/>
          <w:szCs w:val="30"/>
          <w:lang w:val="en-US" w:eastAsia="zh-CN" w:bidi="ar"/>
        </w:rPr>
        <w:t>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</w:rPr>
        <w:t>本文旨在设计年产5000吨SiO/TiO</w:t>
      </w:r>
      <w:r>
        <w:rPr>
          <w:rFonts w:ascii="Times New Roman" w:hAnsi="Times New Roman" w:eastAsiaTheme="minorEastAsia" w:cstheme="minorEastAsia" w:hint="eastAsia"/>
          <w:sz w:val="24"/>
          <w:szCs w:val="24"/>
          <w:vertAlign w:val="subscript"/>
        </w:rPr>
        <w:t>2</w:t>
      </w:r>
      <w:r>
        <w:rPr>
          <w:rFonts w:ascii="Times New Roman" w:hAnsi="Times New Roman" w:eastAsiaTheme="minorEastAsia" w:cstheme="minorEastAsia" w:hint="eastAsia"/>
          <w:sz w:val="24"/>
          <w:szCs w:val="24"/>
        </w:rPr>
        <w:t>/CNT（质量比：5:3:2）锂离子电池负极材料的工艺设计，重点在于制备工序。本文首先介绍了设计对象的规模、产品说明和原料规格，分析了产品设计的意义和工艺路线的选择与论证。接着，针对工艺流程设计，详细描述了硅/石墨烯负极复合材料工艺制备的步骤和流程，并进行了物料衡算、损耗参数、原料计算、损耗计算和设备计算。在设备选型及计算章节，本文介绍了设备选型的原则和选用的设备，并对煅烧炉进行了计算和设计。在车间布置设计章节，本文说明了车间布置设计的要点。在三废处理及环境安全章节，本文介绍了环境保护和三废处理，对废气、废液和废渣进行了处理。最后，在技术经济章节中，本文对投产成本、产品销售收入、税务计算、工程项目总投资和设计项目的财务评估进行了分析和计算。本文的研究成果为该工艺设计提供了参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</w:rPr>
        <w:t>关键词：锂离子电池负极材料；SiO/TiO</w:t>
      </w:r>
      <w:r>
        <w:rPr>
          <w:rFonts w:ascii="Times New Roman" w:hAnsi="Times New Roman" w:eastAsiaTheme="minorEastAsia" w:cstheme="minorEastAsia" w:hint="eastAsia"/>
          <w:sz w:val="24"/>
          <w:szCs w:val="24"/>
          <w:vertAlign w:val="subscript"/>
        </w:rPr>
        <w:t>2</w:t>
      </w:r>
      <w:r>
        <w:rPr>
          <w:rFonts w:ascii="Times New Roman" w:hAnsi="Times New Roman" w:eastAsiaTheme="minorEastAsia" w:cstheme="minorEastAsia" w:hint="eastAsia"/>
          <w:sz w:val="24"/>
          <w:szCs w:val="24"/>
        </w:rPr>
        <w:t>/CNT；工艺设计；制备工序；技术经济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upperRoman" w:start="1"/>
          <w:cols w:num="1" w:space="425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eastAsia="黑体" w:hAnsi="Times New Roman" w:cs="Times New Roman" w:hint="default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eastAsia="黑体" w:hAnsi="Times New Roman" w:cs="Times New Roman" w:hint="default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eastAsia="黑体" w:hAnsi="Times New Roman" w:cs="Times New Roman" w:hint="default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eastAsia="黑体" w:hAnsi="Times New Roman" w:cs="Times New Roman" w:hint="default"/>
          <w:b/>
          <w:bCs/>
          <w:sz w:val="36"/>
          <w:szCs w:val="36"/>
        </w:rPr>
      </w:pPr>
      <w:r>
        <w:rPr>
          <w:rFonts w:ascii="Times New Roman" w:eastAsia="黑体" w:hAnsi="Times New Roman" w:cs="Times New Roman" w:hint="default"/>
          <w:b/>
          <w:bCs/>
          <w:sz w:val="36"/>
          <w:szCs w:val="36"/>
        </w:rPr>
        <w:t>Process Design of SiO/TiO</w:t>
      </w:r>
      <w:r>
        <w:rPr>
          <w:rFonts w:ascii="Times New Roman" w:eastAsia="黑体" w:hAnsi="Times New Roman" w:cs="Times New Roman" w:hint="default"/>
          <w:b/>
          <w:bCs/>
          <w:sz w:val="36"/>
          <w:szCs w:val="36"/>
          <w:vertAlign w:val="subscript"/>
        </w:rPr>
        <w:t>2</w:t>
      </w:r>
      <w:r>
        <w:rPr>
          <w:rFonts w:ascii="Times New Roman" w:eastAsia="黑体" w:hAnsi="Times New Roman" w:cs="Times New Roman" w:hint="default"/>
          <w:b/>
          <w:bCs/>
          <w:sz w:val="36"/>
          <w:szCs w:val="36"/>
        </w:rPr>
        <w:t>/CNT (mass ratio 5: 3: 2) Negative Electrode Materials for Lithium Ion Batteries with an Annual Output of 5000 Tons (Key Design: Preparation Procedure)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ascii="Times New Roman" w:hAnsi="Times New Roman" w:cs="Times New Roman" w:hint="default"/>
          <w:sz w:val="36"/>
          <w:szCs w:val="36"/>
        </w:rPr>
      </w:pPr>
      <w:bookmarkStart w:id="1" w:name="_Toc13346"/>
      <w:r>
        <w:rPr>
          <w:rFonts w:ascii="Times New Roman" w:hAnsi="Times New Roman" w:cs="Times New Roman" w:hint="default"/>
          <w:sz w:val="36"/>
          <w:szCs w:val="36"/>
        </w:rPr>
        <w:t>Abstract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="Times New Roman" w:hint="default"/>
          <w:sz w:val="24"/>
        </w:rPr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upperRoman" w:start="2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cs="Times New Roman" w:hint="default"/>
          <w:sz w:val="24"/>
          <w:szCs w:val="24"/>
        </w:rPr>
        <w:t>This paper aims to design the process of producing 5,000 tons of SiO/TiO</w:t>
      </w:r>
      <w:r>
        <w:rPr>
          <w:rFonts w:ascii="Times New Roman" w:hAnsi="Times New Roman" w:cs="Times New Roman" w:hint="default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default"/>
          <w:sz w:val="24"/>
          <w:szCs w:val="24"/>
        </w:rPr>
        <w:t>/CNT</w:t>
      </w:r>
      <w:r>
        <w:rPr>
          <w:rFonts w:ascii="Times New Roman" w:hAnsi="Times New Roman" w:cs="Times New Roman" w:hint="default"/>
          <w:sz w:val="24"/>
          <w:szCs w:val="24"/>
        </w:rPr>
        <w:t xml:space="preserve"> (mass</w:t>
      </w:r>
      <w:r>
        <w:rPr>
          <w:rFonts w:ascii="Times New Roman" w:hAnsi="Times New Roman" w:cs="Times New Roman" w:hint="default"/>
          <w:sz w:val="24"/>
          <w:szCs w:val="24"/>
        </w:rPr>
        <w:t xml:space="preserve"> ratio:</w:t>
      </w:r>
      <w:r>
        <w:rPr>
          <w:rFonts w:ascii="Times New Roman" w:hAnsi="Times New Roman" w:cs="Times New Roman" w:hint="default"/>
          <w:sz w:val="24"/>
          <w:szCs w:val="24"/>
        </w:rPr>
        <w:t xml:space="preserve"> 5:3:2)</w:t>
      </w:r>
      <w:r>
        <w:rPr>
          <w:rFonts w:ascii="Times New Roman" w:hAnsi="Times New Roman" w:cs="Times New Roman" w:hint="default"/>
          <w:sz w:val="24"/>
          <w:szCs w:val="24"/>
        </w:rPr>
        <w:t xml:space="preserve"> lithium-ion</w:t>
      </w:r>
      <w:r>
        <w:rPr>
          <w:rFonts w:ascii="Times New Roman" w:hAnsi="Times New Roman" w:cs="Times New Roman" w:hint="default"/>
          <w:sz w:val="24"/>
          <w:szCs w:val="24"/>
        </w:rPr>
        <w:t xml:space="preserve"> battery</w:t>
      </w:r>
      <w:r>
        <w:rPr>
          <w:rFonts w:ascii="Times New Roman" w:hAnsi="Times New Roman" w:cs="Times New Roman" w:hint="default"/>
          <w:sz w:val="24"/>
          <w:szCs w:val="24"/>
        </w:rPr>
        <w:t xml:space="preserve"> negative</w:t>
      </w:r>
      <w:r>
        <w:rPr>
          <w:rFonts w:ascii="Times New Roman" w:hAnsi="Times New Roman" w:cs="Times New Roman" w:hint="default"/>
          <w:sz w:val="24"/>
          <w:szCs w:val="24"/>
        </w:rPr>
        <w:t xml:space="preserve"> electrode</w:t>
      </w:r>
      <w:r>
        <w:rPr>
          <w:rFonts w:ascii="Times New Roman" w:hAnsi="Times New Roman" w:cs="Times New Roman" w:hint="default"/>
          <w:sz w:val="24"/>
          <w:szCs w:val="24"/>
        </w:rPr>
        <w:t xml:space="preserve"> materials</w:t>
      </w:r>
      <w:r>
        <w:rPr>
          <w:rFonts w:ascii="Times New Roman" w:hAnsi="Times New Roman" w:cs="Times New Roman" w:hint="default"/>
          <w:sz w:val="24"/>
          <w:szCs w:val="24"/>
        </w:rPr>
        <w:t xml:space="preserve"> annually,</w:t>
      </w:r>
      <w:r>
        <w:rPr>
          <w:rFonts w:ascii="Times New Roman" w:hAnsi="Times New Roman" w:cs="Times New Roman" w:hint="default"/>
          <w:sz w:val="24"/>
          <w:szCs w:val="24"/>
        </w:rPr>
        <w:t xml:space="preserve"> with</w:t>
      </w:r>
      <w:r>
        <w:rPr>
          <w:rFonts w:ascii="Times New Roman" w:hAnsi="Times New Roman" w:cs="Times New Roman" w:hint="default"/>
          <w:sz w:val="24"/>
          <w:szCs w:val="24"/>
        </w:rPr>
        <w:t xml:space="preserve"> a</w:t>
      </w:r>
      <w:r>
        <w:rPr>
          <w:rFonts w:ascii="Times New Roman" w:hAnsi="Times New Roman" w:cs="Times New Roman" w:hint="default"/>
          <w:sz w:val="24"/>
          <w:szCs w:val="24"/>
        </w:rPr>
        <w:t xml:space="preserve"> focus</w:t>
      </w:r>
      <w:r>
        <w:rPr>
          <w:rFonts w:ascii="Times New Roman" w:hAnsi="Times New Roman" w:cs="Times New Roman" w:hint="default"/>
          <w:sz w:val="24"/>
          <w:szCs w:val="24"/>
        </w:rPr>
        <w:t xml:space="preserve"> on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preparation</w:t>
      </w:r>
      <w:r>
        <w:rPr>
          <w:rFonts w:ascii="Times New Roman" w:hAnsi="Times New Roman" w:cs="Times New Roman" w:hint="default"/>
          <w:sz w:val="24"/>
          <w:szCs w:val="24"/>
        </w:rPr>
        <w:t xml:space="preserve"> process.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paper</w:t>
      </w:r>
      <w:r>
        <w:rPr>
          <w:rFonts w:ascii="Times New Roman" w:hAnsi="Times New Roman" w:cs="Times New Roman" w:hint="default"/>
          <w:sz w:val="24"/>
          <w:szCs w:val="24"/>
        </w:rPr>
        <w:t xml:space="preserve"> first</w:t>
      </w:r>
      <w:r>
        <w:rPr>
          <w:rFonts w:ascii="Times New Roman" w:hAnsi="Times New Roman" w:cs="Times New Roman" w:hint="default"/>
          <w:sz w:val="24"/>
          <w:szCs w:val="24"/>
        </w:rPr>
        <w:t xml:space="preserve"> introduces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design</w:t>
      </w:r>
      <w:r>
        <w:rPr>
          <w:rFonts w:ascii="Times New Roman" w:hAnsi="Times New Roman" w:cs="Times New Roman" w:hint="default"/>
          <w:sz w:val="24"/>
          <w:szCs w:val="24"/>
        </w:rPr>
        <w:t xml:space="preserve"> object's</w:t>
      </w:r>
      <w:r>
        <w:rPr>
          <w:rFonts w:ascii="Times New Roman" w:hAnsi="Times New Roman" w:cs="Times New Roman" w:hint="default"/>
          <w:sz w:val="24"/>
          <w:szCs w:val="24"/>
        </w:rPr>
        <w:t xml:space="preserve"> scale,</w:t>
      </w:r>
      <w:r>
        <w:rPr>
          <w:rFonts w:ascii="Times New Roman" w:hAnsi="Times New Roman" w:cs="Times New Roman" w:hint="default"/>
          <w:sz w:val="24"/>
          <w:szCs w:val="24"/>
        </w:rPr>
        <w:t xml:space="preserve"> product</w:t>
      </w:r>
      <w:r>
        <w:rPr>
          <w:rFonts w:ascii="Times New Roman" w:hAnsi="Times New Roman" w:cs="Times New Roman" w:hint="default"/>
          <w:sz w:val="24"/>
          <w:szCs w:val="24"/>
        </w:rPr>
        <w:t xml:space="preserve"> description,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raw</w:t>
      </w:r>
      <w:r>
        <w:rPr>
          <w:rFonts w:ascii="Times New Roman" w:hAnsi="Times New Roman" w:cs="Times New Roman" w:hint="default"/>
          <w:sz w:val="24"/>
          <w:szCs w:val="24"/>
        </w:rPr>
        <w:t xml:space="preserve"> material</w:t>
      </w:r>
      <w:r>
        <w:rPr>
          <w:rFonts w:ascii="Times New Roman" w:hAnsi="Times New Roman" w:cs="Times New Roman" w:hint="default"/>
          <w:sz w:val="24"/>
          <w:szCs w:val="24"/>
        </w:rPr>
        <w:t xml:space="preserve"> specifications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analyzes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significance</w:t>
      </w:r>
      <w:r>
        <w:rPr>
          <w:rFonts w:ascii="Times New Roman" w:hAnsi="Times New Roman" w:cs="Times New Roman" w:hint="default"/>
          <w:sz w:val="24"/>
          <w:szCs w:val="24"/>
        </w:rPr>
        <w:t xml:space="preserve"> of</w:t>
      </w:r>
      <w:r>
        <w:rPr>
          <w:rFonts w:ascii="Times New Roman" w:hAnsi="Times New Roman" w:cs="Times New Roman" w:hint="default"/>
          <w:sz w:val="24"/>
          <w:szCs w:val="24"/>
        </w:rPr>
        <w:t xml:space="preserve"> product</w:t>
      </w:r>
      <w:r>
        <w:rPr>
          <w:rFonts w:ascii="Times New Roman" w:hAnsi="Times New Roman" w:cs="Times New Roman" w:hint="default"/>
          <w:sz w:val="24"/>
          <w:szCs w:val="24"/>
        </w:rPr>
        <w:t xml:space="preserve"> design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selection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demonstration</w:t>
      </w:r>
      <w:r>
        <w:rPr>
          <w:rFonts w:ascii="Times New Roman" w:hAnsi="Times New Roman" w:cs="Times New Roman" w:hint="default"/>
          <w:sz w:val="24"/>
          <w:szCs w:val="24"/>
        </w:rPr>
        <w:t xml:space="preserve"> of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process</w:t>
      </w:r>
      <w:r>
        <w:rPr>
          <w:rFonts w:ascii="Times New Roman" w:hAnsi="Times New Roman" w:cs="Times New Roman" w:hint="default"/>
          <w:sz w:val="24"/>
          <w:szCs w:val="24"/>
        </w:rPr>
        <w:t xml:space="preserve"> route.</w:t>
      </w:r>
      <w:r>
        <w:rPr>
          <w:rFonts w:ascii="Times New Roman" w:hAnsi="Times New Roman" w:cs="Times New Roman" w:hint="default"/>
          <w:sz w:val="24"/>
          <w:szCs w:val="24"/>
        </w:rPr>
        <w:t xml:space="preserve"> Next,</w:t>
      </w:r>
      <w:r>
        <w:rPr>
          <w:rFonts w:ascii="Times New Roman" w:hAnsi="Times New Roman" w:cs="Times New Roman" w:hint="default"/>
          <w:sz w:val="24"/>
          <w:szCs w:val="24"/>
        </w:rPr>
        <w:t xml:space="preserve"> regarding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process</w:t>
      </w:r>
      <w:r>
        <w:rPr>
          <w:rFonts w:ascii="Times New Roman" w:hAnsi="Times New Roman" w:cs="Times New Roman" w:hint="default"/>
          <w:sz w:val="24"/>
          <w:szCs w:val="24"/>
        </w:rPr>
        <w:t xml:space="preserve"> flow</w:t>
      </w:r>
      <w:r>
        <w:rPr>
          <w:rFonts w:ascii="Times New Roman" w:hAnsi="Times New Roman" w:cs="Times New Roman" w:hint="default"/>
          <w:sz w:val="24"/>
          <w:szCs w:val="24"/>
        </w:rPr>
        <w:t xml:space="preserve"> design,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paper</w:t>
      </w:r>
      <w:r>
        <w:rPr>
          <w:rFonts w:ascii="Times New Roman" w:hAnsi="Times New Roman" w:cs="Times New Roman" w:hint="default"/>
          <w:sz w:val="24"/>
          <w:szCs w:val="24"/>
        </w:rPr>
        <w:t xml:space="preserve"> describes</w:t>
      </w:r>
      <w:r>
        <w:rPr>
          <w:rFonts w:ascii="Times New Roman" w:hAnsi="Times New Roman" w:cs="Times New Roman" w:hint="default"/>
          <w:sz w:val="24"/>
          <w:szCs w:val="24"/>
        </w:rPr>
        <w:t xml:space="preserve"> in</w:t>
      </w:r>
      <w:r>
        <w:rPr>
          <w:rFonts w:ascii="Times New Roman" w:hAnsi="Times New Roman" w:cs="Times New Roman" w:hint="default"/>
          <w:sz w:val="24"/>
          <w:szCs w:val="24"/>
        </w:rPr>
        <w:t xml:space="preserve"> detail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steps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processes</w:t>
      </w:r>
      <w:r>
        <w:rPr>
          <w:rFonts w:ascii="Times New Roman" w:hAnsi="Times New Roman" w:cs="Times New Roman" w:hint="default"/>
          <w:sz w:val="24"/>
          <w:szCs w:val="24"/>
        </w:rPr>
        <w:t xml:space="preserve"> of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Si/graphene</w:t>
      </w:r>
      <w:r>
        <w:rPr>
          <w:rFonts w:ascii="Times New Roman" w:hAnsi="Times New Roman" w:cs="Times New Roman" w:hint="default"/>
          <w:sz w:val="24"/>
          <w:szCs w:val="24"/>
        </w:rPr>
        <w:t xml:space="preserve"> negative</w:t>
      </w:r>
      <w:r>
        <w:rPr>
          <w:rFonts w:ascii="Times New Roman" w:hAnsi="Times New Roman" w:cs="Times New Roman" w:hint="default"/>
          <w:sz w:val="24"/>
          <w:szCs w:val="24"/>
        </w:rPr>
        <w:t xml:space="preserve"> electrode</w:t>
      </w:r>
      <w:r>
        <w:rPr>
          <w:rFonts w:ascii="Times New Roman" w:hAnsi="Times New Roman" w:cs="Times New Roman" w:hint="default"/>
          <w:sz w:val="24"/>
          <w:szCs w:val="24"/>
        </w:rPr>
        <w:t xml:space="preserve"> composite</w:t>
      </w:r>
      <w:r>
        <w:rPr>
          <w:rFonts w:ascii="Times New Roman" w:hAnsi="Times New Roman" w:cs="Times New Roman" w:hint="default"/>
          <w:sz w:val="24"/>
          <w:szCs w:val="24"/>
        </w:rPr>
        <w:t xml:space="preserve"> material's</w:t>
      </w:r>
      <w:r>
        <w:rPr>
          <w:rFonts w:ascii="Times New Roman" w:hAnsi="Times New Roman" w:cs="Times New Roman" w:hint="default"/>
          <w:sz w:val="24"/>
          <w:szCs w:val="24"/>
        </w:rPr>
        <w:t xml:space="preserve"> process</w:t>
      </w:r>
      <w:r>
        <w:rPr>
          <w:rFonts w:ascii="Times New Roman" w:hAnsi="Times New Roman" w:cs="Times New Roman" w:hint="default"/>
          <w:sz w:val="24"/>
          <w:szCs w:val="24"/>
        </w:rPr>
        <w:t xml:space="preserve"> preparation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carries</w:t>
      </w:r>
      <w:r>
        <w:rPr>
          <w:rFonts w:ascii="Times New Roman" w:hAnsi="Times New Roman" w:cs="Times New Roman" w:hint="default"/>
          <w:sz w:val="24"/>
          <w:szCs w:val="24"/>
        </w:rPr>
        <w:t xml:space="preserve"> out</w:t>
      </w:r>
      <w:r>
        <w:rPr>
          <w:rFonts w:ascii="Times New Roman" w:hAnsi="Times New Roman" w:cs="Times New Roman" w:hint="default"/>
          <w:sz w:val="24"/>
          <w:szCs w:val="24"/>
        </w:rPr>
        <w:t xml:space="preserve"> material</w:t>
      </w:r>
      <w:r>
        <w:rPr>
          <w:rFonts w:ascii="Times New Roman" w:hAnsi="Times New Roman" w:cs="Times New Roman" w:hint="default"/>
          <w:sz w:val="24"/>
          <w:szCs w:val="24"/>
        </w:rPr>
        <w:t xml:space="preserve"> balance</w:t>
      </w:r>
      <w:r>
        <w:rPr>
          <w:rFonts w:ascii="Times New Roman" w:hAnsi="Times New Roman" w:cs="Times New Roman" w:hint="default"/>
          <w:sz w:val="24"/>
          <w:szCs w:val="24"/>
        </w:rPr>
        <w:t xml:space="preserve"> calculations,</w:t>
      </w:r>
      <w:r>
        <w:rPr>
          <w:rFonts w:ascii="Times New Roman" w:hAnsi="Times New Roman" w:cs="Times New Roman" w:hint="default"/>
          <w:sz w:val="24"/>
          <w:szCs w:val="24"/>
        </w:rPr>
        <w:t xml:space="preserve"> loss</w:t>
      </w:r>
      <w:r>
        <w:rPr>
          <w:rFonts w:ascii="Times New Roman" w:hAnsi="Times New Roman" w:cs="Times New Roman" w:hint="default"/>
          <w:sz w:val="24"/>
          <w:szCs w:val="24"/>
        </w:rPr>
        <w:t xml:space="preserve"> parameters,</w:t>
      </w:r>
      <w:r>
        <w:rPr>
          <w:rFonts w:ascii="Times New Roman" w:hAnsi="Times New Roman" w:cs="Times New Roman" w:hint="default"/>
          <w:sz w:val="24"/>
          <w:szCs w:val="24"/>
        </w:rPr>
        <w:t xml:space="preserve"> raw</w:t>
      </w:r>
      <w:r>
        <w:rPr>
          <w:rFonts w:ascii="Times New Roman" w:hAnsi="Times New Roman" w:cs="Times New Roman" w:hint="default"/>
          <w:sz w:val="24"/>
          <w:szCs w:val="24"/>
        </w:rPr>
        <w:t xml:space="preserve"> material</w:t>
      </w:r>
      <w:r>
        <w:rPr>
          <w:rFonts w:ascii="Times New Roman" w:hAnsi="Times New Roman" w:cs="Times New Roman" w:hint="default"/>
          <w:sz w:val="24"/>
          <w:szCs w:val="24"/>
        </w:rPr>
        <w:t xml:space="preserve"> calculations,</w:t>
      </w:r>
      <w:r>
        <w:rPr>
          <w:rFonts w:ascii="Times New Roman" w:hAnsi="Times New Roman" w:cs="Times New Roman" w:hint="default"/>
          <w:sz w:val="24"/>
          <w:szCs w:val="24"/>
        </w:rPr>
        <w:t xml:space="preserve"> loss</w:t>
      </w:r>
      <w:r>
        <w:rPr>
          <w:rFonts w:ascii="Times New Roman" w:hAnsi="Times New Roman" w:cs="Times New Roman" w:hint="default"/>
          <w:sz w:val="24"/>
          <w:szCs w:val="24"/>
        </w:rPr>
        <w:t xml:space="preserve"> calculations,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equipment</w:t>
      </w:r>
      <w:r>
        <w:rPr>
          <w:rFonts w:ascii="Times New Roman" w:hAnsi="Times New Roman" w:cs="Times New Roman" w:hint="default"/>
          <w:sz w:val="24"/>
          <w:szCs w:val="24"/>
        </w:rPr>
        <w:t xml:space="preserve"> calculations.</w:t>
      </w:r>
      <w:r>
        <w:rPr>
          <w:rFonts w:ascii="Times New Roman" w:hAnsi="Times New Roman" w:cs="Times New Roman" w:hint="default"/>
          <w:sz w:val="24"/>
          <w:szCs w:val="24"/>
        </w:rPr>
        <w:t xml:space="preserve"> In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equipment</w:t>
      </w:r>
      <w:r>
        <w:rPr>
          <w:rFonts w:ascii="Times New Roman" w:hAnsi="Times New Roman" w:cs="Times New Roman" w:hint="default"/>
          <w:sz w:val="24"/>
          <w:szCs w:val="24"/>
        </w:rPr>
        <w:t xml:space="preserve"> selection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calculation</w:t>
      </w:r>
      <w:r>
        <w:rPr>
          <w:rFonts w:ascii="Times New Roman" w:hAnsi="Times New Roman" w:cs="Times New Roman" w:hint="default"/>
          <w:sz w:val="24"/>
          <w:szCs w:val="24"/>
        </w:rPr>
        <w:t xml:space="preserve"> chapter,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paper</w:t>
      </w:r>
      <w:r>
        <w:rPr>
          <w:rFonts w:ascii="Times New Roman" w:hAnsi="Times New Roman" w:cs="Times New Roman" w:hint="default"/>
          <w:sz w:val="24"/>
          <w:szCs w:val="24"/>
        </w:rPr>
        <w:t xml:space="preserve"> introduces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principles</w:t>
      </w:r>
      <w:r>
        <w:rPr>
          <w:rFonts w:ascii="Times New Roman" w:hAnsi="Times New Roman" w:cs="Times New Roman" w:hint="default"/>
          <w:sz w:val="24"/>
          <w:szCs w:val="24"/>
        </w:rPr>
        <w:t xml:space="preserve"> of</w:t>
      </w:r>
      <w:r>
        <w:rPr>
          <w:rFonts w:ascii="Times New Roman" w:hAnsi="Times New Roman" w:cs="Times New Roman" w:hint="default"/>
          <w:sz w:val="24"/>
          <w:szCs w:val="24"/>
        </w:rPr>
        <w:t xml:space="preserve"> equipment</w:t>
      </w:r>
      <w:r>
        <w:rPr>
          <w:rFonts w:ascii="Times New Roman" w:hAnsi="Times New Roman" w:cs="Times New Roman" w:hint="default"/>
          <w:sz w:val="24"/>
          <w:szCs w:val="24"/>
        </w:rPr>
        <w:t xml:space="preserve"> selection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equipment</w:t>
      </w:r>
      <w:r>
        <w:rPr>
          <w:rFonts w:ascii="Times New Roman" w:hAnsi="Times New Roman" w:cs="Times New Roman" w:hint="default"/>
          <w:sz w:val="24"/>
          <w:szCs w:val="24"/>
        </w:rPr>
        <w:t xml:space="preserve"> used,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calculates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designs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calcination</w:t>
      </w:r>
      <w:r>
        <w:rPr>
          <w:rFonts w:ascii="Times New Roman" w:hAnsi="Times New Roman" w:cs="Times New Roman" w:hint="default"/>
          <w:sz w:val="24"/>
          <w:szCs w:val="24"/>
        </w:rPr>
        <w:t xml:space="preserve"> furnace.</w:t>
      </w:r>
      <w:r>
        <w:rPr>
          <w:rFonts w:ascii="Times New Roman" w:hAnsi="Times New Roman" w:cs="Times New Roman" w:hint="default"/>
          <w:sz w:val="24"/>
          <w:szCs w:val="24"/>
        </w:rPr>
        <w:t xml:space="preserve"> In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workshop</w:t>
      </w:r>
      <w:r>
        <w:rPr>
          <w:rFonts w:ascii="Times New Roman" w:hAnsi="Times New Roman" w:cs="Times New Roman" w:hint="default"/>
          <w:sz w:val="24"/>
          <w:szCs w:val="24"/>
        </w:rPr>
        <w:t xml:space="preserve"> layout</w:t>
      </w:r>
      <w:r>
        <w:rPr>
          <w:rFonts w:ascii="Times New Roman" w:hAnsi="Times New Roman" w:cs="Times New Roman" w:hint="default"/>
          <w:sz w:val="24"/>
          <w:szCs w:val="24"/>
        </w:rPr>
        <w:t xml:space="preserve"> design</w:t>
      </w:r>
      <w:r>
        <w:rPr>
          <w:rFonts w:ascii="Times New Roman" w:hAnsi="Times New Roman" w:cs="Times New Roman" w:hint="default"/>
          <w:sz w:val="24"/>
          <w:szCs w:val="24"/>
        </w:rPr>
        <w:t xml:space="preserve"> chapter,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paper</w:t>
      </w:r>
      <w:r>
        <w:rPr>
          <w:rFonts w:ascii="Times New Roman" w:hAnsi="Times New Roman" w:cs="Times New Roman" w:hint="default"/>
          <w:sz w:val="24"/>
          <w:szCs w:val="24"/>
        </w:rPr>
        <w:t xml:space="preserve"> explains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key</w:t>
      </w:r>
      <w:r>
        <w:rPr>
          <w:rFonts w:ascii="Times New Roman" w:hAnsi="Times New Roman" w:cs="Times New Roman" w:hint="default"/>
          <w:sz w:val="24"/>
          <w:szCs w:val="24"/>
        </w:rPr>
        <w:t xml:space="preserve"> points</w:t>
      </w:r>
      <w:r>
        <w:rPr>
          <w:rFonts w:ascii="Times New Roman" w:hAnsi="Times New Roman" w:cs="Times New Roman" w:hint="default"/>
          <w:sz w:val="24"/>
          <w:szCs w:val="24"/>
        </w:rPr>
        <w:t xml:space="preserve"> of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workshop</w:t>
      </w:r>
      <w:r>
        <w:rPr>
          <w:rFonts w:ascii="Times New Roman" w:hAnsi="Times New Roman" w:cs="Times New Roman" w:hint="default"/>
          <w:sz w:val="24"/>
          <w:szCs w:val="24"/>
        </w:rPr>
        <w:t xml:space="preserve"> layout</w:t>
      </w:r>
      <w:r>
        <w:rPr>
          <w:rFonts w:ascii="Times New Roman" w:hAnsi="Times New Roman" w:cs="Times New Roman" w:hint="default"/>
          <w:sz w:val="24"/>
          <w:szCs w:val="24"/>
        </w:rPr>
        <w:t xml:space="preserve"> design.</w:t>
      </w:r>
      <w:r>
        <w:rPr>
          <w:rFonts w:ascii="Times New Roman" w:hAnsi="Times New Roman" w:cs="Times New Roman" w:hint="default"/>
          <w:sz w:val="24"/>
          <w:szCs w:val="24"/>
        </w:rPr>
        <w:t xml:space="preserve"> In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chapter</w:t>
      </w:r>
      <w:r>
        <w:rPr>
          <w:rFonts w:ascii="Times New Roman" w:hAnsi="Times New Roman" w:cs="Times New Roman" w:hint="default"/>
          <w:sz w:val="24"/>
          <w:szCs w:val="24"/>
        </w:rPr>
        <w:t xml:space="preserve"> on</w:t>
      </w:r>
      <w:r>
        <w:rPr>
          <w:rFonts w:ascii="Times New Roman" w:hAnsi="Times New Roman" w:cs="Times New Roman" w:hint="default"/>
          <w:sz w:val="24"/>
          <w:szCs w:val="24"/>
        </w:rPr>
        <w:t xml:space="preserve"> waste</w:t>
      </w:r>
      <w:r>
        <w:rPr>
          <w:rFonts w:ascii="Times New Roman" w:hAnsi="Times New Roman" w:cs="Times New Roman" w:hint="default"/>
          <w:sz w:val="24"/>
          <w:szCs w:val="24"/>
        </w:rPr>
        <w:t xml:space="preserve"> treatment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environmental</w:t>
      </w:r>
      <w:r>
        <w:rPr>
          <w:rFonts w:ascii="Times New Roman" w:hAnsi="Times New Roman" w:cs="Times New Roman" w:hint="default"/>
          <w:sz w:val="24"/>
          <w:szCs w:val="24"/>
        </w:rPr>
        <w:t xml:space="preserve"> safety,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paper</w:t>
      </w:r>
      <w:r>
        <w:rPr>
          <w:rFonts w:ascii="Times New Roman" w:hAnsi="Times New Roman" w:cs="Times New Roman" w:hint="default"/>
          <w:sz w:val="24"/>
          <w:szCs w:val="24"/>
        </w:rPr>
        <w:t xml:space="preserve"> introduces</w:t>
      </w:r>
      <w:r>
        <w:rPr>
          <w:rFonts w:ascii="Times New Roman" w:hAnsi="Times New Roman" w:cs="Times New Roman" w:hint="default"/>
          <w:sz w:val="24"/>
          <w:szCs w:val="24"/>
        </w:rPr>
        <w:t xml:space="preserve"> environmental</w:t>
      </w:r>
      <w:r>
        <w:rPr>
          <w:rFonts w:ascii="Times New Roman" w:hAnsi="Times New Roman" w:cs="Times New Roman" w:hint="default"/>
          <w:sz w:val="24"/>
          <w:szCs w:val="24"/>
        </w:rPr>
        <w:t xml:space="preserve"> protection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waste</w:t>
      </w:r>
      <w:r>
        <w:rPr>
          <w:rFonts w:ascii="Times New Roman" w:hAnsi="Times New Roman" w:cs="Times New Roman" w:hint="default"/>
          <w:sz w:val="24"/>
          <w:szCs w:val="24"/>
        </w:rPr>
        <w:t xml:space="preserve"> treatment,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processes</w:t>
      </w:r>
      <w:r>
        <w:rPr>
          <w:rFonts w:ascii="Times New Roman" w:hAnsi="Times New Roman" w:cs="Times New Roman" w:hint="default"/>
          <w:sz w:val="24"/>
          <w:szCs w:val="24"/>
        </w:rPr>
        <w:t xml:space="preserve"> waste</w:t>
      </w:r>
      <w:r>
        <w:rPr>
          <w:rFonts w:ascii="Times New Roman" w:hAnsi="Times New Roman" w:cs="Times New Roman" w:hint="default"/>
          <w:sz w:val="24"/>
          <w:szCs w:val="24"/>
        </w:rPr>
        <w:t xml:space="preserve"> gases,</w:t>
      </w:r>
      <w:r>
        <w:rPr>
          <w:rFonts w:ascii="Times New Roman" w:hAnsi="Times New Roman" w:cs="Times New Roman" w:hint="default"/>
          <w:sz w:val="24"/>
          <w:szCs w:val="24"/>
        </w:rPr>
        <w:t xml:space="preserve"> waste</w:t>
      </w:r>
      <w:r>
        <w:rPr>
          <w:rFonts w:ascii="Times New Roman" w:hAnsi="Times New Roman" w:cs="Times New Roman" w:hint="default"/>
          <w:sz w:val="24"/>
          <w:szCs w:val="24"/>
        </w:rPr>
        <w:t xml:space="preserve"> liquids,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waste</w:t>
      </w:r>
      <w:r>
        <w:rPr>
          <w:rFonts w:ascii="Times New Roman" w:hAnsi="Times New Roman" w:cs="Times New Roman" w:hint="default"/>
          <w:sz w:val="24"/>
          <w:szCs w:val="24"/>
        </w:rPr>
        <w:t xml:space="preserve"> residues.</w:t>
      </w:r>
      <w:r>
        <w:rPr>
          <w:rFonts w:ascii="Times New Roman" w:hAnsi="Times New Roman" w:cs="Times New Roman" w:hint="default"/>
          <w:sz w:val="24"/>
          <w:szCs w:val="24"/>
        </w:rPr>
        <w:t xml:space="preserve"> Finally,</w:t>
      </w:r>
      <w:r>
        <w:rPr>
          <w:rFonts w:ascii="Times New Roman" w:hAnsi="Times New Roman" w:cs="Times New Roman" w:hint="default"/>
          <w:sz w:val="24"/>
          <w:szCs w:val="24"/>
        </w:rPr>
        <w:t xml:space="preserve"> in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technical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economic</w:t>
      </w:r>
      <w:r>
        <w:rPr>
          <w:rFonts w:ascii="Times New Roman" w:hAnsi="Times New Roman" w:cs="Times New Roman" w:hint="default"/>
          <w:sz w:val="24"/>
          <w:szCs w:val="24"/>
        </w:rPr>
        <w:t xml:space="preserve"> chapter,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paper</w:t>
      </w:r>
      <w:r>
        <w:rPr>
          <w:rFonts w:ascii="Times New Roman" w:hAnsi="Times New Roman" w:cs="Times New Roman" w:hint="default"/>
          <w:sz w:val="24"/>
          <w:szCs w:val="24"/>
        </w:rPr>
        <w:t xml:space="preserve"> analyzes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calculates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production</w:t>
      </w:r>
      <w:r>
        <w:rPr>
          <w:rFonts w:ascii="Times New Roman" w:hAnsi="Times New Roman" w:cs="Times New Roman" w:hint="default"/>
          <w:sz w:val="24"/>
          <w:szCs w:val="24"/>
        </w:rPr>
        <w:t xml:space="preserve"> costs,</w:t>
      </w:r>
      <w:r>
        <w:rPr>
          <w:rFonts w:ascii="Times New Roman" w:hAnsi="Times New Roman" w:cs="Times New Roman" w:hint="default"/>
          <w:sz w:val="24"/>
          <w:szCs w:val="24"/>
        </w:rPr>
        <w:t xml:space="preserve"> product</w:t>
      </w:r>
      <w:r>
        <w:rPr>
          <w:rFonts w:ascii="Times New Roman" w:hAnsi="Times New Roman" w:cs="Times New Roman" w:hint="default"/>
          <w:sz w:val="24"/>
          <w:szCs w:val="24"/>
        </w:rPr>
        <w:t xml:space="preserve"> sales</w:t>
      </w:r>
      <w:r>
        <w:rPr>
          <w:rFonts w:ascii="Times New Roman" w:hAnsi="Times New Roman" w:cs="Times New Roman" w:hint="default"/>
          <w:sz w:val="24"/>
          <w:szCs w:val="24"/>
        </w:rPr>
        <w:t xml:space="preserve"> revenue,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="Times New Roman" w:hint="default"/>
          <w:sz w:val="24"/>
        </w:rPr>
      </w:pPr>
      <w:r>
        <w:rPr>
          <w:rFonts w:ascii="Times New Roman" w:hAnsi="Times New Roman" w:cs="Times New Roman" w:hint="default"/>
          <w:sz w:val="24"/>
          <w:szCs w:val="24"/>
        </w:rPr>
        <w:t xml:space="preserve"> tax</w:t>
      </w:r>
      <w:r>
        <w:rPr>
          <w:rFonts w:ascii="Times New Roman" w:hAnsi="Times New Roman" w:cs="Times New Roman" w:hint="default"/>
          <w:sz w:val="24"/>
          <w:szCs w:val="24"/>
        </w:rPr>
        <w:t xml:space="preserve"> calculations,</w:t>
      </w:r>
      <w:r>
        <w:rPr>
          <w:rFonts w:ascii="Times New Roman" w:hAnsi="Times New Roman" w:cs="Times New Roman" w:hint="default"/>
          <w:sz w:val="24"/>
          <w:szCs w:val="24"/>
        </w:rPr>
        <w:t xml:space="preserve"> total</w:t>
      </w:r>
      <w:r>
        <w:rPr>
          <w:rFonts w:ascii="Times New Roman" w:hAnsi="Times New Roman" w:cs="Times New Roman" w:hint="default"/>
          <w:sz w:val="24"/>
          <w:szCs w:val="24"/>
        </w:rPr>
        <w:t xml:space="preserve"> project</w:t>
      </w:r>
      <w:r>
        <w:rPr>
          <w:rFonts w:ascii="Times New Roman" w:hAnsi="Times New Roman" w:cs="Times New Roman" w:hint="default"/>
          <w:sz w:val="24"/>
          <w:szCs w:val="24"/>
        </w:rPr>
        <w:t xml:space="preserve"> investment,</w:t>
      </w:r>
      <w:r>
        <w:rPr>
          <w:rFonts w:ascii="Times New Roman" w:hAnsi="Times New Roman" w:cs="Times New Roman" w:hint="default"/>
          <w:sz w:val="24"/>
          <w:szCs w:val="24"/>
        </w:rPr>
        <w:t xml:space="preserve"> and</w:t>
      </w:r>
      <w:r>
        <w:rPr>
          <w:rFonts w:ascii="Times New Roman" w:hAnsi="Times New Roman" w:cs="Times New Roman" w:hint="default"/>
          <w:sz w:val="24"/>
          <w:szCs w:val="24"/>
        </w:rPr>
        <w:t xml:space="preserve"> financial</w:t>
      </w:r>
      <w:r>
        <w:rPr>
          <w:rFonts w:ascii="Times New Roman" w:hAnsi="Times New Roman" w:cs="Times New Roman" w:hint="default"/>
          <w:sz w:val="24"/>
          <w:szCs w:val="24"/>
        </w:rPr>
        <w:t xml:space="preserve"> evaluation</w:t>
      </w:r>
      <w:r>
        <w:rPr>
          <w:rFonts w:ascii="Times New Roman" w:hAnsi="Times New Roman" w:cs="Times New Roman" w:hint="default"/>
          <w:sz w:val="24"/>
          <w:szCs w:val="24"/>
        </w:rPr>
        <w:t xml:space="preserve"> of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design</w:t>
      </w:r>
      <w:r>
        <w:rPr>
          <w:rFonts w:ascii="Times New Roman" w:hAnsi="Times New Roman" w:cs="Times New Roman" w:hint="default"/>
          <w:sz w:val="24"/>
          <w:szCs w:val="24"/>
        </w:rPr>
        <w:t xml:space="preserve"> project.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research</w:t>
      </w:r>
      <w:r>
        <w:rPr>
          <w:rFonts w:ascii="Times New Roman" w:hAnsi="Times New Roman" w:cs="Times New Roman" w:hint="default"/>
          <w:sz w:val="24"/>
          <w:szCs w:val="24"/>
        </w:rPr>
        <w:t xml:space="preserve"> results</w:t>
      </w:r>
      <w:r>
        <w:rPr>
          <w:rFonts w:ascii="Times New Roman" w:hAnsi="Times New Roman" w:cs="Times New Roman" w:hint="default"/>
          <w:sz w:val="24"/>
          <w:szCs w:val="24"/>
        </w:rPr>
        <w:t xml:space="preserve"> of</w:t>
      </w:r>
      <w:r>
        <w:rPr>
          <w:rFonts w:ascii="Times New Roman" w:hAnsi="Times New Roman" w:cs="Times New Roman" w:hint="default"/>
          <w:sz w:val="24"/>
          <w:szCs w:val="24"/>
        </w:rPr>
        <w:t xml:space="preserve"> this</w:t>
      </w:r>
      <w:r>
        <w:rPr>
          <w:rFonts w:ascii="Times New Roman" w:hAnsi="Times New Roman" w:cs="Times New Roman" w:hint="default"/>
          <w:sz w:val="24"/>
          <w:szCs w:val="24"/>
        </w:rPr>
        <w:t xml:space="preserve"> paper</w:t>
      </w:r>
      <w:r>
        <w:rPr>
          <w:rFonts w:ascii="Times New Roman" w:hAnsi="Times New Roman" w:cs="Times New Roman" w:hint="default"/>
          <w:sz w:val="24"/>
          <w:szCs w:val="24"/>
        </w:rPr>
        <w:t xml:space="preserve"> provide</w:t>
      </w:r>
      <w:r>
        <w:rPr>
          <w:rFonts w:ascii="Times New Roman" w:hAnsi="Times New Roman" w:cs="Times New Roman" w:hint="default"/>
          <w:sz w:val="24"/>
          <w:szCs w:val="24"/>
        </w:rPr>
        <w:t xml:space="preserve"> reference</w:t>
      </w:r>
      <w:r>
        <w:rPr>
          <w:rFonts w:ascii="Times New Roman" w:hAnsi="Times New Roman" w:cs="Times New Roman" w:hint="default"/>
          <w:sz w:val="24"/>
          <w:szCs w:val="24"/>
        </w:rPr>
        <w:t xml:space="preserve"> for</w:t>
      </w:r>
      <w:r>
        <w:rPr>
          <w:rFonts w:ascii="Times New Roman" w:hAnsi="Times New Roman" w:cs="Times New Roman" w:hint="default"/>
          <w:sz w:val="24"/>
          <w:szCs w:val="24"/>
        </w:rPr>
        <w:t xml:space="preserve"> the</w:t>
      </w:r>
      <w:r>
        <w:rPr>
          <w:rFonts w:ascii="Times New Roman" w:hAnsi="Times New Roman" w:cs="Times New Roman" w:hint="default"/>
          <w:sz w:val="24"/>
          <w:szCs w:val="24"/>
        </w:rPr>
        <w:t xml:space="preserve"> process</w:t>
      </w:r>
      <w:r>
        <w:rPr>
          <w:rFonts w:ascii="Times New Roman" w:hAnsi="Times New Roman" w:cs="Times New Roman" w:hint="default"/>
          <w:sz w:val="24"/>
          <w:szCs w:val="24"/>
        </w:rPr>
        <w:t xml:space="preserve"> design.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黑体" w:hAnsi="Times New Roman" w:cs="黑体" w:hint="eastAsia"/>
          <w:sz w:val="30"/>
          <w:szCs w:val="30"/>
        </w:rPr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upperRoman" w:start="3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cs="Times New Roman" w:hint="default"/>
          <w:sz w:val="24"/>
          <w:szCs w:val="24"/>
        </w:rPr>
        <w:t xml:space="preserve">Keywords: </w:t>
      </w:r>
      <w:r>
        <w:rPr>
          <w:rFonts w:ascii="Times New Roman" w:hAnsi="Times New Roman" w:cs="Times New Roman" w:hint="eastAsia"/>
          <w:sz w:val="24"/>
          <w:szCs w:val="24"/>
          <w:lang w:val="en-US" w:eastAsia="zh-CN"/>
        </w:rPr>
        <w:t>L</w:t>
      </w:r>
      <w:r>
        <w:rPr>
          <w:rFonts w:ascii="Times New Roman" w:hAnsi="Times New Roman" w:cs="Times New Roman" w:hint="default"/>
          <w:sz w:val="24"/>
          <w:szCs w:val="24"/>
        </w:rPr>
        <w:t>ithium-ion battery negative electrode materials; SiO/TiO</w:t>
      </w:r>
      <w:r>
        <w:rPr>
          <w:rFonts w:ascii="Times New Roman" w:hAnsi="Times New Roman" w:cs="Times New Roman" w:hint="default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default"/>
          <w:sz w:val="24"/>
          <w:szCs w:val="24"/>
        </w:rPr>
        <w:t>/CNT; process design; preparation process; technical and economic.</w:t>
      </w:r>
    </w:p>
    <w:p>
      <w:pPr>
        <w:jc w:val="both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jc w:val="center"/>
        <w:outlineLvl w:val="0"/>
        <w:rPr>
          <w:rFonts w:ascii="Times New Roman" w:eastAsia="黑体" w:hAnsi="Times New Roman" w:cs="黑体" w:hint="eastAsia"/>
          <w:sz w:val="30"/>
          <w:szCs w:val="30"/>
        </w:rPr>
      </w:pPr>
      <w:bookmarkStart w:id="2" w:name="_Toc30422"/>
      <w:r>
        <w:rPr>
          <w:rFonts w:ascii="Times New Roman" w:eastAsia="黑体" w:hAnsi="Times New Roman" w:cs="黑体" w:hint="eastAsia"/>
          <w:sz w:val="30"/>
          <w:szCs w:val="30"/>
        </w:rPr>
        <w:t>第一章 总论</w:t>
      </w:r>
      <w:bookmarkEnd w:id="2"/>
    </w:p>
    <w:p>
      <w:pPr>
        <w:rPr>
          <w:rFonts w:ascii="Times New Roman" w:hAnsi="Times New Roman" w:hint="eastAsia"/>
        </w:rPr>
      </w:pPr>
    </w:p>
    <w:p>
      <w:pPr>
        <w:outlineLvl w:val="1"/>
        <w:rPr>
          <w:rFonts w:ascii="Times New Roman" w:eastAsia="黑体" w:hAnsi="Times New Roman" w:cs="黑体" w:hint="eastAsia"/>
          <w:sz w:val="28"/>
          <w:szCs w:val="28"/>
        </w:rPr>
      </w:pPr>
      <w:bookmarkStart w:id="3" w:name="_Toc26772"/>
      <w:r>
        <w:rPr>
          <w:rFonts w:ascii="Times New Roman" w:eastAsia="黑体" w:hAnsi="Times New Roman" w:cs="黑体" w:hint="eastAsia"/>
          <w:sz w:val="28"/>
          <w:szCs w:val="28"/>
        </w:rPr>
        <w:t>1.1 设计对象</w:t>
      </w:r>
      <w:bookmarkEnd w:id="3"/>
    </w:p>
    <w:p>
      <w:pPr>
        <w:outlineLvl w:val="2"/>
        <w:rPr>
          <w:rFonts w:ascii="Times New Roman" w:hAnsi="Times New Roman" w:hint="eastAsia"/>
        </w:rPr>
      </w:pPr>
      <w:bookmarkStart w:id="4" w:name="_Toc12542"/>
      <w:r>
        <w:rPr>
          <w:rFonts w:ascii="Times New Roman" w:eastAsia="黑体" w:hAnsi="Times New Roman" w:cs="黑体" w:hint="eastAsia"/>
          <w:sz w:val="24"/>
          <w:szCs w:val="24"/>
        </w:rPr>
        <w:t>1.1.1 设计规模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本毕业设计的设计规模为年产5000吨SiO/TiO</w:t>
      </w:r>
      <w:r>
        <w:rPr>
          <w:rFonts w:ascii="Times New Roman" w:eastAsia="宋体" w:hAnsi="Times New Roman" w:cs="宋体" w:hint="eastAsia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宋体" w:hint="eastAsia"/>
          <w:sz w:val="24"/>
          <w:szCs w:val="24"/>
        </w:rPr>
        <w:t>/CNT（质量比：5:3:2）锂离子电池负极材料。</w:t>
      </w:r>
    </w:p>
    <w:p>
      <w:pPr>
        <w:outlineLvl w:val="2"/>
        <w:rPr>
          <w:rFonts w:ascii="Times New Roman" w:eastAsia="黑体" w:hAnsi="Times New Roman" w:cs="黑体" w:hint="eastAsia"/>
          <w:sz w:val="24"/>
        </w:rPr>
      </w:pPr>
      <w:bookmarkStart w:id="5" w:name="_Toc23872"/>
      <w:r>
        <w:rPr>
          <w:rFonts w:ascii="Times New Roman" w:eastAsia="黑体" w:hAnsi="Times New Roman" w:cs="黑体" w:hint="eastAsia"/>
          <w:sz w:val="24"/>
          <w:szCs w:val="24"/>
        </w:rPr>
        <w:t>1.1.2 产品说明</w:t>
      </w:r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锂离子电池负极材料是锂离子电池的重要组成部分，它的性能直接影响着锂离子电池的性能。本设计的SiO/TiO</w:t>
      </w:r>
      <w:r>
        <w:rPr>
          <w:rFonts w:ascii="Times New Roman" w:eastAsia="宋体" w:hAnsi="Times New Roman" w:cs="宋体" w:hint="eastAsia"/>
          <w:sz w:val="24"/>
          <w:szCs w:val="24"/>
          <w:vertAlign w:val="subscript"/>
        </w:rPr>
        <w:t>2</w:t>
      </w:r>
      <w:r>
        <w:rPr>
          <w:rFonts w:ascii="Times New Roman" w:eastAsia="宋体" w:hAnsi="Times New Roman" w:cs="宋体" w:hint="eastAsia"/>
          <w:sz w:val="24"/>
          <w:szCs w:val="24"/>
        </w:rPr>
        <w:t>/CNT复合材料是一种新型锂离子电池负极材料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[1]</w:t>
      </w:r>
      <w:r>
        <w:rPr>
          <w:rFonts w:ascii="Times New Roman" w:eastAsia="宋体" w:hAnsi="Times New Roman" w:cs="宋体" w:hint="eastAsia"/>
          <w:sz w:val="24"/>
          <w:szCs w:val="24"/>
        </w:rPr>
        <w:t>，具有优异的电化学性能、良好的循环性能、高倍率性能和良好的安全性能等优点。</w:t>
      </w:r>
    </w:p>
    <w:p>
      <w:pPr>
        <w:outlineLvl w:val="2"/>
        <w:rPr>
          <w:rFonts w:ascii="Times New Roman" w:eastAsia="黑体" w:hAnsi="Times New Roman" w:cs="黑体" w:hint="eastAsia"/>
          <w:sz w:val="24"/>
        </w:rPr>
      </w:pPr>
      <w:bookmarkStart w:id="6" w:name="_Toc27816"/>
      <w:r>
        <w:rPr>
          <w:rFonts w:ascii="Times New Roman" w:eastAsia="黑体" w:hAnsi="Times New Roman" w:cs="黑体" w:hint="eastAsia"/>
          <w:sz w:val="24"/>
          <w:szCs w:val="24"/>
        </w:rPr>
        <w:t>1.1.3 原料规格</w:t>
      </w:r>
      <w:bookmarkEnd w:id="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default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氧化硅</w:t>
      </w:r>
      <w:r>
        <w:rPr>
          <w:rFonts w:ascii="Times New Roman" w:eastAsia="宋体" w:hAnsi="Times New Roman" w:cs="宋体" w:hint="eastAsia"/>
          <w:sz w:val="24"/>
          <w:szCs w:val="24"/>
        </w:rPr>
        <w:t>、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二氧化钛</w:t>
      </w:r>
      <w:r>
        <w:rPr>
          <w:rFonts w:ascii="Times New Roman" w:eastAsia="宋体" w:hAnsi="Times New Roman" w:cs="宋体" w:hint="eastAsia"/>
          <w:sz w:val="24"/>
          <w:szCs w:val="24"/>
        </w:rPr>
        <w:t>和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碳纳米管</w:t>
      </w:r>
      <w:r>
        <w:rPr>
          <w:rFonts w:ascii="Times New Roman" w:eastAsia="宋体" w:hAnsi="Times New Roman" w:cs="宋体" w:hint="eastAsia"/>
          <w:sz w:val="24"/>
          <w:szCs w:val="24"/>
        </w:rPr>
        <w:t>是本设计中使用的三种原材料</w:t>
      </w:r>
      <w:r>
        <w:rPr>
          <w:rFonts w:ascii="Times New Roman" w:eastAsia="宋体" w:hAnsi="Times New Roman" w:cs="宋体" w:hint="eastAsia"/>
          <w:sz w:val="24"/>
          <w:szCs w:val="24"/>
          <w:lang w:eastAsia="zh-CN"/>
        </w:rPr>
        <w:t>，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溶剂为水。</w:t>
      </w:r>
    </w:p>
    <w:p>
      <w:pPr>
        <w:keepNext w:val="0"/>
        <w:keepLines w:val="0"/>
        <w:widowControl/>
        <w:suppressLineNumbers w:val="0"/>
        <w:jc w:val="center"/>
        <w:rPr>
          <w:rFonts w:ascii="Times New Roman" w:eastAsia="黑体" w:hAnsi="Times New Roman" w:cs="黑体" w:hint="eastAsia"/>
          <w:color w:val="000000"/>
          <w:kern w:val="0"/>
          <w:szCs w:val="21"/>
          <w:lang w:bidi="ar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表1.1原料规格</w:t>
      </w:r>
    </w:p>
    <w:tbl>
      <w:tblPr>
        <w:tblStyle w:val="TableGrid0"/>
        <w:tblW w:w="8522" w:type="dxa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W w:w="8522" w:type="dxa"/>
          <w:tblInd w:w="0" w:type="dxa"/>
          <w:tblBorders>
            <w:top w:val="single" w:sz="12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包装规格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形状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含量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价格</w:t>
            </w:r>
          </w:p>
        </w:tc>
      </w:tr>
      <w:tr>
        <w:tblPrEx>
          <w:tblW w:w="8522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氧化硅</w:t>
            </w:r>
          </w:p>
        </w:tc>
        <w:tc>
          <w:tcPr>
            <w:tcW w:w="1704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桶装</w:t>
            </w:r>
          </w:p>
        </w:tc>
        <w:tc>
          <w:tcPr>
            <w:tcW w:w="1704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粉末状</w:t>
            </w:r>
          </w:p>
        </w:tc>
        <w:tc>
          <w:tcPr>
            <w:tcW w:w="1705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0.99</w:t>
            </w:r>
          </w:p>
        </w:tc>
        <w:tc>
          <w:tcPr>
            <w:tcW w:w="1705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150元/kg</w:t>
            </w:r>
          </w:p>
        </w:tc>
      </w:tr>
      <w:tr>
        <w:tblPrEx>
          <w:tblW w:w="8522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二氧化钛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桶装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粉末状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0.99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110元/kg</w:t>
            </w:r>
          </w:p>
        </w:tc>
      </w:tr>
      <w:tr>
        <w:tblPrEx>
          <w:tblW w:w="8522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碳纳米管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桶装</w:t>
            </w:r>
          </w:p>
        </w:tc>
        <w:tc>
          <w:tcPr>
            <w:tcW w:w="170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粉末状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0.99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180元/kg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rPr>
          <w:rFonts w:ascii="Times New Roman" w:eastAsia="黑体" w:hAnsi="Times New Roman" w:cs="黑体" w:hint="default"/>
          <w:color w:val="000000"/>
          <w:kern w:val="0"/>
          <w:szCs w:val="21"/>
          <w:lang w:bidi="ar"/>
        </w:rPr>
      </w:pPr>
    </w:p>
    <w:p>
      <w:pPr>
        <w:outlineLvl w:val="1"/>
        <w:rPr>
          <w:rFonts w:ascii="Times New Roman" w:eastAsia="黑体" w:hAnsi="Times New Roman" w:cs="黑体" w:hint="eastAsia"/>
          <w:sz w:val="28"/>
          <w:szCs w:val="28"/>
        </w:rPr>
      </w:pPr>
      <w:bookmarkStart w:id="7" w:name="_Toc21468"/>
      <w:r>
        <w:rPr>
          <w:rFonts w:ascii="Times New Roman" w:eastAsia="黑体" w:hAnsi="Times New Roman" w:cs="黑体" w:hint="eastAsia"/>
          <w:sz w:val="28"/>
          <w:szCs w:val="28"/>
        </w:rPr>
        <w:t>1.2 产品设计的意义</w:t>
      </w:r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在清洁能源领域，储能器件的发展一直是该领域的关键技术。由于化学转换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宋体" w:hint="eastAsia"/>
          <w:sz w:val="24"/>
        </w:rPr>
        <w:sectPr>
          <w:headerReference w:type="default" r:id="rId11"/>
          <w:footerReference w:type="default" r:id="rId12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"/>
          <w:cols w:num="1" w:space="425"/>
          <w:docGrid w:type="lines" w:linePitch="312" w:charSpace="0"/>
        </w:sect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机制的储能装置一般具有能量密度高、使用寿命长的优势。目前常见的商业化以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及具有商业化前景的储能装置基本都属于化学电源，包括：铅酸电池、镍氢电池、镍镉电池、锂离子电池、钠离子电池、锌空气电池、锂硫电池、锂空气电池等。然而为了适应信息时代的发展，满足电动汽车和电子产品对低成本以及长续航能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力的需求，开发低成本的高能量密度的新一代动力电池迫在眉睫。铅酸电池、 镍氢电池、镍镉电池最早实现商业化的二次电池，但是它们能量密度很低，同时都使用了大量重金属元素（铅、镉）对环境污染大。而对于锌空气电池、锂硫电池和锂空气电池而言，虽然它们的能量密度都很高，但它们的反应机理比较复杂且亟需解决的技术问题较多，目前仍处于实验阶段短期内很难实现商业化。与上述电池相比，锂离子电池同样作为二次电池，它的能量密度较高且部分体系实现了商业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  <w:sectPr>
          <w:headerReference w:type="default" r:id="rId13"/>
          <w:footerReference w:type="default" r:id="rId14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2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锂离子电池（如图1.1）因其优异的电化学性能而被广泛应用于各个领域。然而，商用的石墨负极材料理论比容量较低，仅为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372 mAh/g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，碳纳米管因其具有独特的力学和电学材料，也被作为锂离子电池负极材料之一，碳纳米管作为负极材料时的锂离子电池的首次放电容量高达 1600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mAh/g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，可逆容量为700mAh/g,远远大于石墨的容量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[2]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。为满足高能电子设备日益增长的需求，开发高容量电极是获得高能量密度锂离子电池的关键。将硅基材料应用在锂离子电池上时，因其拥有最高的理论比容量（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4200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mAh/g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）和令人满意的放电电位引起了人们的关注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[3]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。二氧化钛作为锂离子电池的负极材料时，存在容量较低（作为锂离子电池负极材料时容量约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300 mAh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/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g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）和导电性较差的特点。将三种性质不同的材料复合在一起，是一种常见材料的改性方法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[4]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，材料之间取长补短往往会取到一加一大于二的良好效果。氧化硅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/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二氧化钛/碳纳米管材料就是一种新型高效的复合电极材料，它的研究和发展将有助于锂离子电池性能的提升，从而满足市场需求，间接性的提升新能源的利用率。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drawing>
          <wp:inline distT="0" distB="0" distL="114300" distR="114300">
            <wp:extent cx="3574415" cy="2520315"/>
            <wp:effectExtent l="0" t="0" r="6985" b="13335"/>
            <wp:docPr id="3" name="图片 3" descr="20ba3d6c064aeb0ea9c6a1df381c50ff24d13f47dde338a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ba3d6c064aeb0ea9c6a1df381c50ff24d13f47dde338a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7441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ascii="Times New Roman" w:eastAsia="黑体" w:hAnsi="Times New Roman" w:cs="黑体" w:hint="default"/>
          <w:color w:val="000000"/>
          <w:kern w:val="0"/>
          <w:szCs w:val="21"/>
          <w:lang w:bidi="ar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图1.1 锂离子充放电示意图</w:t>
      </w: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vertAlign w:val="superscript"/>
          <w:lang w:val="en-US" w:eastAsia="zh-CN" w:bidi="ar"/>
        </w:rPr>
        <w:t>[5]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全球的新能源汽车（如图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1.2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）产业正在迅速的崛起，而锂离子动力电池因其性能，成为了不少企业的首选，例如：国外的特斯拉，国内的比亚迪。而在将来的十几年内，新能源汽车也将逐渐取代传统燃油车，成为人们出行的首要选择。并且锂离子电池在高端电子领域的占比也变得越来越大，它被频繁的应用于各类高科技电子产品，可以说锂离子电池已经融入了人们的生活。随着锂离子电池的性能的提升，不仅可以带动经济社会的发展，同时也能促进科技的进步，让人们过上更加低碳、高效、智能化的生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drawing>
          <wp:inline distT="0" distB="0" distL="114300" distR="114300">
            <wp:extent cx="3599815" cy="2665095"/>
            <wp:effectExtent l="0" t="0" r="635" b="1905"/>
            <wp:docPr id="4" name="图片 4" descr="8362b56a9ea802080c4450ef6fed11350967c7119339f20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362b56a9ea802080c4450ef6fed11350967c7119339f209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  <w:sz w:val="21"/>
          <w:szCs w:val="21"/>
          <w:vertAlign w:val="superscript"/>
          <w:lang w:val="en-US" w:eastAsia="zh-CN"/>
        </w:rPr>
      </w:pPr>
      <w:r>
        <w:rPr>
          <w:sz w:val="21"/>
          <w:szCs w:val="21"/>
        </w:rPr>
        <w:t xml:space="preserve">图 </w:t>
      </w:r>
      <w:r>
        <w:rPr>
          <w:sz w:val="21"/>
          <w:szCs w:val="21"/>
        </w:rPr>
        <w:fldChar w:fldCharType="begin"/>
      </w:r>
      <w:r>
        <w:rPr>
          <w:sz w:val="21"/>
          <w:szCs w:val="21"/>
        </w:rPr>
        <w:instrText xml:space="preserve"> SEQ 图 \* ARABIC </w:instrText>
      </w:r>
      <w:r>
        <w:rPr>
          <w:sz w:val="21"/>
          <w:szCs w:val="21"/>
        </w:rPr>
        <w:fldChar w:fldCharType="separate"/>
      </w:r>
      <w:r>
        <w:rPr>
          <w:sz w:val="21"/>
          <w:szCs w:val="21"/>
        </w:rPr>
        <w:t>1</w:t>
      </w:r>
      <w:r>
        <w:rPr>
          <w:sz w:val="21"/>
          <w:szCs w:val="21"/>
        </w:rPr>
        <w:fldChar w:fldCharType="end"/>
      </w:r>
      <w:r>
        <w:rPr>
          <w:rFonts w:hint="eastAsia"/>
          <w:sz w:val="21"/>
          <w:szCs w:val="21"/>
          <w:lang w:eastAsia="zh-CN"/>
        </w:rPr>
        <w:t>.2新能源汽车</w:t>
      </w:r>
      <w:r>
        <w:rPr>
          <w:rFonts w:hint="eastAsia"/>
          <w:sz w:val="21"/>
          <w:szCs w:val="21"/>
          <w:vertAlign w:val="superscript"/>
          <w:lang w:val="en-US" w:eastAsia="zh-CN"/>
        </w:rPr>
        <w:t>[6]</w:t>
      </w:r>
    </w:p>
    <w:p>
      <w:pPr>
        <w:rPr>
          <w:rFonts w:hint="eastAsia"/>
          <w:szCs w:val="21"/>
          <w:vertAlign w:val="superscript"/>
        </w:rPr>
        <w:sectPr>
          <w:headerReference w:type="default" r:id="rId17"/>
          <w:footerReference w:type="default" r:id="rId18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3"/>
          <w:cols w:num="1" w:space="425"/>
          <w:titlePg w:val="0"/>
          <w:docGrid w:type="lines" w:linePitch="312" w:charSpace="0"/>
        </w:sectPr>
      </w:pPr>
    </w:p>
    <w:p>
      <w:pPr>
        <w:rPr>
          <w:rFonts w:hint="default"/>
          <w:szCs w:val="21"/>
          <w:vertAlign w:val="superscript"/>
        </w:rPr>
      </w:pPr>
    </w:p>
    <w:p>
      <w:pPr>
        <w:outlineLvl w:val="1"/>
        <w:rPr>
          <w:rFonts w:ascii="Times New Roman" w:eastAsia="黑体" w:hAnsi="Times New Roman" w:cs="黑体" w:hint="eastAsia"/>
          <w:sz w:val="28"/>
          <w:szCs w:val="28"/>
        </w:rPr>
      </w:pPr>
      <w:bookmarkStart w:id="8" w:name="_Toc10280"/>
      <w:r>
        <w:rPr>
          <w:rFonts w:ascii="Times New Roman" w:eastAsia="黑体" w:hAnsi="Times New Roman" w:cs="黑体" w:hint="eastAsia"/>
          <w:sz w:val="28"/>
          <w:szCs w:val="28"/>
        </w:rPr>
        <w:t>1.3 工艺路线的选择与论证</w:t>
      </w:r>
      <w:bookmarkEnd w:id="8"/>
    </w:p>
    <w:p>
      <w:pPr>
        <w:outlineLvl w:val="2"/>
        <w:rPr>
          <w:rFonts w:ascii="Times New Roman" w:hAnsi="Times New Roman" w:hint="eastAsia"/>
        </w:rPr>
      </w:pPr>
      <w:bookmarkStart w:id="9" w:name="_Toc28409"/>
      <w:r>
        <w:rPr>
          <w:rFonts w:ascii="Times New Roman" w:eastAsia="黑体" w:hAnsi="Times New Roman" w:cs="黑体" w:hint="eastAsia"/>
          <w:sz w:val="24"/>
          <w:szCs w:val="24"/>
        </w:rPr>
        <w:t>1.3.1 SiO/TiO2/CNT复合材料的主要生产工艺</w:t>
      </w:r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目前制备SiO/TiO2/CNT复合材料的方法主要有物理混合法、溶胶-凝胶法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[7]</w:t>
      </w:r>
      <w:r>
        <w:rPr>
          <w:rFonts w:ascii="Times New Roman" w:eastAsia="宋体" w:hAnsi="Times New Roman" w:cs="宋体" w:hint="eastAsia"/>
          <w:sz w:val="24"/>
          <w:szCs w:val="24"/>
        </w:rPr>
        <w:t>、水热法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[8]</w:t>
      </w:r>
      <w:r>
        <w:rPr>
          <w:rFonts w:ascii="Times New Roman" w:eastAsia="宋体" w:hAnsi="Times New Roman" w:cs="宋体" w:hint="eastAsia"/>
          <w:sz w:val="24"/>
          <w:szCs w:val="24"/>
        </w:rPr>
        <w:t>、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喷雾干燥</w:t>
      </w:r>
      <w:r>
        <w:rPr>
          <w:rFonts w:ascii="Times New Roman" w:eastAsia="宋体" w:hAnsi="Times New Roman" w:cs="宋体" w:hint="eastAsia"/>
          <w:sz w:val="24"/>
          <w:szCs w:val="24"/>
        </w:rPr>
        <w:t>法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[9]</w:t>
      </w:r>
      <w:r>
        <w:rPr>
          <w:rFonts w:ascii="Times New Roman" w:eastAsia="宋体" w:hAnsi="Times New Roman" w:cs="宋体" w:hint="eastAsia"/>
          <w:sz w:val="24"/>
          <w:szCs w:val="24"/>
        </w:rPr>
        <w:t>、电化学合成法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[10]</w:t>
      </w:r>
      <w:r>
        <w:rPr>
          <w:rFonts w:ascii="Times New Roman" w:eastAsia="宋体" w:hAnsi="Times New Roman" w:cs="宋体" w:hint="eastAsia"/>
          <w:sz w:val="24"/>
          <w:szCs w:val="24"/>
          <w:lang w:eastAsia="zh-CN"/>
        </w:rPr>
        <w:t>、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化学气相沉积法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[11]</w:t>
      </w:r>
      <w:r>
        <w:rPr>
          <w:rFonts w:ascii="Times New Roman" w:eastAsia="宋体" w:hAnsi="Times New Roman" w:cs="宋体" w:hint="eastAsia"/>
          <w:sz w:val="24"/>
          <w:szCs w:val="24"/>
        </w:rPr>
        <w:t>等。这些方法各有优劣，但是总的来说，以物理混合法、溶胶-凝胶法和水热法为主的制备方法是目前应用最广泛的。</w:t>
      </w:r>
    </w:p>
    <w:p>
      <w:pPr>
        <w:outlineLvl w:val="2"/>
        <w:rPr>
          <w:rFonts w:ascii="Times New Roman" w:eastAsia="黑体" w:hAnsi="Times New Roman" w:cs="黑体" w:hint="eastAsia"/>
          <w:sz w:val="24"/>
        </w:rPr>
      </w:pPr>
      <w:bookmarkStart w:id="10" w:name="_Toc27418"/>
      <w:r>
        <w:rPr>
          <w:rFonts w:ascii="Times New Roman" w:eastAsia="黑体" w:hAnsi="Times New Roman" w:cs="黑体" w:hint="eastAsia"/>
          <w:sz w:val="24"/>
          <w:szCs w:val="24"/>
        </w:rPr>
        <w:t>1.3.2 SiO/TiO2/CNT复合材料的国内外生产现状</w:t>
      </w:r>
      <w:bookmarkEnd w:id="1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从国内的生产现状来看，我国在氧化硅/二氧化钛/碳纳米管复合材料的生产方面已经有了很大的进步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[12]</w:t>
      </w:r>
      <w:r>
        <w:rPr>
          <w:rFonts w:ascii="Times New Roman" w:eastAsia="宋体" w:hAnsi="Times New Roman" w:cs="宋体" w:hint="eastAsia"/>
          <w:sz w:val="24"/>
          <w:szCs w:val="24"/>
        </w:rPr>
        <w:t>。多家企业和研究机构在此领域开展了大量的研究和开发工作，使得我国在氧化硅/二氧化钛/碳纳米管复合材料的生产技术方面逐步走向世界先进水平。例如，上海创凯化学股份有限公司开发的氧化硅/二氧化钛/碳纳米管复合材料已经成功应用于锂离子电池负极材料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[13]</w:t>
      </w:r>
      <w:r>
        <w:rPr>
          <w:rFonts w:ascii="Times New Roman" w:eastAsia="宋体" w:hAnsi="Times New Roman" w:cs="宋体" w:hint="eastAsia"/>
          <w:sz w:val="24"/>
          <w:szCs w:val="24"/>
        </w:rPr>
        <w:t>，并在国内市场上得到了广泛的应用。同时，中科院化学所、哈工大材料科学与工程研究院等多家研究机构也在氧化硅/二氧化钛/碳纳米管复合材料的生产方面开展了大量的研究，为我国的锂离子电池负极材料生产提供了技术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从国外的生产现状来看，氧化硅/二氧化钛/碳纳米管复合材料也在国际市场上得到了广泛的应用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[14]</w:t>
      </w:r>
      <w:r>
        <w:rPr>
          <w:rFonts w:ascii="Times New Roman" w:eastAsia="宋体" w:hAnsi="Times New Roman" w:cs="宋体" w:hint="eastAsia"/>
          <w:sz w:val="24"/>
          <w:szCs w:val="24"/>
        </w:rPr>
        <w:t>。日本的旭硝子公司已经推出了一系列氧化硅/二氧化钛/碳纳米管复合材料产品，其性能稳定，具有很高的放电容量和循环性能，受到了国际市场的认可。此外，美国、欧洲等发达国家也在氧化硅/二氧化钛/碳纳米管复合材料的生产方面取得了很大的进展。例如，美国的Angstron Materials公司和3M公司都在此领域开展了大量的研究和开发工作，取得了很好的成果。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综上所述，氧化硅/二氧化钛/碳纳米管复合材料已经成为了锂离子电池负极材料的重要代表之一。无论是在国内还是国外，相关企业和研究机构都在加紧研究和开发工作，推动这种材料的生产技术不断向前发展。</w:t>
      </w: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hAnsi="Times New Roman"/>
        </w:rPr>
      </w:pPr>
      <w:bookmarkStart w:id="11" w:name="_Toc29156"/>
      <w:r>
        <w:rPr>
          <w:rFonts w:ascii="Times New Roman" w:eastAsia="黑体" w:hAnsi="Times New Roman" w:cs="黑体" w:hint="default"/>
          <w:sz w:val="28"/>
          <w:szCs w:val="28"/>
          <w:lang w:val="en-US" w:eastAsia="zh-CN"/>
        </w:rPr>
        <w:t xml:space="preserve">1.4 </w:t>
      </w:r>
      <w:r>
        <w:rPr>
          <w:rFonts w:ascii="Times New Roman" w:eastAsia="黑体" w:hAnsi="Times New Roman" w:cs="黑体" w:hint="eastAsia"/>
          <w:sz w:val="28"/>
          <w:szCs w:val="28"/>
          <w:lang w:val="en-US" w:eastAsia="zh-CN"/>
        </w:rPr>
        <w:t>工厂定位与选址</w:t>
      </w:r>
      <w:bookmarkEnd w:id="11"/>
    </w:p>
    <w:p>
      <w:pPr>
        <w:outlineLvl w:val="2"/>
        <w:rPr>
          <w:rFonts w:ascii="Times New Roman" w:eastAsia="黑体" w:hAnsi="Times New Roman" w:cs="黑体" w:hint="eastAsia"/>
          <w:sz w:val="24"/>
        </w:rPr>
        <w:sectPr>
          <w:headerReference w:type="default" r:id="rId19"/>
          <w:footerReference w:type="default" r:id="rId20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4"/>
          <w:cols w:num="1" w:space="425"/>
          <w:titlePg w:val="0"/>
          <w:docGrid w:type="lines" w:linePitch="312" w:charSpace="0"/>
        </w:sectPr>
      </w:pPr>
      <w:bookmarkStart w:id="12" w:name="_Toc25905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1.4.1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选址原因</w:t>
      </w:r>
      <w:bookmarkEnd w:id="1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一个工厂的选址不仅需要考虑政治、经济因素，还要考虑环境保护等因素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[15]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。厂址的选择不仅关系到工业布局的落实、投资地区的分配、生态环境的平衡，同时也影响着今后企业的发展，所以厂址选择必须要根据国家建设的各项政策方针，进行多方案比较论证，最后从中选择最优方案进行建厂。</w:t>
      </w:r>
    </w:p>
    <w:p>
      <w:pPr>
        <w:outlineLvl w:val="2"/>
        <w:rPr>
          <w:rFonts w:ascii="Times New Roman" w:eastAsia="黑体" w:hAnsi="Times New Roman" w:cs="黑体" w:hint="eastAsia"/>
          <w:sz w:val="24"/>
        </w:rPr>
      </w:pPr>
      <w:bookmarkStart w:id="13" w:name="_Toc18619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1.4.2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工厂选址</w:t>
      </w:r>
      <w:bookmarkEnd w:id="1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为满足上述要求，工厂选在贵州省贵阳市贵安新区高端产业园区，如图所示：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drawing>
          <wp:inline distT="0" distB="0" distL="114300" distR="114300">
            <wp:extent cx="3599815" cy="3053715"/>
            <wp:effectExtent l="0" t="0" r="635" b="13335"/>
            <wp:docPr id="5" name="图片 5" descr="qq_pic_merged_1683275718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_pic_merged_16832757182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ascii="Times New Roman" w:eastAsia="宋体" w:hAnsi="Times New Roman" w:cs="宋体" w:hint="default"/>
          <w:sz w:val="24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图1.4工厂选址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</w:p>
    <w:p>
      <w:pPr>
        <w:outlineLvl w:val="2"/>
        <w:rPr>
          <w:rFonts w:ascii="Times New Roman" w:eastAsia="黑体" w:hAnsi="Times New Roman" w:cs="黑体" w:hint="eastAsia"/>
          <w:sz w:val="24"/>
        </w:rPr>
      </w:pPr>
      <w:bookmarkStart w:id="14" w:name="_Toc10362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1.4.3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选址理由</w:t>
      </w:r>
      <w:bookmarkEnd w:id="14"/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（一）地势方面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贵安新区位于贵阳市和安顺市的交界处，是黔中经济区的核心地带，同时又是贵州省地势最为平坦开阔、用地条件最好、开发建设成本较低的地点。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（二）交通方面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5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贵安新区的交通非常便捷。其中，沪昆高速、沪昆高铁贯穿整个境内。辖区骨干路线健全，贵阳与贵安之间互联互通，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30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分钟内可到达龙洞堡国际机场、黄果树支线机场、贵阳北站、贵阳东站。通过乘坐高铁，到达贵州省周边省会城市只需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2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到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4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小时，而抵达出海港口仅需要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6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小时。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（三）市场优势方面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贵安新区位于中国西南出海大通道，连接着成渝、长三角、珠三角和东盟自由贸易区，拥有广阔的销售市场，同时在贵安新区高端产业园区内也有锂离子电池企业，可将生产的材料销售给他们，从而降低运输成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（四）基础设施方面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贵阳与贵安新区的产业园互建互营、交通互通互达、社会服务互认共享。同时这里拥有北京师范大学贵安新区附属学校、贵州医科大学附属医院贵安医院、贵州理工学院等优质教育和医疗资源。并逐步建设贵安高铁站、物流港等设施，在政务上实现“一网通办、全域可办、就近能办”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（五）当地政策方面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贵州贵安新区是国务院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2014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年批准设立的第八个国家级新区，全面享受省委省政府的支持，并有贵安新区高质量发展八条支持政策、实施“强省会”五年行动十大类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35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项硬核政策、新时代西部大开发系列优惠政策。例如在税收方面，自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2021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年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1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月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1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日至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2030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年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12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月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31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日，对设立在西部地区的鼓励类企业按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16%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的税率征收企业所得税。同时在能源方面，大型企业和大型及以上数据中心实行 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 xml:space="preserve">0.35 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元</w:t>
      </w:r>
      <w:r>
        <w:rPr>
          <w:rFonts w:ascii="Times New Roman" w:eastAsia="宋体" w:hAnsi="Times New Roman" w:cs="宋体" w:hint="default"/>
          <w:sz w:val="24"/>
          <w:szCs w:val="24"/>
          <w:lang w:val="en-US" w:eastAsia="zh-CN"/>
        </w:rPr>
        <w:t>/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>千瓦时的电价政策。因此选择此位置建设工厂。</w:t>
      </w:r>
    </w:p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宋体" w:hint="eastAsia"/>
          <w:sz w:val="24"/>
        </w:rPr>
      </w:pPr>
    </w:p>
    <w:p>
      <w:pPr>
        <w:outlineLvl w:val="1"/>
        <w:rPr>
          <w:rFonts w:ascii="Times New Roman" w:eastAsia="黑体" w:hAnsi="Times New Roman" w:cs="黑体" w:hint="eastAsia"/>
          <w:sz w:val="28"/>
          <w:szCs w:val="28"/>
        </w:rPr>
      </w:pPr>
      <w:bookmarkStart w:id="15" w:name="_Toc25110"/>
      <w:r>
        <w:rPr>
          <w:rFonts w:ascii="Times New Roman" w:eastAsia="黑体" w:hAnsi="Times New Roman" w:cs="黑体" w:hint="eastAsia"/>
          <w:sz w:val="28"/>
          <w:szCs w:val="28"/>
        </w:rPr>
        <w:t>1.5 年工日的制定与工作制度</w:t>
      </w:r>
      <w:bookmarkEnd w:id="1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年工日是企业管理的一个重要指标，它直接影响到企业的生产效率和工人的劳动强度。在本设计中，我们将制定一个合理的年工日制度，以保证生产效率和工人的劳动强度达到一个平衡点。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6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宋体" w:hint="eastAsia"/>
          <w:sz w:val="24"/>
          <w:szCs w:val="24"/>
        </w:rPr>
        <w:t>首先，我们需要确定每天的工作时间和每周的工作天数。根据国家相关规定，成年工人每天工作时间不得超过8小时，每周工作时间不得超过40小时。因此，我们将每天的工作时间定为8小时，每周工作天数定为5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接下来，我们需要确定每年的工作日数。通常情况下，一年的总天数为365天，减去52个周末（每周2天）和10个法定假日，一年的工作日数为253天。但考虑到电池行业需要保证生产的连续性和稳定性，我们将每年的工作日数定为300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</w:rPr>
        <w:t>最后，我们需要制定一套科学合理的工作制度，以保证工人的身体健康和工作效率</w:t>
      </w:r>
      <w:r>
        <w:rPr>
          <w:rFonts w:ascii="Times New Roman" w:eastAsia="宋体" w:hAnsi="Times New Roman" w:cs="宋体" w:hint="eastAsia"/>
          <w:sz w:val="24"/>
          <w:szCs w:val="24"/>
          <w:vertAlign w:val="superscript"/>
          <w:lang w:val="en-US" w:eastAsia="zh-CN"/>
        </w:rPr>
        <w:t>[16]</w:t>
      </w:r>
      <w:r>
        <w:rPr>
          <w:rFonts w:ascii="Times New Roman" w:eastAsia="宋体" w:hAnsi="Times New Roman" w:cs="宋体" w:hint="eastAsia"/>
          <w:sz w:val="24"/>
          <w:szCs w:val="24"/>
        </w:rPr>
        <w:t>。根据工艺流程的特点，我们将采用班组轮换制，每个班组轮换2天休息1天，保证工人有充足的休息时间，避免长期的连续工作对身体的不良影响。同时，我们将严格执行国家的劳动保护法规，加强劳动保护措施，定期进行职业健康检查，确保工人的身体健康和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7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outlineLvl w:val="0"/>
        <w:rPr>
          <w:rFonts w:ascii="Times New Roman" w:eastAsia="黑体" w:hAnsi="Times New Roman" w:cs="宋体" w:hint="default"/>
          <w:sz w:val="24"/>
        </w:rPr>
      </w:pPr>
      <w:bookmarkStart w:id="16" w:name="_Toc746"/>
      <w:r>
        <w:rPr>
          <w:rFonts w:ascii="Times New Roman" w:eastAsia="黑体" w:hAnsi="Times New Roman" w:cs="黑体" w:hint="eastAsia"/>
          <w:sz w:val="30"/>
          <w:szCs w:val="30"/>
        </w:rPr>
        <w:t>第</w:t>
      </w:r>
      <w:r>
        <w:rPr>
          <w:rFonts w:ascii="Times New Roman" w:eastAsia="黑体" w:hAnsi="Times New Roman" w:cs="黑体" w:hint="eastAsia"/>
          <w:sz w:val="30"/>
          <w:szCs w:val="30"/>
          <w:lang w:val="en-US" w:eastAsia="zh-CN"/>
        </w:rPr>
        <w:t>二</w:t>
      </w:r>
      <w:r>
        <w:rPr>
          <w:rFonts w:ascii="Times New Roman" w:eastAsia="黑体" w:hAnsi="Times New Roman" w:cs="黑体" w:hint="eastAsia"/>
          <w:sz w:val="30"/>
          <w:szCs w:val="30"/>
        </w:rPr>
        <w:t xml:space="preserve">章 </w:t>
      </w:r>
      <w:r>
        <w:rPr>
          <w:rFonts w:ascii="Times New Roman" w:eastAsia="黑体" w:hAnsi="Times New Roman" w:cs="黑体" w:hint="eastAsia"/>
          <w:sz w:val="30"/>
          <w:szCs w:val="30"/>
          <w:lang w:val="en-US" w:eastAsia="zh-CN"/>
        </w:rPr>
        <w:t>工艺流程设计</w:t>
      </w:r>
      <w:bookmarkEnd w:id="16"/>
    </w:p>
    <w:p>
      <w:pPr>
        <w:outlineLvl w:val="1"/>
        <w:rPr>
          <w:rFonts w:ascii="Times New Roman" w:eastAsia="黑体" w:hAnsi="Times New Roman" w:cs="宋体" w:hint="default"/>
          <w:sz w:val="24"/>
        </w:rPr>
      </w:pPr>
      <w:bookmarkStart w:id="17" w:name="_Toc28392"/>
      <w:r>
        <w:rPr>
          <w:rFonts w:ascii="Times New Roman" w:eastAsia="黑体" w:hAnsi="Times New Roman" w:cs="黑体" w:hint="eastAsia"/>
          <w:sz w:val="28"/>
          <w:szCs w:val="28"/>
          <w:lang w:val="en-US" w:eastAsia="zh-CN"/>
        </w:rPr>
        <w:t>2.1</w:t>
      </w:r>
      <w:r>
        <w:rPr>
          <w:rFonts w:ascii="Times New Roman" w:eastAsia="黑体" w:hAnsi="Times New Roman" w:cs="黑体" w:hint="eastAsia"/>
          <w:sz w:val="28"/>
          <w:szCs w:val="28"/>
        </w:rPr>
        <w:t xml:space="preserve"> </w:t>
      </w:r>
      <w:r>
        <w:rPr>
          <w:rFonts w:ascii="Times New Roman" w:eastAsia="黑体" w:hAnsi="Times New Roman" w:cs="黑体" w:hint="eastAsia"/>
          <w:sz w:val="28"/>
          <w:szCs w:val="28"/>
          <w:lang w:val="en-US" w:eastAsia="zh-CN"/>
        </w:rPr>
        <w:t>氧化硅/二氧化钛/碳纳米管负极复合材料工艺制备</w:t>
      </w:r>
      <w:bookmarkEnd w:id="1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eastAsia="宋体" w:hAnsi="Times New Roman" w:cs="宋体" w:hint="eastAsia"/>
          <w:sz w:val="24"/>
          <w:szCs w:val="24"/>
          <w:lang w:eastAsia="zh-CN"/>
        </w:rPr>
        <w:drawing>
          <wp:inline distT="0" distB="0" distL="114300" distR="114300">
            <wp:extent cx="3418840" cy="6579870"/>
            <wp:effectExtent l="0" t="0" r="10160" b="11430"/>
            <wp:docPr id="13" name="图片 13" descr="未命名文件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未命名文件(3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18840" cy="657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ascii="Times New Roman" w:eastAsia="黑体" w:hAnsi="Times New Roman" w:cs="黑体" w:hint="default"/>
          <w:color w:val="000000"/>
          <w:kern w:val="0"/>
          <w:szCs w:val="21"/>
          <w:lang w:bidi="ar"/>
        </w:rPr>
        <w:sectPr>
          <w:headerReference w:type="default" r:id="rId29"/>
          <w:footerReference w:type="default" r:id="rId30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8"/>
          <w:cols w:num="1" w:space="425"/>
          <w:titlePg w:val="0"/>
          <w:docGrid w:type="lines" w:linePitch="312" w:charSpace="0"/>
        </w:sect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图2.1工艺流程图</w:t>
      </w:r>
    </w:p>
    <w:p>
      <w:pPr>
        <w:rPr>
          <w:rFonts w:ascii="Times New Roman" w:eastAsia="黑体" w:hAnsi="Times New Roman" w:cs="黑体" w:hint="eastAsia"/>
          <w:sz w:val="28"/>
          <w:szCs w:val="28"/>
        </w:rPr>
      </w:pPr>
    </w:p>
    <w:p>
      <w:pPr>
        <w:outlineLvl w:val="1"/>
        <w:rPr>
          <w:rFonts w:ascii="Times New Roman" w:eastAsia="黑体" w:hAnsi="Times New Roman" w:cs="黑体" w:hint="eastAsia"/>
          <w:sz w:val="28"/>
          <w:szCs w:val="28"/>
        </w:rPr>
      </w:pPr>
      <w:bookmarkStart w:id="18" w:name="_Toc22829"/>
    </w:p>
    <w:p>
      <w:pPr>
        <w:outlineLvl w:val="1"/>
        <w:rPr>
          <w:rFonts w:ascii="Times New Roman" w:eastAsia="黑体" w:hAnsi="Times New Roman" w:cs="黑体" w:hint="eastAsia"/>
          <w:sz w:val="28"/>
          <w:szCs w:val="28"/>
        </w:rPr>
      </w:pPr>
      <w:r>
        <w:rPr>
          <w:rFonts w:ascii="Times New Roman" w:eastAsia="黑体" w:hAnsi="Times New Roman" w:cs="黑体" w:hint="eastAsia"/>
          <w:sz w:val="28"/>
          <w:szCs w:val="28"/>
          <w:lang w:val="en-US" w:eastAsia="zh-CN"/>
        </w:rPr>
        <w:t>2.2</w:t>
      </w:r>
      <w:r>
        <w:rPr>
          <w:rFonts w:ascii="Times New Roman" w:eastAsia="黑体" w:hAnsi="Times New Roman" w:cs="黑体" w:hint="eastAsia"/>
          <w:sz w:val="28"/>
          <w:szCs w:val="28"/>
        </w:rPr>
        <w:t xml:space="preserve"> </w:t>
      </w:r>
      <w:r>
        <w:rPr>
          <w:rFonts w:ascii="Times New Roman" w:eastAsia="黑体" w:hAnsi="Times New Roman" w:cs="黑体" w:hint="eastAsia"/>
          <w:sz w:val="28"/>
          <w:szCs w:val="28"/>
          <w:lang w:val="en-US" w:eastAsia="zh-CN"/>
        </w:rPr>
        <w:t>工艺流程</w:t>
      </w:r>
      <w:bookmarkEnd w:id="1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default"/>
          <w:sz w:val="24"/>
        </w:rPr>
      </w:pP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工序流程的设计如图2.2所示：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ascii="Times New Roman" w:hAnsi="Times New Roman" w:hint="eastAsia"/>
        </w:rPr>
      </w:pPr>
      <w:r>
        <w:rPr>
          <w:rFonts w:ascii="Times New Roman" w:hAnsi="Times New Roman" w:eastAsiaTheme="minorEastAsia" w:hint="eastAsia"/>
          <w:lang w:eastAsia="zh-CN"/>
        </w:rPr>
        <w:drawing>
          <wp:inline distT="0" distB="0" distL="114300" distR="114300">
            <wp:extent cx="2143760" cy="5339080"/>
            <wp:effectExtent l="0" t="0" r="8890" b="13970"/>
            <wp:docPr id="14" name="图片 14" descr="未命名文件(3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未命名文件(3)(1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43760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ascii="Times New Roman" w:eastAsia="黑体" w:hAnsi="Times New Roman" w:cs="黑体" w:hint="default"/>
          <w:color w:val="000000"/>
          <w:kern w:val="0"/>
          <w:szCs w:val="21"/>
          <w:lang w:bidi="ar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图2.2工序流程图</w:t>
      </w:r>
    </w:p>
    <w:p>
      <w:pPr>
        <w:outlineLvl w:val="2"/>
        <w:rPr>
          <w:rFonts w:ascii="Times New Roman" w:eastAsia="黑体" w:hAnsi="Times New Roman" w:cs="黑体" w:hint="eastAsia"/>
          <w:sz w:val="24"/>
        </w:rPr>
      </w:pPr>
      <w:bookmarkStart w:id="19" w:name="_Toc654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2.2.1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预处理工序</w:t>
      </w:r>
      <w:bookmarkEnd w:id="19"/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9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将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氧化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硅、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二氧化钛、碳纳米管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粉末与溶剂在超声波助溶设备的帮助下进行分散，制备成分散均匀、无明显固液分离现象的分散液，之后再将制备好的原料分散液取样送往检测，看是否满足工艺要求。在符合标准后，就可将原料分散液送往下一工序进行处理。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</w:t>
      </w:r>
    </w:p>
    <w:p>
      <w:pPr>
        <w:outlineLvl w:val="2"/>
        <w:rPr>
          <w:rFonts w:ascii="Times New Roman" w:eastAsia="黑体" w:hAnsi="Times New Roman" w:cs="黑体" w:hint="default"/>
          <w:sz w:val="24"/>
        </w:rPr>
      </w:pPr>
      <w:bookmarkStart w:id="20" w:name="_Toc13581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2.2.2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混合工序</w:t>
      </w:r>
      <w:bookmarkEnd w:id="20"/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将上一工序送来的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三种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原料分散液按一定比例送入混合设备，通过该设备不断对其进行搅拌，同时还需要对其进行加热处理，让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氧化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硅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、二氧化钛与碳纳米管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材料能够均匀的进行反应，之后就可获得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氧化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硅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/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二氧化钛/碳纳米管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复合材料的浆液，同时也需对其进行取样检测，经检验合格后送往下一工序。在该工序中，按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80 r/min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对其进行搅拌，且在加热时，温度保持在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8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0℃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左右，并通过搅拌的时间来调节浆料的粒度。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outlineLvl w:val="2"/>
        <w:rPr>
          <w:rFonts w:ascii="Times New Roman" w:eastAsia="黑体" w:hAnsi="Times New Roman" w:cs="黑体" w:hint="default"/>
          <w:sz w:val="24"/>
        </w:rPr>
      </w:pPr>
      <w:bookmarkStart w:id="21" w:name="_Toc7199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2.2.3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分离工序</w:t>
      </w:r>
      <w:bookmarkEnd w:id="21"/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将上一工序送来的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氧化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硅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/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二氧化钛/碳纳米管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复合材料的浆料使用分离设备进行分离，之后再将分离出来的材料送往下一工序。同时在该工序中分离出来的还有其废液，需要对其进行回收处理。</w:t>
      </w:r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hAnsi="Times New Roman"/>
        </w:rPr>
      </w:pPr>
      <w:bookmarkStart w:id="22" w:name="_Toc3049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>2.2.4 干燥工序</w:t>
      </w:r>
      <w:bookmarkEnd w:id="22"/>
      <w:r>
        <w:rPr>
          <w:rFonts w:ascii="Times New Roman" w:eastAsia="黑体" w:hAnsi="Times New Roman" w:cs="黑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经分离后送来的的前驱体材料含水量约为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10%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左右，还不能对其进行烧结处理，需要将其送往干燥设备进行干燥，之后再将其送往下一阶段。在该工序中干燥温度设置在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80℃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。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hAnsi="Times New Roman"/>
        </w:rPr>
      </w:pPr>
      <w:bookmarkStart w:id="23" w:name="_Toc11133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2.2.5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煅烧工序</w:t>
      </w:r>
      <w:bookmarkEnd w:id="23"/>
      <w:r>
        <w:rPr>
          <w:rFonts w:ascii="Times New Roman" w:eastAsia="黑体" w:hAnsi="Times New Roman" w:cs="黑体" w:hint="eastAsia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将上一阶段送来的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氧化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硅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/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二氧化钛/碳纳米管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前驱体材料送往煅烧设备进行煅烧，之后再将煅烧后获得的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氧化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硅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/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二氧化钛/碳纳米管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复合材料取样送往检测，经检测观察该复合材料的晶粒尺寸、形状与分布情况等在符合要求后，即可送入下一工序。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eastAsia="黑体" w:hAnsi="Times New Roman" w:cs="黑体" w:hint="default"/>
          <w:sz w:val="24"/>
        </w:rPr>
      </w:pPr>
      <w:bookmarkStart w:id="24" w:name="_Toc9750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2.2.6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研磨粉筛工序</w:t>
      </w:r>
      <w:bookmarkEnd w:id="24"/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0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经过煅烧工序处理后获得的复合材料还不能进行出售处理，因为该材料颗粒与颗粒之间会出现成团或成块的现象，影响其性能，从而导致产品品质下降，因此需要采用研磨设备来对煅烧后获得的材料进行研磨，制成符合工艺要求的粉体材料。同时在研磨过后还需对其进行粉筛分类，之后再送往下一阶段。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hAnsi="Times New Roman"/>
        </w:rPr>
      </w:pPr>
      <w:bookmarkStart w:id="25" w:name="_Toc30652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2.2.7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包装工序</w:t>
      </w:r>
      <w:bookmarkEnd w:id="25"/>
      <w:r>
        <w:rPr>
          <w:rFonts w:ascii="Times New Roman" w:eastAsia="黑体" w:hAnsi="Times New Roman" w:cs="黑体" w:hint="eastAsia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将研磨粉筛好的氧化硅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/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二氧化钛/碳纳米管复合材料送往检测，在达到生产工艺品质标准后，通过自动包装机，将成品的氧化硅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/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二氧化钛/碳纳米管复合材料装入包装吨袋中，最后再将包装完成的氧化硅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/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二氧化钛/碳纳米管复合材料进行登记入库。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rPr>
          <w:rFonts w:ascii="Times New Roman" w:eastAsia="黑体" w:hAnsi="Times New Roman" w:cs="黑体" w:hint="eastAsia"/>
          <w:sz w:val="30"/>
          <w:szCs w:val="30"/>
        </w:rPr>
      </w:pPr>
      <w:r>
        <w:rPr>
          <w:rFonts w:ascii="Times New Roman" w:eastAsia="黑体" w:hAnsi="Times New Roman" w:cs="黑体" w:hint="eastAsia"/>
          <w:sz w:val="30"/>
          <w:szCs w:val="30"/>
          <w:lang w:val="en-US" w:eastAsia="zh-CN"/>
        </w:rPr>
        <w:t xml:space="preserve">第 </w:t>
      </w:r>
      <w:r>
        <w:rPr>
          <w:rFonts w:ascii="Times New Roman" w:eastAsia="黑体" w:hAnsi="Times New Roman" w:cs="黑体" w:hint="default"/>
          <w:sz w:val="30"/>
          <w:szCs w:val="30"/>
          <w:lang w:val="en-US" w:eastAsia="zh-CN"/>
        </w:rPr>
        <w:t xml:space="preserve">3 </w:t>
      </w:r>
      <w:r>
        <w:rPr>
          <w:rFonts w:ascii="Times New Roman" w:eastAsia="黑体" w:hAnsi="Times New Roman" w:cs="黑体" w:hint="eastAsia"/>
          <w:sz w:val="30"/>
          <w:szCs w:val="30"/>
          <w:lang w:val="en-US" w:eastAsia="zh-CN"/>
        </w:rPr>
        <w:t xml:space="preserve">章 工艺计算 </w:t>
      </w: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hAnsi="Times New Roman"/>
        </w:rPr>
      </w:pPr>
      <w:bookmarkStart w:id="26" w:name="_Toc5669"/>
      <w:r>
        <w:rPr>
          <w:rFonts w:ascii="Times New Roman" w:eastAsia="黑体" w:hAnsi="Times New Roman" w:cs="黑体" w:hint="default"/>
          <w:sz w:val="28"/>
          <w:szCs w:val="28"/>
          <w:lang w:val="en-US" w:eastAsia="zh-CN"/>
        </w:rPr>
        <w:t xml:space="preserve">3.1 </w:t>
      </w:r>
      <w:r>
        <w:rPr>
          <w:rFonts w:ascii="Times New Roman" w:eastAsia="黑体" w:hAnsi="Times New Roman" w:cs="黑体" w:hint="eastAsia"/>
          <w:sz w:val="28"/>
          <w:szCs w:val="28"/>
          <w:lang w:val="en-US" w:eastAsia="zh-CN"/>
        </w:rPr>
        <w:t>物料衡算</w:t>
      </w:r>
      <w:bookmarkEnd w:id="26"/>
      <w:r>
        <w:rPr>
          <w:rFonts w:ascii="Times New Roman" w:eastAsia="黑体" w:hAnsi="Times New Roman" w:cs="黑体" w:hint="eastAsia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1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）在本设计中硅与氧化石墨烯按质量比为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9:1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进行混料；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2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）根据冶金平衡计算法则，物料衡算是反映在生产工艺过程中，各个工序处理物料量的多少，是设计中进行设备选型和技术的依据；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3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）衡算基本原则：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理论基础：质量守恒定律、化学计量关系。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总原则：“收支平衡”即ΣG入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= ΣG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产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+ ΣG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损式中：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ΣG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入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——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原料的进料量；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ΣG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产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——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最终获得的产品量；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ΣG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损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——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物料损失量。 </w:t>
      </w: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hAnsi="Times New Roman"/>
        </w:rPr>
      </w:pPr>
      <w:bookmarkStart w:id="27" w:name="_Toc14799"/>
      <w:r>
        <w:rPr>
          <w:rFonts w:ascii="Times New Roman" w:eastAsia="黑体" w:hAnsi="Times New Roman" w:cs="黑体" w:hint="default"/>
          <w:sz w:val="28"/>
          <w:szCs w:val="28"/>
          <w:lang w:val="en-US" w:eastAsia="zh-CN"/>
        </w:rPr>
        <w:t>3.2 损耗参数</w:t>
      </w:r>
      <w:bookmarkEnd w:id="27"/>
      <w:r>
        <w:rPr>
          <w:rFonts w:ascii="Times New Roman" w:eastAsia="黑体" w:hAnsi="Times New Roman" w:cs="黑体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  <w:sectPr>
          <w:headerReference w:type="default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1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在新能源材料的生产制备中，原料的进料量与出料量会有很大的差异，而这个差异是无法避免的，只能在各工序中去调整，尽量去减小这个损失。在本设计中，经查阅相关资料，获得各阶段生产损耗参数如下所示：</w:t>
      </w:r>
    </w:p>
    <w:p>
      <w:pPr>
        <w:keepNext w:val="0"/>
        <w:keepLines w:val="0"/>
        <w:widowControl/>
        <w:suppressLineNumbers w:val="0"/>
        <w:jc w:val="center"/>
        <w:rPr>
          <w:rFonts w:ascii="Times New Roman" w:eastAsia="黑体" w:hAnsi="Times New Roman" w:cs="黑体" w:hint="eastAsia"/>
          <w:color w:val="000000"/>
          <w:kern w:val="0"/>
          <w:szCs w:val="21"/>
          <w:lang w:bidi="ar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表 3.1 前驱体阶段的损耗</w:t>
      </w:r>
    </w:p>
    <w:tbl>
      <w:tblPr>
        <w:tblStyle w:val="TableGrid1"/>
        <w:tblW w:w="852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>
        <w:tblPrEx>
          <w:tblW w:w="8522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工序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预处理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混合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分离</w:t>
            </w:r>
          </w:p>
        </w:tc>
        <w:tc>
          <w:tcPr>
            <w:tcW w:w="1218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干燥</w:t>
            </w:r>
          </w:p>
        </w:tc>
        <w:tc>
          <w:tcPr>
            <w:tcW w:w="1218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煅烧</w:t>
            </w:r>
          </w:p>
        </w:tc>
        <w:tc>
          <w:tcPr>
            <w:tcW w:w="1218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总损耗</w:t>
            </w:r>
          </w:p>
        </w:tc>
      </w:tr>
      <w:tr>
        <w:tblPrEx>
          <w:tblW w:w="8522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损耗/%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0.1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0.5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18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0.6</w:t>
            </w:r>
          </w:p>
        </w:tc>
        <w:tc>
          <w:tcPr>
            <w:tcW w:w="1218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1.5</w:t>
            </w:r>
          </w:p>
        </w:tc>
        <w:tc>
          <w:tcPr>
            <w:tcW w:w="1218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3.7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在将前驱体材料经过热处理之后，需要对其进行研磨粉筛，最后再将其包装，在该过程当中的损耗如下： </w:t>
      </w:r>
    </w:p>
    <w:p>
      <w:pPr>
        <w:keepNext w:val="0"/>
        <w:keepLines w:val="0"/>
        <w:widowControl/>
        <w:suppressLineNumbers w:val="0"/>
        <w:jc w:val="center"/>
        <w:rPr>
          <w:rFonts w:ascii="Times New Roman" w:eastAsia="黑体" w:hAnsi="Times New Roman" w:cs="黑体" w:hint="default"/>
          <w:color w:val="000000"/>
          <w:kern w:val="0"/>
          <w:szCs w:val="21"/>
          <w:lang w:bidi="ar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表3.2成品制备时的损耗</w:t>
      </w:r>
    </w:p>
    <w:tbl>
      <w:tblPr>
        <w:tblStyle w:val="TableGrid1"/>
        <w:tblW w:w="8522" w:type="dxa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W w:w="8522" w:type="dxa"/>
          <w:tblInd w:w="0" w:type="dxa"/>
          <w:tblBorders>
            <w:top w:val="single" w:sz="12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single" w:sz="4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工序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研磨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包装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总损耗</w:t>
            </w:r>
          </w:p>
        </w:tc>
      </w:tr>
      <w:tr>
        <w:tblPrEx>
          <w:tblW w:w="8522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损耗/%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0.2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2.2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eastAsia="黑体" w:hAnsi="Times New Roman" w:cs="黑体" w:hint="default"/>
          <w:sz w:val="28"/>
          <w:szCs w:val="28"/>
        </w:rPr>
      </w:pP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eastAsia="黑体" w:hAnsi="Times New Roman" w:cs="黑体" w:hint="default"/>
          <w:sz w:val="28"/>
          <w:szCs w:val="28"/>
        </w:rPr>
      </w:pP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eastAsia="黑体" w:hAnsi="Times New Roman" w:cs="黑体" w:hint="default"/>
          <w:sz w:val="28"/>
          <w:szCs w:val="28"/>
        </w:rPr>
      </w:pP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eastAsia="黑体" w:hAnsi="Times New Roman" w:cs="黑体" w:hint="default"/>
          <w:sz w:val="28"/>
          <w:szCs w:val="28"/>
        </w:rPr>
      </w:pPr>
      <w:bookmarkStart w:id="28" w:name="_Toc26453"/>
      <w:r>
        <w:rPr>
          <w:rFonts w:ascii="Times New Roman" w:eastAsia="黑体" w:hAnsi="Times New Roman" w:cs="黑体" w:hint="default"/>
          <w:sz w:val="28"/>
          <w:szCs w:val="28"/>
          <w:lang w:val="en-US" w:eastAsia="zh-CN"/>
        </w:rPr>
        <w:t>3.3 原料计算</w:t>
      </w:r>
      <w:bookmarkEnd w:id="28"/>
    </w:p>
    <w:p>
      <w:pPr>
        <w:keepNext w:val="0"/>
        <w:keepLines w:val="0"/>
        <w:widowControl/>
        <w:suppressLineNumbers w:val="0"/>
        <w:jc w:val="center"/>
        <w:rPr>
          <w:rFonts w:ascii="Times New Roman" w:eastAsia="黑体" w:hAnsi="Times New Roman" w:cs="黑体" w:hint="default"/>
          <w:color w:val="000000"/>
          <w:kern w:val="0"/>
          <w:szCs w:val="21"/>
          <w:lang w:bidi="ar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表3.3原料</w:t>
      </w:r>
    </w:p>
    <w:tbl>
      <w:tblPr>
        <w:tblStyle w:val="TableGrid1"/>
        <w:tblW w:w="811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1114"/>
        <w:gridCol w:w="1973"/>
        <w:gridCol w:w="1686"/>
        <w:gridCol w:w="1114"/>
        <w:gridCol w:w="829"/>
      </w:tblGrid>
      <w:tr>
        <w:tblPrEx>
          <w:tblW w:w="8116" w:type="dxa"/>
          <w:jc w:val="center"/>
          <w:tblInd w:w="0" w:type="dxa"/>
          <w:tblBorders>
            <w:top w:val="single" w:sz="12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/>
          <w:jc w:val="center"/>
        </w:trPr>
        <w:tc>
          <w:tcPr>
            <w:tcW w:w="1400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物料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分子式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相对分子质量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 xml:space="preserve">密度 </w:t>
            </w:r>
            <w:r>
              <w:rPr>
                <w:rFonts w:ascii="Times New Roman" w:hAnsi="Times New Roman" w:cstheme="minorEastAsia" w:hint="default"/>
                <w:sz w:val="21"/>
                <w:szCs w:val="21"/>
                <w:vertAlign w:val="baseline"/>
                <w:lang w:val="en-US" w:eastAsia="zh-CN"/>
              </w:rPr>
              <w:t>g/cm3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级别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含量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</w:p>
        </w:tc>
      </w:tr>
      <w:tr>
        <w:tblPrEx>
          <w:tblW w:w="8116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/>
          <w:jc w:val="center"/>
        </w:trPr>
        <w:tc>
          <w:tcPr>
            <w:tcW w:w="1400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氧化硅</w:t>
            </w:r>
          </w:p>
        </w:tc>
        <w:tc>
          <w:tcPr>
            <w:tcW w:w="1114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SiO</w:t>
            </w:r>
          </w:p>
        </w:tc>
        <w:tc>
          <w:tcPr>
            <w:tcW w:w="1973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1686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2.13</w:t>
            </w:r>
          </w:p>
        </w:tc>
        <w:tc>
          <w:tcPr>
            <w:tcW w:w="1114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电池级</w:t>
            </w:r>
          </w:p>
        </w:tc>
        <w:tc>
          <w:tcPr>
            <w:tcW w:w="829" w:type="dxa"/>
            <w:tcBorders>
              <w:top w:val="single" w:sz="4" w:space="0" w:color="auto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0.99</w:t>
            </w:r>
          </w:p>
        </w:tc>
      </w:tr>
      <w:tr>
        <w:tblPrEx>
          <w:tblW w:w="8116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/>
          <w:jc w:val="center"/>
        </w:trPr>
        <w:tc>
          <w:tcPr>
            <w:tcW w:w="14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二氧化钛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TiO</w:t>
            </w:r>
          </w:p>
        </w:tc>
        <w:tc>
          <w:tcPr>
            <w:tcW w:w="197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79.9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3.9-4.2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电池级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0.99</w:t>
            </w:r>
          </w:p>
        </w:tc>
      </w:tr>
      <w:tr>
        <w:tblPrEx>
          <w:tblW w:w="8116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/>
          <w:jc w:val="center"/>
        </w:trPr>
        <w:tc>
          <w:tcPr>
            <w:tcW w:w="14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碳纳米管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C</w:t>
            </w:r>
          </w:p>
        </w:tc>
        <w:tc>
          <w:tcPr>
            <w:tcW w:w="197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12.01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0.01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电池级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0.99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ascii="Times New Roman" w:eastAsia="黑体" w:hAnsi="Times New Roman" w:cs="黑体" w:hint="default"/>
          <w:sz w:val="28"/>
          <w:szCs w:val="28"/>
        </w:rPr>
        <w:sectPr>
          <w:headerReference w:type="default" r:id="rId38"/>
          <w:footerReference w:type="default" r:id="rId39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2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根据拟定生产工作300天，且机器24小时运作，连续生产，可知：300 × 24 = 7200 h，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工作日产量为：5000 ÷ 300 = 16.67 t。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总流量：W = 1 × 107 ÷ 7200 = 1388.89 kg/h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同时由此可知：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Times New Roman" w:hAnsi="Times New Roman" w:cstheme="minorEastAsia" w:hint="eastAsia"/>
          <w:sz w:val="24"/>
        </w:rPr>
      </w:pPr>
      <m:oMathPara>
        <m:oMath>
          <m:r>
            <m:rPr>
              <m:sty m:val="p"/>
            </m:rPr>
            <w:rPr>
              <w:rFonts w:ascii="Cambria Math" w:hAnsi="Cambria Math" w:eastAsiaTheme="minorEastAsia" w:cstheme="minorEastAsia" w:hint="eastAsia"/>
              <w:sz w:val="24"/>
              <w:szCs w:val="24"/>
              <w:lang w:val="en-US" w:eastAsia="zh-CN"/>
            </w:rPr>
            <m:t>所需原料量=</m:t>
          </m:r>
          <m:f>
            <m:fPr>
              <m:ctrlPr>
                <w:rPr>
                  <w:rFonts w:ascii="Cambria Math" w:hAnsi="Cambria Math" w:eastAsiaTheme="minorEastAsia" w:cstheme="minorEastAsia" w:hint="eastAsia"/>
                  <w:sz w:val="24"/>
                  <w:szCs w:val="24"/>
                  <w:lang w:val="en-US" w:eastAsia="zh-CN"/>
                </w:rPr>
              </m:ctrlPr>
            </m:fPr>
            <m:num>
              <m:ctrlPr>
                <w:rPr>
                  <w:rFonts w:ascii="Cambria Math" w:hAnsi="Cambria Math" w:eastAsiaTheme="minorEastAsia" w:cstheme="minorEastAsia" w:hint="eastAsia"/>
                  <w:sz w:val="24"/>
                  <w:szCs w:val="24"/>
                  <w:lang w:val="en-US" w:eastAsia="zh-CN"/>
                </w:rPr>
              </m:ctrlPr>
              <m:r>
                <m:rPr>
                  <m:sty m:val="p"/>
                </m:rPr>
                <w:rPr>
                  <w:rFonts w:ascii="Cambria Math" w:hAnsi="Cambria Math" w:eastAsiaTheme="minorEastAsia" w:cstheme="minorEastAsia" w:hint="eastAsia"/>
                  <w:sz w:val="24"/>
                  <w:szCs w:val="24"/>
                  <w:lang w:val="en-US" w:eastAsia="zh-CN"/>
                </w:rPr>
                <m:t xml:space="preserve">生产成品量  </m:t>
              </m:r>
            </m:num>
            <m:den>
              <m:ctrlPr>
                <w:rPr>
                  <w:rFonts w:ascii="Cambria Math" w:hAnsi="Cambria Math" w:eastAsiaTheme="minorEastAsia" w:cstheme="minorEastAsia" w:hint="eastAsia"/>
                  <w:sz w:val="24"/>
                  <w:szCs w:val="24"/>
                  <w:lang w:val="en-US" w:eastAsia="zh-CN"/>
                </w:rPr>
              </m:ctrlPr>
              <m:r>
                <m:rPr>
                  <m:sty m:val="p"/>
                </m:rPr>
                <w:rPr>
                  <w:rFonts w:ascii="Cambria Math" w:hAnsi="Cambria Math" w:eastAsiaTheme="minorEastAsia" w:cstheme="minorEastAsia" w:hint="eastAsia"/>
                  <w:sz w:val="24"/>
                  <w:szCs w:val="24"/>
                  <w:lang w:val="en-US" w:eastAsia="zh-CN"/>
                </w:rPr>
                <m:t>1 − 各阶段损耗率</m:t>
              </m:r>
            </m:den>
          </m:f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所以生产成品为5000吨氧化硅/二氧化钛/碳纳米管复合材料，需要生产5000 ÷ 97.8% ≈ 5113 吨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eastAsia="宋体" w:hAnsi="Times New Roman" w:cs="宋体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经热处理后但未进行研磨粉筛的材料，同理可知需要原料为5113 ÷ 96.3% ≈ 5310 吨。</w:t>
      </w:r>
      <w:r>
        <w:rPr>
          <w:rFonts w:ascii="Times New Roman" w:eastAsia="宋体" w:hAnsi="Times New Roman" w:cs="宋体" w:hint="eastAsia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eastAsia="黑体" w:hAnsi="Times New Roman" w:cs="黑体" w:hint="default"/>
          <w:sz w:val="28"/>
          <w:szCs w:val="28"/>
        </w:rPr>
      </w:pPr>
      <w:bookmarkStart w:id="29" w:name="_Toc5538"/>
      <w:r>
        <w:rPr>
          <w:rFonts w:ascii="Times New Roman" w:eastAsia="黑体" w:hAnsi="Times New Roman" w:cs="黑体" w:hint="default"/>
          <w:sz w:val="28"/>
          <w:szCs w:val="28"/>
          <w:lang w:val="en-US" w:eastAsia="zh-CN"/>
        </w:rPr>
        <w:t>3.4 损耗计算</w:t>
      </w:r>
      <w:bookmarkEnd w:id="2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在本次设计的制备工艺中，氧化硅:二氧化钛：碳纳米管=5:3：2（质量比），则在原料中需：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default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氧化硅的质量为：5310 × </w:t>
      </w:r>
      <m:oMath>
        <m:f>
          <m:fPr>
            <m:ctrl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</m:ctrlPr>
          </m:fPr>
          <m:num>
            <m:ctrl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</m:ctrlPr>
            <m:r>
              <m:rPr>
                <m:sty m:val="p"/>
              </m:r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  <m:t>1</m:t>
            </m:r>
          </m:num>
          <m:den>
            <m:ctrl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</m:ctrlPr>
            <m:r>
              <m:rPr>
                <m:sty m:val="p"/>
              </m:r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  <m:t>2</m:t>
            </m:r>
          </m:den>
        </m:f>
      </m:oMath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= 2655 t;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default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二氧化钛的质量为：5310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×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</m:ctrlPr>
          </m:fPr>
          <m:num>
            <m:ctrl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</m:ctrlPr>
            <m:r>
              <m:rPr>
                <m:sty m:val="p"/>
              </m:rPr>
              <w:rPr>
                <w:rFonts w:ascii="Cambria Math" w:hAnsi="Cambria Math" w:eastAsiaTheme="minorEastAsia" w:cstheme="minorEastAsia" w:hint="default"/>
                <w:sz w:val="24"/>
                <w:szCs w:val="24"/>
                <w:lang w:val="en-US" w:eastAsia="zh-CN"/>
              </w:rPr>
              <m:t>3</m:t>
            </m:r>
          </m:num>
          <m:den>
            <m:ctrl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</m:ctrlPr>
            <m:r>
              <m:rPr>
                <m:sty m:val="p"/>
              </m:rPr>
              <w:rPr>
                <w:rFonts w:ascii="Cambria Math" w:hAnsi="Cambria Math" w:eastAsiaTheme="minorEastAsia" w:cstheme="minorEastAsia" w:hint="default"/>
                <w:sz w:val="24"/>
                <w:szCs w:val="24"/>
                <w:lang w:val="en-US" w:eastAsia="zh-CN"/>
              </w:rPr>
              <m:t>10</m:t>
            </m:r>
          </m:den>
        </m:f>
      </m:oMath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= 1593 t;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default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碳纳米管的质量为：5310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×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</m:ctrlPr>
          </m:fPr>
          <m:num>
            <m:ctrl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</m:ctrlPr>
            <m:r>
              <m:rPr>
                <m:sty m:val="p"/>
              </m:rPr>
              <w:rPr>
                <w:rFonts w:ascii="Cambria Math" w:hAnsi="Cambria Math" w:eastAsiaTheme="minorEastAsia" w:cstheme="minorEastAsia" w:hint="default"/>
                <w:sz w:val="24"/>
                <w:szCs w:val="24"/>
                <w:lang w:val="en-US" w:eastAsia="zh-CN"/>
              </w:rPr>
              <m:t>1</m:t>
            </m:r>
          </m:num>
          <m:den>
            <m:ctrlPr>
              <w:rPr>
                <w:rFonts w:ascii="Cambria Math" w:hAnsi="Cambria Math" w:eastAsiaTheme="minorEastAsia" w:cstheme="minorEastAsia" w:hint="eastAsia"/>
                <w:sz w:val="24"/>
                <w:szCs w:val="24"/>
                <w:lang w:val="en-US" w:eastAsia="zh-CN"/>
              </w:rPr>
            </m:ctrlPr>
            <m:r>
              <m:rPr>
                <m:sty m:val="p"/>
              </m:rPr>
              <w:rPr>
                <w:rFonts w:ascii="Cambria Math" w:hAnsi="Cambria Math" w:eastAsiaTheme="minorEastAsia" w:cstheme="minorEastAsia" w:hint="default"/>
                <w:sz w:val="24"/>
                <w:szCs w:val="24"/>
                <w:lang w:val="en-US" w:eastAsia="zh-CN"/>
              </w:rPr>
              <m:t>5</m:t>
            </m:r>
          </m:den>
        </m:f>
      </m:oMath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= 1062 t;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default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所以需要氧化硅的质量为：2655吨，二氧化钛的质量为：1593吨，碳纳米管的质量为：1062吨</w:t>
      </w:r>
    </w:p>
    <w:p>
      <w:pPr>
        <w:keepNext w:val="0"/>
        <w:keepLines w:val="0"/>
        <w:widowControl/>
        <w:suppressLineNumbers w:val="0"/>
        <w:jc w:val="left"/>
        <w:rPr>
          <w:rFonts w:ascii="Times New Roman" w:eastAsia="黑体" w:hAnsi="Times New Roman" w:cs="黑体" w:hint="default"/>
          <w:sz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ascii="Times New Roman" w:eastAsia="黑体" w:hAnsi="Times New Roman" w:cs="黑体" w:hint="default"/>
          <w:sz w:val="24"/>
        </w:rPr>
      </w:pPr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eastAsia="黑体" w:hAnsi="Times New Roman" w:cs="黑体" w:hint="default"/>
          <w:sz w:val="24"/>
        </w:rPr>
      </w:pPr>
      <w:bookmarkStart w:id="30" w:name="_Toc9421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>3.4.1 物料损失</w:t>
      </w:r>
      <w:bookmarkEnd w:id="3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  <w:sectPr>
          <w:headerReference w:type="default" r:id="rId40"/>
          <w:footerReference w:type="default" r:id="rId41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3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1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）预处理工序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氧化硅的损耗为：2655 × 0.1% ≈ 2.655 t；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二氧化钛的损耗为：1593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× 0.1% ≈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1.593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碳纳米管的损耗为: 1062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×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0.1%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≈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1.062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2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）混合工序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氧化硅的损耗为：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2655 − 2.655) × 0.5% ≈ 13.262 t；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二氧化钛的损耗为：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1593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− 1.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593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) × 0.5%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≈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7.957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碳纳米管的损耗为: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(106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2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− 1.062)×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0.5%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≈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5.305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3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）分离工序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氧化硅的损耗为：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2652.345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− 13.262) × 1% ≈ 26.391 t；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二氧化钛的损耗为：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1591.407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−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7.957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) × 1% ≈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15.835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default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碳纳米管的损耗为：（1060.938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−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5.305）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× 1%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≈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10.556 t；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4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）干燥工序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氧化硅的损耗为：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2639.083 − 26.391) × 0.6% ≈ 15.676 t；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二氧化钛的损耗为：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1583.450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−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15.835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) × 0.6% ≈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9.406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碳纳米管的损耗为：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(1055.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633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− 10.55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6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) × 0.6% ≈ 6.2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70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5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）煅烧工序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氧化硅的损耗为：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2612.692 − 15.676) × 1.5% ≈ 38.955 t；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二氧化钛的损耗为：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1567.615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−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9.406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) × 1.5% ≈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23.373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碳纳米管的损耗为：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(104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5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.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077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− 6.2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70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) × 1.5% ≈ 15.5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82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6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）研磨工序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  <w:sectPr>
          <w:headerReference w:type="default" r:id="rId42"/>
          <w:footerReference w:type="default" r:id="rId43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4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进入研磨工序时，氧化硅的质量为：2558.061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吨，二氧化钛的质量为：1534.836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吨，碳纳米管的质量为：1023.225 吨，则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成品总质量为：2558.061 + 1534.836 + 1023.225 = 5116.122 t；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氧化硅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/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二氧化钛/碳纳米管材料损耗为：5116.122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× 2% ≈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102.322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 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7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）包装工序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氧化硅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/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二氧化钛/碳纳米管材料损耗：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(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5116.122 − 102.322) </w:t>
      </w:r>
      <w:r>
        <w:rPr>
          <w:rFonts w:ascii="Times New Roman" w:hAnsi="Times New Roman" w:eastAsiaTheme="minorEastAsia" w:cs="Times New Roman" w:hint="default"/>
          <w:sz w:val="24"/>
          <w:szCs w:val="24"/>
          <w:lang w:val="en-US" w:eastAsia="zh-CN"/>
        </w:rPr>
        <w:t>×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0.2% ≈ 10.028 t。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eastAsia="黑体" w:hAnsi="Times New Roman" w:cs="黑体"/>
          <w:color w:val="000000"/>
          <w:kern w:val="0"/>
          <w:sz w:val="28"/>
          <w:szCs w:val="28"/>
          <w:lang w:bidi="ar"/>
        </w:rPr>
      </w:pPr>
      <w:bookmarkStart w:id="31" w:name="_Toc11531"/>
      <w:r>
        <w:rPr>
          <w:rFonts w:ascii="Times New Roman" w:eastAsia="黑体" w:hAnsi="Times New Roman" w:cs="黑体" w:hint="default"/>
          <w:sz w:val="28"/>
          <w:szCs w:val="28"/>
          <w:lang w:val="en-US" w:eastAsia="zh-CN"/>
        </w:rPr>
        <w:t>3.5 设备计算</w:t>
      </w:r>
      <w:bookmarkEnd w:id="31"/>
      <w:r>
        <w:rPr>
          <w:rFonts w:ascii="Times New Roman" w:eastAsia="黑体" w:hAnsi="Times New Roman" w:cs="黑体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eastAsia="黑体" w:hAnsi="Times New Roman" w:cs="黑体" w:hint="eastAsia"/>
          <w:sz w:val="24"/>
        </w:rPr>
      </w:pPr>
      <w:bookmarkStart w:id="32" w:name="_Toc10050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3.5.1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反应釜</w:t>
      </w:r>
      <w:bookmarkEnd w:id="3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default"/>
          <w:sz w:val="24"/>
        </w:rPr>
      </w:pP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需要混合的氧化硅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、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二氧化钛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和碳纳米管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的原料总量为53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04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.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69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t，每天所需要混合的原料为：53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04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.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69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吨÷300天=17.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682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吨，在实际的生产过程中，设备是不能在完全装满的情况下运行的，通常所装原料不能超过设备容积的2/3，本设计中，装料按照容器容积的6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5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%进行装料计算。本设计选用处理量为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6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吨的设备，每批次处理时常为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4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小时，则：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default"/>
          <w:sz w:val="24"/>
        </w:rPr>
      </w:pP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每天处理量为：24h÷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4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=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6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default"/>
          <w:sz w:val="24"/>
        </w:rPr>
      </w:pP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每天所需混合量为：17.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682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吨÷（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6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吨×65%）=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4.53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槽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en-US"/>
        </w:rPr>
        <w:t>≈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5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outlineLvl w:val="1"/>
        <w:rPr>
          <w:rFonts w:ascii="Times New Roman" w:eastAsia="黑体" w:hAnsi="Times New Roman" w:cs="黑体" w:hint="eastAsia"/>
          <w:sz w:val="24"/>
        </w:rPr>
      </w:pPr>
      <w:bookmarkStart w:id="33" w:name="_Toc32065"/>
      <w:bookmarkStart w:id="34" w:name="_Toc9016"/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所需的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反应釜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台数为：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5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÷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6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en-US"/>
        </w:rPr>
        <w:t>≈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1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台，因为本生产为24小时连续生产，为了应对设备突然发生故障而不能正常运转的情况，设备应预留1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en-US"/>
        </w:rPr>
        <w:t>~2 台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，则所需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反应釜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为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2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台。</w:t>
      </w:r>
      <w:bookmarkEnd w:id="33"/>
      <w:bookmarkEnd w:id="34"/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hAnsi="Times New Roman"/>
        </w:rPr>
      </w:pPr>
      <w:bookmarkStart w:id="35" w:name="_Toc17721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>3.5.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2</w:t>
      </w:r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 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煅烧炉</w:t>
      </w:r>
      <w:bookmarkEnd w:id="3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全年所需要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煅烧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原料的总量为：氧化硅的质量为 2558.061 吨、二氧化钛的质量为 1534.836 吨、碳纳米管的质量为1023.225吨，总计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煅烧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原料为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5116.122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吨，则： 每天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的煅烧进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量为：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5116.122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÷300 ≈ 17.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054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t；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  <w:sectPr>
          <w:headerReference w:type="default" r:id="rId44"/>
          <w:footerReference w:type="default" r:id="rId45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5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在实际的生产工艺过程中，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煅烧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设备是不能在完全装满物料的情况下运行的，需要留有余量，通常装料约占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煅烧炉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容积的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70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%，这时才可运行。本设计选用处理量为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3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吨的设备，每批次处理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7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小时，则：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每天可以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煅烧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的次数为：24h ÷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7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h =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3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次；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每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次的煅烧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量为：17.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054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÷ (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3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×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70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%) ≈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8.121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t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在实际生产过程中，设备数量应预留 1~2 台，则：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煅烧炉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的台数为：17.054 ÷ 3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×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70%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×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3 ≈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3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台，即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3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+ 2 = </w:t>
      </w:r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5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台。</w:t>
      </w:r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hAnsi="Times New Roman"/>
        </w:rPr>
      </w:pPr>
      <w:bookmarkStart w:id="36" w:name="_Toc23675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>3.5.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3</w:t>
      </w:r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 分离机</w:t>
      </w:r>
      <w:bookmarkEnd w:id="36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全年所需分离的原料总量为：5304.69 − 5304.69 × 0.5% = 5278.167 t，则：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每天需要分离的量为：5278.167 ÷ 300 ≈ 17.594 t；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同样在实际的生产工艺过程中，分离机也是不能在完全装满物料的情况下运行，通常装料约占分离机容积的 60%，本次设计选用处理量为 4 吨的设备，每批次处理 3 小时，则：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每天可以分离的次数为：24 ÷ 3h = 8 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每天需要分离的次数为：17.594 ÷ (4 × 60%) ≈ 7.33 ≈ 8 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在实际生产过程中，设备数量应预留 1~2 台，则：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分离机台数为：8 ÷ 8 = 1 台，即1 + 1 = 2 台。</w:t>
      </w:r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hAnsi="Times New Roman"/>
        </w:rPr>
      </w:pPr>
      <w:bookmarkStart w:id="37" w:name="_Toc8720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>3.5.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4</w:t>
      </w:r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 干燥箱</w:t>
      </w:r>
      <w:bookmarkEnd w:id="37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全年进入干燥工序的氧化硅/二氧化钛/碳纳米管前驱体材料总量为：5278.166 − 5278.166 × 1% ≈ 5225.384 t ,则：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每天需要干燥的量为：5225.384 ÷ 300 ≈ 17.418 t；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本设计选用处理量为 2 吨的设备，每批次处理 3 小时：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每天可以干燥的次数为：24 ÷ 3h = 8 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每天所需干燥次数为：17.418 ÷ 2 ≈ 8.709 ≈ 9 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在实际生产过程中，设备数量应预留 1~2 台，则：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  <w:sectPr>
          <w:headerReference w:type="default" r:id="rId46"/>
          <w:footerReference w:type="default" r:id="rId47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6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所需干燥箱台数为：9 ÷ 8 ≈ 2 台，即2 + 2 = 4 台。</w:t>
      </w:r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eastAsia="黑体" w:hAnsi="Times New Roman" w:cs="黑体" w:hint="default"/>
          <w:sz w:val="24"/>
        </w:rPr>
      </w:pPr>
      <w:bookmarkStart w:id="38" w:name="_Toc26033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>3.5.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5</w:t>
      </w:r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 研磨机</w:t>
      </w:r>
      <w:bookmarkEnd w:id="38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 全年进入研磨工序的进料总量为：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5194.032</w:t>
      </w:r>
      <w:r>
        <w:rPr>
          <w:rFonts w:ascii="Times New Roman" w:eastAsia="Cambria Math" w:hAnsi="Times New Roman" w:cs="Cambria Math"/>
          <w:color w:val="000000"/>
          <w:kern w:val="0"/>
          <w:sz w:val="24"/>
          <w:szCs w:val="24"/>
          <w:lang w:val="en-US" w:eastAsia="zh-CN" w:bidi="ar"/>
        </w:rPr>
        <w:t xml:space="preserve"> − 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5194.032</w:t>
      </w:r>
      <w:r>
        <w:rPr>
          <w:rFonts w:ascii="Times New Roman" w:eastAsia="Cambria Math" w:hAnsi="Times New Roman" w:cs="Cambria Math"/>
          <w:color w:val="000000"/>
          <w:kern w:val="0"/>
          <w:sz w:val="24"/>
          <w:szCs w:val="24"/>
          <w:lang w:val="en-US" w:eastAsia="zh-CN" w:bidi="ar"/>
        </w:rPr>
        <w:t xml:space="preserve"> × 1.5% ≈ 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5116.122</w:t>
      </w:r>
      <w:r>
        <w:rPr>
          <w:rFonts w:ascii="Times New Roman" w:eastAsia="Cambria Math" w:hAnsi="Times New Roman" w:cs="Cambria Math"/>
          <w:color w:val="000000"/>
          <w:kern w:val="0"/>
          <w:sz w:val="24"/>
          <w:szCs w:val="24"/>
          <w:lang w:val="en-US" w:eastAsia="zh-CN" w:bidi="ar"/>
        </w:rPr>
        <w:t xml:space="preserve"> t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，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则：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每天研磨进料量为：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5116.122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÷ 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300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≈ 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17.054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Times New Roman" w:eastAsia="宋体" w:hAnsi="Times New Roman" w:cs="Times New Roman" w:hint="default"/>
          <w:color w:val="000000"/>
          <w:kern w:val="0"/>
          <w:sz w:val="24"/>
          <w:szCs w:val="24"/>
          <w:lang w:val="en-US" w:eastAsia="zh-CN" w:bidi="ar"/>
        </w:rPr>
        <w:t>t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本设计选用处理量为 </w:t>
      </w:r>
      <w:r>
        <w:rPr>
          <w:rFonts w:ascii="Times New Roman" w:eastAsia="宋体" w:hAnsi="Times New Roman" w:cs="Times New Roman" w:hint="default"/>
          <w:color w:val="000000"/>
          <w:kern w:val="0"/>
          <w:sz w:val="24"/>
          <w:szCs w:val="24"/>
          <w:lang w:val="en-US" w:eastAsia="zh-CN" w:bidi="ar"/>
        </w:rPr>
        <w:t xml:space="preserve">3 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吨的设备，每批次处理 </w:t>
      </w:r>
      <w:r>
        <w:rPr>
          <w:rFonts w:ascii="Times New Roman" w:eastAsia="宋体" w:hAnsi="Times New Roman" w:cs="Times New Roman" w:hint="default"/>
          <w:color w:val="000000"/>
          <w:kern w:val="0"/>
          <w:sz w:val="24"/>
          <w:szCs w:val="24"/>
          <w:lang w:val="en-US" w:eastAsia="zh-CN" w:bidi="ar"/>
        </w:rPr>
        <w:t xml:space="preserve">3 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小时，则：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每天可以研磨的次数为：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>24 ÷ 3</w:t>
      </w:r>
      <w:r>
        <w:rPr>
          <w:rFonts w:ascii="Times New Roman" w:eastAsia="宋体" w:hAnsi="Times New Roman" w:cs="Times New Roman" w:hint="default"/>
          <w:color w:val="000000"/>
          <w:kern w:val="0"/>
          <w:sz w:val="24"/>
          <w:szCs w:val="24"/>
          <w:lang w:val="en-US" w:eastAsia="zh-CN" w:bidi="ar"/>
        </w:rPr>
        <w:t xml:space="preserve">h 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= 8 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每天所需研磨次数为：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17.054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÷ 3 ≈ 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5.685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≈ 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6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在实际生产过程中，设备数量应预留 </w:t>
      </w:r>
      <w:r>
        <w:rPr>
          <w:rFonts w:ascii="Times New Roman" w:eastAsia="宋体" w:hAnsi="Times New Roman" w:cs="Times New Roman" w:hint="default"/>
          <w:color w:val="000000"/>
          <w:kern w:val="0"/>
          <w:sz w:val="24"/>
          <w:szCs w:val="24"/>
          <w:lang w:val="en-US" w:eastAsia="zh-CN" w:bidi="ar"/>
        </w:rPr>
        <w:t xml:space="preserve">1~2 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台，则：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所以需要研磨机台数为：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6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÷ 8 ≈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 xml:space="preserve"> 0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.75 ≈ 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台，即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+ 1 = </w:t>
      </w:r>
      <w:r>
        <w:rPr>
          <w:rFonts w:ascii="Times New Roman" w:eastAsia="Cambria Math" w:hAnsi="Times New Roman" w:cs="Cambria Math" w:hint="eastAsia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ascii="Times New Roman" w:eastAsia="Cambria Math" w:hAnsi="Times New Roman" w:cs="Cambria Math" w:hint="default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台。</w:t>
      </w:r>
    </w:p>
    <w:p>
      <w:pPr>
        <w:keepNext w:val="0"/>
        <w:keepLines w:val="0"/>
        <w:widowControl/>
        <w:suppressLineNumbers w:val="0"/>
        <w:jc w:val="left"/>
        <w:outlineLvl w:val="2"/>
        <w:rPr>
          <w:rFonts w:ascii="Times New Roman" w:hAnsi="Times New Roman"/>
        </w:rPr>
      </w:pPr>
      <w:bookmarkStart w:id="39" w:name="_Toc31328"/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>3.5.</w:t>
      </w:r>
      <w:r>
        <w:rPr>
          <w:rFonts w:ascii="Times New Roman" w:eastAsia="黑体" w:hAnsi="Times New Roman" w:cs="黑体" w:hint="eastAsia"/>
          <w:sz w:val="24"/>
          <w:szCs w:val="24"/>
          <w:lang w:val="en-US" w:eastAsia="zh-CN"/>
        </w:rPr>
        <w:t>6</w:t>
      </w:r>
      <w:r>
        <w:rPr>
          <w:rFonts w:ascii="Times New Roman" w:eastAsia="黑体" w:hAnsi="Times New Roman" w:cs="黑体" w:hint="default"/>
          <w:sz w:val="24"/>
          <w:szCs w:val="24"/>
          <w:lang w:val="en-US" w:eastAsia="zh-CN"/>
        </w:rPr>
        <w:t xml:space="preserve"> 包装机</w:t>
      </w:r>
      <w:bookmarkEnd w:id="39"/>
      <w:r>
        <w:rPr>
          <w:rFonts w:ascii="Times New Roman" w:eastAsia="黑体" w:hAnsi="Times New Roman" w:cs="黑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 xml:space="preserve">全年进入包装工序的进料总量为：5013.8 t，且所选设备产品规格为 1 吨每袋，选择 4 台，则：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szCs w:val="24"/>
          <w:lang w:val="en-US" w:eastAsia="zh-CN" w:bidi="ar"/>
        </w:rPr>
        <w:t>一天的产能为：(5013.8 − 10.028) ÷ 300 ≈ 16.679 t。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ascii="Times New Roman" w:hAnsi="Times New Roma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Times New Roman" w:eastAsia="黑体" w:hAnsi="Times New Roman" w:cs="黑体" w:hint="eastAsia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center"/>
        <w:textAlignment w:val="auto"/>
        <w:rPr>
          <w:rFonts w:ascii="Times New Roman" w:eastAsia="黑体" w:hAnsi="Times New Roman" w:cs="黑体" w:hint="eastAsia"/>
          <w:sz w:val="30"/>
          <w:szCs w:val="30"/>
        </w:rPr>
      </w:pPr>
      <w:r>
        <w:rPr>
          <w:rFonts w:ascii="Times New Roman" w:eastAsia="黑体" w:hAnsi="Times New Roman" w:cs="黑体" w:hint="eastAsia"/>
          <w:sz w:val="30"/>
          <w:szCs w:val="30"/>
          <w:lang w:val="en-US" w:eastAsia="zh-CN"/>
        </w:rPr>
        <w:t xml:space="preserve">第 </w:t>
      </w:r>
      <w:r>
        <w:rPr>
          <w:rFonts w:ascii="Times New Roman" w:eastAsia="黑体" w:hAnsi="Times New Roman" w:cs="黑体" w:hint="default"/>
          <w:sz w:val="30"/>
          <w:szCs w:val="30"/>
          <w:lang w:val="en-US" w:eastAsia="zh-CN"/>
        </w:rPr>
        <w:t xml:space="preserve">4 </w:t>
      </w:r>
      <w:r>
        <w:rPr>
          <w:rFonts w:ascii="Times New Roman" w:eastAsia="黑体" w:hAnsi="Times New Roman" w:cs="黑体" w:hint="eastAsia"/>
          <w:sz w:val="30"/>
          <w:szCs w:val="30"/>
          <w:lang w:val="en-US" w:eastAsia="zh-CN"/>
        </w:rPr>
        <w:t xml:space="preserve">章 设备选型及计算 </w:t>
      </w: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hAnsi="Times New Roman"/>
        </w:rPr>
      </w:pPr>
      <w:bookmarkStart w:id="40" w:name="_Toc1934"/>
      <w:r>
        <w:rPr>
          <w:rFonts w:ascii="Times New Roman" w:eastAsia="黑体" w:hAnsi="Times New Roman" w:cs="黑体" w:hint="default"/>
          <w:sz w:val="28"/>
          <w:szCs w:val="28"/>
          <w:lang w:val="en-US" w:eastAsia="zh-CN"/>
        </w:rPr>
        <w:t xml:space="preserve">4.1 </w:t>
      </w:r>
      <w:r>
        <w:rPr>
          <w:rFonts w:ascii="Times New Roman" w:eastAsia="黑体" w:hAnsi="Times New Roman" w:cs="黑体" w:hint="eastAsia"/>
          <w:sz w:val="28"/>
          <w:szCs w:val="28"/>
          <w:lang w:val="en-US" w:eastAsia="zh-CN"/>
        </w:rPr>
        <w:t>设备选型的原则</w:t>
      </w:r>
      <w:bookmarkEnd w:id="40"/>
      <w:r>
        <w:rPr>
          <w:rFonts w:ascii="Times New Roman" w:eastAsia="黑体" w:hAnsi="Times New Roman" w:cs="黑体" w:hint="eastAsia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1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）能够满足生产工艺需求；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2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）设备要成熟且安全可靠；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3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）在生产过程当中，能够充分的利用原料，减少原料的浪费；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4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）使用寿命要长；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  <w:sectPr>
          <w:headerReference w:type="default" r:id="rId48"/>
          <w:footerReference w:type="default" r:id="rId49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7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5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）操作系统要简单，便于生产人员操作；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（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6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）在价格适宜的前提下，尽量采用国产设备。</w:t>
      </w:r>
    </w:p>
    <w:p>
      <w:pPr>
        <w:keepNext w:val="0"/>
        <w:keepLines w:val="0"/>
        <w:widowControl/>
        <w:suppressLineNumbers w:val="0"/>
        <w:jc w:val="left"/>
        <w:outlineLvl w:val="1"/>
        <w:rPr>
          <w:rFonts w:ascii="Times New Roman" w:hAnsi="Times New Roman"/>
        </w:rPr>
      </w:pPr>
      <w:bookmarkStart w:id="41" w:name="_Toc133"/>
      <w:r>
        <w:rPr>
          <w:rFonts w:ascii="Times New Roman" w:eastAsia="黑体" w:hAnsi="Times New Roman" w:cs="黑体" w:hint="default"/>
          <w:sz w:val="28"/>
          <w:szCs w:val="28"/>
          <w:lang w:val="en-US" w:eastAsia="zh-CN"/>
        </w:rPr>
        <w:t>4.2 选用设备</w:t>
      </w:r>
      <w:bookmarkEnd w:id="4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根据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 xml:space="preserve">3.5 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设备计算部分，来对设备进行选型。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theme="minorEastAsia" w:hint="eastAsia"/>
          <w:sz w:val="24"/>
        </w:rPr>
      </w:pPr>
      <w:bookmarkStart w:id="42" w:name="_Ref9391"/>
      <w:r>
        <w:rPr>
          <w:rFonts w:ascii="Times New Roman" w:hAnsi="Times New Roman" w:cstheme="minorEastAsia" w:hint="eastAsia"/>
          <w:sz w:val="24"/>
          <w:szCs w:val="24"/>
          <w:lang w:val="en-US" w:eastAsia="zh-CN"/>
        </w:rPr>
        <w:t>煅烧炉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（如图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4.1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） </w:t>
      </w:r>
      <w:bookmarkEnd w:id="42"/>
    </w:p>
    <w:p>
      <w:pPr>
        <w:keepNext w:val="0"/>
        <w:keepLines w:val="0"/>
        <w:widowControl/>
        <w:suppressLineNumbers w:val="0"/>
        <w:jc w:val="center"/>
        <w:rPr>
          <w:rFonts w:ascii="Times New Roman" w:eastAsia="黑体" w:hAnsi="Times New Roman" w:cs="黑体" w:hint="eastAsia"/>
          <w:color w:val="000000"/>
          <w:kern w:val="0"/>
          <w:szCs w:val="21"/>
          <w:lang w:bidi="ar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 xml:space="preserve">表 </w:t>
      </w:r>
      <w:r>
        <w:rPr>
          <w:rFonts w:ascii="Times New Roman" w:eastAsia="黑体" w:hAnsi="Times New Roman" w:cs="黑体" w:hint="default"/>
          <w:color w:val="000000"/>
          <w:kern w:val="0"/>
          <w:sz w:val="21"/>
          <w:szCs w:val="21"/>
          <w:lang w:val="en-US" w:eastAsia="zh-CN" w:bidi="ar"/>
        </w:rPr>
        <w:t xml:space="preserve">4.1 </w:t>
      </w: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 xml:space="preserve">煅烧炉参数 </w:t>
      </w:r>
    </w:p>
    <w:tbl>
      <w:tblPr>
        <w:tblStyle w:val="TableGrid2"/>
        <w:tblW w:w="8164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2"/>
        <w:gridCol w:w="4082"/>
      </w:tblGrid>
      <w:tr>
        <w:tblPrEx>
          <w:tblW w:w="8164" w:type="dxa"/>
          <w:jc w:val="center"/>
          <w:tblInd w:w="0" w:type="dxa"/>
          <w:tblBorders>
            <w:top w:val="single" w:sz="12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/>
          <w:jc w:val="center"/>
        </w:trPr>
        <w:tc>
          <w:tcPr>
            <w:tcW w:w="4082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4082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电动台车电阻炉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/>
          <w:jc w:val="center"/>
        </w:trPr>
        <w:tc>
          <w:tcPr>
            <w:tcW w:w="4082" w:type="dxa"/>
            <w:tcBorders>
              <w:top w:val="single" w:sz="4" w:space="0" w:color="auto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型号</w:t>
            </w:r>
          </w:p>
        </w:tc>
        <w:tc>
          <w:tcPr>
            <w:tcW w:w="4082" w:type="dxa"/>
            <w:tcBorders>
              <w:top w:val="single" w:sz="4" w:space="0" w:color="auto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RT2-120-6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/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工作室尺寸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3500</w:t>
            </w:r>
            <w:r>
              <w:rPr>
                <w:rFonts w:ascii="Times New Roman" w:hAnsi="Times New Roman" w:cstheme="minorEastAsia" w:hint="default"/>
                <w:sz w:val="21"/>
                <w:szCs w:val="21"/>
                <w:vertAlign w:val="baseline"/>
                <w:lang w:val="en-US" w:eastAsia="zh-CN"/>
              </w:rPr>
              <w:t>×</w:t>
            </w: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900</w:t>
            </w:r>
            <w:r>
              <w:rPr>
                <w:rFonts w:ascii="Times New Roman" w:hAnsi="Times New Roman" w:cstheme="minorEastAsia" w:hint="default"/>
                <w:sz w:val="21"/>
                <w:szCs w:val="21"/>
                <w:vertAlign w:val="baseline"/>
                <w:lang w:val="en-US" w:eastAsia="zh-CN"/>
              </w:rPr>
              <w:t>×</w:t>
            </w: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600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/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生产能力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3吨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/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功率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120KW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/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参考价格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500000元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/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商家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上海云宏电炉厂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分离机（如图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4.1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ascii="Times New Roman" w:hAnsi="Times New Roman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 xml:space="preserve">表 </w:t>
      </w:r>
      <w:r>
        <w:rPr>
          <w:rFonts w:ascii="Times New Roman" w:eastAsia="黑体" w:hAnsi="Times New Roman" w:cs="黑体" w:hint="default"/>
          <w:color w:val="000000"/>
          <w:kern w:val="0"/>
          <w:sz w:val="21"/>
          <w:szCs w:val="21"/>
          <w:lang w:val="en-US" w:eastAsia="zh-CN" w:bidi="ar"/>
        </w:rPr>
        <w:t>4.</w:t>
      </w: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2</w:t>
      </w:r>
      <w:r>
        <w:rPr>
          <w:rFonts w:ascii="Times New Roman" w:eastAsia="黑体" w:hAnsi="Times New Roman" w:cs="黑体" w:hint="default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分离机参数</w:t>
      </w:r>
    </w:p>
    <w:tbl>
      <w:tblPr>
        <w:tblStyle w:val="TableGrid2"/>
        <w:tblW w:w="8120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0"/>
        <w:gridCol w:w="4060"/>
      </w:tblGrid>
      <w:tr>
        <w:tblPrEx>
          <w:tblW w:w="8120" w:type="dxa"/>
          <w:jc w:val="center"/>
          <w:tblInd w:w="0" w:type="dxa"/>
          <w:tblBorders>
            <w:top w:val="single" w:sz="12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  <w:jc w:val="center"/>
        </w:trPr>
        <w:tc>
          <w:tcPr>
            <w:tcW w:w="4060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4060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分离机</w:t>
            </w:r>
          </w:p>
        </w:tc>
      </w:tr>
      <w:tr>
        <w:tblPrEx>
          <w:tblW w:w="812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  <w:jc w:val="center"/>
        </w:trPr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生产能力</w:t>
            </w:r>
          </w:p>
        </w:tc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4吨</w:t>
            </w:r>
          </w:p>
        </w:tc>
      </w:tr>
      <w:tr>
        <w:tblPrEx>
          <w:tblW w:w="812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  <w:jc w:val="center"/>
        </w:trPr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材质</w:t>
            </w:r>
          </w:p>
        </w:tc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碳钢</w:t>
            </w:r>
          </w:p>
        </w:tc>
      </w:tr>
      <w:tr>
        <w:tblPrEx>
          <w:tblW w:w="812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  <w:jc w:val="center"/>
        </w:trPr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装置方式</w:t>
            </w:r>
          </w:p>
        </w:tc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固定式</w:t>
            </w:r>
          </w:p>
        </w:tc>
      </w:tr>
      <w:tr>
        <w:tblPrEx>
          <w:tblW w:w="812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  <w:jc w:val="center"/>
        </w:trPr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功率</w:t>
            </w:r>
          </w:p>
        </w:tc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3 KW</w:t>
            </w:r>
          </w:p>
        </w:tc>
      </w:tr>
      <w:tr>
        <w:tblPrEx>
          <w:tblW w:w="812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  <w:jc w:val="center"/>
        </w:trPr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参考价格</w:t>
            </w:r>
          </w:p>
        </w:tc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450000</w:t>
            </w:r>
          </w:p>
        </w:tc>
      </w:tr>
      <w:tr>
        <w:tblPrEx>
          <w:tblW w:w="812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/>
          <w:jc w:val="center"/>
        </w:trPr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商家</w:t>
            </w:r>
          </w:p>
        </w:tc>
        <w:tc>
          <w:tcPr>
            <w:tcW w:w="406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杭州旭源环保有限公司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Cs w:val="21"/>
          <w:lang w:bidi="ar"/>
        </w:rPr>
        <w:sectPr>
          <w:headerReference w:type="default" r:id="rId50"/>
          <w:footerReference w:type="default" r:id="rId51"/>
          <w:type w:val="nextPage"/>
          <w:pgSz w:w="11906" w:h="16838"/>
          <w:pgMar w:top="1440" w:right="1800" w:bottom="1440" w:left="1800" w:header="851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fmt="decimal" w:start="18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jc w:val="center"/>
        <w:rPr>
          <w:rFonts w:ascii="Times New Roman" w:eastAsia="宋体" w:hAnsi="Times New Roman" w:cs="宋体" w:hint="eastAsia"/>
          <w:color w:val="000000"/>
          <w:kern w:val="0"/>
          <w:szCs w:val="21"/>
          <w:lang w:bidi="ar"/>
        </w:rPr>
      </w:pPr>
      <w:r>
        <w:rPr>
          <w:rFonts w:ascii="Times New Roman" w:eastAsia="宋体" w:hAnsi="Times New Roman" w:cs="宋体"/>
          <w:sz w:val="24"/>
          <w:szCs w:val="24"/>
        </w:rPr>
        <w:drawing>
          <wp:inline distT="0" distB="0" distL="114935" distR="114935">
            <wp:extent cx="1979930" cy="2054860"/>
            <wp:effectExtent l="0" t="0" r="1270" b="2540"/>
            <wp:docPr id="8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2054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宋体"/>
          <w:sz w:val="24"/>
          <w:szCs w:val="24"/>
        </w:rPr>
        <w:drawing>
          <wp:inline distT="0" distB="0" distL="114935" distR="114935">
            <wp:extent cx="1980565" cy="1980565"/>
            <wp:effectExtent l="0" t="0" r="635" b="635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980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Cs w:val="21"/>
          <w:lang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ascii="Times New Roman" w:eastAsia="黑体" w:hAnsi="Times New Roman" w:cs="黑体" w:hint="eastAsia"/>
          <w:color w:val="000000"/>
          <w:kern w:val="0"/>
          <w:szCs w:val="21"/>
          <w:lang w:bidi="ar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（a）                     （b）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ascii="Times New Roman" w:eastAsia="黑体" w:hAnsi="Times New Roman" w:cs="黑体" w:hint="eastAsia"/>
          <w:color w:val="000000"/>
          <w:kern w:val="0"/>
          <w:szCs w:val="21"/>
          <w:lang w:bidi="ar"/>
        </w:rPr>
      </w:pP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 xml:space="preserve">图 </w:t>
      </w:r>
      <w:r>
        <w:rPr>
          <w:rFonts w:ascii="Times New Roman" w:eastAsia="黑体" w:hAnsi="Times New Roman" w:cs="黑体" w:hint="default"/>
          <w:color w:val="000000"/>
          <w:kern w:val="0"/>
          <w:sz w:val="21"/>
          <w:szCs w:val="21"/>
          <w:lang w:val="en-US" w:eastAsia="zh-CN" w:bidi="ar"/>
        </w:rPr>
        <w:t>4.1</w:t>
      </w: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（a）分离机、（b）煅烧炉</w:t>
      </w:r>
    </w:p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Cs w:val="21"/>
          <w:lang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leftChars="0" w:firstLineChars="0"/>
        <w:textAlignment w:val="auto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干燥箱（如图 </w:t>
      </w:r>
      <w:r>
        <w:rPr>
          <w:rFonts w:ascii="Times New Roman" w:hAnsi="Times New Roman" w:eastAsiaTheme="minorEastAsia" w:cstheme="minorEastAsia" w:hint="default"/>
          <w:sz w:val="24"/>
          <w:szCs w:val="24"/>
          <w:lang w:val="en-US" w:eastAsia="zh-CN"/>
        </w:rPr>
        <w:t>4.2</w:t>
      </w: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>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ascii="Times New Roman" w:hAnsi="Times New Roman" w:cstheme="minorEastAsia" w:hint="eastAsia"/>
          <w:sz w:val="24"/>
        </w:rPr>
      </w:pPr>
      <w:r>
        <w:rPr>
          <w:rFonts w:ascii="Times New Roman" w:hAnsi="Times New Roman" w:eastAsiaTheme="minorEastAsia" w:cstheme="minorEastAsia" w:hint="eastAsia"/>
          <w:sz w:val="24"/>
          <w:szCs w:val="24"/>
          <w:lang w:val="en-US" w:eastAsia="zh-CN"/>
        </w:rPr>
        <w:t xml:space="preserve"> </w:t>
      </w: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 xml:space="preserve">表 </w:t>
      </w:r>
      <w:r>
        <w:rPr>
          <w:rFonts w:ascii="Times New Roman" w:eastAsia="黑体" w:hAnsi="Times New Roman" w:cs="黑体" w:hint="default"/>
          <w:color w:val="000000"/>
          <w:kern w:val="0"/>
          <w:sz w:val="21"/>
          <w:szCs w:val="21"/>
          <w:lang w:val="en-US" w:eastAsia="zh-CN" w:bidi="ar"/>
        </w:rPr>
        <w:t>4.</w:t>
      </w: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3</w:t>
      </w:r>
      <w:r>
        <w:rPr>
          <w:rFonts w:ascii="Times New Roman" w:eastAsia="黑体" w:hAnsi="Times New Roman" w:cs="黑体" w:hint="default"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Times New Roman" w:eastAsia="黑体" w:hAnsi="Times New Roman" w:cs="黑体" w:hint="eastAsia"/>
          <w:color w:val="000000"/>
          <w:kern w:val="0"/>
          <w:sz w:val="21"/>
          <w:szCs w:val="21"/>
          <w:lang w:val="en-US" w:eastAsia="zh-CN" w:bidi="ar"/>
        </w:rPr>
        <w:t>干燥箱参数</w:t>
      </w:r>
    </w:p>
    <w:tbl>
      <w:tblPr>
        <w:tblStyle w:val="TableGrid3"/>
        <w:tblW w:w="8164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2"/>
        <w:gridCol w:w="4082"/>
      </w:tblGrid>
      <w:tr>
        <w:tblPrEx>
          <w:tblW w:w="8164" w:type="dxa"/>
          <w:jc w:val="center"/>
          <w:tblInd w:w="0" w:type="dxa"/>
          <w:tblBorders>
            <w:top w:val="single" w:sz="12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4082" w:type="dxa"/>
            <w:tcBorders>
              <w:bottom w:val="single" w:sz="4" w:space="0" w:color="auto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干燥箱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op w:val="single" w:sz="4" w:space="0" w:color="auto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工作方式</w:t>
            </w:r>
          </w:p>
        </w:tc>
        <w:tc>
          <w:tcPr>
            <w:tcW w:w="4082" w:type="dxa"/>
            <w:tcBorders>
              <w:top w:val="single" w:sz="4" w:space="0" w:color="auto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连续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烘盘尺寸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default"/>
                <w:sz w:val="21"/>
                <w:szCs w:val="21"/>
                <w:vertAlign w:val="baseline"/>
                <w:lang w:val="en-US" w:eastAsia="zh-CN"/>
              </w:rPr>
              <w:t xml:space="preserve">460*640*45 mm 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装置方式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 xml:space="preserve">固定式 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default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生产能力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default"/>
                <w:sz w:val="21"/>
                <w:szCs w:val="21"/>
                <w:vertAlign w:val="baseline"/>
                <w:lang w:val="en-US" w:eastAsia="zh-CN"/>
              </w:rPr>
              <w:t xml:space="preserve">2 </w:t>
            </w: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吨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功率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default"/>
                <w:sz w:val="21"/>
                <w:szCs w:val="21"/>
                <w:vertAlign w:val="baseline"/>
                <w:lang w:val="en-US" w:eastAsia="zh-CN"/>
              </w:rPr>
              <w:t>15 KW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参考价格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300</w:t>
            </w:r>
            <w:r>
              <w:rPr>
                <w:rFonts w:ascii="Times New Roman" w:hAnsi="Times New Roman" w:cstheme="minorEastAsia" w:hint="default"/>
                <w:sz w:val="21"/>
                <w:szCs w:val="21"/>
                <w:vertAlign w:val="baseline"/>
                <w:lang w:val="en-US" w:eastAsia="zh-CN"/>
              </w:rPr>
              <w:t xml:space="preserve">000 </w:t>
            </w: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元</w:t>
            </w:r>
          </w:p>
        </w:tc>
      </w:tr>
      <w:tr>
        <w:tblPrEx>
          <w:tblW w:w="8164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商家</w:t>
            </w:r>
          </w:p>
        </w:tc>
        <w:tc>
          <w:tcPr>
            <w:tcW w:w="408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cstheme="minorEastAsia" w:hint="eastAsia"/>
                <w:szCs w:val="21"/>
                <w:vertAlign w:val="baseline"/>
              </w:rPr>
            </w:pPr>
            <w:r>
              <w:rPr>
                <w:rFonts w:ascii="Times New Roman" w:hAnsi="Times New Roman" w:cstheme="minorEastAsia" w:hint="eastAsia"/>
                <w:sz w:val="21"/>
                <w:szCs w:val="21"/>
                <w:vertAlign w:val="baseline"/>
                <w:lang w:val="en-US" w:eastAsia="zh-CN"/>
              </w:rPr>
              <w:t>常州市延隆干燥设备有限公司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  <w:br/>
      </w:r>
      <w:r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https://d.book118.com/018120033005006025</w:t>
        </w:r>
      </w:hyperlink>
    </w:p>
    <w:p>
      <w:pPr>
        <w:keepNext w:val="0"/>
        <w:keepLines w:val="0"/>
        <w:widowControl/>
        <w:suppressLineNumbers w:val="0"/>
        <w:jc w:val="left"/>
        <w:rPr>
          <w:rFonts w:ascii="Times New Roman" w:eastAsia="宋体" w:hAnsi="Times New Roman" w:cs="宋体" w:hint="eastAsia"/>
          <w:color w:val="000000"/>
          <w:kern w:val="0"/>
          <w:sz w:val="24"/>
          <w:lang w:bidi="ar"/>
        </w:rPr>
      </w:pPr>
    </w:p>
    <w:sectPr>
      <w:headerReference w:type="default" r:id="rId55"/>
      <w:footerReference w:type="default" r:id="rId56"/>
      <w:type w:val="nextPage"/>
      <w:pgSz w:w="11906" w:h="16838"/>
      <w:pgMar w:top="1440" w:right="1800" w:bottom="1440" w:left="1800" w:header="851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fmt="decimal" w:start="1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220786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II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0961216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III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rPr>
        <w:rFonts w:hint="default"/>
        <w:sz w:val="2"/>
        <w:szCs w:val="2"/>
        <w:lang w:val="en-US" w:eastAsia="zh-CN"/>
      </w:rPr>
      <w:t>读完这篇小说，我发现，老人的故事不仅象征着人与自然的关系，而且象征着人类坚不可摧的精神。在现实中，他虽然失败了，但在精神上得人们去学习，在遇到困难和挫折时，要相信自己，敢于拼困难与挫折，遇到挫折，只会求助于他人或置一次，努力决定着成败，在这短暂而又漫长的搏，否则将永远停滞于困境之中。人生就像是一场捕鱼，，他却是胜利者，他那顽强搏击的精神，展示了人的高贵和尊严。遍顾所有的人生，谁没有经历过失败呢?无论是在生活中还是在学之不理，缺少毅力。如果我们都像书中的老人一样，那么困难将永远无法阻拦我们前进的步伐。生命只有习中，我们都会遇到许多困难，但是在面对他们的时候我们的态度各有不同，有的惧怕困难，有的逃避困难，迎流而上。比如在我们的生活中遇到难题，大部分时候我们会因为太难而放弃，但是如果我们通过自己的独立思考去解决，那样的喜悦是不言而喻的。我想，险恶的人生环境和坚韧的人生态度，正是这部作品越来越吸引人的原因。人生本来就是一种无止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E9A991F"/>
    <w:multiLevelType w:val="singleLevel"/>
    <w:tmpl w:val="8E9A991F"/>
    <w:lvl w:ilvl="0">
      <w:start w:val="2"/>
      <w:numFmt w:val="decimal"/>
      <w:suff w:val="nothing"/>
      <w:lvlText w:val="（%1）"/>
      <w:lvlJc w:val="left"/>
    </w:lvl>
  </w:abstractNum>
  <w:abstractNum w:abstractNumId="1">
    <w:nsid w:val="F2D5021D"/>
    <w:multiLevelType w:val="singleLevel"/>
    <w:tmpl w:val="F2D5021D"/>
    <w:lvl w:ilvl="0">
      <w:start w:val="1"/>
      <w:numFmt w:val="decimal"/>
      <w:suff w:val="space"/>
      <w:lvlText w:val="[%1]"/>
      <w:lvlJc w:val="left"/>
      <w:rPr>
        <w:rFonts w:ascii="宋体" w:eastAsia="宋体" w:hAnsi="宋体" w:cs="宋体" w:hint="default"/>
      </w:rPr>
    </w:lvl>
  </w:abstractNum>
  <w:abstractNum w:abstractNumId="2">
    <w:nsid w:val="25645D31"/>
    <w:multiLevelType w:val="singleLevel"/>
    <w:tmpl w:val="25645D31"/>
    <w:lvl w:ilvl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4E2CD2"/>
    <w:rsid w:val="01934780"/>
    <w:rsid w:val="034151CC"/>
    <w:rsid w:val="03E47515"/>
    <w:rsid w:val="052D6C99"/>
    <w:rsid w:val="06275E82"/>
    <w:rsid w:val="08B933B2"/>
    <w:rsid w:val="094445B2"/>
    <w:rsid w:val="09D122E9"/>
    <w:rsid w:val="0B5C2086"/>
    <w:rsid w:val="13373D29"/>
    <w:rsid w:val="17A162F0"/>
    <w:rsid w:val="194F1AD2"/>
    <w:rsid w:val="1AE30562"/>
    <w:rsid w:val="1FA764FC"/>
    <w:rsid w:val="202F7912"/>
    <w:rsid w:val="2037584E"/>
    <w:rsid w:val="215E22A9"/>
    <w:rsid w:val="218D4B0F"/>
    <w:rsid w:val="277A21C0"/>
    <w:rsid w:val="29BD7D3C"/>
    <w:rsid w:val="29C7172E"/>
    <w:rsid w:val="2AA462D3"/>
    <w:rsid w:val="344C063B"/>
    <w:rsid w:val="37A56D79"/>
    <w:rsid w:val="382B0567"/>
    <w:rsid w:val="392456E2"/>
    <w:rsid w:val="3A32374C"/>
    <w:rsid w:val="3CD5430A"/>
    <w:rsid w:val="403402FE"/>
    <w:rsid w:val="418458D7"/>
    <w:rsid w:val="450A4276"/>
    <w:rsid w:val="489E58B1"/>
    <w:rsid w:val="49E47E0A"/>
    <w:rsid w:val="4C4E2CD2"/>
    <w:rsid w:val="50223F79"/>
    <w:rsid w:val="50F878B1"/>
    <w:rsid w:val="51D35976"/>
    <w:rsid w:val="52C732F9"/>
    <w:rsid w:val="53E133FB"/>
    <w:rsid w:val="55DD4788"/>
    <w:rsid w:val="57CB1824"/>
    <w:rsid w:val="581E279E"/>
    <w:rsid w:val="59492313"/>
    <w:rsid w:val="59F60B1C"/>
    <w:rsid w:val="5AC35F42"/>
    <w:rsid w:val="5EFE0B87"/>
    <w:rsid w:val="5F2E1669"/>
    <w:rsid w:val="603E6335"/>
    <w:rsid w:val="605B738C"/>
    <w:rsid w:val="60DF1D6B"/>
    <w:rsid w:val="61C91196"/>
    <w:rsid w:val="63C113FB"/>
    <w:rsid w:val="63F24AAC"/>
    <w:rsid w:val="69E7278A"/>
    <w:rsid w:val="6F1D6AA0"/>
    <w:rsid w:val="703B7037"/>
    <w:rsid w:val="75BD0E8D"/>
    <w:rsid w:val="761D0402"/>
    <w:rsid w:val="77605B7D"/>
    <w:rsid w:val="78513A44"/>
    <w:rsid w:val="796E7CD8"/>
    <w:rsid w:val="7BA52316"/>
    <w:rsid w:val="7CB04F67"/>
    <w:rsid w:val="7CF91FAF"/>
    <w:rsid w:val="7F5636E8"/>
    <w:rsid w:val="7F774919"/>
  </w:rsids>
  <w:docVars>
    <w:docVar w:name="commondata" w:val="eyJoZGlkIjoiYzQ2M2NhZDcxYzAwNzkzMmRkYjlkYzYxYjIzZWY1MTY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 w:qFormat="1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"/>
    <w:qFormat/>
    <w:pPr>
      <w:keepNext/>
      <w:keepLines/>
      <w:adjustRightInd w:val="0"/>
      <w:snapToGrid w:val="0"/>
      <w:spacing w:line="360" w:lineRule="auto"/>
      <w:jc w:val="left"/>
      <w:outlineLvl w:val="0"/>
    </w:pPr>
    <w:rPr>
      <w:rFonts w:ascii="Times New Roman" w:eastAsia="宋体" w:hAnsi="Times New Roman" w:cs="Times New Roman"/>
      <w:b/>
      <w:bCs/>
      <w:kern w:val="44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semiHidden/>
    <w:unhideWhenUsed/>
    <w:qFormat/>
    <w:rPr>
      <w:rFonts w:ascii="Arial" w:eastAsia="黑体" w:hAnsi="Arial"/>
      <w:sz w:val="20"/>
    </w:rPr>
  </w:style>
  <w:style w:type="paragraph" w:styleId="BodyTextIndent">
    <w:name w:val="Body Text Indent"/>
    <w:basedOn w:val="Normal"/>
    <w:qFormat/>
    <w:pPr>
      <w:ind w:firstLine="600" w:firstLineChars="200"/>
    </w:pPr>
    <w:rPr>
      <w:sz w:val="30"/>
    </w:rPr>
  </w:style>
  <w:style w:type="paragraph" w:styleId="TOC3">
    <w:name w:val="toc 3"/>
    <w:basedOn w:val="Normal"/>
    <w:next w:val="Normal"/>
    <w:qFormat/>
    <w:pPr>
      <w:ind w:left="840" w:leftChars="40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 w:leftChars="200"/>
    </w:p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标题 1 字符"/>
    <w:basedOn w:val="DefaultParagraphFont"/>
    <w:link w:val="Heading1"/>
    <w:uiPriority w:val="9"/>
    <w:qFormat/>
    <w:rPr>
      <w:rFonts w:ascii="Times New Roman" w:eastAsia="宋体" w:hAnsi="Times New Roman" w:cs="Times New Roman"/>
      <w:b/>
      <w:bCs/>
      <w:kern w:val="44"/>
      <w:sz w:val="28"/>
      <w:szCs w:val="28"/>
    </w:rPr>
  </w:style>
  <w:style w:type="paragraph" w:customStyle="1" w:styleId="WPSOffice1">
    <w:name w:val="WPSOffice手动目录 1"/>
    <w:qFormat/>
    <w:pPr>
      <w:ind w:leftChars="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</w:rPr>
  </w:style>
  <w:style w:type="paragraph" w:customStyle="1" w:styleId="WPSOffice3">
    <w:name w:val="WPSOffice手动目录 3"/>
    <w:qFormat/>
    <w:pPr>
      <w:ind w:leftChars="400"/>
    </w:pPr>
    <w:rPr>
      <w:rFonts w:ascii="Times New Roman" w:eastAsia="宋体" w:hAnsi="Times New Roman" w:cs="Times New Roman"/>
      <w:sz w:val="20"/>
      <w:szCs w:val="20"/>
    </w:rPr>
  </w:style>
  <w:style w:type="table" w:customStyle="1" w:styleId="TableGrid0">
    <w:name w:val="Table Grid_0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image" Target="media/image1.jpeg" /><Relationship Id="rId16" Type="http://schemas.openxmlformats.org/officeDocument/2006/relationships/image" Target="media/image2.jpeg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image" Target="media/image3.jpeg" /><Relationship Id="rId22" Type="http://schemas.openxmlformats.org/officeDocument/2006/relationships/header" Target="header8.xml" /><Relationship Id="rId23" Type="http://schemas.openxmlformats.org/officeDocument/2006/relationships/footer" Target="footer8.xml" /><Relationship Id="rId24" Type="http://schemas.openxmlformats.org/officeDocument/2006/relationships/header" Target="header9.xml" /><Relationship Id="rId25" Type="http://schemas.openxmlformats.org/officeDocument/2006/relationships/footer" Target="footer9.xml" /><Relationship Id="rId26" Type="http://schemas.openxmlformats.org/officeDocument/2006/relationships/header" Target="header10.xml" /><Relationship Id="rId27" Type="http://schemas.openxmlformats.org/officeDocument/2006/relationships/footer" Target="footer10.xml" /><Relationship Id="rId28" Type="http://schemas.openxmlformats.org/officeDocument/2006/relationships/image" Target="media/image4.jpeg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image" Target="media/image5.jpeg" /><Relationship Id="rId32" Type="http://schemas.openxmlformats.org/officeDocument/2006/relationships/header" Target="header12.xml" /><Relationship Id="rId33" Type="http://schemas.openxmlformats.org/officeDocument/2006/relationships/footer" Target="footer12.xml" /><Relationship Id="rId34" Type="http://schemas.openxmlformats.org/officeDocument/2006/relationships/header" Target="header13.xml" /><Relationship Id="rId35" Type="http://schemas.openxmlformats.org/officeDocument/2006/relationships/footer" Target="footer13.xml" /><Relationship Id="rId36" Type="http://schemas.openxmlformats.org/officeDocument/2006/relationships/header" Target="header14.xml" /><Relationship Id="rId37" Type="http://schemas.openxmlformats.org/officeDocument/2006/relationships/footer" Target="footer14.xml" /><Relationship Id="rId38" Type="http://schemas.openxmlformats.org/officeDocument/2006/relationships/header" Target="header15.xml" /><Relationship Id="rId39" Type="http://schemas.openxmlformats.org/officeDocument/2006/relationships/footer" Target="footer15.xml" /><Relationship Id="rId4" Type="http://schemas.openxmlformats.org/officeDocument/2006/relationships/customXml" Target="../customXml/item1.xml" /><Relationship Id="rId40" Type="http://schemas.openxmlformats.org/officeDocument/2006/relationships/header" Target="header16.xml" /><Relationship Id="rId41" Type="http://schemas.openxmlformats.org/officeDocument/2006/relationships/footer" Target="footer16.xml" /><Relationship Id="rId42" Type="http://schemas.openxmlformats.org/officeDocument/2006/relationships/header" Target="header17.xml" /><Relationship Id="rId43" Type="http://schemas.openxmlformats.org/officeDocument/2006/relationships/footer" Target="footer17.xml" /><Relationship Id="rId44" Type="http://schemas.openxmlformats.org/officeDocument/2006/relationships/header" Target="header18.xml" /><Relationship Id="rId45" Type="http://schemas.openxmlformats.org/officeDocument/2006/relationships/footer" Target="footer18.xml" /><Relationship Id="rId46" Type="http://schemas.openxmlformats.org/officeDocument/2006/relationships/header" Target="header19.xml" /><Relationship Id="rId47" Type="http://schemas.openxmlformats.org/officeDocument/2006/relationships/footer" Target="footer19.xml" /><Relationship Id="rId48" Type="http://schemas.openxmlformats.org/officeDocument/2006/relationships/header" Target="header20.xml" /><Relationship Id="rId49" Type="http://schemas.openxmlformats.org/officeDocument/2006/relationships/footer" Target="footer20.xml" /><Relationship Id="rId5" Type="http://schemas.openxmlformats.org/officeDocument/2006/relationships/header" Target="header1.xml" /><Relationship Id="rId50" Type="http://schemas.openxmlformats.org/officeDocument/2006/relationships/header" Target="header21.xml" /><Relationship Id="rId51" Type="http://schemas.openxmlformats.org/officeDocument/2006/relationships/footer" Target="footer21.xml" /><Relationship Id="rId52" Type="http://schemas.openxmlformats.org/officeDocument/2006/relationships/image" Target="media/image6.jpeg" /><Relationship Id="rId53" Type="http://schemas.openxmlformats.org/officeDocument/2006/relationships/image" Target="media/image7.jpeg" /><Relationship Id="rId54" Type="http://schemas.openxmlformats.org/officeDocument/2006/relationships/hyperlink" Target="https://d.book118.com/018120033005006025" TargetMode="External" /><Relationship Id="rId55" Type="http://schemas.openxmlformats.org/officeDocument/2006/relationships/header" Target="header22.xml" /><Relationship Id="rId56" Type="http://schemas.openxmlformats.org/officeDocument/2006/relationships/footer" Target="footer22.xml" /><Relationship Id="rId57" Type="http://schemas.openxmlformats.org/officeDocument/2006/relationships/theme" Target="theme/theme1.xml" /><Relationship Id="rId58" Type="http://schemas.openxmlformats.org/officeDocument/2006/relationships/numbering" Target="numbering.xml" /><Relationship Id="rId59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16156</Words>
  <Characters>22140</Characters>
  <Application>Microsoft Office Word</Application>
  <DocSecurity>0</DocSecurity>
  <Lines>0</Lines>
  <Paragraphs>0</Paragraphs>
  <ScaleCrop>false</ScaleCrop>
  <Company/>
  <LinksUpToDate>false</LinksUpToDate>
  <CharactersWithSpaces>24295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郑SHI熠</dc:creator>
  <cp:lastModifiedBy>Administrator</cp:lastModifiedBy>
  <cp:revision>1</cp:revision>
  <dcterms:created xsi:type="dcterms:W3CDTF">2023-04-23T04:32:00Z</dcterms:created>
  <dcterms:modified xsi:type="dcterms:W3CDTF">2024-01-10T01:59:25Z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A8E734C76D0D447CB5DB9FE0606C4A9E_11</vt:lpwstr>
  </property>
  <property fmtid="{D5CDD505-2E9C-101B-9397-08002B2CF9AE}" pid="3" name="KSOProductBuildVer">
    <vt:lpwstr>2052-11.8.2.8621</vt:lpwstr>
  </property>
</Properties>
</file>