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  <w:bookmarkStart w:id="0" w:name="_GoBack"/>
      <w:bookmarkEnd w:id="0"/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  <w:r>
        <w:rPr>
          <w:rFonts w:ascii="微软雅黑" w:eastAsia="微软雅黑" w:hAnsi="微软雅黑" w:cs="微软雅黑"/>
          <w:b/>
          <w:bCs/>
          <w:color w:val="2D54A0"/>
          <w:spacing w:val="9"/>
          <w:sz w:val="59"/>
          <w:szCs w:val="59"/>
        </w:rPr>
        <w:t>2024年铬粉系列行业趋势报</w:t>
      </w:r>
      <w:r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  <w:t>告</w:t>
      </w: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 w:hint="default"/>
          <w:b/>
          <w:bCs/>
          <w:color w:val="2D54A0"/>
          <w:spacing w:val="8"/>
          <w:sz w:val="44"/>
          <w:szCs w:val="44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b/>
          <w:bCs/>
          <w:color w:val="2D54A0"/>
          <w:spacing w:val="8"/>
          <w:sz w:val="44"/>
          <w:szCs w:val="44"/>
          <w:lang w:val="en-US" w:eastAsia="zh-CN"/>
        </w:rPr>
        <w:t>《2024年最新评估分析》</w:t>
      </w:r>
    </w:p>
    <w:p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 w:val="0"/>
          <w:color w:val="2E54A1" w:themeColor="accent1" w:themeShade="BF"/>
          <w:sz w:val="40"/>
        </w:rPr>
      </w:pPr>
      <w:r>
        <w:rPr>
          <w:rFonts w:ascii="微软雅黑" w:eastAsia="微软雅黑" w:hAnsi="微软雅黑" w:cs="微软雅黑" w:hint="eastAsia"/>
          <w:b/>
          <w:bCs w:val="0"/>
          <w:color w:val="2E54A1" w:themeColor="accent1" w:themeShade="BF"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9306" w:history="1">
        <w:r>
          <w:rPr>
            <w:rFonts w:ascii="微软雅黑" w:eastAsia="微软雅黑" w:hAnsi="微软雅黑" w:cs="微软雅黑" w:hint="eastAsia"/>
            <w:color w:val="001CAC" w:themeColor="hyperlink" w:themeShade="BF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_Toc29306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995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一、领导力发展与企业文化</w:t>
        </w:r>
        <w:r>
          <w:tab/>
        </w:r>
        <w:r>
          <w:fldChar w:fldCharType="begin"/>
        </w:r>
        <w:r>
          <w:instrText xml:space="preserve"> PAGEREF _Toc16995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8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(一)、高效团队建设原则</w:t>
        </w:r>
        <w:r>
          <w:tab/>
        </w:r>
        <w:r>
          <w:fldChar w:fldCharType="begin"/>
        </w:r>
        <w:r>
          <w:instrText xml:space="preserve"> PAGEREF _Toc8283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2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(二)、团队文化与价值观塑造</w:t>
        </w:r>
        <w:r>
          <w:tab/>
        </w:r>
        <w:r>
          <w:fldChar w:fldCharType="begin"/>
        </w:r>
        <w:r>
          <w:instrText xml:space="preserve"> PAGEREF _Toc28622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0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(三)、领导力发展计划</w:t>
        </w:r>
        <w:r>
          <w:tab/>
        </w:r>
        <w:r>
          <w:fldChar w:fldCharType="begin"/>
        </w:r>
        <w:r>
          <w:instrText xml:space="preserve"> PAGEREF _Toc3606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1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(四)、领导力在变革中的作用</w:t>
        </w:r>
        <w:r>
          <w:tab/>
        </w:r>
        <w:r>
          <w:fldChar w:fldCharType="begin"/>
        </w:r>
        <w:r>
          <w:instrText xml:space="preserve"> PAGEREF _Toc29515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530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二、制度运行与优化</w:t>
        </w:r>
        <w:r>
          <w:tab/>
        </w:r>
        <w:r>
          <w:fldChar w:fldCharType="begin"/>
        </w:r>
        <w:r>
          <w:instrText xml:space="preserve"> PAGEREF _Toc4530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4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(一)、制度执行与监督</w:t>
        </w:r>
        <w:r>
          <w:tab/>
        </w:r>
        <w:r>
          <w:fldChar w:fldCharType="begin"/>
        </w:r>
        <w:r>
          <w:instrText xml:space="preserve"> PAGEREF _Toc25049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1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(二)、制度优化与更新</w:t>
        </w:r>
        <w:r>
          <w:tab/>
        </w:r>
        <w:r>
          <w:fldChar w:fldCharType="begin"/>
        </w:r>
        <w:r>
          <w:instrText xml:space="preserve"> PAGEREF _Toc28415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012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三、制度建设与管理</w:t>
        </w:r>
        <w:r>
          <w:tab/>
        </w:r>
        <w:r>
          <w:fldChar w:fldCharType="begin"/>
        </w:r>
        <w:r>
          <w:instrText xml:space="preserve"> PAGEREF _Toc4012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1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_Toc21116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9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(二)、内部控制与审计</w:t>
        </w:r>
        <w:r>
          <w:tab/>
        </w:r>
        <w:r>
          <w:fldChar w:fldCharType="begin"/>
        </w:r>
        <w:r>
          <w:instrText xml:space="preserve"> PAGEREF _Toc25590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(三)、法律法规合规体系</w:t>
        </w:r>
        <w:r>
          <w:tab/>
        </w:r>
        <w:r>
          <w:fldChar w:fldCharType="begin"/>
        </w:r>
        <w:r>
          <w:instrText xml:space="preserve"> PAGEREF _Toc2168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180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四、铬粉系列行业公司治理与社会责任</w:t>
        </w:r>
        <w:r>
          <w:tab/>
        </w:r>
        <w:r>
          <w:fldChar w:fldCharType="begin"/>
        </w:r>
        <w:r>
          <w:instrText xml:space="preserve"> PAGEREF _Toc7180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8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_Toc31286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(二)、董事会运作与决策</w:t>
        </w:r>
        <w:r>
          <w:tab/>
        </w:r>
        <w:r>
          <w:fldChar w:fldCharType="begin"/>
        </w:r>
        <w:r>
          <w:instrText xml:space="preserve"> PAGEREF _Toc123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(三)、内部控制与审计</w:t>
        </w:r>
        <w:r>
          <w:tab/>
        </w:r>
        <w:r>
          <w:fldChar w:fldCharType="begin"/>
        </w:r>
        <w:r>
          <w:instrText xml:space="preserve"> PAGEREF _Toc2320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1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(四)、法律法规合规体系</w:t>
        </w:r>
        <w:r>
          <w:tab/>
        </w:r>
        <w:r>
          <w:fldChar w:fldCharType="begin"/>
        </w:r>
        <w:r>
          <w:instrText xml:space="preserve"> PAGEREF _Toc25618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7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(五)、企业社会责任与道德经营</w:t>
        </w:r>
        <w:r>
          <w:tab/>
        </w:r>
        <w:r>
          <w:fldChar w:fldCharType="begin"/>
        </w:r>
        <w:r>
          <w:instrText xml:space="preserve"> PAGEREF _Toc24571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385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五、铬粉系列行业选址方案分析</w:t>
        </w:r>
        <w:r>
          <w:tab/>
        </w:r>
        <w:r>
          <w:fldChar w:fldCharType="begin"/>
        </w:r>
        <w:r>
          <w:instrText xml:space="preserve"> PAGEREF _Toc17385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7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(一)、铬粉系列行业选址影响因素</w:t>
        </w:r>
        <w:r>
          <w:tab/>
        </w:r>
        <w:r>
          <w:fldChar w:fldCharType="begin"/>
        </w:r>
        <w:r>
          <w:instrText xml:space="preserve"> PAGEREF _Toc21970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6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(二)、铬粉系列行业选址原则</w:t>
        </w:r>
        <w:r>
          <w:tab/>
        </w:r>
        <w:r>
          <w:fldChar w:fldCharType="begin"/>
        </w:r>
        <w:r>
          <w:instrText xml:space="preserve"> PAGEREF _Toc22762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2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(三)、消费习惯对铬粉系列行业选址的影响</w:t>
        </w:r>
        <w:r>
          <w:tab/>
        </w:r>
        <w:r>
          <w:fldChar w:fldCharType="begin"/>
        </w:r>
        <w:r>
          <w:instrText xml:space="preserve"> PAGEREF _Toc3925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8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(四)、消费能力对铬粉系列行业选址的影响</w:t>
        </w:r>
        <w:r>
          <w:tab/>
        </w:r>
        <w:r>
          <w:fldChar w:fldCharType="begin"/>
        </w:r>
        <w:r>
          <w:instrText xml:space="preserve"> PAGEREF _Toc11888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5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(五)、经营成本对铬粉系列行业选址的影响</w:t>
        </w:r>
        <w:r>
          <w:tab/>
        </w:r>
        <w:r>
          <w:fldChar w:fldCharType="begin"/>
        </w:r>
        <w:r>
          <w:instrText xml:space="preserve"> PAGEREF _Toc17853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1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(六)、交通条件对铬粉系列行业选址的影响</w:t>
        </w:r>
        <w:r>
          <w:tab/>
        </w:r>
        <w:r>
          <w:fldChar w:fldCharType="begin"/>
        </w:r>
        <w:r>
          <w:instrText xml:space="preserve"> PAGEREF _Toc12011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595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六、铬粉系列行业运营管理及商业模式分析</w:t>
        </w:r>
        <w:r>
          <w:tab/>
        </w:r>
        <w:r>
          <w:fldChar w:fldCharType="begin"/>
        </w:r>
        <w:r>
          <w:instrText xml:space="preserve"> PAGEREF _Toc32595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4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(一)、铬粉系列行业数字化发展方案</w:t>
        </w:r>
        <w:r>
          <w:tab/>
        </w:r>
        <w:r>
          <w:fldChar w:fldCharType="begin"/>
        </w:r>
        <w:r>
          <w:instrText xml:space="preserve"> PAGEREF _Toc24245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6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(二)、铬粉系列行业新型运营方式</w:t>
        </w:r>
        <w:r>
          <w:tab/>
        </w:r>
        <w:r>
          <w:fldChar w:fldCharType="begin"/>
        </w:r>
        <w:r>
          <w:instrText xml:space="preserve"> PAGEREF _Toc12660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7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(三)、铬粉系列行业风险管理</w:t>
        </w:r>
        <w:r>
          <w:tab/>
        </w:r>
        <w:r>
          <w:fldChar w:fldCharType="begin"/>
        </w:r>
        <w:r>
          <w:instrText xml:space="preserve"> PAGEREF _Toc32375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347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七、安全与劳动保护</w:t>
        </w:r>
        <w:r>
          <w:tab/>
        </w:r>
        <w:r>
          <w:fldChar w:fldCharType="begin"/>
        </w:r>
        <w:r>
          <w:instrText xml:space="preserve"> PAGEREF _Toc16347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9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(一)、设计依据与法规合规</w:t>
        </w:r>
        <w:r>
          <w:tab/>
        </w:r>
        <w:r>
          <w:fldChar w:fldCharType="begin"/>
        </w:r>
        <w:r>
          <w:instrText xml:space="preserve"> PAGEREF _Toc22994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106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(二)、劳动安全预期效果评价</w:t>
        </w:r>
        <w:r>
          <w:tab/>
        </w:r>
        <w:r>
          <w:fldChar w:fldCharType="begin"/>
        </w:r>
        <w:r>
          <w:instrText xml:space="preserve"> PAGEREF _Toc11062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8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(三)、主要防范措施</w:t>
        </w:r>
        <w:r>
          <w:tab/>
        </w:r>
        <w:r>
          <w:fldChar w:fldCharType="begin"/>
        </w:r>
        <w:r>
          <w:instrText xml:space="preserve"> PAGEREF _Toc27683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418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八、市场营销与推广策略</w:t>
        </w:r>
        <w:r>
          <w:tab/>
        </w:r>
        <w:r>
          <w:fldChar w:fldCharType="begin"/>
        </w:r>
        <w:r>
          <w:instrText xml:space="preserve"> PAGEREF _Toc4418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7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(一)、目标市场分析</w:t>
        </w:r>
        <w:r>
          <w:tab/>
        </w:r>
        <w:r>
          <w:fldChar w:fldCharType="begin"/>
        </w:r>
        <w:r>
          <w:instrText xml:space="preserve"> PAGEREF _Toc5278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45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(二)、市场定位与竞争分析</w:t>
        </w:r>
        <w:r>
          <w:tab/>
        </w:r>
        <w:r>
          <w:fldChar w:fldCharType="begin"/>
        </w:r>
        <w:r>
          <w:instrText xml:space="preserve"> PAGEREF _Toc29455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19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(三)、推广与宣传策略</w:t>
        </w:r>
        <w:r>
          <w:tab/>
        </w:r>
        <w:r>
          <w:fldChar w:fldCharType="begin"/>
        </w:r>
        <w:r>
          <w:instrText xml:space="preserve"> PAGEREF _Toc7192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682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九、资金筹措与投资分析</w:t>
        </w:r>
        <w:r>
          <w:tab/>
        </w:r>
        <w:r>
          <w:fldChar w:fldCharType="begin"/>
        </w:r>
        <w:r>
          <w:instrText xml:space="preserve"> PAGEREF _Toc6682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5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(一)、资金需求与筹措计划</w:t>
        </w:r>
        <w:r>
          <w:tab/>
        </w:r>
        <w:r>
          <w:fldChar w:fldCharType="begin"/>
        </w:r>
        <w:r>
          <w:instrText xml:space="preserve"> PAGEREF _Toc8752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6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(二)、投资分析与回报预期</w:t>
        </w:r>
        <w:r>
          <w:tab/>
        </w:r>
        <w:r>
          <w:fldChar w:fldCharType="begin"/>
        </w:r>
        <w:r>
          <w:instrText xml:space="preserve"> PAGEREF _Toc31568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882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十、铬粉系列行业项目管理与实施</w:t>
        </w:r>
        <w:r>
          <w:tab/>
        </w:r>
        <w:r>
          <w:fldChar w:fldCharType="begin"/>
        </w:r>
        <w:r>
          <w:instrText xml:space="preserve"> PAGEREF _Toc29882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0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(一)、项目进度安排</w:t>
        </w:r>
        <w:r>
          <w:tab/>
        </w:r>
        <w:r>
          <w:fldChar w:fldCharType="begin"/>
        </w:r>
        <w:r>
          <w:instrText xml:space="preserve"> PAGEREF _Toc12107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6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(二)、项目实施保障措施</w:t>
        </w:r>
        <w:r>
          <w:tab/>
        </w:r>
        <w:r>
          <w:fldChar w:fldCharType="begin"/>
        </w:r>
        <w:r>
          <w:instrText xml:space="preserve"> PAGEREF _Toc11166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41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(三)、项目风险分析与对策</w:t>
        </w:r>
        <w:r>
          <w:tab/>
        </w:r>
        <w:r>
          <w:fldChar w:fldCharType="begin"/>
        </w:r>
        <w:r>
          <w:instrText xml:space="preserve"> PAGEREF _Toc4414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831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十一、铬粉系列行业制度建设与执行</w:t>
        </w:r>
        <w:r>
          <w:tab/>
        </w:r>
        <w:r>
          <w:fldChar w:fldCharType="begin"/>
        </w:r>
        <w:r>
          <w:instrText xml:space="preserve"> PAGEREF _Toc29831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9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(一)、公司制度体系规划</w:t>
        </w:r>
        <w:r>
          <w:tab/>
        </w:r>
        <w:r>
          <w:fldChar w:fldCharType="begin"/>
        </w:r>
        <w:r>
          <w:instrText xml:space="preserve"> PAGEREF _Toc25190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8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(二)、员工手册编制与更新</w:t>
        </w:r>
        <w:r>
          <w:tab/>
        </w:r>
        <w:r>
          <w:fldChar w:fldCharType="begin"/>
        </w:r>
        <w:r>
          <w:instrText xml:space="preserve"> PAGEREF _Toc5386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6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(三)、制度宣导与培训</w:t>
        </w:r>
        <w:r>
          <w:tab/>
        </w:r>
        <w:r>
          <w:fldChar w:fldCharType="begin"/>
        </w:r>
        <w:r>
          <w:instrText xml:space="preserve"> PAGEREF _Toc32263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0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(四)、主要防范措施</w:t>
        </w:r>
        <w:r>
          <w:tab/>
        </w:r>
        <w:r>
          <w:fldChar w:fldCharType="begin"/>
        </w:r>
        <w:r>
          <w:instrText xml:space="preserve"> PAGEREF _Toc8001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9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(五)、制度优化与更新</w:t>
        </w:r>
        <w:r>
          <w:tab/>
        </w:r>
        <w:r>
          <w:fldChar w:fldCharType="begin"/>
        </w:r>
        <w:r>
          <w:instrText xml:space="preserve"> PAGEREF _Toc18997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664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十二、铬粉系列行业人力资源管理策略</w:t>
        </w:r>
        <w:r>
          <w:tab/>
        </w:r>
        <w:r>
          <w:fldChar w:fldCharType="begin"/>
        </w:r>
        <w:r>
          <w:instrText xml:space="preserve"> PAGEREF _Toc29664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0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(一)、铬粉系列行业人力资源管理原则</w:t>
        </w:r>
        <w:r>
          <w:tab/>
        </w:r>
        <w:r>
          <w:fldChar w:fldCharType="begin"/>
        </w:r>
        <w:r>
          <w:instrText xml:space="preserve"> PAGEREF _Toc13306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9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(二)、铬粉系列行业劳动关系管理</w:t>
        </w:r>
        <w:r>
          <w:tab/>
        </w:r>
        <w:r>
          <w:fldChar w:fldCharType="begin"/>
        </w:r>
        <w:r>
          <w:instrText xml:space="preserve"> PAGEREF _Toc17999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4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(三)、铬粉系列行业人员配置方案</w:t>
        </w:r>
        <w:r>
          <w:tab/>
        </w:r>
        <w:r>
          <w:fldChar w:fldCharType="begin"/>
        </w:r>
        <w:r>
          <w:instrText xml:space="preserve"> PAGEREF _Toc14743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3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(四)、铬粉系列行业员工招聘方案</w:t>
        </w:r>
        <w:r>
          <w:tab/>
        </w:r>
        <w:r>
          <w:fldChar w:fldCharType="begin"/>
        </w:r>
        <w:r>
          <w:instrText xml:space="preserve"> PAGEREF _Toc14937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4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(五)、铬粉系列行业绩效和薪酬管理方案</w:t>
        </w:r>
        <w:r>
          <w:tab/>
        </w:r>
        <w:r>
          <w:fldChar w:fldCharType="begin"/>
        </w:r>
        <w:r>
          <w:instrText xml:space="preserve"> PAGEREF _Toc23542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8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(六)、铬粉系列行业员工福利管理方案</w:t>
        </w:r>
        <w:r>
          <w:tab/>
        </w:r>
        <w:r>
          <w:fldChar w:fldCharType="begin"/>
        </w:r>
        <w:r>
          <w:instrText xml:space="preserve"> PAGEREF _Toc12385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r>
        <w:fldChar w:fldCharType="end"/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https://d.book118.com/018121002010006030</w:t>
        </w:r>
      </w:hyperlink>
    </w:p>
    <w:p/>
    <w:sectPr>
      <w:headerReference w:type="default" r:id="rId9"/>
      <w:footerReference w:type="default" r:id="rId10"/>
      <w:type w:val="nextPage"/>
      <w:pgSz w:w="11906" w:h="16838"/>
      <w:pgMar w:top="1440" w:right="1800" w:bottom="1440" w:left="1800" w:header="851" w:footer="992" w:gutter="0"/>
      <w:pgNumType w:start="3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2775B3"/>
    <w:rsid w:val="02623C3C"/>
    <w:rsid w:val="03734037"/>
    <w:rsid w:val="11913914"/>
    <w:rsid w:val="13614867"/>
    <w:rsid w:val="3DAC44EE"/>
    <w:rsid w:val="453746B4"/>
    <w:rsid w:val="482775B3"/>
    <w:rsid w:val="49C53810"/>
    <w:rsid w:val="4E155AC7"/>
    <w:rsid w:val="50930768"/>
    <w:rsid w:val="62A91464"/>
    <w:rsid w:val="692E1C42"/>
  </w:rsids>
  <w:docVars>
    <w:docVar w:name="commondata" w:val="eyJoZGlkIjoiYjEzZTI3MzIxYzUxM2E3Y2YyMDVhZDRkMWU5YjExZ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 w:qFormat="1"/>
    <w:lsdException w:name="toc 2" w:semiHidden="0" w:uiPriority="0" w:unhideWhenUsed="0" w:qFormat="1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 w:qFormat="1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autoRedefine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autoRedefine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autoRedefine/>
    <w:semiHidden/>
    <w:qFormat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autoRedefine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  <w:autoRedefine/>
    <w:qFormat/>
  </w:style>
  <w:style w:type="paragraph" w:styleId="TOC2">
    <w:name w:val="toc 2"/>
    <w:basedOn w:val="Normal"/>
    <w:next w:val="Normal"/>
    <w:autoRedefine/>
    <w:qFormat/>
    <w:pPr>
      <w:ind w:left="420" w:leftChars="200"/>
    </w:pPr>
  </w:style>
  <w:style w:type="character" w:styleId="PageNumber">
    <w:name w:val="page number"/>
    <w:basedOn w:val="DefaultParagraphFont"/>
    <w:autoRedefine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yperlink" Target="https://d.book118.com/018121002010006030" TargetMode="Externa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小海豹</cp:lastModifiedBy>
  <cp:revision>1</cp:revision>
  <dcterms:created xsi:type="dcterms:W3CDTF">2023-12-10T12:06:00Z</dcterms:created>
  <dcterms:modified xsi:type="dcterms:W3CDTF">2024-01-17T07:33:55Z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1E39AA5D4B7F4B19B7D16FD992F8235D_13</vt:lpwstr>
  </property>
  <property fmtid="{D5CDD505-2E9C-101B-9397-08002B2CF9AE}" pid="3" name="KSOProductBuildVer">
    <vt:lpwstr>2052-12.1.0.16120</vt:lpwstr>
  </property>
</Properties>
</file>