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875"/>
          <w:tab w:val="left" w:pos="3766"/>
        </w:tabs>
        <w:spacing w:line="966" w:lineRule="exact"/>
      </w:pPr>
      <w:r>
        <w:t>皮</w:t>
        <w:tab/>
        <w:t>肤</w:t>
        <w:tab/>
        <w:t>科</w:t>
      </w:r>
    </w:p>
    <w:p>
      <w:pPr>
        <w:pStyle w:val="Title"/>
        <w:spacing w:before="260"/>
        <w:ind w:right="726"/>
      </w:pPr>
      <w:r>
        <w:rPr>
          <w:spacing w:val="98"/>
        </w:rPr>
        <w:t>中医临床路径</w:t>
      </w:r>
    </w:p>
    <w:p>
      <w:pPr>
        <w:pStyle w:val="BodyText"/>
        <w:rPr>
          <w:sz w:val="78"/>
        </w:rPr>
      </w:pPr>
    </w:p>
    <w:p>
      <w:pPr>
        <w:pStyle w:val="BodyText"/>
        <w:spacing w:before="9"/>
        <w:rPr>
          <w:sz w:val="99"/>
        </w:rPr>
      </w:pPr>
    </w:p>
    <w:p>
      <w:pPr>
        <w:pStyle w:val="BodyText"/>
        <w:tabs>
          <w:tab w:val="left" w:pos="1073"/>
        </w:tabs>
        <w:ind w:right="611"/>
        <w:jc w:val="center"/>
      </w:pPr>
      <w:r>
        <w:t>目</w:t>
        <w:tab/>
        <w:t>录</w:t>
      </w:r>
    </w:p>
    <w:p>
      <w:pPr>
        <w:pStyle w:val="BodyText"/>
        <w:tabs>
          <w:tab w:val="right" w:leader="dot" w:pos="12564"/>
        </w:tabs>
        <w:spacing w:before="812"/>
        <w:ind w:left="918"/>
      </w:pPr>
      <w:r>
        <w:t>白疕（寻常性银屑病）中医临床路径…</w:t>
        <w:tab/>
        <w:t>267</w:t>
      </w:r>
    </w:p>
    <w:p>
      <w:pPr>
        <w:pStyle w:val="BodyText"/>
        <w:tabs>
          <w:tab w:val="right" w:leader="dot" w:pos="12564"/>
        </w:tabs>
        <w:spacing w:before="398"/>
        <w:ind w:left="918"/>
      </w:pPr>
      <w:r>
        <w:t>粉刺（寻常性痤疮）中医临床路径…</w:t>
        <w:tab/>
        <w:t>272</w:t>
      </w:r>
    </w:p>
    <w:p>
      <w:pPr>
        <w:pStyle w:val="BodyText"/>
        <w:tabs>
          <w:tab w:val="right" w:leader="dot" w:pos="12564"/>
        </w:tabs>
        <w:spacing w:before="398"/>
        <w:ind w:left="918"/>
      </w:pPr>
      <w:r>
        <w:t>蛇串疮（带状疱疹）中医临床路径…</w:t>
        <w:tab/>
        <w:t>278</w:t>
      </w:r>
    </w:p>
    <w:p>
      <w:pPr>
        <w:pStyle w:val="BodyText"/>
        <w:tabs>
          <w:tab w:val="right" w:leader="dot" w:pos="12471"/>
        </w:tabs>
        <w:spacing w:before="398"/>
        <w:ind w:left="918"/>
      </w:pPr>
      <w:r>
        <w:t>湿疮（湿疹）中医临床路径…</w:t>
        <w:tab/>
        <w:t>283</w:t>
      </w:r>
    </w:p>
    <w:p>
      <w:pPr>
        <w:spacing w:after="0"/>
        <w:sectPr>
          <w:type w:val="continuous"/>
          <w:pgSz w:w="17850" w:h="23830"/>
          <w:pgMar w:top="1840" w:right="1220" w:bottom="280" w:left="1840" w:header="708" w:footer="708"/>
          <w:cols w:space="708"/>
        </w:sectPr>
      </w:pPr>
    </w:p>
    <w:p>
      <w:pPr>
        <w:spacing w:before="40"/>
        <w:ind w:left="288" w:right="0" w:firstLine="0"/>
        <w:jc w:val="left"/>
        <w:rPr>
          <w:sz w:val="31"/>
        </w:rPr>
      </w:pPr>
      <w:r>
        <w:pict>
          <v:group id="_x0000_s1025" style="width:892.45pt;height:1176.6pt;margin-top:0;margin-left:0;mso-position-horizontal-relative:page;mso-position-vertical-relative:page;position:absolute;z-index:-251658240" coordorigin="0,0" coordsize="17849,235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00;height:1420;left:1740;position:absolute;top:20760" stroked="f">
              <v:imagedata r:id="rId4" o:title=""/>
            </v:shape>
            <v:shape id="_x0000_s1027" type="#_x0000_t75" style="width:740;height:720;left:5100;position:absolute;top:2180" stroked="f">
              <v:imagedata r:id="rId5" o:title=""/>
            </v:shape>
            <v:shape id="_x0000_s1028" type="#_x0000_t75" style="width:17849;height:23532;position:absolute" stroked="f">
              <v:imagedata r:id="rId6" o:title=""/>
            </v:shape>
            <v:shape id="_x0000_s1029" type="#_x0000_t75" style="width:14800;height:1400;left:1480;position:absolute;top:640" stroked="f">
              <v:imagedata r:id="rId7" o:title=""/>
            </v:shape>
          </v:group>
        </w:pict>
      </w:r>
      <w:r>
        <w:rPr>
          <w:sz w:val="31"/>
        </w:rPr>
        <w:t>风湿科中医临床路径</w:t>
      </w:r>
    </w:p>
    <w:p>
      <w:pPr>
        <w:pStyle w:val="BodyText"/>
      </w:pPr>
    </w:p>
    <w:p>
      <w:pPr>
        <w:pStyle w:val="BodyText"/>
        <w:tabs>
          <w:tab w:val="left" w:pos="4400"/>
        </w:tabs>
        <w:spacing w:before="270"/>
        <w:ind w:left="3341"/>
      </w:pPr>
      <w:r>
        <w:t>白</w:t>
        <w:tab/>
        <w:t>（寻常性银屑病）中医临床路径</w:t>
      </w:r>
    </w:p>
    <w:p>
      <w:pPr>
        <w:pStyle w:val="BodyText"/>
        <w:spacing w:before="12"/>
        <w:rPr>
          <w:sz w:val="61"/>
        </w:rPr>
      </w:pPr>
    </w:p>
    <w:p>
      <w:pPr>
        <w:pStyle w:val="BodyText"/>
        <w:spacing w:line="448" w:lineRule="auto"/>
        <w:ind w:left="1577" w:right="2258"/>
      </w:pPr>
      <w:r>
        <w:t>路径说明：本路径适合于西医诊断为寻常性银屑病的患者。一、白疕（寻常性银屑病）中医临床路径标准住院流程</w:t>
      </w:r>
    </w:p>
    <w:p>
      <w:pPr>
        <w:pStyle w:val="BodyText"/>
        <w:spacing w:line="534" w:lineRule="exact"/>
        <w:ind w:left="1577"/>
      </w:pPr>
      <w:r>
        <w:t>（一）适用对象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417" w:lineRule="auto"/>
        <w:ind w:left="1577" w:right="4064"/>
      </w:pPr>
      <w:r>
        <w:rPr>
          <w:spacing w:val="-36"/>
          <w:w w:val="100"/>
        </w:rPr>
        <w:t>中医诊断：第一诊断为白疕</w:t>
      </w:r>
      <w:r>
        <w:rPr>
          <w:spacing w:val="-3"/>
          <w:w w:val="100"/>
        </w:rPr>
        <w:t>（</w:t>
      </w:r>
      <w:r>
        <w:rPr>
          <w:w w:val="100"/>
        </w:rPr>
        <w:t>TC</w:t>
      </w:r>
      <w:r>
        <w:rPr>
          <w:spacing w:val="31"/>
          <w:w w:val="100"/>
        </w:rPr>
        <w:t>D</w:t>
      </w:r>
      <w:r>
        <w:rPr>
          <w:spacing w:val="-2"/>
          <w:w w:val="100"/>
        </w:rPr>
        <w:t>编码</w:t>
      </w:r>
      <w:r>
        <w:rPr>
          <w:w w:val="100"/>
        </w:rPr>
        <w:t>:BWR17</w:t>
      </w:r>
      <w:r>
        <w:rPr>
          <w:spacing w:val="-2"/>
          <w:w w:val="100"/>
        </w:rPr>
        <w:t>0</w:t>
      </w:r>
      <w:r>
        <w:rPr>
          <w:spacing w:val="-378"/>
          <w:w w:val="100"/>
        </w:rPr>
        <w:t>）</w:t>
      </w:r>
      <w:r>
        <w:rPr>
          <w:spacing w:val="5"/>
          <w:w w:val="100"/>
        </w:rPr>
        <w:t>。西</w:t>
      </w:r>
      <w:r>
        <w:rPr>
          <w:spacing w:val="-13"/>
        </w:rPr>
        <w:t>医诊断：第一诊断为寻常性银屑病</w:t>
      </w:r>
      <w:r>
        <w:rPr>
          <w:spacing w:val="4"/>
        </w:rPr>
        <w:t>（ICD-10</w:t>
      </w:r>
      <w:r>
        <w:rPr>
          <w:spacing w:val="-7"/>
        </w:rPr>
        <w:t xml:space="preserve">编码： </w:t>
      </w:r>
      <w:r>
        <w:rPr>
          <w:w w:val="100"/>
        </w:rPr>
        <w:t>L40.00</w:t>
      </w:r>
      <w:r>
        <w:rPr>
          <w:spacing w:val="-2"/>
          <w:w w:val="100"/>
        </w:rPr>
        <w:t>1</w:t>
      </w:r>
      <w:r>
        <w:rPr>
          <w:spacing w:val="-360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25" w:line="446" w:lineRule="auto"/>
        <w:ind w:left="1577" w:right="10261"/>
      </w:pPr>
      <w:r>
        <w:t>（二）诊断依据1.疾病诊断</w:t>
      </w:r>
    </w:p>
    <w:p>
      <w:pPr>
        <w:pStyle w:val="BodyText"/>
        <w:spacing w:before="3" w:line="417" w:lineRule="auto"/>
        <w:ind w:left="857" w:right="1416" w:firstLine="719"/>
      </w:pPr>
      <w:r>
        <w:t>（１）</w:t>
      </w:r>
      <w:r>
        <w:rPr>
          <w:spacing w:val="-1"/>
        </w:rPr>
        <w:t>中医诊断标准：参照中华人民共和国中医药行业标准《中</w:t>
      </w:r>
      <w:r>
        <w:rPr>
          <w:w w:val="100"/>
        </w:rPr>
        <w:t>医病证诊断疗效标</w:t>
      </w:r>
      <w:r>
        <w:t xml:space="preserve"> </w:t>
      </w:r>
      <w:r>
        <w:rPr>
          <w:spacing w:val="-180"/>
          <w:w w:val="100"/>
        </w:rPr>
        <w:t>准》</w:t>
      </w:r>
      <w:r>
        <w:rPr>
          <w:spacing w:val="-4"/>
          <w:w w:val="100"/>
        </w:rPr>
        <w:t>（</w:t>
      </w:r>
      <w:r>
        <w:rPr>
          <w:w w:val="100"/>
        </w:rPr>
        <w:t>ZY/T001.8-9</w:t>
      </w:r>
      <w:r>
        <w:rPr>
          <w:spacing w:val="-3"/>
          <w:w w:val="100"/>
        </w:rPr>
        <w:t>4</w:t>
      </w:r>
      <w:r>
        <w:rPr>
          <w:spacing w:val="-364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22"/>
        <w:ind w:left="1577"/>
      </w:pPr>
      <w:r>
        <w:rPr>
          <w:w w:val="100"/>
        </w:rPr>
        <w:t>（</w:t>
      </w:r>
    </w:p>
    <w:p>
      <w:pPr>
        <w:pStyle w:val="BodyText"/>
        <w:spacing w:before="4"/>
        <w:rPr>
          <w:sz w:val="31"/>
        </w:rPr>
      </w:pPr>
    </w:p>
    <w:p>
      <w:pPr>
        <w:pStyle w:val="BodyText"/>
        <w:ind w:left="857"/>
      </w:pPr>
      <w:r>
        <w:t>２ 2.证候诊断 参照“国家中医药管理局‘十一五’重点专科协作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2" w:lineRule="auto"/>
        <w:ind w:left="857" w:right="7314"/>
      </w:pPr>
      <w:r>
        <w:t>）</w:t>
      </w:r>
      <w:r>
        <w:rPr>
          <w:spacing w:val="26"/>
        </w:rPr>
        <w:t xml:space="preserve"> 组白疕</w:t>
      </w:r>
      <w:r>
        <w:t>（寻常性银屑病）</w:t>
      </w:r>
      <w:r>
        <w:rPr>
          <w:spacing w:val="-7"/>
        </w:rPr>
        <w:t>诊疗方</w:t>
      </w:r>
      <w:r>
        <w:rPr>
          <w:spacing w:val="-422"/>
          <w:position w:val="3"/>
        </w:rPr>
        <w:t>西</w:t>
      </w:r>
      <w:r>
        <w:rPr>
          <w:spacing w:val="-81"/>
        </w:rPr>
        <w:t>案”。 白疕</w:t>
      </w:r>
      <w:r>
        <w:t>（寻常性银屑病</w:t>
      </w:r>
      <w:r>
        <w:rPr>
          <w:spacing w:val="-32"/>
        </w:rPr>
        <w:t>）</w:t>
      </w:r>
      <w:r>
        <w:t>临</w:t>
      </w:r>
    </w:p>
    <w:p>
      <w:pPr>
        <w:pStyle w:val="BodyText"/>
        <w:spacing w:line="548" w:lineRule="exact"/>
        <w:ind w:left="857"/>
      </w:pPr>
      <w:r>
        <w:rPr>
          <w:position w:val="2"/>
        </w:rPr>
        <w:t xml:space="preserve">医 </w:t>
      </w:r>
      <w:r>
        <w:t>床常见证候： 血热证</w:t>
      </w:r>
    </w:p>
    <w:p>
      <w:pPr>
        <w:pStyle w:val="BodyText"/>
        <w:tabs>
          <w:tab w:val="left" w:pos="3471"/>
        </w:tabs>
        <w:spacing w:before="378"/>
        <w:ind w:left="857"/>
      </w:pPr>
      <w:r>
        <w:rPr>
          <w:position w:val="2"/>
        </w:rPr>
        <w:t>诊</w:t>
      </w:r>
      <w:r>
        <w:rPr>
          <w:spacing w:val="-120"/>
          <w:position w:val="2"/>
        </w:rPr>
        <w:t xml:space="preserve"> </w:t>
      </w:r>
      <w:r>
        <w:t>血 燥证</w:t>
        <w:tab/>
        <w:t>血瘀证</w:t>
      </w:r>
    </w:p>
    <w:p>
      <w:pPr>
        <w:pStyle w:val="BodyText"/>
        <w:spacing w:before="379" w:line="400" w:lineRule="auto"/>
        <w:ind w:left="857" w:right="1638"/>
      </w:pPr>
      <w:r>
        <w:rPr>
          <w:spacing w:val="53"/>
          <w:position w:val="4"/>
        </w:rPr>
        <w:t xml:space="preserve">断 </w:t>
      </w:r>
      <w:r>
        <w:t>（三）</w:t>
      </w:r>
      <w:r>
        <w:rPr>
          <w:spacing w:val="-1"/>
        </w:rPr>
        <w:t>治疗方案的选择 参照“国家中医药管理局‘十一五’重</w:t>
      </w:r>
      <w:r>
        <w:rPr>
          <w:spacing w:val="44"/>
          <w:position w:val="4"/>
        </w:rPr>
        <w:t xml:space="preserve">标 </w:t>
      </w:r>
      <w:r>
        <w:t>点专科协作组白疕（寻常性银屑病）诊疗方</w:t>
      </w:r>
    </w:p>
    <w:p>
      <w:pPr>
        <w:pStyle w:val="BodyText"/>
        <w:spacing w:line="598" w:lineRule="exact"/>
        <w:ind w:left="857"/>
      </w:pPr>
      <w:r>
        <w:rPr>
          <w:spacing w:val="-422"/>
          <w:position w:val="7"/>
        </w:rPr>
        <w:t>准</w:t>
      </w:r>
      <w:r>
        <w:rPr>
          <w:spacing w:val="-121"/>
        </w:rPr>
        <w:t>案”。</w:t>
      </w:r>
    </w:p>
    <w:p>
      <w:pPr>
        <w:pStyle w:val="BodyText"/>
        <w:tabs>
          <w:tab w:val="left" w:pos="1371"/>
        </w:tabs>
        <w:spacing w:before="326"/>
        <w:ind w:left="288"/>
      </w:pPr>
      <w:r>
        <w:rPr>
          <w:w w:val="128"/>
          <w:vertAlign w:val="superscript"/>
        </w:rPr>
        <w:t>—</w:t>
      </w:r>
      <w:r>
        <w:rPr>
          <w:spacing w:val="-74"/>
          <w:vertAlign w:val="baseline"/>
        </w:rPr>
        <w:t xml:space="preserve"> </w:t>
      </w:r>
      <w:r>
        <w:rPr>
          <w:rFonts w:ascii="Arial" w:eastAsia="Arial" w:hAnsi="Arial"/>
          <w:w w:val="89"/>
          <w:vertAlign w:val="superscript"/>
        </w:rPr>
        <w:t>2</w:t>
      </w:r>
      <w:r>
        <w:rPr>
          <w:rFonts w:ascii="Arial" w:eastAsia="Arial" w:hAnsi="Arial"/>
          <w:spacing w:val="-108"/>
          <w:w w:val="89"/>
          <w:vertAlign w:val="superscript"/>
        </w:rPr>
        <w:t>6</w:t>
      </w:r>
      <w:r>
        <w:rPr>
          <w:spacing w:val="-314"/>
          <w:w w:val="100"/>
          <w:position w:val="14"/>
          <w:vertAlign w:val="baseline"/>
        </w:rPr>
        <w:t>：</w:t>
      </w:r>
      <w:r>
        <w:rPr>
          <w:rFonts w:ascii="Arial" w:eastAsia="Arial" w:hAnsi="Arial"/>
          <w:w w:val="89"/>
          <w:position w:val="24"/>
          <w:sz w:val="27"/>
          <w:vertAlign w:val="baseline"/>
        </w:rPr>
        <w:t>6</w:t>
      </w:r>
      <w:r>
        <w:rPr>
          <w:rFonts w:ascii="Arial" w:eastAsia="Arial" w:hAnsi="Arial"/>
          <w:position w:val="24"/>
          <w:sz w:val="27"/>
          <w:vertAlign w:val="baseline"/>
        </w:rPr>
        <w:tab/>
      </w:r>
      <w:r>
        <w:rPr>
          <w:spacing w:val="-65"/>
          <w:position w:val="24"/>
          <w:sz w:val="27"/>
          <w:vertAlign w:val="baseline"/>
        </w:rPr>
        <w:t>—</w:t>
      </w:r>
      <w:r>
        <w:rPr>
          <w:w w:val="100"/>
          <w:vertAlign w:val="baseline"/>
        </w:rPr>
        <w:t>1.诊断明确，第一诊断为白疕（寻常性银屑病</w:t>
      </w:r>
      <w:r>
        <w:rPr>
          <w:spacing w:val="-384"/>
          <w:w w:val="100"/>
          <w:vertAlign w:val="baseline"/>
        </w:rPr>
        <w:t>）</w:t>
      </w:r>
      <w:r>
        <w:rPr>
          <w:w w:val="100"/>
          <w:vertAlign w:val="baseline"/>
        </w:rPr>
        <w:t>。</w:t>
      </w:r>
    </w:p>
    <w:p>
      <w:pPr>
        <w:pStyle w:val="BodyText"/>
        <w:spacing w:before="262"/>
        <w:ind w:left="857"/>
      </w:pPr>
      <w:r>
        <w:rPr>
          <w:w w:val="100"/>
        </w:rPr>
        <w:t>参</w:t>
      </w:r>
    </w:p>
    <w:p>
      <w:pPr>
        <w:spacing w:after="0"/>
        <w:sectPr>
          <w:pgSz w:w="17850" w:h="23830"/>
          <w:pgMar w:top="1000" w:right="1220" w:bottom="280" w:left="1840" w:header="708" w:footer="708"/>
          <w:pgNumType w:start="2"/>
          <w:cols w:space="708"/>
        </w:sectPr>
      </w:pPr>
    </w:p>
    <w:p>
      <w:pPr>
        <w:pStyle w:val="BodyText"/>
        <w:spacing w:before="18"/>
        <w:ind w:left="1577"/>
      </w:pPr>
      <w:r>
        <w:t>2.患者适合并接受中医治疗。</w:t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1577"/>
      </w:pPr>
      <w:r>
        <w:t>（四）标准住院日为≤</w:t>
      </w:r>
      <w:r>
        <w:rPr>
          <w:spacing w:val="6"/>
        </w:rPr>
        <w:t>30</w:t>
      </w:r>
      <w:r>
        <w:t>天。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ind w:left="1577"/>
      </w:pPr>
      <w:r>
        <w:t>（五）进入路径标准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9"/>
        </w:numPr>
        <w:tabs>
          <w:tab w:val="left" w:pos="2000"/>
        </w:tabs>
        <w:spacing w:before="0" w:after="0" w:line="240" w:lineRule="auto"/>
        <w:ind w:left="1999" w:right="0" w:hanging="423"/>
        <w:jc w:val="left"/>
        <w:rPr>
          <w:sz w:val="42"/>
        </w:rPr>
      </w:pPr>
      <w:r>
        <w:rPr>
          <w:spacing w:val="-14"/>
          <w:sz w:val="42"/>
        </w:rPr>
        <w:t>第一诊断必须符合白疕</w:t>
      </w:r>
      <w:r>
        <w:rPr>
          <w:spacing w:val="7"/>
          <w:sz w:val="42"/>
        </w:rPr>
        <w:t>（TCD</w:t>
      </w:r>
      <w:r>
        <w:rPr>
          <w:spacing w:val="-10"/>
          <w:sz w:val="42"/>
        </w:rPr>
        <w:t>编码为：</w:t>
      </w:r>
      <w:r>
        <w:rPr>
          <w:spacing w:val="-33"/>
          <w:sz w:val="42"/>
        </w:rPr>
        <w:t>BWR170）</w:t>
      </w:r>
      <w:r>
        <w:rPr>
          <w:sz w:val="42"/>
        </w:rPr>
        <w:t>和寻常性银屑病</w:t>
      </w:r>
    </w:p>
    <w:p>
      <w:pPr>
        <w:pStyle w:val="BodyText"/>
        <w:rPr>
          <w:sz w:val="31"/>
        </w:rPr>
      </w:pPr>
    </w:p>
    <w:p>
      <w:pPr>
        <w:pStyle w:val="BodyText"/>
        <w:ind w:left="857"/>
      </w:pPr>
      <w:r>
        <w:t>（ICD-10编码为： L40.001）的患者。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29"/>
        </w:numPr>
        <w:tabs>
          <w:tab w:val="left" w:pos="2000"/>
        </w:tabs>
        <w:spacing w:before="0" w:after="0" w:line="417" w:lineRule="auto"/>
        <w:ind w:left="857" w:right="1577" w:firstLine="719"/>
        <w:jc w:val="left"/>
        <w:rPr>
          <w:sz w:val="42"/>
        </w:rPr>
      </w:pPr>
      <w:r>
        <w:rPr>
          <w:spacing w:val="-14"/>
          <w:sz w:val="42"/>
        </w:rPr>
        <w:t>当患者同时具有其他疾病，但不需特殊处理也不影响第一诊断</w:t>
      </w:r>
      <w:r>
        <w:rPr>
          <w:spacing w:val="-1"/>
          <w:sz w:val="42"/>
        </w:rPr>
        <w:t>的临床路径流程实 施时，可以进入本路径。</w:t>
      </w:r>
    </w:p>
    <w:p>
      <w:pPr>
        <w:pStyle w:val="ListParagraph"/>
        <w:numPr>
          <w:ilvl w:val="0"/>
          <w:numId w:val="29"/>
        </w:numPr>
        <w:tabs>
          <w:tab w:val="left" w:pos="1103"/>
        </w:tabs>
        <w:spacing w:before="0" w:after="0" w:line="404" w:lineRule="exact"/>
        <w:ind w:left="1103" w:right="0" w:hanging="423"/>
        <w:jc w:val="left"/>
        <w:rPr>
          <w:sz w:val="42"/>
        </w:rPr>
      </w:pPr>
      <w:r>
        <w:rPr>
          <w:sz w:val="42"/>
        </w:rPr>
        <w:t>以下情况不进入本路径：</w:t>
      </w:r>
    </w:p>
    <w:p>
      <w:pPr>
        <w:pStyle w:val="ListParagraph"/>
        <w:numPr>
          <w:ilvl w:val="1"/>
          <w:numId w:val="29"/>
        </w:numPr>
        <w:tabs>
          <w:tab w:val="left" w:pos="2640"/>
        </w:tabs>
        <w:spacing w:before="196" w:after="0" w:line="417" w:lineRule="auto"/>
        <w:ind w:left="857" w:right="1617" w:firstLine="719"/>
        <w:jc w:val="left"/>
        <w:rPr>
          <w:sz w:val="42"/>
        </w:rPr>
      </w:pPr>
      <w:r>
        <w:rPr>
          <w:spacing w:val="-1"/>
          <w:sz w:val="42"/>
        </w:rPr>
        <w:t>合并严重心血管、肝、肾、脑和造血系统等原发性疾病且</w:t>
      </w:r>
      <w:r>
        <w:rPr>
          <w:sz w:val="42"/>
        </w:rPr>
        <w:t>病情不稳定，需首 要接受内科治疗者；</w:t>
      </w:r>
    </w:p>
    <w:p>
      <w:pPr>
        <w:pStyle w:val="ListParagraph"/>
        <w:numPr>
          <w:ilvl w:val="1"/>
          <w:numId w:val="29"/>
        </w:numPr>
        <w:tabs>
          <w:tab w:val="left" w:pos="2633"/>
        </w:tabs>
        <w:spacing w:before="21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患有精神疾病、恶性肿瘤晚期、艾滋病患者；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1"/>
          <w:numId w:val="29"/>
        </w:numPr>
        <w:tabs>
          <w:tab w:val="left" w:pos="2640"/>
        </w:tabs>
        <w:spacing w:before="1" w:after="0" w:line="417" w:lineRule="auto"/>
        <w:ind w:left="857" w:right="1617" w:firstLine="719"/>
        <w:jc w:val="left"/>
        <w:rPr>
          <w:sz w:val="42"/>
        </w:rPr>
      </w:pPr>
      <w:r>
        <w:rPr>
          <w:sz w:val="42"/>
        </w:rPr>
        <w:t>合并有需要系统治疗（</w:t>
      </w:r>
      <w:r>
        <w:rPr>
          <w:spacing w:val="-2"/>
          <w:sz w:val="42"/>
        </w:rPr>
        <w:t>如：使用大量糖皮质激素或者免疫</w:t>
      </w:r>
      <w:r>
        <w:rPr>
          <w:sz w:val="42"/>
        </w:rPr>
        <w:t>抑制剂等）</w:t>
      </w:r>
      <w:r>
        <w:rPr>
          <w:spacing w:val="2"/>
          <w:sz w:val="42"/>
        </w:rPr>
        <w:t>的结缔 组织病患者；</w:t>
      </w:r>
    </w:p>
    <w:p>
      <w:pPr>
        <w:pStyle w:val="ListParagraph"/>
        <w:numPr>
          <w:ilvl w:val="1"/>
          <w:numId w:val="29"/>
        </w:numPr>
        <w:tabs>
          <w:tab w:val="left" w:pos="2633"/>
        </w:tabs>
        <w:spacing w:before="2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妊娠期或哺乳期妇女。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line="415" w:lineRule="auto"/>
        <w:ind w:left="1555" w:right="1381" w:firstLine="25"/>
      </w:pPr>
      <w:r>
        <w:t>（六</w:t>
      </w:r>
      <w:r>
        <w:rPr>
          <w:spacing w:val="-54"/>
        </w:rPr>
        <w:t>）</w:t>
      </w:r>
      <w:r>
        <w:rPr>
          <w:spacing w:val="-13"/>
        </w:rPr>
        <w:t>中医证候学观察 四诊合参，收集该病种不同证候的主症</w:t>
      </w:r>
      <w:r>
        <w:rPr>
          <w:spacing w:val="-192"/>
        </w:rPr>
        <w:t>、次</w:t>
      </w:r>
      <w:r>
        <w:t>症、舌、脉特点。注意证候的动态变化。</w:t>
      </w:r>
    </w:p>
    <w:p>
      <w:pPr>
        <w:pStyle w:val="BodyText"/>
        <w:spacing w:before="29" w:line="448" w:lineRule="auto"/>
        <w:ind w:left="1577" w:right="9420"/>
      </w:pPr>
      <w:r>
        <w:t>（七）入院检查项目１.必需的检查项目</w:t>
      </w:r>
    </w:p>
    <w:p>
      <w:pPr>
        <w:pStyle w:val="ListParagraph"/>
        <w:numPr>
          <w:ilvl w:val="0"/>
          <w:numId w:val="28"/>
        </w:numPr>
        <w:tabs>
          <w:tab w:val="left" w:pos="2633"/>
        </w:tabs>
        <w:spacing w:before="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血常规、尿常规、便常规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8"/>
        </w:numPr>
        <w:tabs>
          <w:tab w:val="left" w:pos="2633"/>
        </w:tabs>
        <w:spacing w:before="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肝功能、肾功能、电解质、血糖、血脂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8"/>
        </w:numPr>
        <w:tabs>
          <w:tab w:val="left" w:pos="2633"/>
        </w:tabs>
        <w:spacing w:before="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感染性疾病筛查（乙肝、丙肝、艾滋病、梅毒等）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8"/>
        </w:numPr>
        <w:tabs>
          <w:tab w:val="left" w:pos="2633"/>
        </w:tabs>
        <w:spacing w:before="1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心电图</w:t>
      </w:r>
    </w:p>
    <w:p>
      <w:pPr>
        <w:spacing w:after="0" w:line="240" w:lineRule="auto"/>
        <w:jc w:val="left"/>
        <w:rPr>
          <w:sz w:val="42"/>
        </w:rPr>
        <w:sectPr>
          <w:pgSz w:w="17850" w:h="23830"/>
          <w:pgMar w:top="2040" w:right="1220" w:bottom="280" w:left="18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633"/>
        </w:tabs>
        <w:spacing w:before="18" w:after="0" w:line="240" w:lineRule="auto"/>
        <w:ind w:left="2632" w:right="0" w:hanging="1056"/>
        <w:jc w:val="left"/>
        <w:rPr>
          <w:sz w:val="42"/>
        </w:rPr>
      </w:pPr>
      <w:r>
        <w:rPr>
          <w:spacing w:val="13"/>
          <w:sz w:val="42"/>
        </w:rPr>
        <w:t>胸部</w:t>
      </w:r>
      <w:r>
        <w:rPr>
          <w:spacing w:val="30"/>
          <w:sz w:val="42"/>
        </w:rPr>
        <w:t>X</w:t>
      </w:r>
      <w:r>
        <w:rPr>
          <w:spacing w:val="-2"/>
          <w:sz w:val="42"/>
        </w:rPr>
        <w:t>线片</w:t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spacing w:line="417" w:lineRule="auto"/>
        <w:ind w:left="857" w:right="1085" w:firstLine="719"/>
      </w:pPr>
      <w:r>
        <w:t>2.可选择的检查项目：根据病情需要而定，如皮肤病理、相关免疫学检查、腹部超 声、咽部细菌培养及药敏试验、血液流变学检查、微循环检查等。</w:t>
      </w:r>
    </w:p>
    <w:p>
      <w:pPr>
        <w:pStyle w:val="BodyText"/>
        <w:spacing w:before="17"/>
        <w:ind w:left="1577"/>
      </w:pPr>
      <w:r>
        <w:t>（八）治疗方法</w:t>
      </w:r>
    </w:p>
    <w:p>
      <w:pPr>
        <w:pStyle w:val="BodyText"/>
        <w:spacing w:before="10"/>
        <w:rPr>
          <w:sz w:val="36"/>
        </w:rPr>
      </w:pPr>
    </w:p>
    <w:p>
      <w:pPr>
        <w:pStyle w:val="ListParagraph"/>
        <w:numPr>
          <w:ilvl w:val="0"/>
          <w:numId w:val="27"/>
        </w:numPr>
        <w:tabs>
          <w:tab w:val="left" w:pos="2000"/>
        </w:tabs>
        <w:spacing w:before="0" w:after="0" w:line="240" w:lineRule="auto"/>
        <w:ind w:left="1999" w:right="0" w:hanging="423"/>
        <w:jc w:val="left"/>
        <w:rPr>
          <w:sz w:val="42"/>
        </w:rPr>
      </w:pPr>
      <w:r>
        <w:rPr>
          <w:sz w:val="42"/>
        </w:rPr>
        <w:t>辨证选择口服中药汤剂、中成药。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6"/>
        </w:numPr>
        <w:tabs>
          <w:tab w:val="left" w:pos="2633"/>
        </w:tabs>
        <w:spacing w:before="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血热证：凉血解毒。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26"/>
        </w:numPr>
        <w:tabs>
          <w:tab w:val="left" w:pos="2633"/>
        </w:tabs>
        <w:spacing w:before="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血燥证：养血解毒。</w:t>
      </w:r>
    </w:p>
    <w:p>
      <w:pPr>
        <w:pStyle w:val="BodyText"/>
        <w:spacing w:before="9"/>
        <w:rPr>
          <w:sz w:val="36"/>
        </w:rPr>
      </w:pPr>
    </w:p>
    <w:p>
      <w:pPr>
        <w:pStyle w:val="ListParagraph"/>
        <w:numPr>
          <w:ilvl w:val="0"/>
          <w:numId w:val="26"/>
        </w:numPr>
        <w:tabs>
          <w:tab w:val="left" w:pos="2633"/>
        </w:tabs>
        <w:spacing w:before="0" w:after="0" w:line="240" w:lineRule="auto"/>
        <w:ind w:left="2632" w:right="0" w:hanging="1056"/>
        <w:jc w:val="left"/>
        <w:rPr>
          <w:sz w:val="42"/>
        </w:rPr>
      </w:pPr>
      <w:r>
        <w:rPr>
          <w:sz w:val="42"/>
        </w:rPr>
        <w:t>血瘀证：活血解毒。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7"/>
        </w:numPr>
        <w:tabs>
          <w:tab w:val="left" w:pos="2000"/>
        </w:tabs>
        <w:spacing w:before="0" w:after="0" w:line="415" w:lineRule="auto"/>
        <w:ind w:left="1577" w:right="1416" w:firstLine="0"/>
        <w:jc w:val="left"/>
        <w:rPr>
          <w:sz w:val="42"/>
        </w:rPr>
      </w:pPr>
      <w:r>
        <w:rPr>
          <w:spacing w:val="-1"/>
          <w:sz w:val="42"/>
        </w:rPr>
        <w:t>外治法：根据皮损选择使用中药膏、中药溶液湿敷、中药浸浴</w:t>
      </w:r>
      <w:r>
        <w:rPr>
          <w:sz w:val="42"/>
        </w:rPr>
        <w:t>或熏蒸等。</w:t>
      </w:r>
    </w:p>
    <w:p>
      <w:pPr>
        <w:pStyle w:val="ListParagraph"/>
        <w:numPr>
          <w:ilvl w:val="0"/>
          <w:numId w:val="27"/>
        </w:numPr>
        <w:tabs>
          <w:tab w:val="left" w:pos="2000"/>
        </w:tabs>
        <w:spacing w:before="75" w:after="0" w:line="240" w:lineRule="auto"/>
        <w:ind w:left="1999" w:right="0" w:hanging="423"/>
        <w:jc w:val="left"/>
        <w:rPr>
          <w:sz w:val="42"/>
        </w:rPr>
      </w:pPr>
      <w:r>
        <w:rPr>
          <w:sz w:val="42"/>
        </w:rPr>
        <w:t>针灸治疗：根据病情选择体针、拔罐等方法。</w:t>
      </w:r>
    </w:p>
    <w:p>
      <w:pPr>
        <w:pStyle w:val="BodyText"/>
        <w:spacing w:before="9"/>
        <w:rPr>
          <w:sz w:val="36"/>
        </w:rPr>
      </w:pPr>
    </w:p>
    <w:p>
      <w:pPr>
        <w:pStyle w:val="ListParagraph"/>
        <w:numPr>
          <w:ilvl w:val="0"/>
          <w:numId w:val="27"/>
        </w:numPr>
        <w:tabs>
          <w:tab w:val="left" w:pos="2000"/>
        </w:tabs>
        <w:spacing w:before="0" w:after="0" w:line="417" w:lineRule="auto"/>
        <w:ind w:left="1577" w:right="1416" w:firstLine="0"/>
        <w:jc w:val="left"/>
        <w:rPr>
          <w:sz w:val="42"/>
        </w:rPr>
      </w:pPr>
      <w:r>
        <w:rPr>
          <w:spacing w:val="-1"/>
          <w:sz w:val="42"/>
        </w:rPr>
        <w:t>其他疗法：根据病情选择频谱治疗仪、紫外线照射、准分子激</w:t>
      </w:r>
      <w:r>
        <w:rPr>
          <w:sz w:val="42"/>
        </w:rPr>
        <w:t>光等疗法。</w:t>
      </w:r>
    </w:p>
    <w:p>
      <w:pPr>
        <w:pStyle w:val="ListParagraph"/>
        <w:numPr>
          <w:ilvl w:val="0"/>
          <w:numId w:val="27"/>
        </w:numPr>
        <w:tabs>
          <w:tab w:val="left" w:pos="2000"/>
        </w:tabs>
        <w:spacing w:before="68" w:after="0" w:line="240" w:lineRule="auto"/>
        <w:ind w:left="1999" w:right="0" w:hanging="423"/>
        <w:jc w:val="left"/>
        <w:rPr>
          <w:sz w:val="42"/>
        </w:rPr>
      </w:pPr>
      <w:r>
        <w:rPr>
          <w:sz w:val="42"/>
        </w:rPr>
        <w:t>护理：辨证施护及健康宣教。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ind w:left="1577"/>
      </w:pPr>
      <w:r>
        <w:t>（九）出院标准</w:t>
      </w:r>
    </w:p>
    <w:p>
      <w:pPr>
        <w:pStyle w:val="BodyText"/>
        <w:spacing w:before="6"/>
        <w:rPr>
          <w:sz w:val="36"/>
        </w:rPr>
      </w:pPr>
    </w:p>
    <w:p>
      <w:pPr>
        <w:pStyle w:val="ListParagraph"/>
        <w:numPr>
          <w:ilvl w:val="0"/>
          <w:numId w:val="25"/>
        </w:numPr>
        <w:tabs>
          <w:tab w:val="left" w:pos="2000"/>
        </w:tabs>
        <w:spacing w:before="0" w:after="0" w:line="240" w:lineRule="auto"/>
        <w:ind w:left="1999" w:right="0" w:hanging="423"/>
        <w:jc w:val="left"/>
        <w:rPr>
          <w:sz w:val="42"/>
        </w:rPr>
      </w:pPr>
      <w:r>
        <w:rPr>
          <w:sz w:val="42"/>
        </w:rPr>
        <w:t>病情好转，达到有效标准以上。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5"/>
        </w:numPr>
        <w:tabs>
          <w:tab w:val="left" w:pos="2000"/>
        </w:tabs>
        <w:spacing w:before="0" w:after="0" w:line="240" w:lineRule="auto"/>
        <w:ind w:left="1999" w:right="0" w:hanging="423"/>
        <w:jc w:val="left"/>
        <w:rPr>
          <w:sz w:val="42"/>
        </w:rPr>
      </w:pPr>
      <w:r>
        <w:rPr>
          <w:sz w:val="42"/>
        </w:rPr>
        <w:t>病情稳定，初步形成个体化治疗方案。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448" w:lineRule="auto"/>
        <w:ind w:left="1577" w:right="3732"/>
      </w:pPr>
      <w:r>
        <w:t>（十）有无变异及原因分析                   1</w:t>
      </w:r>
      <w:r>
        <w:rPr>
          <w:spacing w:val="-1"/>
        </w:rPr>
        <w:t>．病情加重，需要延长住院时间，增加住院费用。</w:t>
      </w:r>
    </w:p>
    <w:p>
      <w:pPr>
        <w:spacing w:after="0" w:line="448" w:lineRule="auto"/>
        <w:sectPr>
          <w:pgSz w:w="17850" w:h="23830"/>
          <w:pgMar w:top="2040" w:right="1220" w:bottom="280" w:left="184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647"/>
        </w:tabs>
        <w:spacing w:before="33" w:after="0" w:line="235" w:lineRule="auto"/>
        <w:ind w:left="1008" w:right="926" w:firstLine="0"/>
        <w:jc w:val="left"/>
        <w:rPr>
          <w:sz w:val="42"/>
        </w:rPr>
      </w:pPr>
      <w:r>
        <w:rPr>
          <w:spacing w:val="-1"/>
          <w:sz w:val="42"/>
        </w:rPr>
        <w:t>合并有心脑血管疾病、内分泌疾病等其他系统疾病者，住院期间病</w:t>
      </w:r>
      <w:r>
        <w:rPr>
          <w:sz w:val="42"/>
        </w:rPr>
        <w:t>情加重，或</w:t>
      </w:r>
    </w:p>
    <w:p>
      <w:pPr>
        <w:pStyle w:val="BodyText"/>
        <w:spacing w:before="204" w:line="415" w:lineRule="auto"/>
        <w:ind w:left="288" w:right="598"/>
      </w:pPr>
      <w:r>
        <w:t>合并严重感染，需要特殊处理，导致住院时间延长、费用增加，或退出本路径。</w:t>
      </w:r>
    </w:p>
    <w:p>
      <w:pPr>
        <w:pStyle w:val="ListParagraph"/>
        <w:numPr>
          <w:ilvl w:val="0"/>
          <w:numId w:val="24"/>
        </w:numPr>
        <w:tabs>
          <w:tab w:val="left" w:pos="1643"/>
        </w:tabs>
        <w:spacing w:before="75" w:after="0" w:line="240" w:lineRule="auto"/>
        <w:ind w:left="1642" w:right="0" w:hanging="635"/>
        <w:jc w:val="left"/>
        <w:rPr>
          <w:sz w:val="42"/>
        </w:rPr>
      </w:pPr>
      <w:r>
        <w:rPr>
          <w:sz w:val="42"/>
        </w:rPr>
        <w:t>治疗过程中发生了病情变化，转变为特殊类型者，退出本路径。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4"/>
        </w:numPr>
        <w:tabs>
          <w:tab w:val="left" w:pos="1642"/>
        </w:tabs>
        <w:spacing w:before="0" w:after="0" w:line="417" w:lineRule="auto"/>
        <w:ind w:left="1008" w:right="510" w:firstLine="0"/>
        <w:jc w:val="left"/>
        <w:rPr>
          <w:sz w:val="42"/>
        </w:rPr>
      </w:pPr>
      <w:r>
        <w:rPr>
          <w:spacing w:val="-1"/>
          <w:sz w:val="42"/>
        </w:rPr>
        <w:t>其他突发情况，如发现合并其他疾病、妊娠、药物不良反应等，退出</w:t>
      </w:r>
      <w:r>
        <w:rPr>
          <w:sz w:val="42"/>
        </w:rPr>
        <w:t>本路径。</w:t>
      </w:r>
    </w:p>
    <w:p>
      <w:pPr>
        <w:pStyle w:val="ListParagraph"/>
        <w:numPr>
          <w:ilvl w:val="0"/>
          <w:numId w:val="24"/>
        </w:numPr>
        <w:tabs>
          <w:tab w:val="left" w:pos="1642"/>
        </w:tabs>
        <w:spacing w:before="72" w:after="0" w:line="240" w:lineRule="auto"/>
        <w:ind w:left="1641" w:right="0" w:hanging="634"/>
        <w:jc w:val="left"/>
        <w:rPr>
          <w:sz w:val="42"/>
        </w:rPr>
      </w:pPr>
      <w:r>
        <w:rPr>
          <w:sz w:val="42"/>
        </w:rPr>
        <w:t>因患者及其家属意愿而影响本路径的执行时，退出本路径。</w:t>
      </w:r>
    </w:p>
    <w:p>
      <w:pPr>
        <w:spacing w:after="0" w:line="240" w:lineRule="auto"/>
        <w:jc w:val="left"/>
        <w:rPr>
          <w:sz w:val="42"/>
        </w:rPr>
        <w:sectPr>
          <w:pgSz w:w="17850" w:h="23830"/>
          <w:pgMar w:top="1900" w:right="1220" w:bottom="280" w:left="1840" w:header="708" w:footer="708"/>
          <w:pgNumType w:start="5"/>
          <w:cols w:space="708"/>
        </w:sectPr>
      </w:pPr>
    </w:p>
    <w:p>
      <w:pPr>
        <w:pStyle w:val="BodyText"/>
        <w:spacing w:before="24"/>
        <w:ind w:left="1004"/>
      </w:pPr>
      <w:r>
        <w:t>二、白疕（寻常性银屑病）中医临床路径住院表单</w:t>
      </w:r>
    </w:p>
    <w:p>
      <w:pPr>
        <w:pStyle w:val="BodyText"/>
        <w:spacing w:before="258"/>
        <w:ind w:left="288"/>
      </w:pPr>
      <w:r>
        <w:rPr>
          <w:spacing w:val="-22"/>
          <w:w w:val="100"/>
        </w:rPr>
        <w:t>适用对象：第一诊断为白疕</w:t>
      </w:r>
      <w:r>
        <w:rPr>
          <w:w w:val="100"/>
        </w:rPr>
        <w:t>（</w:t>
      </w:r>
      <w:r>
        <w:rPr>
          <w:spacing w:val="-2"/>
          <w:w w:val="100"/>
        </w:rPr>
        <w:t>寻常性银屑病</w:t>
      </w:r>
      <w:r>
        <w:rPr>
          <w:spacing w:val="-413"/>
          <w:w w:val="100"/>
        </w:rPr>
        <w:t>（</w:t>
      </w:r>
      <w:r>
        <w:rPr>
          <w:spacing w:val="-13"/>
          <w:w w:val="100"/>
        </w:rPr>
        <w:t>）</w:t>
      </w:r>
      <w:r>
        <w:rPr>
          <w:w w:val="100"/>
        </w:rPr>
        <w:t>TCD</w:t>
      </w:r>
      <w:r>
        <w:rPr>
          <w:spacing w:val="-158"/>
        </w:rPr>
        <w:t xml:space="preserve"> </w:t>
      </w:r>
      <w:r>
        <w:rPr>
          <w:spacing w:val="-30"/>
          <w:w w:val="100"/>
        </w:rPr>
        <w:t>编码为：</w:t>
      </w:r>
      <w:r>
        <w:rPr>
          <w:w w:val="100"/>
        </w:rPr>
        <w:t>BWR17</w:t>
      </w:r>
      <w:r>
        <w:rPr>
          <w:spacing w:val="10"/>
          <w:w w:val="100"/>
        </w:rPr>
        <w:t>0</w:t>
      </w:r>
      <w:r>
        <w:rPr>
          <w:spacing w:val="-108"/>
          <w:w w:val="100"/>
        </w:rPr>
        <w:t>、</w:t>
      </w:r>
      <w:r>
        <w:rPr>
          <w:w w:val="100"/>
        </w:rPr>
        <w:t>ICD-10</w:t>
      </w: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235553</wp:posOffset>
            </wp:positionV>
            <wp:extent cx="722090" cy="38004"/>
            <wp:effectExtent l="0" t="0" r="0" b="0"/>
            <wp:wrapTopAndBottom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7043"/>
          <w:tab w:val="left" w:pos="9710"/>
          <w:tab w:val="left" w:pos="12562"/>
        </w:tabs>
        <w:spacing w:line="473" w:lineRule="exact"/>
        <w:ind w:left="288"/>
      </w:pPr>
      <w:r>
        <w:t>编码为：L40.001）</w:t>
      </w:r>
      <w:r>
        <w:rPr>
          <w:spacing w:val="1"/>
        </w:rPr>
        <w:t xml:space="preserve"> </w:t>
      </w:r>
      <w:r>
        <w:t>患者姓名：</w:t>
        <w:tab/>
        <w:t>性别：</w:t>
        <w:tab/>
        <w:t>年龄：</w:t>
        <w:tab/>
        <w:t>门诊</w:t>
      </w:r>
    </w:p>
    <w:p>
      <w:pPr>
        <w:tabs>
          <w:tab w:val="left" w:pos="10960"/>
        </w:tabs>
        <w:spacing w:line="47" w:lineRule="exact"/>
        <w:ind w:left="830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911063" cy="30289"/>
            <wp:effectExtent l="0" t="0" r="0" b="0"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063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037599" cy="30289"/>
            <wp:effectExtent l="0" t="0" r="0" b="0"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599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pgSz w:w="17850" w:h="23830"/>
          <w:pgMar w:top="1900" w:right="1220" w:bottom="0" w:left="1840" w:header="708" w:footer="708"/>
          <w:pgNumType w:start="6"/>
          <w:cols w:space="708"/>
        </w:sectPr>
      </w:pPr>
    </w:p>
    <w:p>
      <w:pPr>
        <w:pStyle w:val="BodyText"/>
        <w:spacing w:before="42"/>
        <w:ind w:left="288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363219</wp:posOffset>
            </wp:positionV>
            <wp:extent cx="2578100" cy="381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号：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tabs>
          <w:tab w:val="left" w:pos="3471"/>
          <w:tab w:val="left" w:pos="4313"/>
        </w:tabs>
        <w:spacing w:before="1"/>
        <w:ind w:left="28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934592</wp:posOffset>
            </wp:positionV>
            <wp:extent cx="292100" cy="381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934592</wp:posOffset>
            </wp:positionV>
            <wp:extent cx="292100" cy="381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发病时间：</w:t>
      </w:r>
      <w:r>
        <w:rPr>
          <w:spacing w:val="30"/>
        </w:rPr>
        <w:t xml:space="preserve"> </w:t>
      </w:r>
      <w:r>
        <w:t>年</w:t>
        <w:tab/>
        <w:t>月</w:t>
        <w:tab/>
        <w:t>日</w:t>
      </w:r>
    </w:p>
    <w:p>
      <w:pPr>
        <w:pStyle w:val="BodyText"/>
        <w:spacing w:before="42"/>
        <w:ind w:left="288"/>
      </w:pPr>
      <w:r>
        <w:br w:type="column"/>
      </w:r>
      <w:r>
        <w:t>住院号：</w:t>
      </w:r>
    </w:p>
    <w:p>
      <w:pPr>
        <w:pStyle w:val="BodyText"/>
        <w:spacing w:line="52" w:lineRule="exact"/>
        <w:ind w:left="1955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67949" cy="33147"/>
            <wp:effectExtent l="0" t="0" r="0" b="0"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949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30"/>
        </w:rPr>
      </w:pPr>
    </w:p>
    <w:p>
      <w:pPr>
        <w:pStyle w:val="BodyText"/>
        <w:tabs>
          <w:tab w:val="left" w:pos="3917"/>
          <w:tab w:val="left" w:pos="4756"/>
          <w:tab w:val="left" w:pos="5599"/>
        </w:tabs>
        <w:ind w:left="1307"/>
      </w:pPr>
      <w:r>
        <w:t>住院日期：</w:t>
        <w:tab/>
        <w:t>年</w:t>
        <w:tab/>
        <w:t>月</w:t>
        <w:tab/>
        <w:t>日</w:t>
      </w:r>
      <w:r>
        <w:rPr>
          <w:spacing w:val="56"/>
        </w:rPr>
        <w:t xml:space="preserve"> </w:t>
      </w:r>
      <w:r>
        <w:t>出院日</w:t>
      </w:r>
    </w:p>
    <w:p>
      <w:pPr>
        <w:spacing w:after="0"/>
        <w:sectPr>
          <w:type w:val="continuous"/>
          <w:pgSz w:w="17850" w:h="23830"/>
          <w:pgMar w:top="1840" w:right="1220" w:bottom="280" w:left="1840" w:header="708" w:footer="708"/>
          <w:pgNumType w:start="7"/>
          <w:cols w:num="2" w:space="708" w:equalWidth="0">
            <w:col w:w="4776" w:space="89"/>
            <w:col w:w="9925" w:space="0"/>
          </w:cols>
        </w:sectPr>
      </w:pPr>
    </w:p>
    <w:p>
      <w:pPr>
        <w:tabs>
          <w:tab w:val="left" w:pos="3040"/>
          <w:tab w:val="left" w:pos="3880"/>
          <w:tab w:val="left" w:pos="8260"/>
          <w:tab w:val="left" w:pos="9180"/>
          <w:tab w:val="left" w:pos="10040"/>
        </w:tabs>
        <w:spacing w:line="52" w:lineRule="exact"/>
        <w:ind w:left="23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8308" cy="33432"/>
            <wp:effectExtent l="0" t="0" r="0" b="0"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308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92936" cy="33432"/>
            <wp:effectExtent l="0" t="0" r="0" b="0"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936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92936" cy="33432"/>
            <wp:effectExtent l="0" t="0" r="0" b="0"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936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56617" cy="33432"/>
            <wp:effectExtent l="0" t="0" r="0" b="0"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617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05672" cy="33432"/>
            <wp:effectExtent l="0" t="0" r="0" b="0"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672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92936" cy="33432"/>
            <wp:effectExtent l="0" t="0" r="0" b="0"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936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50" w:h="23830"/>
          <w:pgMar w:top="1840" w:right="1220" w:bottom="280" w:left="1840" w:header="708" w:footer="708"/>
          <w:pgNumType w:start="8"/>
          <w:cols w:space="708"/>
        </w:sectPr>
      </w:pPr>
    </w:p>
    <w:p>
      <w:pPr>
        <w:pStyle w:val="BodyText"/>
        <w:spacing w:before="42" w:line="417" w:lineRule="auto"/>
        <w:ind w:left="288" w:right="38"/>
      </w:pPr>
      <w:r>
        <w:pict>
          <v:group id="_x0000_s1030" style="width:698pt;height:756pt;margin-top:93.84pt;margin-left:91pt;mso-position-horizontal-relative:page;position:absolute;z-index:251663360" coordorigin="1820,1877" coordsize="13960,15120">
            <v:shape id="_x0000_s1031" type="#_x0000_t75" style="width:13960;height:15120;left:1820;position:absolute;top:1876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654;height:317;left:2204;position:absolute;top:20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033" type="#_x0000_t202" style="width:1597;height:317;left:5379;position:absolute;top:1954" filled="f" stroked="f">
              <v:textbox inset="0,0,0,0">
                <w:txbxContent>
                  <w:p>
                    <w:pPr>
                      <w:tabs>
                        <w:tab w:val="left" w:pos="629"/>
                        <w:tab w:val="left" w:pos="125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034" type="#_x0000_t202" style="width:1598;height:317;left:12173;position:absolute;top:1954" filled="f" stroked="f">
              <v:textbox inset="0,0,0,0">
                <w:txbxContent>
                  <w:p>
                    <w:pPr>
                      <w:tabs>
                        <w:tab w:val="left" w:pos="630"/>
                        <w:tab w:val="left" w:pos="126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035" type="#_x0000_t202" style="width:726;height:1253;left:2204;position:absolute;top:36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诊疗工作</w:t>
                    </w:r>
                  </w:p>
                </w:txbxContent>
              </v:textbox>
            </v:shape>
            <v:shape id="_x0000_s1036" type="#_x0000_t202" style="width:337;height:1721;left:2358;position:absolute;top:75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重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点医嘱</w:t>
                    </w:r>
                  </w:p>
                </w:txbxContent>
              </v:textbox>
            </v:shape>
            <v:shape id="_x0000_s1037" type="#_x0000_t202" style="width:6356;height:5379;left:3345;position:absolute;top:2321" filled="f" stroked="f">
              <v:textbox inset="0,0,0,0">
                <w:txbxContent>
                  <w:p>
                    <w:pPr>
                      <w:spacing w:before="0" w:line="341" w:lineRule="exact"/>
                      <w:ind w:left="189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（第1天）</w:t>
                    </w:r>
                  </w:p>
                  <w:p>
                    <w:pPr>
                      <w:spacing w:before="0" w:line="36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□询问病史与体格检查</w:t>
                    </w:r>
                  </w:p>
                  <w:p>
                    <w:pPr>
                      <w:spacing w:before="0" w:line="36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□中医四诊信息采集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□进行中医证候判断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□完成皮损</w:t>
                    </w:r>
                    <w:r>
                      <w:rPr>
                        <w:sz w:val="31"/>
                      </w:rPr>
                      <w:t>PASI评分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□初步拟定诊疗方案，开始白疕“常规治疗”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□进行辅助检查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□完成首次病程记录及住院病历</w:t>
                    </w:r>
                  </w:p>
                  <w:p>
                    <w:pPr>
                      <w:spacing w:before="6" w:line="220" w:lineRule="auto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□与患者或家属沟通，交代病情及注意事项长期医嘱</w:t>
                    </w:r>
                  </w:p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□分级护理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□普食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□口服中药汤剂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□中成药</w:t>
                    </w:r>
                  </w:p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□外治法</w:t>
                    </w:r>
                  </w:p>
                </w:txbxContent>
              </v:textbox>
            </v:shape>
            <v:shape id="_x0000_s1038" type="#_x0000_t202" style="width:5406;height:2844;left:10129;position:absolute;top:2321" filled="f" stroked="f">
              <v:textbox inset="0,0,0,0">
                <w:txbxContent>
                  <w:p>
                    <w:pPr>
                      <w:spacing w:before="0" w:line="341" w:lineRule="exact"/>
                      <w:ind w:left="149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（第2～7天）</w:t>
                    </w:r>
                  </w:p>
                  <w:p>
                    <w:pPr>
                      <w:spacing w:before="0" w:line="36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□中医四诊信息采集</w:t>
                    </w:r>
                  </w:p>
                  <w:p>
                    <w:pPr>
                      <w:spacing w:before="0" w:line="36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□进行中医证候判断</w:t>
                    </w:r>
                  </w:p>
                  <w:p>
                    <w:pPr>
                      <w:spacing w:before="9" w:line="218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□上级医师查房，并确定治疗方案，完成查房记录，</w:t>
                    </w:r>
                  </w:p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□根据病情补充相关检查</w:t>
                    </w:r>
                  </w:p>
                  <w:p>
                    <w:pPr>
                      <w:spacing w:before="3" w:line="360" w:lineRule="exact"/>
                      <w:ind w:left="0" w:right="182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"/>
                        <w:w w:val="102"/>
                        <w:sz w:val="31"/>
                      </w:rPr>
                      <w:t>□继续白疕“常规治疗</w:t>
                    </w:r>
                    <w:r>
                      <w:rPr>
                        <w:spacing w:val="-53"/>
                        <w:w w:val="102"/>
                        <w:sz w:val="31"/>
                      </w:rPr>
                      <w:t>，”病情变化者调</w:t>
                    </w:r>
                    <w:r>
                      <w:rPr>
                        <w:sz w:val="31"/>
                      </w:rPr>
                      <w:t>整治疗方案</w:t>
                    </w:r>
                  </w:p>
                </w:txbxContent>
              </v:textbox>
            </v:shape>
            <v:shape id="_x0000_s1039" type="#_x0000_t202" style="width:5723;height:2553;left:3345;position:absolute;top:80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临时医嘱</w:t>
                    </w:r>
                  </w:p>
                  <w:p>
                    <w:pPr>
                      <w:spacing w:before="38" w:line="37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□血常规、尿常规、便常规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□肝功能、肾功能、电解质、血糖、血脂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□感染性疾病筛查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□胸部X线片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□心电图</w:t>
                    </w:r>
                  </w:p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□其他检查</w:t>
                    </w:r>
                  </w:p>
                </w:txbxContent>
              </v:textbox>
            </v:shape>
            <v:shape id="_x0000_s1040" type="#_x0000_t202" style="width:2238;height:2845;left:10129;position:absolute;top:557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长期医嘱</w:t>
                    </w:r>
                  </w:p>
                  <w:p>
                    <w:pPr>
                      <w:spacing w:before="0" w:line="36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□分级护理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□普食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□口服中药汤剂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□中成药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□外治法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□针灸疗法</w:t>
                    </w:r>
                  </w:p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□其他疗法</w:t>
                    </w:r>
                  </w:p>
                </w:txbxContent>
              </v:textbox>
            </v:shape>
            <v:shape id="_x0000_s1041" type="#_x0000_t202" style="width:2872;height:753;left:10129;position:absolute;top:87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临时医嘱</w:t>
                    </w:r>
                  </w:p>
                  <w:p>
                    <w:pPr>
                      <w:spacing w:before="3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□根据病情补充检查</w:t>
                    </w:r>
                  </w:p>
                </w:txbxContent>
              </v:textbox>
            </v:shape>
            <v:shape id="_x0000_s1042" type="#_x0000_t202" style="width:726;height:1253;left:2204;position:absolute;top:1125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护理工作</w:t>
                    </w:r>
                  </w:p>
                </w:txbxContent>
              </v:textbox>
            </v:shape>
            <v:shape id="_x0000_s1043" type="#_x0000_t202" style="width:4456;height:3122;left:3345;position:absolute;top:1097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□协助办理“入院手续”等工作</w:t>
                    </w:r>
                  </w:p>
                  <w:p>
                    <w:pPr>
                      <w:spacing w:before="35" w:line="37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□静脉取血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□常规护理和皮损护理</w:t>
                    </w:r>
                  </w:p>
                  <w:p>
                    <w:pPr>
                      <w:spacing w:before="0" w:line="37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□入院健康宣教</w:t>
                    </w:r>
                  </w:p>
                  <w:p>
                    <w:pPr>
                      <w:spacing w:before="168" w:line="38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□无</w:t>
                    </w:r>
                  </w:p>
                  <w:p>
                    <w:pPr>
                      <w:spacing w:before="12" w:line="218" w:lineRule="auto"/>
                      <w:ind w:left="0" w:right="233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 xml:space="preserve">□有，原因： </w:t>
                    </w:r>
                    <w:r>
                      <w:rPr>
                        <w:sz w:val="31"/>
                      </w:rPr>
                      <w:t>1.</w:t>
                    </w:r>
                  </w:p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</w:t>
                    </w:r>
                  </w:p>
                </w:txbxContent>
              </v:textbox>
            </v:shape>
            <v:shape id="_x0000_s1044" type="#_x0000_t202" style="width:1604;height:753;left:10129;position:absolute;top:111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□常规护理</w:t>
                    </w:r>
                  </w:p>
                  <w:p>
                    <w:pPr>
                      <w:spacing w:before="3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□皮损护理</w:t>
                    </w:r>
                  </w:p>
                </w:txbxContent>
              </v:textbox>
            </v:shape>
            <v:shape id="_x0000_s1045" type="#_x0000_t202" style="width:726;height:2718;left:2204;position:absolute;top:129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6"/>
                        <w:sz w:val="31"/>
                      </w:rPr>
                      <w:t>病情</w:t>
                    </w:r>
                  </w:p>
                  <w:p>
                    <w:pPr>
                      <w:spacing w:before="71" w:line="30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27"/>
                        <w:sz w:val="31"/>
                      </w:rPr>
                      <w:t>变异</w:t>
                    </w:r>
                    <w:r>
                      <w:rPr>
                        <w:sz w:val="31"/>
                      </w:rPr>
                      <w:t>记录</w:t>
                    </w:r>
                    <w:r>
                      <w:rPr>
                        <w:spacing w:val="27"/>
                        <w:sz w:val="31"/>
                      </w:rPr>
                      <w:t>责任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6"/>
                        <w:sz w:val="31"/>
                      </w:rPr>
                      <w:t>护士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签名</w:t>
                    </w:r>
                  </w:p>
                </w:txbxContent>
              </v:textbox>
            </v:shape>
            <v:shape id="_x0000_s1046" type="#_x0000_t202" style="width:1921;height:1404;left:10129;position:absolute;top:12694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□无</w:t>
                    </w:r>
                  </w:p>
                  <w:p>
                    <w:pPr>
                      <w:spacing w:before="13" w:line="218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 xml:space="preserve">□有，原因： </w:t>
                    </w:r>
                    <w:r>
                      <w:rPr>
                        <w:sz w:val="31"/>
                      </w:rPr>
                      <w:t>1.</w:t>
                    </w:r>
                  </w:p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</w:t>
                    </w:r>
                  </w:p>
                </w:txbxContent>
              </v:textbox>
            </v:shape>
            <v:shape id="_x0000_s1047" type="#_x0000_t202" style="width:654;height:785;left:2204;position:absolute;top:1596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医师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签名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366267</wp:posOffset>
            </wp:positionV>
            <wp:extent cx="977900" cy="38100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950467</wp:posOffset>
            </wp:positionV>
            <wp:extent cx="787400" cy="38100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期 ： 院日：</w:t>
      </w:r>
    </w:p>
    <w:p>
      <w:pPr>
        <w:pStyle w:val="BodyText"/>
        <w:tabs>
          <w:tab w:val="left" w:pos="1379"/>
          <w:tab w:val="left" w:pos="2222"/>
        </w:tabs>
        <w:spacing w:before="42" w:line="417" w:lineRule="auto"/>
        <w:ind w:left="659" w:right="2180" w:hanging="119"/>
      </w:pPr>
      <w:r>
        <w:br w:type="column"/>
      </w:r>
      <w:r>
        <w:t>年</w:t>
        <w:tab/>
        <w:t>月</w:t>
        <w:tab/>
        <w:t>日</w:t>
      </w:r>
      <w:r>
        <w:rPr>
          <w:spacing w:val="7"/>
        </w:rPr>
        <w:t xml:space="preserve"> </w:t>
      </w:r>
      <w:r>
        <w:t>标准住院日</w:t>
      </w:r>
      <w:r>
        <w:rPr>
          <w:spacing w:val="-4"/>
        </w:rPr>
        <w:t>≤30</w:t>
      </w:r>
      <w:r>
        <w:rPr>
          <w:spacing w:val="-154"/>
        </w:rPr>
        <w:t xml:space="preserve"> </w:t>
      </w:r>
      <w:r>
        <w:rPr>
          <w:spacing w:val="-16"/>
        </w:rPr>
        <w:t>天</w:t>
      </w:r>
      <w:r>
        <w:t>天</w:t>
      </w:r>
    </w:p>
    <w:p>
      <w:pPr>
        <w:spacing w:before="42"/>
        <w:ind w:left="288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实际住</w:t>
      </w:r>
    </w:p>
    <w:p>
      <w:pPr>
        <w:spacing w:after="0"/>
        <w:jc w:val="left"/>
        <w:rPr>
          <w:sz w:val="42"/>
        </w:rPr>
        <w:sectPr>
          <w:type w:val="continuous"/>
          <w:pgSz w:w="17850" w:h="23830"/>
          <w:pgMar w:top="1840" w:right="1220" w:bottom="280" w:left="1840" w:header="708" w:footer="708"/>
          <w:pgNumType w:start="9"/>
          <w:cols w:num="3" w:space="708" w:equalWidth="0">
            <w:col w:w="1593" w:space="499"/>
            <w:col w:w="8449" w:space="323"/>
            <w:col w:w="3926" w:space="0"/>
          </w:cols>
        </w:sectPr>
      </w:pPr>
    </w:p>
    <w:p>
      <w:pPr>
        <w:pStyle w:val="BodyText"/>
        <w:tabs>
          <w:tab w:val="left" w:pos="2217"/>
          <w:tab w:val="left" w:pos="3842"/>
          <w:tab w:val="left" w:pos="4684"/>
        </w:tabs>
        <w:spacing w:before="158" w:line="165" w:lineRule="auto"/>
        <w:ind w:left="525" w:right="38" w:firstLine="2476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113156</wp:posOffset>
            </wp:positionV>
            <wp:extent cx="8890000" cy="10007600"/>
            <wp:effectExtent l="0" t="0" r="0" b="0"/>
            <wp:wrapNone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1000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年</w:t>
        <w:tab/>
        <w:t>月</w:t>
        <w:tab/>
      </w:r>
      <w:r>
        <w:rPr>
          <w:spacing w:val="-18"/>
        </w:rPr>
        <w:t>日</w:t>
      </w:r>
      <w:r>
        <w:t>时间</w:t>
        <w:tab/>
      </w:r>
      <w:r>
        <w:rPr>
          <w:position w:val="2"/>
        </w:rPr>
        <w:t>（</w:t>
      </w:r>
      <w:r>
        <w:rPr>
          <w:spacing w:val="54"/>
          <w:position w:val="2"/>
        </w:rPr>
        <w:t>第</w:t>
      </w:r>
      <w:r>
        <w:rPr>
          <w:position w:val="2"/>
        </w:rPr>
        <w:t>8～21</w:t>
      </w:r>
      <w:r>
        <w:rPr>
          <w:spacing w:val="-157"/>
          <w:position w:val="2"/>
        </w:rPr>
        <w:t xml:space="preserve"> </w:t>
      </w:r>
      <w:r>
        <w:rPr>
          <w:position w:val="2"/>
        </w:rPr>
        <w:t>天）</w:t>
      </w:r>
    </w:p>
    <w:p>
      <w:pPr>
        <w:pStyle w:val="BodyText"/>
        <w:tabs>
          <w:tab w:val="left" w:pos="2149"/>
          <w:tab w:val="left" w:pos="2992"/>
        </w:tabs>
        <w:spacing w:before="28" w:line="453" w:lineRule="exact"/>
        <w:ind w:left="1311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line="453" w:lineRule="exact"/>
        <w:ind w:left="526"/>
      </w:pPr>
      <w:r>
        <w:t>（</w:t>
      </w:r>
      <w:r>
        <w:rPr>
          <w:spacing w:val="54"/>
        </w:rPr>
        <w:t>第</w:t>
      </w:r>
      <w:r>
        <w:t>22～29</w:t>
      </w:r>
      <w:r>
        <w:rPr>
          <w:spacing w:val="-80"/>
        </w:rPr>
        <w:t xml:space="preserve"> 天</w:t>
      </w:r>
      <w:r>
        <w:t>）</w:t>
      </w:r>
    </w:p>
    <w:p>
      <w:pPr>
        <w:pStyle w:val="BodyText"/>
        <w:tabs>
          <w:tab w:val="left" w:pos="1652"/>
          <w:tab w:val="left" w:pos="2495"/>
        </w:tabs>
        <w:spacing w:before="28" w:line="453" w:lineRule="exact"/>
        <w:ind w:left="813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line="364" w:lineRule="exact"/>
        <w:ind w:left="525"/>
      </w:pPr>
      <w:r>
        <w:t>（出院日，第30</w:t>
      </w:r>
    </w:p>
    <w:p>
      <w:pPr>
        <w:pStyle w:val="BodyText"/>
        <w:spacing w:line="315" w:lineRule="exact"/>
        <w:ind w:left="525"/>
      </w:pPr>
      <w:r>
        <w:t>天）</w:t>
      </w:r>
    </w:p>
    <w:p>
      <w:pPr>
        <w:spacing w:after="0" w:line="315" w:lineRule="exact"/>
        <w:sectPr>
          <w:pgSz w:w="17850" w:h="23830"/>
          <w:pgMar w:top="2080" w:right="1220" w:bottom="280" w:left="1840" w:header="708" w:footer="708"/>
          <w:pgNumType w:start="10"/>
          <w:cols w:num="3" w:space="708" w:equalWidth="0">
            <w:col w:w="5146" w:space="805"/>
            <w:col w:w="3613" w:space="799"/>
            <w:col w:w="4427" w:space="0"/>
          </w:cols>
        </w:sectPr>
      </w:pPr>
    </w:p>
    <w:p>
      <w:pPr>
        <w:pStyle w:val="BodyText"/>
        <w:spacing w:line="480" w:lineRule="exact"/>
        <w:jc w:val="right"/>
      </w:pPr>
      <w:r>
        <w:t>□中医四诊信息采集</w:t>
      </w:r>
    </w:p>
    <w:p>
      <w:pPr>
        <w:pStyle w:val="BodyText"/>
        <w:tabs>
          <w:tab w:val="left" w:pos="1220"/>
        </w:tabs>
        <w:spacing w:before="92" w:line="449" w:lineRule="exact"/>
        <w:jc w:val="right"/>
      </w:pPr>
      <w:r>
        <w:t>主</w:t>
        <w:tab/>
        <w:t>□进行中医证候判断</w:t>
      </w:r>
    </w:p>
    <w:p>
      <w:pPr>
        <w:pStyle w:val="BodyText"/>
        <w:spacing w:before="49" w:line="160" w:lineRule="auto"/>
        <w:ind w:left="1746"/>
      </w:pPr>
      <w:r>
        <w:t>□上级医师查房，调整治疗</w:t>
      </w:r>
    </w:p>
    <w:p>
      <w:pPr>
        <w:pStyle w:val="BodyText"/>
        <w:tabs>
          <w:tab w:val="left" w:pos="1746"/>
        </w:tabs>
        <w:spacing w:before="35" w:line="57" w:lineRule="auto"/>
        <w:ind w:left="525"/>
      </w:pPr>
      <w:r>
        <w:rPr>
          <w:position w:val="14"/>
        </w:rPr>
        <w:t>要</w:t>
        <w:tab/>
      </w:r>
      <w:r>
        <w:t>方案</w:t>
      </w:r>
    </w:p>
    <w:p>
      <w:pPr>
        <w:pStyle w:val="BodyText"/>
        <w:spacing w:line="360" w:lineRule="exact"/>
        <w:ind w:left="1746"/>
      </w:pPr>
      <w:r>
        <w:t>□完成上级医师查房</w:t>
      </w:r>
    </w:p>
    <w:p>
      <w:pPr>
        <w:pStyle w:val="BodyText"/>
        <w:tabs>
          <w:tab w:val="left" w:pos="1746"/>
        </w:tabs>
        <w:spacing w:line="282" w:lineRule="exact"/>
        <w:ind w:left="525"/>
      </w:pPr>
      <w:r>
        <w:rPr>
          <w:position w:val="-6"/>
        </w:rPr>
        <w:t>诊</w:t>
        <w:tab/>
      </w:r>
      <w:r>
        <w:t>纪录</w:t>
      </w:r>
    </w:p>
    <w:p>
      <w:pPr>
        <w:pStyle w:val="BodyText"/>
        <w:spacing w:line="184" w:lineRule="auto"/>
        <w:ind w:left="428"/>
      </w:pPr>
      <w:r>
        <w:br w:type="column"/>
      </w:r>
      <w:r>
        <w:t xml:space="preserve">□中医四诊信息采集 </w:t>
      </w:r>
      <w:r>
        <w:rPr>
          <w:position w:val="-26"/>
        </w:rPr>
        <w:t>□交代出院注意事</w:t>
      </w:r>
    </w:p>
    <w:p>
      <w:pPr>
        <w:pStyle w:val="BodyText"/>
        <w:spacing w:line="360" w:lineRule="exact"/>
        <w:ind w:left="428"/>
      </w:pPr>
      <w:r>
        <w:t>□进行中医证候判断</w:t>
      </w:r>
    </w:p>
    <w:p>
      <w:pPr>
        <w:pStyle w:val="BodyText"/>
        <w:spacing w:line="187" w:lineRule="auto"/>
        <w:ind w:left="428"/>
      </w:pPr>
      <w:r>
        <w:pict>
          <v:shape id="_x0000_s1048" type="#_x0000_t202" style="width:63.2pt;height:21.1pt;margin-top:18.8pt;margin-left:392.29pt;mso-position-horizontal-relative:page;position:absolute;z-index:-251649024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t>整治疗</w:t>
                  </w:r>
                </w:p>
              </w:txbxContent>
            </v:textbox>
          </v:shape>
        </w:pict>
      </w:r>
      <w:r>
        <w:t xml:space="preserve">□上级医师查房，调 </w:t>
      </w:r>
      <w:r>
        <w:rPr>
          <w:position w:val="-21"/>
        </w:rPr>
        <w:t>项、复查 日期</w:t>
      </w:r>
    </w:p>
    <w:p>
      <w:pPr>
        <w:pStyle w:val="BodyText"/>
        <w:spacing w:line="519" w:lineRule="exact"/>
        <w:ind w:left="428"/>
      </w:pPr>
      <w:r>
        <w:t xml:space="preserve">方案，确定出院时间 </w:t>
      </w:r>
      <w:r>
        <w:rPr>
          <w:position w:val="-13"/>
        </w:rPr>
        <w:t>□开具出院诊断书</w:t>
      </w:r>
    </w:p>
    <w:p>
      <w:pPr>
        <w:pStyle w:val="BodyText"/>
        <w:spacing w:line="91" w:lineRule="auto"/>
        <w:ind w:left="428"/>
      </w:pPr>
      <w:r>
        <w:t xml:space="preserve">□完成上级医师查房 </w:t>
      </w:r>
      <w:r>
        <w:rPr>
          <w:position w:val="-13"/>
        </w:rPr>
        <w:t>□完成出院记录</w:t>
      </w:r>
    </w:p>
    <w:p>
      <w:pPr>
        <w:pStyle w:val="BodyText"/>
        <w:tabs>
          <w:tab w:val="left" w:pos="4522"/>
        </w:tabs>
        <w:spacing w:line="213" w:lineRule="exact"/>
        <w:ind w:left="428"/>
      </w:pPr>
      <w:r>
        <w:rPr>
          <w:position w:val="14"/>
        </w:rPr>
        <w:t>纪录</w:t>
        <w:tab/>
      </w:r>
      <w:r>
        <w:t>□通知出院</w:t>
      </w:r>
    </w:p>
    <w:p>
      <w:pPr>
        <w:spacing w:after="0" w:line="213" w:lineRule="exact"/>
        <w:sectPr>
          <w:type w:val="continuous"/>
          <w:pgSz w:w="17850" w:h="23830"/>
          <w:pgMar w:top="1840" w:right="1220" w:bottom="280" w:left="1840" w:header="708" w:footer="708"/>
          <w:pgNumType w:start="11"/>
          <w:cols w:num="2" w:space="708" w:equalWidth="0">
            <w:col w:w="5538" w:space="40"/>
            <w:col w:w="9212" w:space="0"/>
          </w:cols>
        </w:sectPr>
      </w:pPr>
    </w:p>
    <w:p>
      <w:pPr>
        <w:pStyle w:val="BodyText"/>
        <w:spacing w:line="344" w:lineRule="exact"/>
        <w:ind w:left="1746"/>
      </w:pPr>
      <w:r>
        <w:t>长期医嘱</w:t>
      </w:r>
    </w:p>
    <w:p>
      <w:pPr>
        <w:pStyle w:val="BodyText"/>
        <w:spacing w:line="344" w:lineRule="exact"/>
        <w:ind w:left="1746"/>
      </w:pPr>
      <w:r>
        <w:br w:type="column"/>
      </w:r>
      <w:r>
        <w:rPr>
          <w:spacing w:val="-422"/>
          <w:position w:val="5"/>
        </w:rPr>
        <w:t>长</w:t>
      </w:r>
      <w:r>
        <w:t>□</w:t>
      </w:r>
      <w:r>
        <w:rPr>
          <w:spacing w:val="-422"/>
          <w:position w:val="5"/>
        </w:rPr>
        <w:t>期</w:t>
      </w:r>
      <w:r>
        <w:t>复</w:t>
      </w:r>
      <w:r>
        <w:rPr>
          <w:spacing w:val="-422"/>
          <w:position w:val="5"/>
        </w:rPr>
        <w:t>医</w:t>
      </w:r>
      <w:r>
        <w:t>查</w:t>
      </w:r>
      <w:r>
        <w:rPr>
          <w:spacing w:val="-422"/>
          <w:position w:val="5"/>
        </w:rPr>
        <w:t>嘱</w:t>
      </w:r>
      <w:r>
        <w:rPr>
          <w:spacing w:val="-5"/>
        </w:rPr>
        <w:t>异常项目</w:t>
      </w:r>
    </w:p>
    <w:p>
      <w:pPr>
        <w:pStyle w:val="BodyText"/>
        <w:spacing w:line="344" w:lineRule="exact"/>
        <w:ind w:left="1105"/>
      </w:pPr>
      <w:r>
        <w:br w:type="column"/>
      </w:r>
      <w:r>
        <w:t>长期医嘱:</w:t>
      </w:r>
    </w:p>
    <w:p>
      <w:pPr>
        <w:spacing w:after="0" w:line="344" w:lineRule="exact"/>
        <w:sectPr>
          <w:type w:val="continuous"/>
          <w:pgSz w:w="17850" w:h="23830"/>
          <w:pgMar w:top="1840" w:right="1220" w:bottom="280" w:left="1840" w:header="708" w:footer="708"/>
          <w:pgNumType w:start="12"/>
          <w:cols w:num="3" w:space="708" w:equalWidth="0">
            <w:col w:w="3472" w:space="788"/>
            <w:col w:w="4695" w:space="39"/>
            <w:col w:w="5796" w:space="0"/>
          </w:cols>
        </w:sectPr>
      </w:pPr>
    </w:p>
    <w:p>
      <w:pPr>
        <w:pStyle w:val="BodyText"/>
        <w:spacing w:line="391" w:lineRule="exact"/>
        <w:ind w:left="1746"/>
      </w:pPr>
      <w:r>
        <w:t>□分级护理</w:t>
      </w:r>
    </w:p>
    <w:p>
      <w:pPr>
        <w:pStyle w:val="BodyText"/>
        <w:spacing w:line="360" w:lineRule="exact"/>
        <w:ind w:left="1746"/>
      </w:pPr>
      <w:r>
        <w:t>□普食</w:t>
      </w:r>
    </w:p>
    <w:p>
      <w:pPr>
        <w:pStyle w:val="BodyText"/>
        <w:spacing w:line="360" w:lineRule="exact"/>
        <w:ind w:left="1746"/>
      </w:pPr>
      <w:r>
        <w:t>□口服中药汤剂口服</w:t>
      </w:r>
    </w:p>
    <w:p>
      <w:pPr>
        <w:pStyle w:val="BodyText"/>
        <w:spacing w:line="360" w:lineRule="exact"/>
        <w:ind w:left="1746"/>
      </w:pPr>
      <w:r>
        <w:t>□中成药</w:t>
      </w:r>
    </w:p>
    <w:p>
      <w:pPr>
        <w:pStyle w:val="BodyText"/>
        <w:tabs>
          <w:tab w:val="left" w:pos="1746"/>
        </w:tabs>
        <w:spacing w:line="420" w:lineRule="exact"/>
        <w:ind w:left="680"/>
      </w:pPr>
      <w:r>
        <w:rPr>
          <w:position w:val="-11"/>
        </w:rPr>
        <w:t>重</w:t>
        <w:tab/>
      </w:r>
      <w:r>
        <w:t>□外治法</w:t>
      </w:r>
    </w:p>
    <w:p>
      <w:pPr>
        <w:pStyle w:val="BodyText"/>
        <w:spacing w:line="300" w:lineRule="exact"/>
        <w:ind w:left="1746"/>
      </w:pPr>
      <w:r>
        <w:t>□针灸疗法</w:t>
      </w:r>
    </w:p>
    <w:p>
      <w:pPr>
        <w:pStyle w:val="BodyText"/>
        <w:spacing w:line="449" w:lineRule="exact"/>
        <w:ind w:left="1746"/>
      </w:pPr>
      <w:r>
        <w:t>□其他疗法</w:t>
      </w:r>
    </w:p>
    <w:p>
      <w:pPr>
        <w:pStyle w:val="BodyText"/>
        <w:tabs>
          <w:tab w:val="left" w:pos="4522"/>
        </w:tabs>
        <w:spacing w:line="391" w:lineRule="exact"/>
        <w:ind w:left="428"/>
      </w:pPr>
      <w:r>
        <w:br w:type="column"/>
      </w:r>
      <w:r>
        <w:t>□分级护理</w:t>
        <w:tab/>
        <w:t>□停止所有长期医嘱</w:t>
      </w:r>
    </w:p>
    <w:p>
      <w:pPr>
        <w:pStyle w:val="BodyText"/>
        <w:spacing w:line="360" w:lineRule="exact"/>
        <w:ind w:left="428"/>
      </w:pPr>
      <w:r>
        <w:t>□普食</w:t>
      </w:r>
    </w:p>
    <w:p>
      <w:pPr>
        <w:pStyle w:val="BodyText"/>
        <w:spacing w:line="360" w:lineRule="exact"/>
        <w:ind w:left="428"/>
      </w:pPr>
      <w:r>
        <w:pict>
          <v:shape id="_x0000_s1049" type="#_x0000_t202" style="width:84.25pt;height:21.1pt;margin-top:8.19pt;margin-left:596.98pt;mso-position-horizontal-relative:page;position:absolute;z-index:251668480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t>临时医嘱</w:t>
                  </w:r>
                </w:p>
              </w:txbxContent>
            </v:textbox>
          </v:shape>
        </w:pict>
      </w:r>
      <w:r>
        <w:t>□口服中药汤剂口服</w:t>
      </w:r>
    </w:p>
    <w:p>
      <w:pPr>
        <w:pStyle w:val="BodyText"/>
        <w:spacing w:line="359" w:lineRule="exact"/>
        <w:ind w:left="428"/>
      </w:pPr>
      <w:r>
        <w:t>□中成药</w:t>
      </w:r>
    </w:p>
    <w:p>
      <w:pPr>
        <w:pStyle w:val="BodyText"/>
        <w:tabs>
          <w:tab w:val="left" w:pos="4522"/>
        </w:tabs>
        <w:spacing w:line="415" w:lineRule="exact"/>
        <w:ind w:left="428"/>
      </w:pPr>
      <w:r>
        <w:rPr>
          <w:position w:val="11"/>
        </w:rPr>
        <w:t>□外治法</w:t>
        <w:tab/>
      </w:r>
      <w:r>
        <w:t>□开具出院医嘱</w:t>
      </w:r>
    </w:p>
    <w:p>
      <w:pPr>
        <w:pStyle w:val="BodyText"/>
        <w:tabs>
          <w:tab w:val="left" w:pos="4522"/>
        </w:tabs>
        <w:spacing w:before="52" w:line="86" w:lineRule="auto"/>
        <w:ind w:left="428"/>
      </w:pPr>
      <w:r>
        <w:t>□针灸疗法</w:t>
        <w:tab/>
      </w:r>
      <w:r>
        <w:rPr>
          <w:position w:val="-10"/>
        </w:rPr>
        <w:t>□出院带药</w:t>
      </w:r>
    </w:p>
    <w:p>
      <w:pPr>
        <w:pStyle w:val="BodyText"/>
        <w:spacing w:line="394" w:lineRule="exact"/>
        <w:ind w:left="428"/>
      </w:pPr>
      <w:r>
        <w:t>□其他疗法</w:t>
      </w:r>
    </w:p>
    <w:p>
      <w:pPr>
        <w:spacing w:after="0" w:line="394" w:lineRule="exact"/>
        <w:sectPr>
          <w:type w:val="continuous"/>
          <w:pgSz w:w="17850" w:h="23830"/>
          <w:pgMar w:top="1840" w:right="1220" w:bottom="280" w:left="1840" w:header="708" w:footer="708"/>
          <w:pgNumType w:start="13"/>
          <w:cols w:num="2" w:space="708" w:equalWidth="0">
            <w:col w:w="5538" w:space="40"/>
            <w:col w:w="9212" w:space="0"/>
          </w:cols>
        </w:sect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50" w:h="23830"/>
          <w:pgMar w:top="1840" w:right="1220" w:bottom="280" w:left="1840" w:header="708" w:footer="708"/>
          <w:pgNumType w:start="14"/>
          <w:cols w:space="708"/>
        </w:sectPr>
      </w:pPr>
    </w:p>
    <w:p>
      <w:pPr>
        <w:pStyle w:val="BodyText"/>
        <w:spacing w:before="42" w:line="446" w:lineRule="exact"/>
        <w:ind w:left="1746"/>
      </w:pPr>
      <w:r>
        <w:t>临时医嘱</w:t>
      </w:r>
    </w:p>
    <w:p>
      <w:pPr>
        <w:pStyle w:val="BodyText"/>
        <w:tabs>
          <w:tab w:val="left" w:pos="1746"/>
        </w:tabs>
        <w:spacing w:line="726" w:lineRule="exact"/>
        <w:ind w:left="680"/>
      </w:pPr>
      <w:r>
        <w:rPr>
          <w:position w:val="28"/>
        </w:rPr>
        <w:t>点</w:t>
        <w:tab/>
      </w:r>
      <w:r>
        <w:t>□复查异常项目</w:t>
      </w:r>
    </w:p>
    <w:p>
      <w:pPr>
        <w:pStyle w:val="BodyText"/>
        <w:tabs>
          <w:tab w:val="left" w:pos="1746"/>
        </w:tabs>
        <w:spacing w:before="500" w:line="940" w:lineRule="atLeast"/>
        <w:ind w:left="525"/>
      </w:pPr>
      <w:r>
        <w:rPr>
          <w:position w:val="27"/>
        </w:rPr>
        <w:t>主</w:t>
        <w:tab/>
      </w:r>
      <w:r>
        <w:t>□常规护理和皮损</w:t>
      </w:r>
      <w:r>
        <w:rPr>
          <w:spacing w:val="-20"/>
        </w:rPr>
        <w:t>护</w:t>
      </w:r>
      <w:r>
        <w:t>要</w:t>
        <w:tab/>
      </w:r>
      <w:r>
        <w:rPr>
          <w:position w:val="-26"/>
        </w:rPr>
        <w:t>理</w:t>
      </w:r>
    </w:p>
    <w:p>
      <w:pPr>
        <w:pStyle w:val="BodyText"/>
        <w:spacing w:line="152" w:lineRule="exact"/>
        <w:ind w:left="1746"/>
      </w:pPr>
      <w:r>
        <w:t>□无</w:t>
      </w:r>
    </w:p>
    <w:p>
      <w:pPr>
        <w:pStyle w:val="BodyText"/>
        <w:tabs>
          <w:tab w:val="left" w:pos="1746"/>
        </w:tabs>
        <w:spacing w:before="49" w:line="132" w:lineRule="auto"/>
        <w:ind w:left="1746" w:right="1261" w:hanging="1221"/>
      </w:pPr>
      <w:r>
        <w:rPr>
          <w:position w:val="-11"/>
        </w:rPr>
        <w:t>病</w:t>
        <w:tab/>
      </w:r>
      <w:r>
        <w:t>□有，原因</w:t>
      </w:r>
      <w:r>
        <w:rPr>
          <w:spacing w:val="-18"/>
        </w:rPr>
        <w:t xml:space="preserve">： </w:t>
      </w:r>
      <w:r>
        <w:t>1.</w:t>
      </w:r>
    </w:p>
    <w:p>
      <w:pPr>
        <w:pStyle w:val="BodyText"/>
        <w:spacing w:line="306" w:lineRule="exact"/>
        <w:ind w:left="1746"/>
      </w:pPr>
      <w:r>
        <w:t>2.</w:t>
      </w:r>
    </w:p>
    <w:p>
      <w:pPr>
        <w:pStyle w:val="BodyText"/>
        <w:spacing w:line="433" w:lineRule="exact"/>
        <w:ind w:left="525"/>
      </w:pPr>
      <w:r>
        <w:rPr>
          <w:w w:val="100"/>
        </w:rPr>
        <w:t>情</w:t>
      </w:r>
    </w:p>
    <w:p>
      <w:pPr>
        <w:pStyle w:val="BodyText"/>
        <w:spacing w:before="1"/>
        <w:rPr>
          <w:sz w:val="40"/>
        </w:rPr>
      </w:pPr>
    </w:p>
    <w:p>
      <w:pPr>
        <w:pStyle w:val="BodyText"/>
        <w:spacing w:line="436" w:lineRule="auto"/>
        <w:ind w:left="525" w:right="4587"/>
        <w:jc w:val="both"/>
      </w:pPr>
      <w:r>
        <w:t>责任医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7"/>
        <w:rPr>
          <w:sz w:val="50"/>
        </w:rPr>
      </w:pPr>
    </w:p>
    <w:p>
      <w:pPr>
        <w:pStyle w:val="BodyText"/>
        <w:spacing w:line="930" w:lineRule="atLeast"/>
        <w:ind w:left="428"/>
      </w:pPr>
      <w:r>
        <w:t>□常规护理和皮损护理</w:t>
      </w:r>
    </w:p>
    <w:p>
      <w:pPr>
        <w:pStyle w:val="BodyText"/>
        <w:spacing w:line="162" w:lineRule="exact"/>
        <w:ind w:left="428"/>
      </w:pPr>
      <w:r>
        <w:t>□无</w:t>
      </w:r>
    </w:p>
    <w:p>
      <w:pPr>
        <w:pStyle w:val="BodyText"/>
        <w:spacing w:before="53" w:line="160" w:lineRule="auto"/>
        <w:ind w:left="428" w:right="890"/>
      </w:pPr>
      <w:r>
        <w:rPr>
          <w:spacing w:val="-3"/>
        </w:rPr>
        <w:t xml:space="preserve">□有，原因： </w:t>
      </w:r>
      <w:r>
        <w:t>1.</w:t>
      </w:r>
    </w:p>
    <w:p>
      <w:pPr>
        <w:pStyle w:val="BodyText"/>
        <w:spacing w:line="398" w:lineRule="exact"/>
        <w:ind w:left="428"/>
      </w:pPr>
      <w:r>
        <w:t>2.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287" w:line="930" w:lineRule="atLeast"/>
        <w:ind w:left="262" w:right="896"/>
      </w:pPr>
      <w:r>
        <w:t>□交代出院后注意事项</w:t>
      </w:r>
    </w:p>
    <w:p>
      <w:pPr>
        <w:pStyle w:val="BodyText"/>
        <w:spacing w:before="102" w:line="436" w:lineRule="exact"/>
        <w:ind w:left="262"/>
      </w:pPr>
      <w:r>
        <w:t>□协助办理出院手续</w:t>
      </w:r>
    </w:p>
    <w:p>
      <w:pPr>
        <w:pStyle w:val="BodyText"/>
        <w:spacing w:before="37" w:line="160" w:lineRule="auto"/>
        <w:ind w:left="262" w:right="1795"/>
      </w:pPr>
      <w:r>
        <w:rPr>
          <w:spacing w:val="-4"/>
        </w:rPr>
        <w:t xml:space="preserve">□有，原因： </w:t>
      </w:r>
      <w:r>
        <w:t>1.</w:t>
      </w:r>
    </w:p>
    <w:p>
      <w:pPr>
        <w:pStyle w:val="BodyText"/>
        <w:spacing w:line="398" w:lineRule="exact"/>
        <w:ind w:left="262"/>
      </w:pPr>
      <w:r>
        <w:t>2.</w:t>
      </w:r>
    </w:p>
    <w:p>
      <w:pPr>
        <w:spacing w:after="0" w:line="398" w:lineRule="exact"/>
        <w:sectPr>
          <w:type w:val="continuous"/>
          <w:pgSz w:w="17850" w:h="23830"/>
          <w:pgMar w:top="1840" w:right="1220" w:bottom="280" w:left="1840" w:header="708" w:footer="708"/>
          <w:pgNumType w:start="15"/>
          <w:cols w:num="3" w:space="708" w:equalWidth="0">
            <w:col w:w="5538" w:space="40"/>
            <w:col w:w="4220" w:space="39"/>
            <w:col w:w="4953" w:space="0"/>
          </w:cols>
        </w:sect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spacing w:before="42"/>
        <w:ind w:left="3042"/>
      </w:pPr>
      <w:r>
        <w:t>粉刺（寻常性痤疮）中医临床路径</w:t>
      </w:r>
    </w:p>
    <w:p>
      <w:pPr>
        <w:pStyle w:val="BodyText"/>
        <w:spacing w:before="12"/>
        <w:rPr>
          <w:sz w:val="61"/>
        </w:rPr>
      </w:pPr>
    </w:p>
    <w:p>
      <w:pPr>
        <w:pStyle w:val="BodyText"/>
        <w:spacing w:line="448" w:lineRule="auto"/>
        <w:ind w:left="1008" w:right="3248"/>
      </w:pPr>
      <w:r>
        <w:rPr>
          <w:spacing w:val="-1"/>
        </w:rPr>
        <w:t>路径说明：本路径适合于西医诊断为寻常性痤疮的患者。</w:t>
      </w:r>
      <w:r>
        <w:t>一、粉刺（寻常性痤疮）中医临床路径标准门诊流程</w:t>
      </w:r>
    </w:p>
    <w:p>
      <w:pPr>
        <w:pStyle w:val="BodyText"/>
        <w:spacing w:line="448" w:lineRule="auto"/>
        <w:ind w:left="1008" w:right="4233"/>
      </w:pPr>
      <w:r>
        <w:t>（一）适用对象</w:t>
      </w:r>
      <w:r>
        <w:rPr>
          <w:spacing w:val="1"/>
          <w:w w:val="100"/>
        </w:rPr>
        <w:t>1</w:t>
      </w:r>
      <w:r>
        <w:rPr>
          <w:w w:val="100"/>
        </w:rPr>
        <w:t>．中医诊断：第一诊断为粉刺</w:t>
      </w:r>
      <w:r>
        <w:rPr>
          <w:spacing w:val="-17"/>
          <w:w w:val="100"/>
        </w:rPr>
        <w:t>（</w:t>
      </w:r>
      <w:r>
        <w:rPr>
          <w:w w:val="100"/>
        </w:rPr>
        <w:t>TC</w:t>
      </w:r>
      <w:r>
        <w:rPr>
          <w:spacing w:val="30"/>
          <w:w w:val="100"/>
        </w:rPr>
        <w:t>D</w:t>
      </w:r>
      <w:r>
        <w:rPr>
          <w:spacing w:val="-3"/>
          <w:w w:val="100"/>
        </w:rPr>
        <w:t>编码</w:t>
      </w:r>
      <w:r>
        <w:rPr>
          <w:w w:val="100"/>
        </w:rPr>
        <w:t>:BWP20</w:t>
      </w:r>
      <w:r>
        <w:rPr>
          <w:spacing w:val="-2"/>
          <w:w w:val="100"/>
        </w:rPr>
        <w:t>0</w:t>
      </w:r>
      <w:r>
        <w:rPr>
          <w:spacing w:val="-364"/>
          <w:w w:val="100"/>
        </w:rPr>
        <w:t>）</w:t>
      </w:r>
      <w:r>
        <w:rPr>
          <w:spacing w:val="-14"/>
          <w:w w:val="100"/>
        </w:rPr>
        <w:t>。</w:t>
      </w:r>
    </w:p>
    <w:p>
      <w:pPr>
        <w:pStyle w:val="BodyText"/>
        <w:spacing w:line="532" w:lineRule="exact"/>
        <w:ind w:left="1008"/>
      </w:pPr>
      <w:r>
        <w:rPr>
          <w:spacing w:val="1"/>
          <w:w w:val="100"/>
        </w:rPr>
        <w:t>2</w:t>
      </w:r>
      <w:r>
        <w:rPr>
          <w:w w:val="100"/>
        </w:rPr>
        <w:t>．西医诊断：第一诊断为寻常性痤疮</w:t>
      </w:r>
      <w:r>
        <w:rPr>
          <w:spacing w:val="-21"/>
          <w:w w:val="100"/>
        </w:rPr>
        <w:t>（</w:t>
      </w:r>
      <w:r>
        <w:rPr>
          <w:w w:val="100"/>
        </w:rPr>
        <w:t>ICD-1</w:t>
      </w:r>
      <w:r>
        <w:rPr>
          <w:spacing w:val="28"/>
          <w:w w:val="100"/>
        </w:rPr>
        <w:t>0</w:t>
      </w:r>
      <w:r>
        <w:rPr>
          <w:spacing w:val="-3"/>
          <w:w w:val="100"/>
        </w:rPr>
        <w:t>编码：</w:t>
      </w:r>
      <w:r>
        <w:rPr>
          <w:w w:val="100"/>
        </w:rPr>
        <w:t>L70.90</w:t>
      </w:r>
      <w:r>
        <w:rPr>
          <w:spacing w:val="-2"/>
          <w:w w:val="100"/>
        </w:rPr>
        <w:t>1</w:t>
      </w:r>
      <w:r>
        <w:rPr>
          <w:spacing w:val="-360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line="448" w:lineRule="auto"/>
        <w:ind w:left="1008" w:right="10831"/>
      </w:pPr>
      <w:r>
        <w:t>（二）诊断依据1.疾病诊断</w:t>
      </w:r>
    </w:p>
    <w:p>
      <w:pPr>
        <w:pStyle w:val="ListParagraph"/>
        <w:numPr>
          <w:ilvl w:val="0"/>
          <w:numId w:val="23"/>
        </w:numPr>
        <w:tabs>
          <w:tab w:val="left" w:pos="2072"/>
        </w:tabs>
        <w:spacing w:before="0" w:after="0" w:line="417" w:lineRule="auto"/>
        <w:ind w:left="288" w:right="924" w:firstLine="720"/>
        <w:jc w:val="left"/>
        <w:rPr>
          <w:sz w:val="42"/>
        </w:rPr>
      </w:pPr>
      <w:r>
        <w:rPr>
          <w:spacing w:val="-1"/>
          <w:sz w:val="42"/>
        </w:rPr>
        <w:t>中医诊断标准：参照中华人民共和国中医药行业标准《中医病证</w:t>
      </w:r>
      <w:r>
        <w:rPr>
          <w:w w:val="100"/>
          <w:sz w:val="42"/>
        </w:rPr>
        <w:t>诊断疗效标</w:t>
      </w:r>
      <w:r>
        <w:rPr>
          <w:spacing w:val="31"/>
          <w:sz w:val="42"/>
        </w:rPr>
        <w:t xml:space="preserve"> </w:t>
      </w:r>
      <w:r>
        <w:rPr>
          <w:spacing w:val="-180"/>
          <w:w w:val="100"/>
          <w:sz w:val="42"/>
        </w:rPr>
        <w:t>准》</w:t>
      </w:r>
      <w:r>
        <w:rPr>
          <w:spacing w:val="-3"/>
          <w:w w:val="100"/>
          <w:sz w:val="42"/>
        </w:rPr>
        <w:t>（</w:t>
      </w:r>
      <w:r>
        <w:rPr>
          <w:w w:val="100"/>
          <w:sz w:val="42"/>
        </w:rPr>
        <w:t>ZY/T001.8-9</w:t>
      </w:r>
      <w:r>
        <w:rPr>
          <w:spacing w:val="-8"/>
          <w:w w:val="100"/>
          <w:sz w:val="42"/>
        </w:rPr>
        <w:t>4</w:t>
      </w:r>
      <w:r>
        <w:rPr>
          <w:spacing w:val="-360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2064"/>
        </w:tabs>
        <w:spacing w:before="14" w:after="0" w:line="417" w:lineRule="auto"/>
        <w:ind w:left="288" w:right="639" w:firstLine="720"/>
        <w:jc w:val="left"/>
        <w:rPr>
          <w:sz w:val="42"/>
        </w:rPr>
      </w:pPr>
      <w:r>
        <w:rPr>
          <w:spacing w:val="-16"/>
          <w:sz w:val="42"/>
        </w:rPr>
        <w:t>西医诊断标准：参照《临床诊疗指南-皮肤病与性病分册</w:t>
      </w:r>
      <w:r>
        <w:rPr>
          <w:spacing w:val="-379"/>
          <w:sz w:val="42"/>
        </w:rPr>
        <w:t>（</w:t>
      </w:r>
      <w:r>
        <w:rPr>
          <w:spacing w:val="-12"/>
          <w:sz w:val="42"/>
        </w:rPr>
        <w:t>》中华医</w:t>
      </w:r>
      <w:r>
        <w:rPr>
          <w:spacing w:val="-3"/>
          <w:sz w:val="42"/>
        </w:rPr>
        <w:t>学会编著， 人民卫生出版社，</w:t>
      </w:r>
      <w:r>
        <w:rPr>
          <w:spacing w:val="3"/>
          <w:sz w:val="42"/>
        </w:rPr>
        <w:t>2006</w:t>
      </w:r>
      <w:r>
        <w:rPr>
          <w:sz w:val="42"/>
        </w:rPr>
        <w:t>年</w:t>
      </w:r>
      <w:r>
        <w:rPr>
          <w:spacing w:val="-364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24" w:line="417" w:lineRule="auto"/>
        <w:ind w:left="1008" w:right="632"/>
      </w:pPr>
      <w:r>
        <w:t>2</w:t>
      </w:r>
      <w:r>
        <w:rPr>
          <w:spacing w:val="-30"/>
        </w:rPr>
        <w:t>．证候诊断 参照“国家中医药管理局‘十一五’重点专科协作组粉刺</w:t>
      </w:r>
      <w:r>
        <w:t>（</w:t>
      </w:r>
      <w:r>
        <w:rPr>
          <w:spacing w:val="-16"/>
        </w:rPr>
        <w:t>寻</w:t>
      </w:r>
      <w:r>
        <w:t>常性痤疮</w:t>
      </w:r>
      <w:r>
        <w:rPr>
          <w:spacing w:val="-177"/>
        </w:rPr>
        <w:t>）</w:t>
      </w:r>
      <w:r>
        <w:t>诊疗方案</w:t>
      </w:r>
      <w:r>
        <w:rPr>
          <w:spacing w:val="-75"/>
        </w:rPr>
        <w:t>”。 粉刺</w:t>
      </w:r>
      <w:r>
        <w:t>（寻常性痤疮）临床常见证候：</w:t>
      </w:r>
    </w:p>
    <w:p>
      <w:pPr>
        <w:pStyle w:val="BodyText"/>
        <w:spacing w:before="25" w:line="417" w:lineRule="auto"/>
        <w:ind w:left="1008" w:right="11895"/>
        <w:jc w:val="both"/>
      </w:pPr>
      <w:r>
        <w:rPr>
          <w:spacing w:val="45"/>
        </w:rPr>
        <w:t>肺经风热</w:t>
      </w:r>
      <w:r>
        <w:rPr>
          <w:spacing w:val="-6"/>
        </w:rPr>
        <w:t>证 脾 胃湿 热 证</w:t>
      </w:r>
      <w:r>
        <w:rPr>
          <w:spacing w:val="45"/>
        </w:rPr>
        <w:t>痰瘀互结</w:t>
      </w:r>
      <w:r>
        <w:rPr>
          <w:spacing w:val="-6"/>
        </w:rPr>
        <w:t>证 冲 任</w:t>
      </w:r>
    </w:p>
    <w:p>
      <w:pPr>
        <w:spacing w:after="0" w:line="417" w:lineRule="auto"/>
        <w:jc w:val="both"/>
        <w:sectPr>
          <w:pgSz w:w="17850" w:h="23830"/>
          <w:pgMar w:top="2300" w:right="1220" w:bottom="280" w:left="1840" w:header="708" w:footer="708"/>
          <w:pgNumType w:start="16"/>
          <w:cols w:space="708"/>
        </w:sectPr>
      </w:pPr>
    </w:p>
    <w:p>
      <w:pPr>
        <w:pStyle w:val="BodyText"/>
        <w:spacing w:before="18"/>
        <w:ind w:left="1008"/>
      </w:pPr>
      <w:r>
        <w:t>不调证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415" w:lineRule="auto"/>
        <w:ind w:left="1008" w:right="639"/>
      </w:pPr>
      <w:r>
        <w:t>（三）</w:t>
      </w:r>
      <w:r>
        <w:rPr>
          <w:spacing w:val="-25"/>
        </w:rPr>
        <w:t>治疗方案的选择 参照“国家中医药管理局‘十一五’重点专科协作</w:t>
      </w:r>
      <w:r>
        <w:rPr>
          <w:spacing w:val="-59"/>
        </w:rPr>
        <w:t>组粉刺</w:t>
      </w:r>
      <w:r>
        <w:t>（寻常性痤疮</w:t>
      </w:r>
      <w:r>
        <w:rPr>
          <w:spacing w:val="-180"/>
        </w:rPr>
        <w:t>）</w:t>
      </w:r>
      <w:r>
        <w:t>诊疗方案</w:t>
      </w:r>
      <w:r>
        <w:rPr>
          <w:spacing w:val="-184"/>
        </w:rPr>
        <w:t>”。</w:t>
      </w:r>
    </w:p>
    <w:p>
      <w:pPr>
        <w:pStyle w:val="ListParagraph"/>
        <w:numPr>
          <w:ilvl w:val="0"/>
          <w:numId w:val="22"/>
        </w:numPr>
        <w:tabs>
          <w:tab w:val="left" w:pos="1431"/>
        </w:tabs>
        <w:spacing w:before="32" w:after="0" w:line="240" w:lineRule="auto"/>
        <w:ind w:left="1430" w:right="0" w:hanging="423"/>
        <w:jc w:val="left"/>
        <w:rPr>
          <w:sz w:val="42"/>
        </w:rPr>
      </w:pPr>
      <w:r>
        <w:rPr>
          <w:sz w:val="42"/>
        </w:rPr>
        <w:t>诊断明确，第一诊断为粉刺（寻常性痤疮</w:t>
      </w:r>
      <w:r>
        <w:rPr>
          <w:spacing w:val="-384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2"/>
        </w:numPr>
        <w:tabs>
          <w:tab w:val="left" w:pos="1431"/>
        </w:tabs>
        <w:spacing w:before="0" w:after="0" w:line="240" w:lineRule="auto"/>
        <w:ind w:left="1430" w:right="0" w:hanging="423"/>
        <w:jc w:val="left"/>
        <w:rPr>
          <w:sz w:val="42"/>
        </w:rPr>
      </w:pPr>
      <w:r>
        <w:rPr>
          <w:sz w:val="42"/>
        </w:rPr>
        <w:t>患者适合并接受中医治疗。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spacing w:line="417" w:lineRule="auto"/>
        <w:ind w:left="1008" w:right="10408"/>
      </w:pPr>
      <w:r>
        <w:t>（四）标准治疗时间 肺经风热证≤ 28天 脾胃湿热证</w:t>
      </w:r>
    </w:p>
    <w:p>
      <w:pPr>
        <w:pStyle w:val="BodyText"/>
        <w:spacing w:line="417" w:lineRule="auto"/>
        <w:ind w:left="1008" w:right="10592"/>
        <w:jc w:val="both"/>
      </w:pPr>
      <w:r>
        <w:t>≤56天 痰瘀互结证≤84天 冲任不调证≤84天</w:t>
      </w:r>
    </w:p>
    <w:p>
      <w:pPr>
        <w:pStyle w:val="BodyText"/>
        <w:spacing w:before="20"/>
        <w:ind w:left="1008"/>
      </w:pPr>
      <w:r>
        <w:t>（五）进入路径标准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21"/>
        </w:numPr>
        <w:tabs>
          <w:tab w:val="left" w:pos="1431"/>
        </w:tabs>
        <w:spacing w:before="0" w:after="0" w:line="417" w:lineRule="auto"/>
        <w:ind w:left="1008" w:right="1111" w:firstLine="0"/>
        <w:jc w:val="left"/>
        <w:rPr>
          <w:sz w:val="42"/>
        </w:rPr>
      </w:pPr>
      <w:r>
        <w:rPr>
          <w:sz w:val="42"/>
        </w:rPr>
        <w:t>第一诊断必须符合粉刺</w:t>
      </w:r>
      <w:r>
        <w:rPr>
          <w:spacing w:val="4"/>
          <w:sz w:val="42"/>
        </w:rPr>
        <w:t>（TCD</w:t>
      </w:r>
      <w:r>
        <w:rPr>
          <w:spacing w:val="-2"/>
          <w:sz w:val="42"/>
        </w:rPr>
        <w:t>编码</w:t>
      </w:r>
      <w:r>
        <w:rPr>
          <w:sz w:val="42"/>
        </w:rPr>
        <w:t>:BWR200）和痤疮</w:t>
      </w:r>
      <w:r>
        <w:rPr>
          <w:spacing w:val="3"/>
          <w:sz w:val="42"/>
        </w:rPr>
        <w:t>（ICD-10</w:t>
      </w:r>
      <w:r>
        <w:rPr>
          <w:spacing w:val="-5"/>
          <w:sz w:val="42"/>
        </w:rPr>
        <w:t xml:space="preserve">编码： </w:t>
      </w:r>
      <w:r>
        <w:rPr>
          <w:w w:val="100"/>
          <w:sz w:val="42"/>
        </w:rPr>
        <w:t>L70.90</w:t>
      </w:r>
      <w:r>
        <w:rPr>
          <w:spacing w:val="-2"/>
          <w:w w:val="100"/>
          <w:sz w:val="42"/>
        </w:rPr>
        <w:t>1</w:t>
      </w:r>
      <w:r>
        <w:rPr>
          <w:spacing w:val="-360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spacing w:after="0" w:line="417" w:lineRule="auto"/>
        <w:jc w:val="left"/>
        <w:rPr>
          <w:sz w:val="42"/>
        </w:rPr>
        <w:sectPr>
          <w:pgSz w:w="17850" w:h="23830"/>
          <w:pgMar w:top="2040" w:right="1220" w:bottom="280" w:left="184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431"/>
        </w:tabs>
        <w:spacing w:before="33" w:after="0" w:line="235" w:lineRule="auto"/>
        <w:ind w:left="1008" w:right="518" w:firstLine="0"/>
        <w:jc w:val="left"/>
        <w:rPr>
          <w:sz w:val="42"/>
        </w:rPr>
      </w:pPr>
      <w:r>
        <w:rPr>
          <w:spacing w:val="-16"/>
          <w:sz w:val="42"/>
        </w:rPr>
        <w:t>当患者同时具有其他疾病，但不需特殊处理也不影响第一诊断的临床路</w:t>
      </w:r>
      <w:r>
        <w:rPr>
          <w:sz w:val="42"/>
        </w:rPr>
        <w:t>径流程实</w:t>
      </w:r>
    </w:p>
    <w:p>
      <w:pPr>
        <w:pStyle w:val="BodyText"/>
        <w:spacing w:before="204" w:line="415" w:lineRule="auto"/>
        <w:ind w:left="1847" w:right="10617" w:hanging="1469"/>
      </w:pPr>
      <w:r>
        <w:t>施时，可以进入本路径。</w:t>
      </w:r>
    </w:p>
    <w:p>
      <w:pPr>
        <w:pStyle w:val="ListParagraph"/>
        <w:numPr>
          <w:ilvl w:val="0"/>
          <w:numId w:val="21"/>
        </w:numPr>
        <w:tabs>
          <w:tab w:val="left" w:pos="1431"/>
        </w:tabs>
        <w:spacing w:before="75" w:after="0" w:line="240" w:lineRule="auto"/>
        <w:ind w:left="1430" w:right="0" w:hanging="423"/>
        <w:jc w:val="left"/>
        <w:rPr>
          <w:sz w:val="42"/>
        </w:rPr>
      </w:pPr>
      <w:r>
        <w:rPr>
          <w:sz w:val="42"/>
        </w:rPr>
        <w:t>以下任一情况下不进入本路径：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0"/>
        </w:numPr>
        <w:tabs>
          <w:tab w:val="left" w:pos="2072"/>
        </w:tabs>
        <w:spacing w:before="0" w:after="0" w:line="417" w:lineRule="auto"/>
        <w:ind w:left="288" w:right="924" w:firstLine="720"/>
        <w:jc w:val="left"/>
        <w:rPr>
          <w:sz w:val="42"/>
        </w:rPr>
      </w:pPr>
      <w:r>
        <w:rPr>
          <w:spacing w:val="-1"/>
          <w:sz w:val="42"/>
        </w:rPr>
        <w:t>合并严重心血管、肝、肾、脑等原发性疾病且病情不稳定，需首</w:t>
      </w:r>
      <w:r>
        <w:rPr>
          <w:spacing w:val="1"/>
          <w:sz w:val="42"/>
        </w:rPr>
        <w:t>要接受内科 治疗者。</w:t>
      </w:r>
    </w:p>
    <w:p>
      <w:pPr>
        <w:pStyle w:val="ListParagraph"/>
        <w:numPr>
          <w:ilvl w:val="0"/>
          <w:numId w:val="20"/>
        </w:numPr>
        <w:tabs>
          <w:tab w:val="left" w:pos="2064"/>
        </w:tabs>
        <w:spacing w:before="22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患有精神疾病、内分泌系统疾病者。</w:t>
      </w: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0"/>
          <w:numId w:val="20"/>
        </w:numPr>
        <w:tabs>
          <w:tab w:val="left" w:pos="2072"/>
        </w:tabs>
        <w:spacing w:before="1" w:after="0" w:line="415" w:lineRule="auto"/>
        <w:ind w:left="288" w:right="924" w:firstLine="720"/>
        <w:jc w:val="left"/>
        <w:rPr>
          <w:sz w:val="42"/>
        </w:rPr>
      </w:pPr>
      <w:r>
        <w:rPr>
          <w:sz w:val="42"/>
        </w:rPr>
        <w:t>有需要系统治疗（如使用大量糖皮质激素或者免疫抑制剂等）</w:t>
      </w:r>
      <w:r>
        <w:rPr>
          <w:spacing w:val="-18"/>
          <w:sz w:val="42"/>
        </w:rPr>
        <w:t>的</w:t>
      </w:r>
      <w:r>
        <w:rPr>
          <w:spacing w:val="2"/>
          <w:sz w:val="42"/>
        </w:rPr>
        <w:t>其他疾病的 患者。</w:t>
      </w:r>
    </w:p>
    <w:p>
      <w:pPr>
        <w:pStyle w:val="ListParagraph"/>
        <w:numPr>
          <w:ilvl w:val="0"/>
          <w:numId w:val="20"/>
        </w:numPr>
        <w:tabs>
          <w:tab w:val="left" w:pos="2064"/>
        </w:tabs>
        <w:spacing w:before="28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暴发性痤疮，或伴高热。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20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妊娠期或哺乳期妇女。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line="415" w:lineRule="auto"/>
        <w:ind w:left="1008" w:right="747"/>
      </w:pPr>
      <w:r>
        <w:t>（六）</w:t>
      </w:r>
      <w:r>
        <w:rPr>
          <w:spacing w:val="-15"/>
        </w:rPr>
        <w:t>中医证候学观察 四诊合参，收集该病种不同证候的主症、次症、</w:t>
      </w:r>
      <w:r>
        <w:rPr>
          <w:spacing w:val="-16"/>
        </w:rPr>
        <w:t>舌、脉特点。注意证候的动态变化。</w:t>
      </w:r>
    </w:p>
    <w:p>
      <w:pPr>
        <w:pStyle w:val="BodyText"/>
        <w:spacing w:before="28" w:line="417" w:lineRule="auto"/>
        <w:ind w:left="1008" w:right="519"/>
      </w:pPr>
      <w:r>
        <w:t>（七</w:t>
      </w:r>
      <w:r>
        <w:rPr>
          <w:spacing w:val="-134"/>
        </w:rPr>
        <w:t>）</w:t>
      </w:r>
      <w:r>
        <w:rPr>
          <w:spacing w:val="-16"/>
        </w:rPr>
        <w:t>门诊检查项目 可选择的检查项目：根据病情需要而定，如血常规、</w:t>
      </w:r>
      <w:r>
        <w:t>肝功能、肾功能、血脂分析、</w:t>
      </w:r>
    </w:p>
    <w:p>
      <w:pPr>
        <w:pStyle w:val="BodyText"/>
        <w:spacing w:before="21" w:line="417" w:lineRule="auto"/>
        <w:ind w:left="288" w:right="517"/>
      </w:pPr>
      <w:r>
        <w:rPr>
          <w:spacing w:val="-6"/>
        </w:rPr>
        <w:t>性激素水平检测、子宫附件</w:t>
      </w:r>
      <w:r>
        <w:rPr>
          <w:spacing w:val="30"/>
        </w:rPr>
        <w:t>B</w:t>
      </w:r>
      <w:r>
        <w:rPr>
          <w:spacing w:val="-13"/>
        </w:rPr>
        <w:t>超、炎症性皮疹的细菌培养和药敏、伍德氏灯、</w:t>
      </w:r>
      <w:r>
        <w:rPr>
          <w:spacing w:val="-1"/>
        </w:rPr>
        <w:t>毛囊虫、 糠秕孢子菌等。</w:t>
      </w:r>
    </w:p>
    <w:p>
      <w:pPr>
        <w:pStyle w:val="BodyText"/>
        <w:spacing w:before="26" w:line="432" w:lineRule="auto"/>
        <w:ind w:left="1008" w:right="7669"/>
      </w:pPr>
      <w:r>
        <w:t>（八）治疗方法             1</w:t>
      </w:r>
      <w:r>
        <w:rPr>
          <w:spacing w:val="-2"/>
        </w:rPr>
        <w:t>．辨证选择口服中药汤剂、中成</w:t>
      </w:r>
      <w:r>
        <w:rPr>
          <w:spacing w:val="-21"/>
        </w:rPr>
        <w:t>药。 肺经风热证：疏风清肺。 脾</w:t>
      </w:r>
    </w:p>
    <w:p>
      <w:pPr>
        <w:spacing w:after="0" w:line="432" w:lineRule="auto"/>
        <w:sectPr>
          <w:pgSz w:w="17850" w:h="23830"/>
          <w:pgMar w:top="1900" w:right="1220" w:bottom="280" w:left="1840" w:header="708" w:footer="708"/>
          <w:pgNumType w:start="18"/>
          <w:cols w:space="708"/>
        </w:sectPr>
      </w:pPr>
    </w:p>
    <w:p>
      <w:pPr>
        <w:pStyle w:val="BodyText"/>
        <w:spacing w:before="18" w:line="417" w:lineRule="auto"/>
        <w:ind w:left="1008" w:right="7722"/>
        <w:jc w:val="both"/>
      </w:pPr>
      <w:r>
        <w:rPr>
          <w:spacing w:val="-6"/>
        </w:rPr>
        <w:t>胃湿热证：清热利湿。 痰瘀互结</w:t>
      </w:r>
      <w:r>
        <w:rPr>
          <w:spacing w:val="-10"/>
        </w:rPr>
        <w:t>证：化瘀散结。 冲任不调证：调</w:t>
      </w:r>
      <w:r>
        <w:t>理冲任。</w:t>
      </w:r>
    </w:p>
    <w:p>
      <w:pPr>
        <w:pStyle w:val="ListParagraph"/>
        <w:numPr>
          <w:ilvl w:val="0"/>
          <w:numId w:val="19"/>
        </w:numPr>
        <w:tabs>
          <w:tab w:val="left" w:pos="1643"/>
        </w:tabs>
        <w:spacing w:before="24" w:after="0" w:line="240" w:lineRule="auto"/>
        <w:ind w:left="1642" w:right="0" w:hanging="635"/>
        <w:jc w:val="left"/>
        <w:rPr>
          <w:sz w:val="42"/>
        </w:rPr>
      </w:pPr>
      <w:r>
        <w:rPr>
          <w:sz w:val="42"/>
        </w:rPr>
        <w:t>外治法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中药面膜。</w:t>
      </w:r>
    </w:p>
    <w:p>
      <w:pPr>
        <w:pStyle w:val="BodyText"/>
        <w:spacing w:before="6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中药外洗。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中药外搽。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中药熏蒸。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剔痤清疮。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val="left" w:pos="2064"/>
        </w:tabs>
        <w:spacing w:before="0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中药离子导入。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19"/>
        </w:numPr>
        <w:tabs>
          <w:tab w:val="left" w:pos="1642"/>
        </w:tabs>
        <w:spacing w:before="0" w:after="0" w:line="448" w:lineRule="auto"/>
        <w:ind w:left="1008" w:right="4722" w:firstLine="0"/>
        <w:jc w:val="left"/>
        <w:rPr>
          <w:sz w:val="42"/>
        </w:rPr>
      </w:pPr>
      <w:r>
        <w:rPr>
          <w:spacing w:val="-1"/>
          <w:sz w:val="42"/>
        </w:rPr>
        <w:t>针灸治疗：体针、耳针、刺络拔罐、火针等。</w:t>
      </w:r>
      <w:r>
        <w:rPr>
          <w:sz w:val="42"/>
        </w:rPr>
        <w:t>4．其他疗法</w:t>
      </w:r>
    </w:p>
    <w:p>
      <w:pPr>
        <w:pStyle w:val="ListParagraph"/>
        <w:numPr>
          <w:ilvl w:val="0"/>
          <w:numId w:val="17"/>
        </w:numPr>
        <w:tabs>
          <w:tab w:val="left" w:pos="2064"/>
        </w:tabs>
        <w:spacing w:before="1" w:after="0" w:line="240" w:lineRule="auto"/>
        <w:ind w:left="2064" w:right="0" w:hanging="1056"/>
        <w:jc w:val="left"/>
        <w:rPr>
          <w:sz w:val="42"/>
        </w:rPr>
      </w:pPr>
      <w:r>
        <w:rPr>
          <w:sz w:val="42"/>
        </w:rPr>
        <w:t>自血疗法、放血疗法。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https://d.book118.com/025014311013011102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pgSz w:w="17850" w:h="23830"/>
      <w:pgMar w:top="2040" w:right="1220" w:bottom="280" w:left="184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8411F"/>
    <w:multiLevelType w:val="hybridMultilevel"/>
    <w:tmpl w:val="00000000"/>
    <w:lvl w:ilvl="0">
      <w:start w:val="1"/>
      <w:numFmt w:val="decimal"/>
      <w:lvlText w:val="（%1）"/>
      <w:lvlJc w:val="left"/>
      <w:pPr>
        <w:ind w:left="206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3" w:hanging="1056"/>
      </w:pPr>
      <w:rPr>
        <w:rFonts w:hint="default"/>
      </w:rPr>
    </w:lvl>
  </w:abstractNum>
  <w:abstractNum w:abstractNumId="1">
    <w:nsid w:val="05771808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23"/>
      </w:pPr>
      <w:rPr>
        <w:rFonts w:hint="default"/>
      </w:rPr>
    </w:lvl>
  </w:abstractNum>
  <w:abstractNum w:abstractNumId="2">
    <w:nsid w:val="090B31DD"/>
    <w:multiLevelType w:val="hybridMultilevel"/>
    <w:tmpl w:val="00000000"/>
    <w:lvl w:ilvl="0">
      <w:start w:val="1"/>
      <w:numFmt w:val="decimal"/>
      <w:lvlText w:val="（%1）"/>
      <w:lvlJc w:val="left"/>
      <w:pPr>
        <w:ind w:left="206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3" w:hanging="1056"/>
      </w:pPr>
      <w:rPr>
        <w:rFonts w:hint="default"/>
      </w:rPr>
    </w:lvl>
  </w:abstractNum>
  <w:abstractNum w:abstractNumId="3">
    <w:nsid w:val="0A198792"/>
    <w:multiLevelType w:val="hybridMultilevel"/>
    <w:tmpl w:val="00000000"/>
    <w:lvl w:ilvl="0">
      <w:start w:val="4"/>
      <w:numFmt w:val="decimal"/>
      <w:lvlText w:val="%1."/>
      <w:lvlJc w:val="left"/>
      <w:pPr>
        <w:ind w:left="112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8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892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4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6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8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0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2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4" w:hanging="1063"/>
      </w:pPr>
      <w:rPr>
        <w:rFonts w:hint="default"/>
      </w:rPr>
    </w:lvl>
  </w:abstractNum>
  <w:abstractNum w:abstractNumId="4">
    <w:nsid w:val="0DB9A485"/>
    <w:multiLevelType w:val="hybridMultilevel"/>
    <w:tmpl w:val="00000000"/>
    <w:lvl w:ilvl="0">
      <w:start w:val="1"/>
      <w:numFmt w:val="decimal"/>
      <w:lvlText w:val="%1."/>
      <w:lvlJc w:val="left"/>
      <w:pPr>
        <w:ind w:left="1430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423"/>
      </w:pPr>
      <w:rPr>
        <w:rFonts w:hint="default"/>
      </w:rPr>
    </w:lvl>
  </w:abstractNum>
  <w:abstractNum w:abstractNumId="5">
    <w:nsid w:val="1203E76D"/>
    <w:multiLevelType w:val="hybridMultilevel"/>
    <w:tmpl w:val="00000000"/>
    <w:lvl w:ilvl="0">
      <w:start w:val="2"/>
      <w:numFmt w:val="decimal"/>
      <w:lvlText w:val="%1."/>
      <w:lvlJc w:val="left"/>
      <w:pPr>
        <w:ind w:left="288" w:hanging="635"/>
        <w:jc w:val="left"/>
      </w:pPr>
      <w:rPr>
        <w:rFonts w:ascii="宋体" w:eastAsia="宋体" w:hAnsi="宋体" w:cs="宋体" w:hint="default"/>
        <w:spacing w:val="-6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635"/>
      </w:pPr>
      <w:rPr>
        <w:rFonts w:hint="default"/>
      </w:rPr>
    </w:lvl>
  </w:abstractNum>
  <w:abstractNum w:abstractNumId="6">
    <w:nsid w:val="16FB84DD"/>
    <w:multiLevelType w:val="hybridMultilevel"/>
    <w:tmpl w:val="00000000"/>
    <w:lvl w:ilvl="0">
      <w:start w:val="1"/>
      <w:numFmt w:val="decimal"/>
      <w:lvlText w:val="%1."/>
      <w:lvlJc w:val="left"/>
      <w:pPr>
        <w:ind w:left="100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78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423"/>
      </w:pPr>
      <w:rPr>
        <w:rFonts w:hint="default"/>
      </w:rPr>
    </w:lvl>
  </w:abstractNum>
  <w:abstractNum w:abstractNumId="7">
    <w:nsid w:val="1C73C612"/>
    <w:multiLevelType w:val="hybridMultilevel"/>
    <w:tmpl w:val="00000000"/>
    <w:lvl w:ilvl="0">
      <w:start w:val="2"/>
      <w:numFmt w:val="decimal"/>
      <w:lvlText w:val="%1."/>
      <w:lvlJc w:val="left"/>
      <w:pPr>
        <w:ind w:left="1008" w:hanging="638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78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6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4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2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638"/>
      </w:pPr>
      <w:rPr>
        <w:rFonts w:hint="default"/>
      </w:rPr>
    </w:lvl>
  </w:abstractNum>
  <w:abstractNum w:abstractNumId="8">
    <w:nsid w:val="1CC63777"/>
    <w:multiLevelType w:val="hybridMultilevel"/>
    <w:tmpl w:val="00000000"/>
    <w:lvl w:ilvl="0">
      <w:start w:val="2"/>
      <w:numFmt w:val="decimal"/>
      <w:lvlText w:val="%1."/>
      <w:lvlJc w:val="left"/>
      <w:pPr>
        <w:ind w:left="1642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54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4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635"/>
      </w:pPr>
      <w:rPr>
        <w:rFonts w:hint="default"/>
      </w:rPr>
    </w:lvl>
  </w:abstractNum>
  <w:abstractNum w:abstractNumId="9">
    <w:nsid w:val="1E94154C"/>
    <w:multiLevelType w:val="hybridMultilevel"/>
    <w:tmpl w:val="00000000"/>
    <w:lvl w:ilvl="0">
      <w:start w:val="1"/>
      <w:numFmt w:val="decimal"/>
      <w:lvlText w:val="%1."/>
      <w:lvlJc w:val="left"/>
      <w:pPr>
        <w:ind w:left="1999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8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423"/>
      </w:pPr>
      <w:rPr>
        <w:rFonts w:hint="default"/>
      </w:rPr>
    </w:lvl>
  </w:abstractNum>
  <w:abstractNum w:abstractNumId="10">
    <w:nsid w:val="1EF05A80"/>
    <w:multiLevelType w:val="hybridMultilevel"/>
    <w:tmpl w:val="00000000"/>
    <w:lvl w:ilvl="0">
      <w:start w:val="1"/>
      <w:numFmt w:val="decimal"/>
      <w:lvlText w:val="%1."/>
      <w:lvlJc w:val="left"/>
      <w:pPr>
        <w:ind w:left="1999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857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20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2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3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4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5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6" w:hanging="1063"/>
      </w:pPr>
      <w:rPr>
        <w:rFonts w:hint="default"/>
      </w:rPr>
    </w:lvl>
  </w:abstractNum>
  <w:abstractNum w:abstractNumId="11">
    <w:nsid w:val="20E0DC77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23"/>
      </w:pPr>
      <w:rPr>
        <w:rFonts w:hint="default"/>
      </w:rPr>
    </w:lvl>
  </w:abstractNum>
  <w:abstractNum w:abstractNumId="12">
    <w:nsid w:val="22BD8C5A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23"/>
      </w:pPr>
      <w:rPr>
        <w:rFonts w:hint="default"/>
      </w:rPr>
    </w:lvl>
  </w:abstractNum>
  <w:abstractNum w:abstractNumId="13">
    <w:nsid w:val="22D3902F"/>
    <w:multiLevelType w:val="hybridMultilevel"/>
    <w:tmpl w:val="00000000"/>
    <w:lvl w:ilvl="0">
      <w:start w:val="1"/>
      <w:numFmt w:val="decimal"/>
      <w:lvlText w:val="（%1）"/>
      <w:lvlJc w:val="left"/>
      <w:pPr>
        <w:ind w:left="116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2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1056"/>
      </w:pPr>
      <w:rPr>
        <w:rFonts w:hint="default"/>
      </w:rPr>
    </w:lvl>
  </w:abstractNum>
  <w:abstractNum w:abstractNumId="14">
    <w:nsid w:val="2A4426CC"/>
    <w:multiLevelType w:val="hybridMultilevel"/>
    <w:tmpl w:val="00000000"/>
    <w:lvl w:ilvl="0">
      <w:start w:val="1"/>
      <w:numFmt w:val="decimal"/>
      <w:lvlText w:val="（%1）"/>
      <w:lvlJc w:val="left"/>
      <w:pPr>
        <w:ind w:left="206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3" w:hanging="1056"/>
      </w:pPr>
      <w:rPr>
        <w:rFonts w:hint="default"/>
      </w:rPr>
    </w:lvl>
  </w:abstractNum>
  <w:abstractNum w:abstractNumId="15">
    <w:nsid w:val="2B579A15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23"/>
      </w:pPr>
      <w:rPr>
        <w:rFonts w:hint="default"/>
      </w:rPr>
    </w:lvl>
  </w:abstractNum>
  <w:abstractNum w:abstractNumId="16">
    <w:nsid w:val="2F01F2EA"/>
    <w:multiLevelType w:val="hybridMultilevel"/>
    <w:tmpl w:val="00000000"/>
    <w:lvl w:ilvl="0">
      <w:start w:val="1"/>
      <w:numFmt w:val="decimal"/>
      <w:lvlText w:val="（%1）"/>
      <w:lvlJc w:val="left"/>
      <w:pPr>
        <w:ind w:left="263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54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1056"/>
      </w:pPr>
      <w:rPr>
        <w:rFonts w:hint="default"/>
      </w:rPr>
    </w:lvl>
  </w:abstractNum>
  <w:abstractNum w:abstractNumId="17">
    <w:nsid w:val="3A1B9575"/>
    <w:multiLevelType w:val="hybridMultilevel"/>
    <w:tmpl w:val="00000000"/>
    <w:lvl w:ilvl="0">
      <w:start w:val="1"/>
      <w:numFmt w:val="decimal"/>
      <w:lvlText w:val="%1."/>
      <w:lvlJc w:val="left"/>
      <w:pPr>
        <w:ind w:left="1430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423"/>
      </w:pPr>
      <w:rPr>
        <w:rFonts w:hint="default"/>
      </w:rPr>
    </w:lvl>
  </w:abstractNum>
  <w:abstractNum w:abstractNumId="18">
    <w:nsid w:val="3C0E98B7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1063"/>
      </w:pPr>
      <w:rPr>
        <w:rFonts w:hint="default"/>
      </w:rPr>
    </w:lvl>
  </w:abstractNum>
  <w:abstractNum w:abstractNumId="19">
    <w:nsid w:val="3F1B37B4"/>
    <w:multiLevelType w:val="hybridMultilevel"/>
    <w:tmpl w:val="00000000"/>
    <w:lvl w:ilvl="0">
      <w:start w:val="1"/>
      <w:numFmt w:val="decimal"/>
      <w:lvlText w:val="%1."/>
      <w:lvlJc w:val="left"/>
      <w:pPr>
        <w:ind w:left="1430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423"/>
      </w:pPr>
      <w:rPr>
        <w:rFonts w:hint="default"/>
      </w:rPr>
    </w:lvl>
  </w:abstractNum>
  <w:abstractNum w:abstractNumId="20">
    <w:nsid w:val="43C0D677"/>
    <w:multiLevelType w:val="hybridMultilevel"/>
    <w:tmpl w:val="00000000"/>
    <w:lvl w:ilvl="0">
      <w:start w:val="1"/>
      <w:numFmt w:val="decimal"/>
      <w:lvlText w:val="（%1）"/>
      <w:lvlJc w:val="left"/>
      <w:pPr>
        <w:ind w:left="100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78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7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6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2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63"/>
      </w:pPr>
      <w:rPr>
        <w:rFonts w:hint="default"/>
      </w:rPr>
    </w:lvl>
  </w:abstractNum>
  <w:abstractNum w:abstractNumId="21">
    <w:nsid w:val="4851075E"/>
    <w:multiLevelType w:val="hybridMultilevel"/>
    <w:tmpl w:val="00000000"/>
    <w:lvl w:ilvl="0">
      <w:start w:val="1"/>
      <w:numFmt w:val="decimal"/>
      <w:lvlText w:val="%1."/>
      <w:lvlJc w:val="left"/>
      <w:pPr>
        <w:ind w:left="1999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8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423"/>
      </w:pPr>
      <w:rPr>
        <w:rFonts w:hint="default"/>
      </w:rPr>
    </w:lvl>
  </w:abstractNum>
  <w:abstractNum w:abstractNumId="22">
    <w:nsid w:val="4D5D0A09"/>
    <w:multiLevelType w:val="hybridMultilevel"/>
    <w:tmpl w:val="00000000"/>
    <w:lvl w:ilvl="0">
      <w:start w:val="1"/>
      <w:numFmt w:val="decimal"/>
      <w:lvlText w:val="（%1）"/>
      <w:lvlJc w:val="left"/>
      <w:pPr>
        <w:ind w:left="100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78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7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6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2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63"/>
      </w:pPr>
      <w:rPr>
        <w:rFonts w:hint="default"/>
      </w:rPr>
    </w:lvl>
  </w:abstractNum>
  <w:abstractNum w:abstractNumId="23">
    <w:nsid w:val="5F22712D"/>
    <w:multiLevelType w:val="hybridMultilevel"/>
    <w:tmpl w:val="00000000"/>
    <w:lvl w:ilvl="0">
      <w:start w:val="1"/>
      <w:numFmt w:val="decimal"/>
      <w:lvlText w:val="（%1）"/>
      <w:lvlJc w:val="left"/>
      <w:pPr>
        <w:ind w:left="263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54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1056"/>
      </w:pPr>
      <w:rPr>
        <w:rFonts w:hint="default"/>
      </w:rPr>
    </w:lvl>
  </w:abstractNum>
  <w:abstractNum w:abstractNumId="24">
    <w:nsid w:val="610753B5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1063"/>
      </w:pPr>
      <w:rPr>
        <w:rFonts w:hint="default"/>
      </w:rPr>
    </w:lvl>
  </w:abstractNum>
  <w:abstractNum w:abstractNumId="25">
    <w:nsid w:val="636A2CB2"/>
    <w:multiLevelType w:val="hybridMultilevel"/>
    <w:tmpl w:val="00000000"/>
    <w:lvl w:ilvl="0">
      <w:start w:val="1"/>
      <w:numFmt w:val="decimal"/>
      <w:lvlText w:val="（%1）"/>
      <w:lvlJc w:val="left"/>
      <w:pPr>
        <w:ind w:left="206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2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3" w:hanging="1056"/>
      </w:pPr>
      <w:rPr>
        <w:rFonts w:hint="default"/>
      </w:rPr>
    </w:lvl>
  </w:abstractNum>
  <w:abstractNum w:abstractNumId="26">
    <w:nsid w:val="640D5DBD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0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6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1063"/>
      </w:pPr>
      <w:rPr>
        <w:rFonts w:hint="default"/>
      </w:rPr>
    </w:lvl>
  </w:abstractNum>
  <w:abstractNum w:abstractNumId="27">
    <w:nsid w:val="7A45D189"/>
    <w:multiLevelType w:val="hybridMultilevel"/>
    <w:tmpl w:val="00000000"/>
    <w:lvl w:ilvl="0">
      <w:start w:val="1"/>
      <w:numFmt w:val="decimal"/>
      <w:lvlText w:val="%1."/>
      <w:lvlJc w:val="left"/>
      <w:pPr>
        <w:ind w:left="53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64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423"/>
      </w:pPr>
      <w:rPr>
        <w:rFonts w:hint="default"/>
      </w:rPr>
    </w:lvl>
  </w:abstractNum>
  <w:abstractNum w:abstractNumId="28">
    <w:nsid w:val="7F4C30F0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6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0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4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8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425"/>
      </w:pPr>
      <w:rPr>
        <w:rFonts w:hint="default"/>
      </w:rPr>
    </w:lvl>
  </w:abstractNum>
  <w:num w:numId="1">
    <w:abstractNumId w:val="11"/>
  </w:num>
  <w:num w:numId="2">
    <w:abstractNumId w:val="19"/>
  </w:num>
  <w:num w:numId="3">
    <w:abstractNumId w:val="25"/>
  </w:num>
  <w:num w:numId="4">
    <w:abstractNumId w:val="5"/>
  </w:num>
  <w:num w:numId="5">
    <w:abstractNumId w:val="0"/>
  </w:num>
  <w:num w:numId="6">
    <w:abstractNumId w:val="22"/>
  </w:num>
  <w:num w:numId="7">
    <w:abstractNumId w:val="15"/>
  </w:num>
  <w:num w:numId="8">
    <w:abstractNumId w:val="3"/>
  </w:num>
  <w:num w:numId="9">
    <w:abstractNumId w:val="27"/>
  </w:num>
  <w:num w:numId="10">
    <w:abstractNumId w:val="28"/>
  </w:num>
  <w:num w:numId="11">
    <w:abstractNumId w:val="13"/>
  </w:num>
  <w:num w:numId="12">
    <w:abstractNumId w:val="20"/>
  </w:num>
  <w:num w:numId="13">
    <w:abstractNumId w:val="1"/>
  </w:num>
  <w:num w:numId="14">
    <w:abstractNumId w:val="17"/>
  </w:num>
  <w:num w:numId="15">
    <w:abstractNumId w:val="26"/>
  </w:num>
  <w:num w:numId="16">
    <w:abstractNumId w:val="12"/>
  </w:num>
  <w:num w:numId="17">
    <w:abstractNumId w:val="2"/>
  </w:num>
  <w:num w:numId="18">
    <w:abstractNumId w:val="14"/>
  </w:num>
  <w:num w:numId="19">
    <w:abstractNumId w:val="8"/>
  </w:num>
  <w:num w:numId="20">
    <w:abstractNumId w:val="24"/>
  </w:num>
  <w:num w:numId="21">
    <w:abstractNumId w:val="6"/>
  </w:num>
  <w:num w:numId="22">
    <w:abstractNumId w:val="4"/>
  </w:num>
  <w:num w:numId="23">
    <w:abstractNumId w:val="18"/>
  </w:num>
  <w:num w:numId="24">
    <w:abstractNumId w:val="7"/>
  </w:num>
  <w:num w:numId="25">
    <w:abstractNumId w:val="21"/>
  </w:num>
  <w:num w:numId="26">
    <w:abstractNumId w:val="16"/>
  </w:num>
  <w:num w:numId="27">
    <w:abstractNumId w:val="9"/>
  </w:num>
  <w:num w:numId="28">
    <w:abstractNumId w:val="23"/>
  </w:num>
  <w:num w:numId="2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603"/>
      <w:jc w:val="center"/>
    </w:pPr>
    <w:rPr>
      <w:rFonts w:ascii="宋体" w:eastAsia="宋体" w:hAnsi="宋体" w:cs="宋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064" w:hanging="105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025014311013011102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2024-01-03T12:24:19Z</dcterms:created>
  <dcterms:modified xsi:type="dcterms:W3CDTF">2024-01-03T12:24:19Z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2024-01-03T00:00:00Z</vt:filetime>
  </property>
</Properties>
</file>