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E3A14" w:rsidP="00BE3A14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E3A14">
        <w:rPr>
          <w:rFonts w:ascii="华文中宋" w:eastAsia="华文中宋" w:hAnsi="华文中宋"/>
          <w:b/>
          <w:sz w:val="30"/>
        </w:rPr>
        <w:t>2023</w:t>
      </w:r>
      <w:r w:rsidRPr="00BE3A14">
        <w:rPr>
          <w:rFonts w:ascii="华文中宋" w:eastAsia="华文中宋" w:hAnsi="华文中宋"/>
          <w:b/>
          <w:sz w:val="30"/>
        </w:rPr>
        <w:t>年广西移动人员招聘考试试题及答案解析</w:t>
      </w:r>
    </w:p>
    <w:p w:rsidR="00A77B3E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>
      <w:pPr>
        <w:spacing w:after="260" w:line="360" w:lineRule="auto"/>
      </w:pPr>
      <w:r>
        <w:rPr>
          <w:rFonts w:eastAsia="微软雅黑" w:cs="宋体"/>
          <w:b/>
        </w:rPr>
        <w:t>一、</w:t>
      </w:r>
      <w:r>
        <w:rPr>
          <w:rFonts w:eastAsia="微软雅黑" w:cs="宋体"/>
          <w:b/>
        </w:rPr>
        <w:t>言语理解与表达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对于雾霾天气，人们深受其害。殊不知，精神上也存在雾霾现象，如果不及时驱除，就会使心灵压抑灰暗，精神萎靡不振，思想浑浑噩噩，危害一点儿都不比雾霾天气小。现代社会，节奏快，压力大，矛盾多。这种精神的雾霾对个人生活和各项事业的害处多多。如何调适心情，驱散雾霾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一剂良方就是借助文艺的力量，以文“明”志、以文“养”心、以文“怡”情、以文“</w:t>
      </w:r>
      <w:r w:rsidRPr="00E0697D">
        <w:rPr>
          <w:rFonts w:ascii="Times New Roman" w:eastAsia="微软雅黑" w:hAnsi="微软雅黑" w:cs="宋体" w:hint="eastAsia"/>
          <w:szCs w:val="18"/>
        </w:rPr>
        <w:t>化”人。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对这段文字理解准确的一项是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、借助文艺有助于驱散精神雾霾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、精神雾霾比雾霾天气更难驱散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、不良生活方式是导致精神雾霾出现的原因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、精神雾霾对人们的危害比雾霾天气更大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项“更难驱散”未提及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项“不良生活方式”未提及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项通过“危害一点都不必雾霾天气小”，可知是错误的</w:t>
      </w:r>
      <w:r w:rsidRPr="00E0697D">
        <w:rPr>
          <w:rFonts w:ascii="Times New Roman" w:eastAsia="微软雅黑" w:hAnsi="微软雅黑" w:cs="宋体" w:hint="eastAsia"/>
          <w:szCs w:val="18"/>
        </w:rPr>
        <w:t>;A</w:t>
      </w:r>
      <w:r w:rsidRPr="00E0697D">
        <w:rPr>
          <w:rFonts w:ascii="Times New Roman" w:eastAsia="微软雅黑" w:hAnsi="微软雅黑" w:cs="宋体" w:hint="eastAsia"/>
          <w:szCs w:val="18"/>
        </w:rPr>
        <w:t>项通过最后一句得出。故选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听莫扎特的音乐能够提高智商，这被称为“莫扎特效应”。无论“莫扎特效应”有无这样的神奇效果，音乐在陶冶情操、抚慰心灵上的作用正在逐步显现出来。人类离不开音乐也是显而易见的事实。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通过这段话，可以知道的是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、作者认同“莫扎特效应”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、作者认为音乐能提高智商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、看不出作者是否认同“莫扎特效应”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、音乐在大脑的开发方面起关键作用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。文段首先引出“莫扎特效应”，接着用“无论……”表明，不管“莫扎特效应”有无神奇效果，音乐都有陶冶情操、抚慰心灵的作用，人类是离不开音乐的。作者的观点是：音乐有陶冶情操、抚慰心灵的作用，人类离不开音乐。而对于“莫扎特效应”，作者并未发表观点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项符合上述信息。故选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在如今浅阅读盛行的时代，一边是快餐式、碎片式阅读的轻松，一边是慢读、细读的沉重，经典自然免不了有点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的味道。就阅读是一种学习、一种对自我的提升而言，浅阅读并不是真正的阅读，长久沉浸在浅阅读的习惯之中，也只会让人离那些最好的书籍愈来愈远。然而，只是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对经典的珍重，却不如对于经典真实的理解更为重要。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、阳春白雪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提倡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、曲高和寡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呼唤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、孤芳自赏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强调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、凄风苦雨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苛求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第一空，需要填入一个形容词修饰“味道”，且由前面提到的“在如今浅阅读盛行的时代”可知阅读经典的人比较少，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项中的“阳春白雪”泛指高深的、不通俗的文学艺术，词性为名词，不能作为形容词用于此处，排除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中的“孤芳自赏”比喻自命清高、自我欣赏，往往修饰人，不能修饰经典，排除。第二空，“却”表转折，转折后强调“真实的理解”，故横线处应与“真实的理解”意思相反，侧重强调做表面文章、理解不透彻，对应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项，“呼唤”指口头上的倡导、呼吁，并未落到实处，与“真实的理解”可构成反义对应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项“苛求”指严苛、过分的要求，文段并未有此意，排除。故选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报告是用于向上级机关汇报工作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情况，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上级机关询问的陈述性上行公文。依次填入画横线部分最恰当的一项是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、反应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答应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、反映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答应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、反映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答复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134" w:right="1474" w:bottom="1134" w:left="1474" w:header="708" w:footer="708" w:gutter="0"/>
          <w:pgNumType w:start="3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、反应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答复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“反应”指有机体受到刺激而引起的相应活动，也指事物引起的意见、态度或行动。”反映”一般比喻把客观事物的实质表现出来，也指把情况、意见告诉上级及有关部门。结合题意，可知应选“反映”。“答应”指出声回答，也指允诺、同意。“答复”指口头或书面回答别人的</w:t>
      </w:r>
      <w:r w:rsidRPr="00E0697D">
        <w:rPr>
          <w:rFonts w:ascii="Times New Roman" w:eastAsia="微软雅黑" w:hAnsi="微软雅黑" w:cs="宋体" w:hint="eastAsia"/>
          <w:szCs w:val="18"/>
        </w:rPr>
        <w:t>问题或要求。由题意可知，此处应选“答复”。故选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5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在气象部门，对于雾和霾都有严格的科学界定。雾是指在相对高的空气湿度情况下，在贴近地面的空气中形成的微小水滴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或冰晶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的悬浮体。实际上，雾就是接近地面的云，是自然的天气现象，而霾则是悬浮在大气中的大量细小颗粒物的结合体，也就是说，霾是由空气中大量的细颗粒物质引起的。由于雾和霾的直接效应使水平能见度下降，因此在实际区分时，通常把在湿度大于</w:t>
      </w:r>
      <w:r w:rsidRPr="00E0697D">
        <w:rPr>
          <w:rFonts w:ascii="Times New Roman" w:eastAsia="微软雅黑" w:hAnsi="微软雅黑" w:cs="宋体" w:hint="eastAsia"/>
          <w:szCs w:val="18"/>
        </w:rPr>
        <w:t>90%</w:t>
      </w:r>
      <w:r w:rsidRPr="00E0697D">
        <w:rPr>
          <w:rFonts w:ascii="Times New Roman" w:eastAsia="微软雅黑" w:hAnsi="微软雅黑" w:cs="宋体" w:hint="eastAsia"/>
          <w:szCs w:val="18"/>
        </w:rPr>
        <w:t>时的低能见度天气现象称之为雾，而湿度小于</w:t>
      </w:r>
      <w:r w:rsidRPr="00E0697D">
        <w:rPr>
          <w:rFonts w:ascii="Times New Roman" w:eastAsia="微软雅黑" w:hAnsi="微软雅黑" w:cs="宋体" w:hint="eastAsia"/>
          <w:szCs w:val="18"/>
        </w:rPr>
        <w:t>80%</w:t>
      </w:r>
      <w:r w:rsidRPr="00E0697D">
        <w:rPr>
          <w:rFonts w:ascii="Times New Roman" w:eastAsia="微软雅黑" w:hAnsi="微软雅黑" w:cs="宋体" w:hint="eastAsia"/>
          <w:szCs w:val="18"/>
        </w:rPr>
        <w:t>时称之为霾，湿度在</w:t>
      </w:r>
      <w:r w:rsidRPr="00E0697D">
        <w:rPr>
          <w:rFonts w:ascii="Times New Roman" w:eastAsia="微软雅黑" w:hAnsi="微软雅黑" w:cs="宋体" w:hint="eastAsia"/>
          <w:szCs w:val="18"/>
        </w:rPr>
        <w:t>80%~90%</w:t>
      </w:r>
      <w:r w:rsidRPr="00E0697D">
        <w:rPr>
          <w:rFonts w:ascii="Times New Roman" w:eastAsia="微软雅黑" w:hAnsi="微软雅黑" w:cs="宋体" w:hint="eastAsia"/>
          <w:szCs w:val="18"/>
        </w:rPr>
        <w:t>则为雾霾的混合体。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根据这段文字，以</w:t>
      </w:r>
      <w:r w:rsidRPr="00E0697D">
        <w:rPr>
          <w:rFonts w:ascii="Times New Roman" w:eastAsia="微软雅黑" w:hAnsi="微软雅黑" w:cs="宋体" w:hint="eastAsia"/>
          <w:szCs w:val="18"/>
        </w:rPr>
        <w:t>下说法正确的是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、雾和霾都是自然界的天气现象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、雾是自然现象，霾是人类活动频繁的产物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、雾和霾的区别只是湿度不同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、雾与霾是由细颗粒物引起的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134" w:right="1474" w:bottom="1134" w:left="1474" w:header="708" w:footer="708" w:gutter="0"/>
          <w:pgNumType w:start="4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项、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项对应“雾是指在相对高的空气湿度情况下……实际上，雾就是……是自然的天气现象”“而霾……霾是由空气中大量的细颗粒物质引起的”，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项正确，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项“霾是自然界的天气现象”“雾是由细颗粒物引起的”均属于无中生有，错误。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项对应“实际上”之后的内容，雾和霾的区别并非只是湿</w:t>
      </w:r>
      <w:r w:rsidRPr="00E0697D">
        <w:rPr>
          <w:rFonts w:ascii="Times New Roman" w:eastAsia="微软雅黑" w:hAnsi="微软雅黑" w:cs="宋体" w:hint="eastAsia"/>
          <w:szCs w:val="18"/>
        </w:rPr>
        <w:t>度不同，属于曲解文意，错误。故选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6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词语如同一面镜子，客观地呈现世界，也呈现出语言的使用者对世界的认知，面对世界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的变化，新语汇也如雨后春笋般萌生。从“限行”到“限购”，从“蚁族”到“高富帅”，这些语言长河最前端的浪花，或是</w:t>
      </w:r>
      <w:r w:rsidRPr="00E0697D">
        <w:rPr>
          <w:rFonts w:ascii="Times New Roman" w:eastAsia="微软雅黑" w:hAnsi="微软雅黑" w:cs="宋体" w:hint="eastAsia"/>
          <w:szCs w:val="18"/>
        </w:rPr>
        <w:t>___________</w:t>
      </w:r>
      <w:r w:rsidRPr="00E0697D">
        <w:rPr>
          <w:rFonts w:ascii="Times New Roman" w:eastAsia="微软雅黑" w:hAnsi="微软雅黑" w:cs="宋体" w:hint="eastAsia"/>
          <w:szCs w:val="18"/>
        </w:rPr>
        <w:t>，消失在生活的沙滩中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或是</w:t>
      </w:r>
      <w:r w:rsidRPr="00E0697D">
        <w:rPr>
          <w:rFonts w:ascii="Times New Roman" w:eastAsia="微软雅黑" w:hAnsi="微软雅黑" w:cs="宋体" w:hint="eastAsia"/>
          <w:szCs w:val="18"/>
        </w:rPr>
        <w:t>___________</w:t>
      </w:r>
      <w:r w:rsidRPr="00E0697D">
        <w:rPr>
          <w:rFonts w:ascii="Times New Roman" w:eastAsia="微软雅黑" w:hAnsi="微软雅黑" w:cs="宋体" w:hint="eastAsia"/>
          <w:szCs w:val="18"/>
        </w:rPr>
        <w:t>，进入长久的思想潮汐，形塑整个时代的思维。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、一日千里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昙花一现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润物无声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、日新月异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惊鸿一瞥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万古长青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、瞬息万变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一花独放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万紫千红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、白驹过隙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稍纵即逝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旷日持久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134" w:right="1474" w:bottom="1134" w:left="1474" w:header="708" w:footer="708" w:gutter="0"/>
          <w:pgNumType w:start="5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逻辑填空做题两步骤：辨析词义，结合语境。一日千里：原形容马跑得很快。后比喻进展极快。昙花一现：昙花：即优昙钵花，开放时间很短。比喻美好的事物或景象出现了一下，很快就消失。润物无声：杜甫的《春夜喜雨》本意：指初春的毛毛小雨落下时无声无息。引申：指有大胸怀者，做了贡献而不张扬，默默奉献。日新月异：新：更新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异：不同。每天都在更新，每月都有变化。指发展或进步迅速，不断出现新事物、新气象。惊鸿一瞥：惊鸿一瞥一词多形容女性轻盈如雁之身姿。万古长青：万古：千秋万代。千秋</w:t>
      </w:r>
      <w:r w:rsidRPr="00E0697D">
        <w:rPr>
          <w:rFonts w:ascii="Times New Roman" w:eastAsia="微软雅黑" w:hAnsi="微软雅黑" w:cs="宋体" w:hint="eastAsia"/>
          <w:szCs w:val="18"/>
        </w:rPr>
        <w:t>万代都象松柏一样永远苍翠。比喻崇高的精神或深厚的友谊永远不会消失。瞬息万变：瞬：一眨眼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息：呼吸。在极短的时间内就有很多变化。形容变化很多很快。一花独放：一种花独自开放。与“百花齐放”相对，常比喻缺少各种不同形式、风格的艺术作品。万紫千红：形容百花齐放，色彩艳丽。也比喻事物丰富多彩。白驹过隙：白驹：白色骏马，比喻太阳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隙：缝隙。象小白马在细小的缝隙前跑过一样。形容时间过得极快。稍纵即逝：纵：放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逝：消失。稍微一放松就消失了。形容时间或机会等很容易过去。旷日持久：旷：荒废，耽误。荒废时间，拖得很久。第一空说变</w:t>
      </w:r>
      <w:r w:rsidRPr="00E0697D">
        <w:rPr>
          <w:rFonts w:ascii="Times New Roman" w:eastAsia="微软雅黑" w:hAnsi="微软雅黑" w:cs="宋体" w:hint="eastAsia"/>
          <w:szCs w:val="18"/>
        </w:rPr>
        <w:t>化，指的是一种状态的改变，不是时间的改变，因此排除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，第二空说消失在生活的沙滩中，说明仅有短暂的存在，选择昙花一现，第三空说进入长久的思想潮汐，进入表互相影响和改变。故选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7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前，人们往往简单地将“积极老龄化”理解为“老有所为”，但其真正含义远超过后者。通常，我国“老有所为”的主体主要是老干部、老专业科技人才、老知识分子等，但他们只是老年人中的一部分。“积极老龄化”是面向全体老年人群体的，不仅老干部、老知识分子要“积极老龄化”，普通老人也要“积极老龄化”。“老有所为”着重强调老年人“参与”的一面，</w:t>
      </w:r>
      <w:r w:rsidRPr="00E0697D">
        <w:rPr>
          <w:rFonts w:ascii="Times New Roman" w:eastAsia="微软雅黑" w:hAnsi="微软雅黑" w:cs="宋体" w:hint="eastAsia"/>
          <w:szCs w:val="18"/>
        </w:rPr>
        <w:t>“积极老龄化”还强调“健康”和“保障”以及三者之间的有机统一和结合，参与社会仅是“积极老龄化”的一个方面。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这段文字意在阐明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、“积极老龄化”比“老有所为”内涵更丰富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、“老有所为”和“积极老龄化”的主体不同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、“老有所为”比“积极老龄化”更重视参与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134" w:right="1474" w:bottom="1134" w:left="1474" w:header="708" w:footer="708" w:gutter="0"/>
          <w:pgNumType w:start="6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、“积极老龄化”概念长期被误读的根本原因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文段首先引出“积极老龄化”这一话题，接下来通过转折词“但”强调“积极老龄化”的含义远超“老有所为”，其含义更丰富。后文从两个概念的主体和内容两个方面进行解释说明，“老有所为”</w:t>
      </w:r>
      <w:r w:rsidRPr="00E0697D">
        <w:rPr>
          <w:rFonts w:ascii="Times New Roman" w:eastAsia="微软雅黑" w:hAnsi="微软雅黑" w:cs="宋体" w:hint="eastAsia"/>
          <w:szCs w:val="18"/>
        </w:rPr>
        <w:t>的主体只是老年人的一部分，“积极老龄化”面向全体老年人群体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“老有所为”强调老年人“参与”的一面、“积极老龄化”还强调“健康”和“保障”以及三者之间的有机统一和结合。故文段强调的是“积极老龄化”比“老有所为”内涵更丰富，对应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项，当选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项“主体不同”、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项“重视参与”仅为解释说明中的一个方面，表述片面，且非重点，均排除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项对应首句转折之前的内容，非重点，且“根本原因”无中生有，排除。故选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8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艺术人类学的田野调查，是将调查事项作为一个整体，从形式到内涵，由表及里，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，考查其艺术语境、渊</w:t>
      </w:r>
      <w:r w:rsidRPr="00E0697D">
        <w:rPr>
          <w:rFonts w:ascii="Times New Roman" w:eastAsia="微软雅黑" w:hAnsi="微软雅黑" w:cs="宋体" w:hint="eastAsia"/>
          <w:szCs w:val="18"/>
        </w:rPr>
        <w:t>源、内涵、象征、法则及其实际发挥的社会功能，同时更关注艺术事项的主体，并从中发现他们独特的艺术审美和文化价值。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、由浅到深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、深入浅出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、条分缕析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、逐层论证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134" w:right="1474" w:bottom="1134" w:left="1474" w:header="708" w:footer="708" w:gutter="0"/>
          <w:pgNumType w:start="7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文段开篇介绍艺术人类学的田野调查将调查事项作为一个整体看待，即从形式到内涵，由表及里，划横线处表示田野调查所起的作用，划横线后对其进行具体解释，即考察其艺术语境•••社会功能等，同时更关注“主体”，也就是说调查中并非仅仅停留在理论的、抽象的调查中，而是会更关注实际的个体，故划横线处表示由抽象</w:t>
      </w:r>
      <w:r w:rsidRPr="00E0697D">
        <w:rPr>
          <w:rFonts w:ascii="Times New Roman" w:eastAsia="微软雅黑" w:hAnsi="微软雅黑" w:cs="宋体" w:hint="eastAsia"/>
          <w:szCs w:val="18"/>
        </w:rPr>
        <w:t>的、理论的角度切入，但实际又更关注具体的主体，对应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项，“深入浅出”指讲话或文章的内容深刻，语言文字却浅显易懂或内容或道理很深刻，但表达得浅显通俗，用在此处表示从艺术语境深入，而具体调查时更关注艺术的主体。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项“由浅到深”指从浅入深，逐步深入，与后文解释内容不相符，排除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项“条分缕析”形容分析得有条理，很细致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项“逐层论证”指一步一步分析论证，两项均与划横线后的解释内容不相符，排除。故选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9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苏州曾经是经济兴盛、文化发达、人才荟萃之地。明末清初以后，苏州士绅除少数人发生身份和观念转化外，多数人的传统观念仍根深蒂固。而作为社会主流的士绅观念和意识往往通过各种渠道浸润展延，严重影响一般民众，正因如此，晚清苏州民风靡弱闲散，生活节奏缓慢，缺乏早期现代化必需的紧迫感与开拓精神。清末及民国初期，苏州人很少愿意将资本投入到现代实业中，以至于苏州钱庄吸收的存款在当地难以消纳，不得不转向外埠寻求出路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这段文字主要介绍了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、清末苏州资金消纳的途径与方式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、苏州民众在士绅观念影响下的转变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、民国初期苏</w:t>
      </w:r>
      <w:r w:rsidRPr="00E0697D">
        <w:rPr>
          <w:rFonts w:ascii="Times New Roman" w:eastAsia="微软雅黑" w:hAnsi="微软雅黑" w:cs="宋体" w:hint="eastAsia"/>
          <w:szCs w:val="18"/>
        </w:rPr>
        <w:t>州实业发展衰落的原因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、士绅观念制约了近代苏州的现代化进程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134" w:right="1474" w:bottom="1134" w:left="1474" w:header="708" w:footer="708" w:gutter="0"/>
          <w:pgNumType w:start="8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首先指出苏州曾经的辉煌以及明末清初以后士绅观念的影响，然后由“正因如此”阐明了士绅观念与近代苏州现代化进程之间的关系。由此可知，“士绅观念”和“早期现代化”应是文段的两个关键信息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10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解决当今人类遭遇的各种难题和危机，单靠一种文明价值的智慧和能量，常常显得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。只有充分挖掘和利用各种不同禀性的文明价值资源，才能帮助人类破解难题、走出危机。填入划横线部分最恰当的一项是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、捉襟见肘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、格格不入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、于事无补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、顾此失彼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文段强调解决问题单靠一种智慧和能量无法应付，只有多方面助力才可破解难题，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项“捉襟见肘”比喻穷于应付，符合文意。文段并不是强调这一种智慧无法与其他方式协调、相容，排除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项“格格不入”。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项“于事无补”指对事情没什么益处，文段不是讨论“一种智慧”是否有用，排除。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项“顾此失彼”侧重忙乱或慌张的情景，文段强调的是穷于应付的一种状态，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更合适，排除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7675BD">
      <w:pPr>
        <w:pStyle w:val="NormalWeb"/>
        <w:widowControl/>
        <w:spacing w:beforeAutospacing="0" w:after="260" w:afterAutospacing="0" w:line="360" w:lineRule="auto"/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134" w:right="1474" w:bottom="1134" w:left="1474" w:header="708" w:footer="708" w:gutter="0"/>
          <w:pgNumType w:start="9"/>
          <w:cols w:sep="1" w:space="708"/>
          <w:titlePg w:val="0"/>
          <w:docGrid w:linePitch="360"/>
        </w:sectPr>
      </w:pPr>
      <w:r w:rsidRPr="007675BD">
        <w:rPr>
          <w:rFonts w:ascii="Times New Roman" w:eastAsia="微软雅黑" w:cs="宋体"/>
          <w:color w:val="0000FF"/>
          <w:szCs w:val="14"/>
        </w:rPr>
        <w:t>11</w:t>
      </w:r>
      <w:r w:rsidRPr="007675BD">
        <w:rPr>
          <w:rFonts w:ascii="Times New Roman" w:eastAsia="微软雅黑" w:cs="宋体"/>
          <w:color w:val="0000FF"/>
          <w:szCs w:val="14"/>
        </w:rPr>
        <w:t>．</w:t>
      </w:r>
      <w:r w:rsidRPr="007675BD">
        <w:rPr>
          <w:rFonts w:ascii="Times New Roman" w:eastAsia="微软雅黑" w:cs="宋体"/>
          <w:szCs w:val="14"/>
        </w:rPr>
        <w:t>网络尤其是微博等传播渠道加快了信息传播的速度，很多信息省去了求证环节就被</w:t>
      </w:r>
      <w:r w:rsidRPr="007675BD">
        <w:rPr>
          <w:rFonts w:ascii="Times New Roman" w:eastAsia="微软雅黑" w:cs="宋体"/>
          <w:szCs w:val="14"/>
        </w:rPr>
        <w:t>()</w:t>
      </w:r>
      <w:r w:rsidRPr="007675BD">
        <w:rPr>
          <w:rFonts w:ascii="Times New Roman" w:eastAsia="微软雅黑" w:cs="宋体"/>
          <w:szCs w:val="14"/>
        </w:rPr>
        <w:t>发布了出去，为流言的传播提供了便利。但是这些方便快捷的传播渠道，也可以为传播权威信息所用，公开透明的传播渠道本身也有</w:t>
      </w:r>
      <w:r w:rsidRPr="007675BD">
        <w:rPr>
          <w:rFonts w:ascii="Times New Roman" w:eastAsia="微软雅黑" w:cs="宋体"/>
          <w:szCs w:val="14"/>
        </w:rPr>
        <w:t>()</w:t>
      </w:r>
      <w:r w:rsidRPr="007675BD">
        <w:rPr>
          <w:rFonts w:ascii="Times New Roman" w:eastAsia="微软雅黑" w:cs="宋体"/>
          <w:szCs w:val="14"/>
        </w:rPr>
        <w:t>功能，也可以大大缩减留言的生命期。</w:t>
      </w:r>
    </w:p>
    <w:p w:rsidR="007675BD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Times New Roman" w:eastAsia="微软雅黑" w:cs="宋体"/>
          <w:szCs w:val="14"/>
        </w:rPr>
        <w:t>A</w:t>
      </w:r>
      <w:r w:rsidRPr="007675BD">
        <w:rPr>
          <w:rFonts w:ascii="Times New Roman" w:eastAsia="微软雅黑" w:cs="宋体"/>
          <w:szCs w:val="14"/>
        </w:rPr>
        <w:t>、</w:t>
      </w:r>
      <w:r w:rsidRPr="007675BD">
        <w:rPr>
          <w:rFonts w:ascii="Times New Roman" w:eastAsia="微软雅黑" w:cs="宋体"/>
          <w:szCs w:val="14"/>
        </w:rPr>
        <w:t xml:space="preserve"> </w:t>
      </w:r>
      <w:r w:rsidRPr="007675BD">
        <w:rPr>
          <w:rFonts w:ascii="Times New Roman" w:eastAsia="微软雅黑" w:cs="宋体"/>
          <w:szCs w:val="14"/>
        </w:rPr>
        <w:t>直接</w:t>
      </w:r>
      <w:r w:rsidRPr="007675BD">
        <w:rPr>
          <w:rFonts w:ascii="Times New Roman" w:eastAsia="微软雅黑" w:cs="宋体"/>
          <w:szCs w:val="14"/>
        </w:rPr>
        <w:t xml:space="preserve"> </w:t>
      </w:r>
      <w:r w:rsidRPr="007675BD">
        <w:rPr>
          <w:rFonts w:ascii="Times New Roman" w:eastAsia="微软雅黑" w:cs="宋体"/>
          <w:szCs w:val="14"/>
        </w:rPr>
        <w:t>自净</w:t>
      </w:r>
    </w:p>
    <w:p w:rsidR="007675BD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Times New Roman" w:eastAsia="微软雅黑" w:cs="宋体"/>
          <w:szCs w:val="14"/>
        </w:rPr>
        <w:t>B</w:t>
      </w:r>
      <w:r w:rsidRPr="007675BD">
        <w:rPr>
          <w:rFonts w:ascii="Times New Roman" w:eastAsia="微软雅黑" w:cs="宋体"/>
          <w:szCs w:val="14"/>
        </w:rPr>
        <w:t>、</w:t>
      </w:r>
      <w:r w:rsidRPr="007675BD">
        <w:rPr>
          <w:rFonts w:ascii="Times New Roman" w:eastAsia="微软雅黑" w:cs="宋体"/>
          <w:szCs w:val="14"/>
        </w:rPr>
        <w:t xml:space="preserve"> </w:t>
      </w:r>
      <w:r w:rsidRPr="007675BD">
        <w:rPr>
          <w:rFonts w:ascii="Times New Roman" w:eastAsia="微软雅黑" w:cs="宋体"/>
          <w:szCs w:val="14"/>
        </w:rPr>
        <w:t>随意</w:t>
      </w:r>
      <w:r w:rsidRPr="007675BD">
        <w:rPr>
          <w:rFonts w:ascii="Times New Roman" w:eastAsia="微软雅黑" w:cs="宋体"/>
          <w:szCs w:val="14"/>
        </w:rPr>
        <w:t xml:space="preserve"> </w:t>
      </w:r>
      <w:r w:rsidRPr="007675BD">
        <w:rPr>
          <w:rFonts w:ascii="Times New Roman" w:eastAsia="微软雅黑" w:cs="宋体"/>
          <w:szCs w:val="14"/>
        </w:rPr>
        <w:t>反省</w:t>
      </w:r>
    </w:p>
    <w:p w:rsidR="007675BD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Times New Roman" w:eastAsia="微软雅黑" w:cs="宋体"/>
          <w:szCs w:val="14"/>
        </w:rPr>
        <w:t>C</w:t>
      </w:r>
      <w:r w:rsidRPr="007675BD">
        <w:rPr>
          <w:rFonts w:ascii="Times New Roman" w:eastAsia="微软雅黑" w:cs="宋体"/>
          <w:szCs w:val="14"/>
        </w:rPr>
        <w:t>、</w:t>
      </w:r>
      <w:r w:rsidRPr="007675BD">
        <w:rPr>
          <w:rFonts w:ascii="Times New Roman" w:eastAsia="微软雅黑" w:cs="宋体"/>
          <w:szCs w:val="14"/>
        </w:rPr>
        <w:t xml:space="preserve"> </w:t>
      </w:r>
      <w:r w:rsidRPr="007675BD">
        <w:rPr>
          <w:rFonts w:ascii="Times New Roman" w:eastAsia="微软雅黑" w:cs="宋体"/>
          <w:szCs w:val="14"/>
        </w:rPr>
        <w:t>广泛</w:t>
      </w:r>
      <w:r w:rsidRPr="007675BD">
        <w:rPr>
          <w:rFonts w:ascii="Times New Roman" w:eastAsia="微软雅黑" w:cs="宋体"/>
          <w:szCs w:val="14"/>
        </w:rPr>
        <w:t xml:space="preserve"> </w:t>
      </w:r>
      <w:r w:rsidRPr="007675BD">
        <w:rPr>
          <w:rFonts w:ascii="Times New Roman" w:eastAsia="微软雅黑" w:cs="宋体"/>
          <w:szCs w:val="14"/>
        </w:rPr>
        <w:t>修正</w:t>
      </w:r>
    </w:p>
    <w:p w:rsidR="007675BD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Times New Roman" w:eastAsia="微软雅黑" w:cs="宋体"/>
          <w:szCs w:val="14"/>
        </w:rPr>
        <w:t>D</w:t>
      </w:r>
      <w:r w:rsidRPr="007675BD">
        <w:rPr>
          <w:rFonts w:ascii="Times New Roman" w:eastAsia="微软雅黑" w:cs="宋体"/>
          <w:szCs w:val="14"/>
        </w:rPr>
        <w:t>、</w:t>
      </w:r>
      <w:r w:rsidRPr="007675BD">
        <w:rPr>
          <w:rFonts w:ascii="Times New Roman" w:eastAsia="微软雅黑" w:cs="宋体"/>
          <w:szCs w:val="14"/>
        </w:rPr>
        <w:t xml:space="preserve"> </w:t>
      </w:r>
      <w:r w:rsidRPr="007675BD">
        <w:rPr>
          <w:rFonts w:ascii="Times New Roman" w:eastAsia="微软雅黑" w:cs="宋体"/>
          <w:szCs w:val="14"/>
        </w:rPr>
        <w:t>轻松</w:t>
      </w:r>
      <w:r w:rsidRPr="007675BD">
        <w:rPr>
          <w:rFonts w:ascii="Times New Roman" w:eastAsia="微软雅黑" w:cs="宋体"/>
          <w:szCs w:val="14"/>
        </w:rPr>
        <w:t xml:space="preserve"> </w:t>
      </w:r>
      <w:r w:rsidRPr="007675BD">
        <w:rPr>
          <w:rFonts w:ascii="Times New Roman" w:eastAsia="微软雅黑" w:cs="宋体"/>
          <w:szCs w:val="14"/>
        </w:rPr>
        <w:t>过滤</w:t>
      </w:r>
    </w:p>
    <w:p w:rsidR="007675BD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Times New Roman" w:eastAsia="微软雅黑" w:cs="宋体"/>
          <w:b/>
          <w:color w:val="228B22"/>
          <w:szCs w:val="14"/>
        </w:rPr>
        <w:t>答案：</w:t>
      </w:r>
      <w:r w:rsidRPr="007675BD">
        <w:rPr>
          <w:rFonts w:ascii="Times New Roman" w:eastAsia="微软雅黑" w:cs="宋体"/>
          <w:szCs w:val="14"/>
        </w:rPr>
        <w:t>A</w:t>
      </w:r>
    </w:p>
    <w:p w:rsidR="007675BD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Times New Roman" w:eastAsia="微软雅黑" w:cs="宋体"/>
          <w:color w:val="228B22"/>
          <w:szCs w:val="14"/>
        </w:rPr>
        <w:t>解析：</w:t>
      </w:r>
      <w:r w:rsidRPr="007675BD">
        <w:rPr>
          <w:rFonts w:ascii="Times New Roman" w:eastAsia="微软雅黑" w:cs="宋体"/>
          <w:szCs w:val="14"/>
        </w:rPr>
        <w:t>本题考查实词语境最佳选择。</w:t>
      </w:r>
    </w:p>
    <w:p w:rsidR="007675BD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Times New Roman" w:eastAsia="微软雅黑" w:cs="宋体"/>
          <w:szCs w:val="14"/>
        </w:rPr>
        <w:t>阅读文段，根据第一个空格前面的</w:t>
      </w:r>
      <w:r w:rsidRPr="007675BD">
        <w:rPr>
          <w:rFonts w:ascii="Times New Roman" w:eastAsia="微软雅黑" w:cs="宋体"/>
          <w:szCs w:val="14"/>
        </w:rPr>
        <w:t>“</w:t>
      </w:r>
      <w:r w:rsidRPr="007675BD">
        <w:rPr>
          <w:rFonts w:ascii="Times New Roman" w:eastAsia="微软雅黑" w:cs="宋体"/>
          <w:szCs w:val="14"/>
        </w:rPr>
        <w:t>省去了求证环节</w:t>
      </w:r>
      <w:r w:rsidRPr="007675BD">
        <w:rPr>
          <w:rFonts w:ascii="Times New Roman" w:eastAsia="微软雅黑" w:cs="宋体"/>
          <w:szCs w:val="14"/>
        </w:rPr>
        <w:t>”</w:t>
      </w:r>
      <w:r w:rsidRPr="007675BD">
        <w:rPr>
          <w:rFonts w:ascii="Times New Roman" w:eastAsia="微软雅黑" w:cs="宋体"/>
          <w:szCs w:val="14"/>
        </w:rPr>
        <w:t>可知，第一空应该选</w:t>
      </w:r>
      <w:r w:rsidRPr="007675BD">
        <w:rPr>
          <w:rFonts w:ascii="Times New Roman" w:eastAsia="微软雅黑" w:cs="宋体"/>
          <w:szCs w:val="14"/>
        </w:rPr>
        <w:t>“</w:t>
      </w:r>
      <w:r w:rsidRPr="007675BD">
        <w:rPr>
          <w:rFonts w:ascii="Times New Roman" w:eastAsia="微软雅黑" w:cs="宋体"/>
          <w:szCs w:val="14"/>
        </w:rPr>
        <w:t>直接</w:t>
      </w:r>
      <w:r w:rsidRPr="007675BD">
        <w:rPr>
          <w:rFonts w:ascii="Times New Roman" w:eastAsia="微软雅黑" w:cs="宋体"/>
          <w:szCs w:val="14"/>
        </w:rPr>
        <w:t>”</w:t>
      </w:r>
      <w:r w:rsidRPr="007675BD">
        <w:rPr>
          <w:rFonts w:ascii="Times New Roman" w:eastAsia="微软雅黑" w:cs="宋体"/>
          <w:szCs w:val="14"/>
        </w:rPr>
        <w:t>或</w:t>
      </w:r>
      <w:r w:rsidRPr="007675BD">
        <w:rPr>
          <w:rFonts w:ascii="Times New Roman" w:eastAsia="微软雅黑" w:cs="宋体"/>
          <w:szCs w:val="14"/>
        </w:rPr>
        <w:t>“</w:t>
      </w:r>
      <w:r w:rsidRPr="007675BD">
        <w:rPr>
          <w:rFonts w:ascii="Times New Roman" w:eastAsia="微软雅黑" w:cs="宋体"/>
          <w:szCs w:val="14"/>
        </w:rPr>
        <w:t>随意</w:t>
      </w:r>
      <w:r w:rsidRPr="007675BD">
        <w:rPr>
          <w:rFonts w:ascii="Times New Roman" w:eastAsia="微软雅黑" w:cs="宋体"/>
          <w:szCs w:val="14"/>
        </w:rPr>
        <w:t>”</w:t>
      </w:r>
      <w:r w:rsidRPr="007675BD">
        <w:rPr>
          <w:rFonts w:ascii="Times New Roman" w:eastAsia="微软雅黑" w:cs="宋体"/>
          <w:szCs w:val="14"/>
        </w:rPr>
        <w:t>，故排除</w:t>
      </w:r>
      <w:r w:rsidRPr="007675BD">
        <w:rPr>
          <w:rFonts w:ascii="Times New Roman" w:eastAsia="微软雅黑" w:cs="宋体"/>
          <w:szCs w:val="14"/>
        </w:rPr>
        <w:t>C</w:t>
      </w:r>
      <w:r w:rsidRPr="007675BD">
        <w:rPr>
          <w:rFonts w:ascii="Times New Roman" w:eastAsia="微软雅黑" w:cs="宋体"/>
          <w:szCs w:val="14"/>
        </w:rPr>
        <w:t>、</w:t>
      </w:r>
      <w:r w:rsidRPr="007675BD">
        <w:rPr>
          <w:rFonts w:ascii="Times New Roman" w:eastAsia="微软雅黑" w:cs="宋体"/>
          <w:szCs w:val="14"/>
        </w:rPr>
        <w:t>D</w:t>
      </w:r>
      <w:r w:rsidRPr="007675BD">
        <w:rPr>
          <w:rFonts w:ascii="Times New Roman" w:eastAsia="微软雅黑" w:cs="宋体"/>
          <w:szCs w:val="14"/>
        </w:rPr>
        <w:t>两项。</w:t>
      </w:r>
      <w:r w:rsidRPr="007675BD">
        <w:rPr>
          <w:rFonts w:ascii="Times New Roman" w:eastAsia="微软雅黑" w:cs="宋体"/>
          <w:szCs w:val="14"/>
        </w:rPr>
        <w:t>“</w:t>
      </w:r>
      <w:r w:rsidRPr="007675BD">
        <w:rPr>
          <w:rFonts w:ascii="Times New Roman" w:eastAsia="微软雅黑" w:cs="宋体"/>
          <w:szCs w:val="14"/>
        </w:rPr>
        <w:t>反省</w:t>
      </w:r>
      <w:r w:rsidRPr="007675BD">
        <w:rPr>
          <w:rFonts w:ascii="Times New Roman" w:eastAsia="微软雅黑" w:cs="宋体"/>
          <w:szCs w:val="14"/>
        </w:rPr>
        <w:t>”</w:t>
      </w:r>
      <w:r w:rsidRPr="007675BD">
        <w:rPr>
          <w:rFonts w:ascii="Times New Roman" w:eastAsia="微软雅黑" w:cs="宋体"/>
          <w:szCs w:val="14"/>
        </w:rPr>
        <w:t>是指检查自己的思想行为，检查其中的错误</w:t>
      </w:r>
      <w:r w:rsidRPr="007675BD">
        <w:rPr>
          <w:rFonts w:ascii="Times New Roman" w:eastAsia="微软雅黑" w:cs="宋体"/>
          <w:szCs w:val="14"/>
        </w:rPr>
        <w:t>;</w:t>
      </w:r>
      <w:r w:rsidRPr="007675BD">
        <w:rPr>
          <w:rFonts w:ascii="Times New Roman" w:eastAsia="微软雅黑" w:cs="宋体"/>
          <w:szCs w:val="14"/>
        </w:rPr>
        <w:t>“</w:t>
      </w:r>
      <w:r w:rsidRPr="007675BD">
        <w:rPr>
          <w:rFonts w:ascii="Times New Roman" w:eastAsia="微软雅黑" w:cs="宋体"/>
          <w:szCs w:val="14"/>
        </w:rPr>
        <w:t>自净</w:t>
      </w:r>
      <w:r w:rsidRPr="007675BD">
        <w:rPr>
          <w:rFonts w:ascii="Times New Roman" w:eastAsia="微软雅黑" w:cs="宋体"/>
          <w:szCs w:val="14"/>
        </w:rPr>
        <w:t>”</w:t>
      </w:r>
      <w:r w:rsidRPr="007675BD">
        <w:rPr>
          <w:rFonts w:ascii="Times New Roman" w:eastAsia="微软雅黑" w:cs="宋体"/>
          <w:szCs w:val="14"/>
        </w:rPr>
        <w:t>是指受污染的物体经本身的作用达到净化或无害化的现象。文段中提到</w:t>
      </w:r>
      <w:r w:rsidRPr="007675BD">
        <w:rPr>
          <w:rFonts w:ascii="Times New Roman" w:eastAsia="微软雅黑" w:cs="宋体"/>
          <w:szCs w:val="14"/>
        </w:rPr>
        <w:t>“</w:t>
      </w:r>
      <w:r w:rsidRPr="007675BD">
        <w:rPr>
          <w:rFonts w:ascii="Times New Roman" w:eastAsia="微软雅黑" w:cs="宋体"/>
          <w:szCs w:val="14"/>
        </w:rPr>
        <w:t>公开透明的传播渠道</w:t>
      </w:r>
      <w:r w:rsidRPr="007675BD">
        <w:rPr>
          <w:rFonts w:ascii="Times New Roman" w:eastAsia="微软雅黑" w:cs="宋体"/>
          <w:szCs w:val="14"/>
        </w:rPr>
        <w:t>”</w:t>
      </w:r>
      <w:r w:rsidRPr="007675BD">
        <w:rPr>
          <w:rFonts w:ascii="Times New Roman" w:eastAsia="微软雅黑" w:cs="宋体"/>
          <w:szCs w:val="14"/>
        </w:rPr>
        <w:t>是指通过发布真实信息，消除流言，类似于降低污染物浓度，减少污染物毒性的自净过程，因此第二个空格应该填</w:t>
      </w:r>
      <w:r w:rsidRPr="007675BD">
        <w:rPr>
          <w:rFonts w:ascii="Times New Roman" w:eastAsia="微软雅黑" w:cs="宋体"/>
          <w:szCs w:val="14"/>
        </w:rPr>
        <w:t>“</w:t>
      </w:r>
      <w:r w:rsidRPr="007675BD">
        <w:rPr>
          <w:rFonts w:ascii="Times New Roman" w:eastAsia="微软雅黑" w:cs="宋体"/>
          <w:szCs w:val="14"/>
        </w:rPr>
        <w:t>自净</w:t>
      </w:r>
      <w:r w:rsidRPr="007675BD">
        <w:rPr>
          <w:rFonts w:ascii="Times New Roman" w:eastAsia="微软雅黑" w:cs="宋体"/>
          <w:szCs w:val="14"/>
        </w:rPr>
        <w:t>”</w:t>
      </w:r>
      <w:r w:rsidRPr="007675BD">
        <w:rPr>
          <w:rFonts w:ascii="Times New Roman" w:eastAsia="微软雅黑" w:cs="宋体"/>
          <w:szCs w:val="14"/>
        </w:rPr>
        <w:t>。</w:t>
      </w:r>
    </w:p>
    <w:p w:rsidR="007675BD">
      <w:pPr>
        <w:pStyle w:val="NormalWeb"/>
        <w:widowControl/>
        <w:spacing w:beforeAutospacing="0" w:after="260" w:afterAutospacing="0" w:line="360" w:lineRule="auto"/>
        <w:rPr>
          <w:b/>
          <w:color w:val="4066F4"/>
        </w:rPr>
      </w:pPr>
      <w:r w:rsidRPr="007675BD">
        <w:rPr>
          <w:rFonts w:ascii="Times New Roman" w:eastAsia="微软雅黑" w:cs="宋体"/>
          <w:szCs w:val="14"/>
        </w:rPr>
        <w:t>故正确答案为</w:t>
      </w:r>
      <w:r w:rsidRPr="007675BD">
        <w:rPr>
          <w:rFonts w:ascii="Times New Roman" w:eastAsia="微软雅黑" w:cs="宋体"/>
          <w:szCs w:val="14"/>
        </w:rPr>
        <w:t>A</w:t>
      </w:r>
      <w:r w:rsidRPr="007675BD">
        <w:rPr>
          <w:rFonts w:ascii="Times New Roman" w:eastAsia="微软雅黑" w:cs="宋体"/>
          <w:szCs w:val="14"/>
        </w:rPr>
        <w:t>。</w:t>
      </w:r>
    </w:p>
    <w:p w:rsidR="007675BD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Times New Roman" w:eastAsia="微软雅黑" w:cs="宋体"/>
          <w:color w:val="0000FF"/>
          <w:szCs w:val="14"/>
        </w:rPr>
        <w:t>12</w:t>
      </w:r>
      <w:r w:rsidRPr="007675BD">
        <w:rPr>
          <w:rFonts w:ascii="Times New Roman" w:eastAsia="微软雅黑" w:cs="宋体"/>
          <w:color w:val="0000FF"/>
          <w:szCs w:val="14"/>
        </w:rPr>
        <w:t>．</w:t>
      </w:r>
      <w:r w:rsidRPr="007675BD">
        <w:rPr>
          <w:rFonts w:ascii="Times New Roman" w:eastAsia="微软雅黑" w:cs="宋体"/>
          <w:szCs w:val="14"/>
        </w:rPr>
        <w:t>原子钟在日常生活和科学研究中非常重要。它以原子内部的电子在两个能级间跳跃时辐射出来的电磁波为标准，去控制校准电子振荡器，实现精准的时</w:t>
      </w:r>
      <w:r w:rsidRPr="007675BD">
        <w:rPr>
          <w:rFonts w:ascii="Times New Roman" w:eastAsia="微软雅黑" w:cs="宋体"/>
          <w:szCs w:val="14"/>
        </w:rPr>
        <w:t>间测量。与原子相比，高电荷离子的外层电子与原子核的结合更强，对外部场的波动更不敏感，狭义相对论和量子电动力学的效应也更显著。因此，高电荷离子是未来研发更精准原子钟的理想选择之一。然而，由于内部结构复杂，要在高电荷离子中识别适合于原子钟的电子跃迁非常困难，常用的光谱法测量这种跃迁也不够精准。</w:t>
      </w:r>
      <w:r w:rsidRPr="007675BD">
        <w:rPr>
          <w:rFonts w:ascii="Times New Roman" w:eastAsia="微软雅黑" w:cs="宋体"/>
          <w:szCs w:val="14"/>
        </w:rPr>
        <w:t xml:space="preserve"> </w:t>
      </w:r>
      <w:r w:rsidRPr="007675BD">
        <w:rPr>
          <w:rFonts w:ascii="Times New Roman" w:eastAsia="微软雅黑" w:cs="宋体"/>
          <w:szCs w:val="14"/>
        </w:rPr>
        <w:t>根据这段文字，接下来最可能讲的是：</w:t>
      </w:r>
    </w:p>
    <w:p w:rsidR="007675BD">
      <w:pPr>
        <w:pStyle w:val="NormalWeb"/>
        <w:widowControl/>
        <w:spacing w:beforeAutospacing="0" w:after="260" w:afterAutospacing="0" w:line="360" w:lineRule="auto"/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134" w:right="1474" w:bottom="1134" w:left="1474" w:header="708" w:footer="708" w:gutter="0"/>
          <w:pgNumType w:start="10"/>
          <w:cols w:sep="1" w:space="708"/>
          <w:titlePg w:val="0"/>
          <w:docGrid w:linePitch="360"/>
        </w:sectPr>
      </w:pPr>
      <w:r w:rsidRPr="007675BD">
        <w:rPr>
          <w:rFonts w:ascii="Times New Roman" w:eastAsia="微软雅黑" w:cs="宋体"/>
          <w:szCs w:val="14"/>
        </w:rPr>
        <w:t>A</w:t>
      </w:r>
      <w:r w:rsidRPr="007675BD">
        <w:rPr>
          <w:rFonts w:ascii="Times New Roman" w:eastAsia="微软雅黑" w:cs="宋体"/>
          <w:szCs w:val="14"/>
        </w:rPr>
        <w:t>、高电荷离子的物理构造</w:t>
      </w:r>
    </w:p>
    <w:p w:rsidR="007675BD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Times New Roman" w:eastAsia="微软雅黑" w:cs="宋体"/>
          <w:szCs w:val="14"/>
        </w:rPr>
        <w:t>B</w:t>
      </w:r>
      <w:r w:rsidRPr="007675BD">
        <w:rPr>
          <w:rFonts w:ascii="Times New Roman" w:eastAsia="微软雅黑" w:cs="宋体"/>
          <w:szCs w:val="14"/>
        </w:rPr>
        <w:t>、测量电子跃迁的最新技术</w:t>
      </w:r>
    </w:p>
    <w:p w:rsidR="007675BD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Times New Roman" w:eastAsia="微软雅黑" w:cs="宋体"/>
          <w:szCs w:val="14"/>
        </w:rPr>
        <w:t>C</w:t>
      </w:r>
      <w:r w:rsidRPr="007675BD">
        <w:rPr>
          <w:rFonts w:ascii="Times New Roman" w:eastAsia="微软雅黑" w:cs="宋体"/>
          <w:szCs w:val="14"/>
        </w:rPr>
        <w:t>、高精度原子钟的意义和价值</w:t>
      </w:r>
    </w:p>
    <w:p w:rsidR="007675BD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Times New Roman" w:eastAsia="微软雅黑" w:cs="宋体"/>
          <w:szCs w:val="14"/>
        </w:rPr>
        <w:t>D</w:t>
      </w:r>
      <w:r w:rsidRPr="007675BD">
        <w:rPr>
          <w:rFonts w:ascii="Times New Roman" w:eastAsia="微软雅黑" w:cs="宋体"/>
          <w:szCs w:val="14"/>
        </w:rPr>
        <w:t>、光谱法在原子钟研发中的作用</w:t>
      </w:r>
    </w:p>
    <w:p w:rsidR="007675BD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Times New Roman" w:eastAsia="微软雅黑" w:cs="宋体"/>
          <w:b/>
          <w:color w:val="228B22"/>
          <w:szCs w:val="14"/>
        </w:rPr>
        <w:t>答案：</w:t>
      </w:r>
      <w:r w:rsidRPr="007675BD">
        <w:rPr>
          <w:rFonts w:ascii="Times New Roman" w:eastAsia="微软雅黑" w:cs="宋体"/>
          <w:szCs w:val="14"/>
        </w:rPr>
        <w:t>B</w:t>
      </w:r>
    </w:p>
    <w:p w:rsidR="007675BD">
      <w:pPr>
        <w:pStyle w:val="NormalWeb"/>
        <w:widowControl/>
        <w:spacing w:beforeAutospacing="0" w:after="260" w:afterAutospacing="0" w:line="360" w:lineRule="auto"/>
        <w:rPr>
          <w:b/>
          <w:color w:val="4066F4"/>
        </w:rPr>
      </w:pPr>
      <w:r w:rsidRPr="007675BD">
        <w:rPr>
          <w:rFonts w:ascii="Times New Roman" w:eastAsia="微软雅黑" w:cs="宋体"/>
          <w:color w:val="228B22"/>
          <w:szCs w:val="14"/>
        </w:rPr>
        <w:t>解析：</w:t>
      </w:r>
      <w:r w:rsidRPr="007675BD">
        <w:rPr>
          <w:rFonts w:ascii="Times New Roman" w:eastAsia="微软雅黑" w:cs="宋体"/>
          <w:szCs w:val="14"/>
        </w:rPr>
        <w:t>文段首先引出了</w:t>
      </w:r>
      <w:r w:rsidRPr="007675BD">
        <w:rPr>
          <w:rFonts w:ascii="Times New Roman" w:eastAsia="微软雅黑" w:cs="宋体"/>
          <w:szCs w:val="14"/>
        </w:rPr>
        <w:t>“</w:t>
      </w:r>
      <w:r w:rsidRPr="007675BD">
        <w:rPr>
          <w:rFonts w:ascii="Times New Roman" w:eastAsia="微软雅黑" w:cs="宋体"/>
          <w:szCs w:val="14"/>
        </w:rPr>
        <w:t>原子钟</w:t>
      </w:r>
      <w:r w:rsidRPr="007675BD">
        <w:rPr>
          <w:rFonts w:ascii="Times New Roman" w:eastAsia="微软雅黑" w:cs="宋体"/>
          <w:szCs w:val="14"/>
        </w:rPr>
        <w:t>”</w:t>
      </w:r>
      <w:r w:rsidRPr="007675BD">
        <w:rPr>
          <w:rFonts w:ascii="Times New Roman" w:eastAsia="微软雅黑" w:cs="宋体"/>
          <w:szCs w:val="14"/>
        </w:rPr>
        <w:t>的话题，介绍了其在生活和科研</w:t>
      </w:r>
      <w:r w:rsidRPr="007675BD">
        <w:rPr>
          <w:rFonts w:ascii="Times New Roman" w:eastAsia="微软雅黑" w:cs="宋体"/>
          <w:szCs w:val="14"/>
        </w:rPr>
        <w:t>中的作用，并通过结论词</w:t>
      </w:r>
      <w:r w:rsidRPr="007675BD">
        <w:rPr>
          <w:rFonts w:ascii="Times New Roman" w:eastAsia="微软雅黑" w:cs="宋体"/>
          <w:szCs w:val="14"/>
        </w:rPr>
        <w:t>“</w:t>
      </w:r>
      <w:r w:rsidRPr="007675BD">
        <w:rPr>
          <w:rFonts w:ascii="Times New Roman" w:eastAsia="微软雅黑" w:cs="宋体"/>
          <w:szCs w:val="14"/>
        </w:rPr>
        <w:t>因此</w:t>
      </w:r>
      <w:r w:rsidRPr="007675BD">
        <w:rPr>
          <w:rFonts w:ascii="Times New Roman" w:eastAsia="微软雅黑" w:cs="宋体"/>
          <w:szCs w:val="14"/>
        </w:rPr>
        <w:t>”</w:t>
      </w:r>
      <w:r w:rsidRPr="007675BD">
        <w:rPr>
          <w:rFonts w:ascii="Times New Roman" w:eastAsia="微软雅黑" w:cs="宋体"/>
          <w:szCs w:val="14"/>
        </w:rPr>
        <w:t>总结前文，指出高电荷离子是未来研发更精准原子钟的理想选择之一。接着尾句通过转折词</w:t>
      </w:r>
      <w:r w:rsidRPr="007675BD">
        <w:rPr>
          <w:rFonts w:ascii="Times New Roman" w:eastAsia="微软雅黑" w:cs="宋体"/>
          <w:szCs w:val="14"/>
        </w:rPr>
        <w:t>“</w:t>
      </w:r>
      <w:r w:rsidRPr="007675BD">
        <w:rPr>
          <w:rFonts w:ascii="Times New Roman" w:eastAsia="微软雅黑" w:cs="宋体"/>
          <w:szCs w:val="14"/>
        </w:rPr>
        <w:t>然而</w:t>
      </w:r>
      <w:r w:rsidRPr="007675BD">
        <w:rPr>
          <w:rFonts w:ascii="Times New Roman" w:eastAsia="微软雅黑" w:cs="宋体"/>
          <w:szCs w:val="14"/>
        </w:rPr>
        <w:t>”</w:t>
      </w:r>
      <w:r w:rsidRPr="007675BD">
        <w:rPr>
          <w:rFonts w:ascii="Times New Roman" w:eastAsia="微软雅黑" w:cs="宋体"/>
          <w:szCs w:val="14"/>
        </w:rPr>
        <w:t>引出问题，指出在高电荷离子中识别适合原子钟的电子跃迁很困难，常用方法也不精准。结合全文及尾句内容，下文应该围绕解决</w:t>
      </w:r>
      <w:r w:rsidRPr="007675BD">
        <w:rPr>
          <w:rFonts w:ascii="Times New Roman" w:eastAsia="微软雅黑" w:cs="宋体"/>
          <w:szCs w:val="14"/>
        </w:rPr>
        <w:t>“</w:t>
      </w:r>
      <w:r w:rsidRPr="007675BD">
        <w:rPr>
          <w:rFonts w:ascii="Times New Roman" w:eastAsia="微软雅黑" w:cs="宋体"/>
          <w:szCs w:val="14"/>
        </w:rPr>
        <w:t>电子跃迁</w:t>
      </w:r>
      <w:r w:rsidRPr="007675BD">
        <w:rPr>
          <w:rFonts w:ascii="Times New Roman" w:eastAsia="微软雅黑" w:cs="宋体"/>
          <w:szCs w:val="14"/>
        </w:rPr>
        <w:t>”</w:t>
      </w:r>
      <w:r w:rsidRPr="007675BD">
        <w:rPr>
          <w:rFonts w:ascii="Times New Roman" w:eastAsia="微软雅黑" w:cs="宋体"/>
          <w:szCs w:val="14"/>
        </w:rPr>
        <w:t>这一问题提出对策，对应</w:t>
      </w:r>
      <w:r w:rsidRPr="007675BD">
        <w:rPr>
          <w:rFonts w:ascii="Times New Roman" w:eastAsia="微软雅黑" w:cs="宋体"/>
          <w:szCs w:val="14"/>
        </w:rPr>
        <w:t>B</w:t>
      </w:r>
      <w:r w:rsidRPr="007675BD">
        <w:rPr>
          <w:rFonts w:ascii="Times New Roman" w:eastAsia="微软雅黑" w:cs="宋体"/>
          <w:szCs w:val="14"/>
        </w:rPr>
        <w:t>项。</w:t>
      </w:r>
      <w:r w:rsidRPr="007675BD">
        <w:rPr>
          <w:rFonts w:ascii="Times New Roman" w:eastAsia="微软雅黑" w:cs="宋体"/>
          <w:szCs w:val="14"/>
        </w:rPr>
        <w:t xml:space="preserve"> A</w:t>
      </w:r>
      <w:r w:rsidRPr="007675BD">
        <w:rPr>
          <w:rFonts w:ascii="Times New Roman" w:eastAsia="微软雅黑" w:cs="宋体"/>
          <w:szCs w:val="14"/>
        </w:rPr>
        <w:t>项，与文段尾句核心话题不一致，尾句着重论述的是</w:t>
      </w:r>
      <w:r w:rsidRPr="007675BD">
        <w:rPr>
          <w:rFonts w:ascii="Times New Roman" w:eastAsia="微软雅黑" w:cs="宋体"/>
          <w:szCs w:val="14"/>
        </w:rPr>
        <w:t>“</w:t>
      </w:r>
      <w:r w:rsidRPr="007675BD">
        <w:rPr>
          <w:rFonts w:ascii="Times New Roman" w:eastAsia="微软雅黑" w:cs="宋体"/>
          <w:szCs w:val="14"/>
        </w:rPr>
        <w:t>电子跃迁</w:t>
      </w:r>
      <w:r w:rsidRPr="007675BD">
        <w:rPr>
          <w:rFonts w:ascii="Times New Roman" w:eastAsia="微软雅黑" w:cs="宋体"/>
          <w:szCs w:val="14"/>
        </w:rPr>
        <w:t>”</w:t>
      </w:r>
      <w:r w:rsidRPr="007675BD">
        <w:rPr>
          <w:rFonts w:ascii="Times New Roman" w:eastAsia="微软雅黑" w:cs="宋体"/>
          <w:szCs w:val="14"/>
        </w:rPr>
        <w:t>，排除</w:t>
      </w:r>
      <w:r w:rsidRPr="007675BD">
        <w:rPr>
          <w:rFonts w:ascii="Times New Roman" w:eastAsia="微软雅黑" w:cs="宋体"/>
          <w:szCs w:val="14"/>
        </w:rPr>
        <w:t>; C</w:t>
      </w:r>
      <w:r w:rsidRPr="007675BD">
        <w:rPr>
          <w:rFonts w:ascii="Times New Roman" w:eastAsia="微软雅黑" w:cs="宋体"/>
          <w:szCs w:val="14"/>
        </w:rPr>
        <w:t>项，</w:t>
      </w:r>
      <w:r w:rsidRPr="007675BD">
        <w:rPr>
          <w:rFonts w:ascii="Times New Roman" w:eastAsia="微软雅黑" w:cs="宋体"/>
          <w:szCs w:val="14"/>
        </w:rPr>
        <w:t>“</w:t>
      </w:r>
      <w:r w:rsidRPr="007675BD">
        <w:rPr>
          <w:rFonts w:ascii="Times New Roman" w:eastAsia="微软雅黑" w:cs="宋体"/>
          <w:szCs w:val="14"/>
        </w:rPr>
        <w:t>高精度原子钟</w:t>
      </w:r>
      <w:r w:rsidRPr="007675BD">
        <w:rPr>
          <w:rFonts w:ascii="Times New Roman" w:eastAsia="微软雅黑" w:cs="宋体"/>
          <w:szCs w:val="14"/>
        </w:rPr>
        <w:t>”</w:t>
      </w:r>
      <w:r w:rsidRPr="007675BD">
        <w:rPr>
          <w:rFonts w:ascii="Times New Roman" w:eastAsia="微软雅黑" w:cs="宋体"/>
          <w:szCs w:val="14"/>
        </w:rPr>
        <w:t>与文段尾句核心话题不一致，排除</w:t>
      </w:r>
      <w:r w:rsidRPr="007675BD">
        <w:rPr>
          <w:rFonts w:ascii="Times New Roman" w:eastAsia="微软雅黑" w:cs="宋体"/>
          <w:szCs w:val="14"/>
        </w:rPr>
        <w:t>; D</w:t>
      </w:r>
      <w:r w:rsidRPr="007675BD">
        <w:rPr>
          <w:rFonts w:ascii="Times New Roman" w:eastAsia="微软雅黑" w:cs="宋体"/>
          <w:szCs w:val="14"/>
        </w:rPr>
        <w:t>项，文段尾句已经提及</w:t>
      </w:r>
      <w:r w:rsidRPr="007675BD">
        <w:rPr>
          <w:rFonts w:ascii="Times New Roman" w:eastAsia="微软雅黑" w:cs="宋体"/>
          <w:szCs w:val="14"/>
        </w:rPr>
        <w:t>“</w:t>
      </w:r>
      <w:r w:rsidRPr="007675BD">
        <w:rPr>
          <w:rFonts w:ascii="Times New Roman" w:eastAsia="微软雅黑" w:cs="宋体"/>
          <w:szCs w:val="14"/>
        </w:rPr>
        <w:t>常用的光谱法测量这种跃迁也不够精准</w:t>
      </w:r>
      <w:r w:rsidRPr="007675BD">
        <w:rPr>
          <w:rFonts w:ascii="Times New Roman" w:eastAsia="微软雅黑" w:cs="宋体"/>
          <w:szCs w:val="14"/>
        </w:rPr>
        <w:t>”</w:t>
      </w:r>
      <w:r w:rsidRPr="007675BD">
        <w:rPr>
          <w:rFonts w:ascii="Times New Roman" w:eastAsia="微软雅黑" w:cs="宋体"/>
          <w:szCs w:val="14"/>
        </w:rPr>
        <w:t>，故文段接下来不会围绕光谱法的作用进行展开，排除。</w:t>
      </w:r>
      <w:r w:rsidRPr="007675BD">
        <w:rPr>
          <w:rFonts w:ascii="Times New Roman" w:eastAsia="微软雅黑" w:cs="宋体"/>
          <w:szCs w:val="14"/>
        </w:rPr>
        <w:t xml:space="preserve"> </w:t>
      </w:r>
      <w:r w:rsidRPr="007675BD">
        <w:rPr>
          <w:rFonts w:ascii="Times New Roman" w:eastAsia="微软雅黑" w:cs="宋体"/>
          <w:szCs w:val="14"/>
        </w:rPr>
        <w:t>故正确答案为</w:t>
      </w:r>
      <w:r w:rsidRPr="007675BD">
        <w:rPr>
          <w:rFonts w:ascii="Times New Roman" w:eastAsia="微软雅黑" w:cs="宋体"/>
          <w:szCs w:val="14"/>
        </w:rPr>
        <w:t>B</w:t>
      </w:r>
      <w:r w:rsidRPr="007675BD">
        <w:rPr>
          <w:rFonts w:ascii="Times New Roman" w:eastAsia="微软雅黑" w:cs="宋体"/>
          <w:szCs w:val="14"/>
        </w:rPr>
        <w:t>。</w:t>
      </w:r>
    </w:p>
    <w:p w:rsidR="007675BD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Times New Roman" w:eastAsia="微软雅黑" w:cs="宋体"/>
          <w:color w:val="0000FF"/>
          <w:szCs w:val="14"/>
        </w:rPr>
        <w:t>13</w:t>
      </w:r>
      <w:r w:rsidRPr="007675BD">
        <w:rPr>
          <w:rFonts w:ascii="Times New Roman" w:eastAsia="微软雅黑" w:cs="宋体"/>
          <w:color w:val="0000FF"/>
          <w:szCs w:val="14"/>
        </w:rPr>
        <w:t>．</w:t>
      </w:r>
      <w:r w:rsidRPr="007675BD">
        <w:rPr>
          <w:rFonts w:ascii="Times New Roman" w:eastAsia="微软雅黑" w:cs="宋体"/>
          <w:szCs w:val="14"/>
        </w:rPr>
        <w:t>凡论问题，皆要弄清文体的要素，人们习惯上把议论文分为三个要素，即论点、论据、论证。而任何议论首先要明确论辩的对象。叶圣陶先生在《文章例话》中说：</w:t>
      </w:r>
      <w:r w:rsidRPr="007675BD">
        <w:rPr>
          <w:rFonts w:ascii="Times New Roman" w:eastAsia="微软雅黑" w:cs="宋体"/>
          <w:szCs w:val="14"/>
        </w:rPr>
        <w:t>“</w:t>
      </w:r>
      <w:r w:rsidRPr="007675BD">
        <w:rPr>
          <w:rFonts w:ascii="Times New Roman" w:eastAsia="微软雅黑" w:cs="宋体"/>
          <w:szCs w:val="14"/>
        </w:rPr>
        <w:t>说明文以</w:t>
      </w:r>
      <w:r w:rsidRPr="007675BD">
        <w:rPr>
          <w:rFonts w:ascii="Times New Roman" w:eastAsia="微软雅黑" w:cs="宋体"/>
          <w:szCs w:val="14"/>
        </w:rPr>
        <w:t>‘</w:t>
      </w:r>
      <w:r w:rsidRPr="007675BD">
        <w:rPr>
          <w:rFonts w:ascii="Times New Roman" w:eastAsia="微软雅黑" w:cs="宋体"/>
          <w:szCs w:val="14"/>
        </w:rPr>
        <w:t>说明白了</w:t>
      </w:r>
      <w:r w:rsidRPr="007675BD">
        <w:rPr>
          <w:rFonts w:ascii="Times New Roman" w:eastAsia="微软雅黑" w:cs="宋体"/>
          <w:szCs w:val="14"/>
        </w:rPr>
        <w:t>’</w:t>
      </w:r>
      <w:r w:rsidRPr="007675BD">
        <w:rPr>
          <w:rFonts w:ascii="Times New Roman" w:eastAsia="微软雅黑" w:cs="宋体"/>
          <w:szCs w:val="14"/>
        </w:rPr>
        <w:t>为成功，而议论文却以</w:t>
      </w:r>
      <w:r w:rsidRPr="007675BD">
        <w:rPr>
          <w:rFonts w:ascii="Times New Roman" w:eastAsia="微软雅黑" w:cs="宋体"/>
          <w:szCs w:val="14"/>
        </w:rPr>
        <w:t>‘</w:t>
      </w:r>
      <w:r w:rsidRPr="007675BD">
        <w:rPr>
          <w:rFonts w:ascii="Times New Roman" w:eastAsia="微软雅黑" w:cs="宋体"/>
          <w:szCs w:val="14"/>
        </w:rPr>
        <w:t>说服他人</w:t>
      </w:r>
      <w:r w:rsidRPr="007675BD">
        <w:rPr>
          <w:rFonts w:ascii="Times New Roman" w:eastAsia="微软雅黑" w:cs="宋体"/>
          <w:szCs w:val="14"/>
        </w:rPr>
        <w:t>’</w:t>
      </w:r>
      <w:r w:rsidRPr="007675BD">
        <w:rPr>
          <w:rFonts w:ascii="Times New Roman" w:eastAsia="微软雅黑" w:cs="宋体"/>
          <w:szCs w:val="14"/>
        </w:rPr>
        <w:t>为成功。</w:t>
      </w:r>
      <w:r w:rsidRPr="007675BD">
        <w:rPr>
          <w:rFonts w:ascii="Times New Roman" w:eastAsia="微软雅黑" w:cs="宋体"/>
          <w:szCs w:val="14"/>
        </w:rPr>
        <w:t>”</w:t>
      </w:r>
      <w:r w:rsidRPr="007675BD">
        <w:rPr>
          <w:rFonts w:ascii="Times New Roman" w:eastAsia="微软雅黑" w:cs="宋体"/>
          <w:szCs w:val="14"/>
        </w:rPr>
        <w:t>叶先生讲作文深入浅出，没有花架子，遵循作文构思、写作规律，是务本的做法，不同于后来者的舍本逐末，把雕虫小技说成作文的规律，把百花齐放的议论文弄成了千篇一律。议论文既然要</w:t>
      </w:r>
      <w:r w:rsidRPr="007675BD">
        <w:rPr>
          <w:rFonts w:ascii="Times New Roman" w:eastAsia="微软雅黑" w:cs="宋体"/>
          <w:szCs w:val="14"/>
        </w:rPr>
        <w:t>“</w:t>
      </w:r>
      <w:r w:rsidRPr="007675BD">
        <w:rPr>
          <w:rFonts w:ascii="Times New Roman" w:eastAsia="微软雅黑" w:cs="宋体"/>
          <w:szCs w:val="14"/>
        </w:rPr>
        <w:t>说服他人</w:t>
      </w:r>
      <w:r w:rsidRPr="007675BD">
        <w:rPr>
          <w:rFonts w:ascii="Times New Roman" w:eastAsia="微软雅黑" w:cs="宋体"/>
          <w:szCs w:val="14"/>
        </w:rPr>
        <w:t>”</w:t>
      </w:r>
      <w:r w:rsidRPr="007675BD">
        <w:rPr>
          <w:rFonts w:ascii="Times New Roman" w:eastAsia="微软雅黑" w:cs="宋体"/>
          <w:szCs w:val="14"/>
        </w:rPr>
        <w:t>，那么写作者首先就要明确这个</w:t>
      </w:r>
      <w:r w:rsidRPr="007675BD">
        <w:rPr>
          <w:rFonts w:ascii="Times New Roman" w:eastAsia="微软雅黑" w:cs="宋体"/>
          <w:szCs w:val="14"/>
        </w:rPr>
        <w:t>“</w:t>
      </w:r>
      <w:r w:rsidRPr="007675BD">
        <w:rPr>
          <w:rFonts w:ascii="Times New Roman" w:eastAsia="微软雅黑" w:cs="宋体"/>
          <w:szCs w:val="14"/>
        </w:rPr>
        <w:t>他人</w:t>
      </w:r>
      <w:r w:rsidRPr="007675BD">
        <w:rPr>
          <w:rFonts w:ascii="Times New Roman" w:eastAsia="微软雅黑" w:cs="宋体"/>
          <w:szCs w:val="14"/>
        </w:rPr>
        <w:t>”</w:t>
      </w:r>
      <w:r w:rsidRPr="007675BD">
        <w:rPr>
          <w:rFonts w:ascii="Times New Roman" w:eastAsia="微软雅黑" w:cs="宋体"/>
          <w:szCs w:val="14"/>
        </w:rPr>
        <w:t>是谁，这一点，便可作为议论文写作的前奏。</w:t>
      </w:r>
      <w:r w:rsidRPr="007675BD">
        <w:rPr>
          <w:rFonts w:ascii="Times New Roman" w:eastAsia="微软雅黑" w:cs="宋体"/>
          <w:szCs w:val="14"/>
        </w:rPr>
        <w:t xml:space="preserve"> </w:t>
      </w:r>
      <w:r w:rsidRPr="007675BD">
        <w:rPr>
          <w:rFonts w:ascii="Times New Roman" w:eastAsia="微软雅黑" w:cs="宋体"/>
          <w:szCs w:val="14"/>
        </w:rPr>
        <w:t>这段文字主要讲述了：</w:t>
      </w:r>
    </w:p>
    <w:p w:rsidR="007675BD">
      <w:pPr>
        <w:pStyle w:val="NormalWeb"/>
        <w:widowControl/>
        <w:spacing w:beforeAutospacing="0" w:after="260" w:afterAutospacing="0" w:line="360" w:lineRule="auto"/>
      </w:pPr>
      <w:r w:rsidRPr="007675BD">
        <w:rPr>
          <w:rFonts w:ascii="Times New Roman" w:eastAsia="微软雅黑" w:cs="宋体"/>
          <w:szCs w:val="14"/>
        </w:rPr>
        <w:t>A</w:t>
      </w:r>
      <w:r w:rsidRPr="007675BD">
        <w:rPr>
          <w:rFonts w:ascii="Times New Roman" w:eastAsia="微软雅黑" w:cs="宋体"/>
          <w:szCs w:val="14"/>
        </w:rPr>
        <w:t>、叶圣陶先生对议论文写作的正本清源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https://d.book118.com/025030303123011041</w:t>
        </w:r>
      </w:hyperlink>
    </w:p>
    <w:p w:rsidR="007675BD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65"/>
      <w:headerReference w:type="default" r:id="rId66"/>
      <w:footerReference w:type="even" r:id="rId67"/>
      <w:footerReference w:type="default" r:id="rId68"/>
      <w:headerReference w:type="first" r:id="rId69"/>
      <w:footerReference w:type="first" r:id="rId70"/>
      <w:type w:val="nextPage"/>
      <w:pgSz w:w="11906" w:h="16838"/>
      <w:pgMar w:top="1134" w:right="1474" w:bottom="1134" w:left="1474" w:header="708" w:footer="708" w:gutter="0"/>
      <w:pgNumType w:start="11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oBack"/>
  <w:bookmarkEnd w:id="0"/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BE3A14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3A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77B3E"/>
    <w:rsid w:val="00A95C3D"/>
    <w:rsid w:val="00BE3A14"/>
    <w:rsid w:val="00CA2A55"/>
    <w:rsid w:val="00E0697D"/>
    <w:rsid w:val="00E44D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AD2B56C"/>
  <w15:docId w15:val="{4061540D-D694-430F-883C-4ECA8EA7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unhideWhenUsed/>
    <w:rsid w:val="00BE3A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E3A14"/>
    <w:rPr>
      <w:sz w:val="18"/>
      <w:szCs w:val="18"/>
    </w:rPr>
  </w:style>
  <w:style w:type="paragraph" w:styleId="Footer">
    <w:name w:val="footer"/>
    <w:basedOn w:val="Normal"/>
    <w:link w:val="a0"/>
    <w:unhideWhenUsed/>
    <w:rsid w:val="00BE3A1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E3A14"/>
    <w:rPr>
      <w:sz w:val="18"/>
      <w:szCs w:val="18"/>
    </w:rPr>
  </w:style>
  <w:style w:type="character" w:styleId="PageNumber">
    <w:name w:val="page number"/>
    <w:basedOn w:val="DefaultParagraphFont"/>
    <w:semiHidden/>
    <w:unhideWhenUsed/>
    <w:rsid w:val="00BE3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yperlink" Target="https://d.book118.com/025030303123011041" TargetMode="External" /><Relationship Id="rId65" Type="http://schemas.openxmlformats.org/officeDocument/2006/relationships/header" Target="header31.xml" /><Relationship Id="rId66" Type="http://schemas.openxmlformats.org/officeDocument/2006/relationships/header" Target="header32.xml" /><Relationship Id="rId67" Type="http://schemas.openxmlformats.org/officeDocument/2006/relationships/footer" Target="footer31.xml" /><Relationship Id="rId68" Type="http://schemas.openxmlformats.org/officeDocument/2006/relationships/footer" Target="footer32.xml" /><Relationship Id="rId69" Type="http://schemas.openxmlformats.org/officeDocument/2006/relationships/header" Target="header33.xml" /><Relationship Id="rId7" Type="http://schemas.openxmlformats.org/officeDocument/2006/relationships/footer" Target="footer2.xml" /><Relationship Id="rId70" Type="http://schemas.openxmlformats.org/officeDocument/2006/relationships/footer" Target="footer33.xml" /><Relationship Id="rId71" Type="http://schemas.openxmlformats.org/officeDocument/2006/relationships/theme" Target="theme/theme1.xml" /><Relationship Id="rId72" Type="http://schemas.openxmlformats.org/officeDocument/2006/relationships/styles" Target="styles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4511</Words>
  <Characters>25713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2024-01-11T10:20:00Z</dcterms:created>
  <dcterms:modified xsi:type="dcterms:W3CDTF">2024-01-11T10:20:00Z</dcterms:modified>
</cp:coreProperties>
</file>