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2018-2023年石家庄职业技术学院高职单招（数学／语文／英语）历年常考试题库含答案解析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《蜀相》是一首（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C.七古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D.七绝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下列《马伶传》的句子中最能体现作者主观创作意图的是（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A.以分宜教分宜，安得不工哉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B.倘三年犹不得，即犹不归尔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C.日侍昆山相国于朝房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D.见昆山犹之见分宜也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老舍最成功的话剧作品是（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A.《月牙儿》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B.《茶馆》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C.《二马》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孔子认为“大同”“小康”之间最根本的区别是（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A.人事制度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B.物质文明建设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C.所有制形式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D.精神文明建设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《灯下漫笔》中，鲁迅认为青年的使命是（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A.崇奉国粹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B.热心复古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C.创造第三样时代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D.赞颂中国的“固有精神文明”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贯串《爱尔克的灯光》全文的线索是（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A.故居的变迁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B.亡姐的不幸遭遇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C.三种灯光的依次闪现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D.“我的心灵的灯”的引导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提出“创造这中国历史上未曾有过的第三样时代，则是现在的青年的使命！”的是（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A.梁启超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B.胡适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D.陈独秀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我国第一部纪传体通史是（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D.《汉书》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“但得一个并头莲”“蜗角虚名”“泪添九曲黄河溢”所用的修辞手法是（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A.比喻、夸张、拟人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B.比喻、用典、夸张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C.夸张、拟人、比喻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D.用典、拟人、比喻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下列文学社团中，朱自清曾经参加的是（）。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B.文学研究会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D.中国左翼作家联盟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下列诗句运用了比兴方法的是（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A.自我徂尔，三岁食贫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B.女也不爽，士贰其行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C.于嗟鸠兮，无食桑葚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D.淇水汤汤，渐车帷裳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王安石的《答司马谏议书》是一篇什么体的驳论文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A.奏疏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B.书信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C.辞赋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《郑伯克段于鄢》中的主要人物是（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A.郑庄公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B.郑武公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C.姜氏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D.共叔段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说“今日一天，当明日两天”的哲人是（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A.亚里士多德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C.爱默生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https://d.book118.com/026101222230010052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02610122223001005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