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_GB2312" w:eastAsia="仿宋_GB2312" w:hAnsi="仿宋_GB2312" w:cs="仿宋_GB2312"/>
          <w:color w:val="auto"/>
          <w:sz w:val="36"/>
          <w:szCs w:val="36"/>
        </w:rPr>
      </w:pPr>
      <w:bookmarkStart w:id="0" w:name="_Hlk57883707"/>
    </w:p>
    <w:p>
      <w:pPr>
        <w:rPr>
          <w:rFonts w:ascii="仿宋_GB2312" w:eastAsia="仿宋_GB2312" w:hAnsi="仿宋_GB2312" w:cs="仿宋_GB2312"/>
          <w:color w:val="auto"/>
          <w:sz w:val="36"/>
          <w:szCs w:val="36"/>
        </w:rPr>
      </w:pPr>
    </w:p>
    <w:p>
      <w:pPr>
        <w:rPr>
          <w:rFonts w:ascii="仿宋_GB2312" w:eastAsia="仿宋_GB2312" w:hAnsi="仿宋_GB2312" w:cs="仿宋_GB2312"/>
          <w:color w:val="auto"/>
          <w:sz w:val="36"/>
          <w:szCs w:val="36"/>
        </w:rPr>
      </w:pPr>
    </w:p>
    <w:p>
      <w:pPr>
        <w:rPr>
          <w:rFonts w:ascii="仿宋_GB2312" w:eastAsia="仿宋_GB2312" w:hAnsi="仿宋_GB2312" w:cs="仿宋_GB2312"/>
          <w:color w:val="auto"/>
          <w:sz w:val="36"/>
          <w:szCs w:val="36"/>
        </w:rPr>
      </w:pPr>
    </w:p>
    <w:bookmarkEnd w:id="0"/>
    <w:p>
      <w:pPr>
        <w:adjustRightInd w:val="0"/>
        <w:snapToGrid w:val="0"/>
        <w:jc w:val="center"/>
        <w:outlineLvl w:val="0"/>
        <w:rPr>
          <w:rFonts w:ascii="方正小标宋_GBK" w:eastAsia="方正小标宋_GBK" w:hint="eastAsia"/>
          <w:bCs/>
          <w:color w:val="auto"/>
          <w:sz w:val="72"/>
          <w:szCs w:val="72"/>
        </w:rPr>
      </w:pPr>
      <w:r>
        <w:rPr>
          <w:rFonts w:ascii="方正小标宋_GBK" w:eastAsia="方正小标宋_GBK" w:hint="eastAsia"/>
          <w:bCs/>
          <w:color w:val="auto"/>
          <w:sz w:val="72"/>
          <w:szCs w:val="72"/>
        </w:rPr>
        <w:t>建设项目环境影响报告表</w:t>
      </w:r>
    </w:p>
    <w:p>
      <w:pPr>
        <w:adjustRightInd w:val="0"/>
        <w:snapToGrid w:val="0"/>
        <w:spacing w:before="192" w:beforeLines="80"/>
        <w:jc w:val="center"/>
        <w:rPr>
          <w:rFonts w:ascii="楷体_GB2312" w:eastAsia="楷体_GB2312" w:hint="eastAsia"/>
          <w:bCs/>
          <w:color w:val="auto"/>
          <w:sz w:val="48"/>
          <w:szCs w:val="48"/>
        </w:rPr>
      </w:pPr>
      <w:r>
        <w:rPr>
          <w:rFonts w:ascii="楷体_GB2312" w:eastAsia="楷体_GB2312" w:hint="eastAsia"/>
          <w:bCs/>
          <w:color w:val="auto"/>
          <w:sz w:val="48"/>
          <w:szCs w:val="48"/>
          <w:lang w:eastAsia="zh-CN"/>
        </w:rPr>
        <w:t>（</w:t>
      </w:r>
      <w:r>
        <w:rPr>
          <w:rFonts w:ascii="楷体_GB2312" w:eastAsia="楷体_GB2312" w:hint="eastAsia"/>
          <w:bCs/>
          <w:color w:val="auto"/>
          <w:sz w:val="48"/>
          <w:szCs w:val="48"/>
        </w:rPr>
        <w:t>生态影响类</w:t>
      </w:r>
      <w:r>
        <w:rPr>
          <w:rFonts w:ascii="楷体_GB2312" w:eastAsia="楷体_GB2312" w:hint="eastAsia"/>
          <w:bCs/>
          <w:color w:val="auto"/>
          <w:sz w:val="48"/>
          <w:szCs w:val="48"/>
          <w:lang w:eastAsia="zh-CN"/>
        </w:rPr>
        <w:t>）</w:t>
      </w:r>
    </w:p>
    <w:p>
      <w:pPr>
        <w:adjustRightInd w:val="0"/>
        <w:snapToGrid w:val="0"/>
        <w:spacing w:line="288" w:lineRule="auto"/>
        <w:jc w:val="center"/>
        <w:outlineLvl w:val="9"/>
        <w:rPr>
          <w:rFonts w:ascii="华文仿宋" w:eastAsia="华文仿宋" w:hAnsi="华文仿宋" w:cs="华文仿宋"/>
          <w:color w:val="auto"/>
          <w:kern w:val="44"/>
          <w:sz w:val="44"/>
          <w:szCs w:val="44"/>
        </w:rPr>
      </w:pPr>
      <w:bookmarkStart w:id="1" w:name="_Hlk57883728"/>
    </w:p>
    <w:p>
      <w:pPr>
        <w:jc w:val="center"/>
        <w:rPr>
          <w:rFonts w:eastAsia="仿宋"/>
          <w:color w:val="auto"/>
          <w:sz w:val="52"/>
          <w:szCs w:val="52"/>
        </w:rPr>
      </w:pPr>
    </w:p>
    <w:p>
      <w:pPr>
        <w:ind w:firstLine="1040"/>
        <w:rPr>
          <w:rFonts w:eastAsia="仿宋"/>
          <w:color w:val="auto"/>
          <w:sz w:val="44"/>
          <w:szCs w:val="44"/>
        </w:rPr>
      </w:pPr>
    </w:p>
    <w:p>
      <w:pPr>
        <w:ind w:firstLine="1040"/>
        <w:rPr>
          <w:rFonts w:eastAsia="仿宋"/>
          <w:color w:val="auto"/>
          <w:sz w:val="44"/>
          <w:szCs w:val="44"/>
        </w:rPr>
      </w:pPr>
    </w:p>
    <w:p>
      <w:pPr>
        <w:ind w:firstLine="1040"/>
        <w:rPr>
          <w:rFonts w:eastAsia="仿宋"/>
          <w:color w:val="auto"/>
          <w:sz w:val="44"/>
          <w:szCs w:val="44"/>
        </w:rPr>
      </w:pPr>
    </w:p>
    <w:p>
      <w:pPr>
        <w:ind w:firstLine="1040"/>
        <w:rPr>
          <w:rFonts w:eastAsia="仿宋"/>
          <w:color w:val="auto"/>
          <w:sz w:val="44"/>
          <w:szCs w:val="44"/>
        </w:rPr>
      </w:pPr>
    </w:p>
    <w:bookmarkEnd w:id="1"/>
    <w:p>
      <w:pPr>
        <w:adjustRightInd w:val="0"/>
        <w:snapToGrid w:val="0"/>
        <w:spacing w:line="288" w:lineRule="auto"/>
        <w:ind w:firstLine="1040"/>
        <w:rPr>
          <w:rFonts w:ascii="仿宋_GB2312" w:eastAsia="仿宋_GB2312"/>
          <w:color w:val="auto"/>
          <w:sz w:val="36"/>
          <w:szCs w:val="36"/>
          <w:u w:val="single"/>
        </w:rPr>
      </w:pPr>
      <w:r>
        <w:rPr>
          <w:rFonts w:ascii="仿宋_GB2312" w:eastAsia="仿宋_GB2312" w:hint="eastAsia"/>
          <w:color w:val="auto"/>
          <w:sz w:val="36"/>
          <w:szCs w:val="36"/>
        </w:rPr>
        <w:t xml:space="preserve">项目名称： </w:t>
      </w:r>
      <w:r>
        <w:rPr>
          <w:rFonts w:ascii="仿宋_GB2312" w:eastAsia="仿宋_GB2312" w:hint="eastAsia"/>
          <w:b/>
          <w:bCs/>
          <w:color w:val="auto"/>
          <w:sz w:val="32"/>
          <w:szCs w:val="32"/>
          <w:u w:val="single"/>
          <w:lang w:val="en-US" w:eastAsia="zh-CN"/>
        </w:rPr>
        <w:t>房车营地及管理中心（办公楼）项目</w:t>
      </w:r>
      <w:r>
        <w:rPr>
          <w:rFonts w:ascii="仿宋_GB2312" w:eastAsia="仿宋_GB2312" w:hint="eastAsia"/>
          <w:b/>
          <w:bCs/>
          <w:color w:val="auto"/>
          <w:sz w:val="28"/>
          <w:szCs w:val="28"/>
          <w:u w:val="single"/>
        </w:rPr>
        <w:t xml:space="preserve">  </w:t>
      </w:r>
    </w:p>
    <w:p>
      <w:pPr>
        <w:adjustRightInd w:val="0"/>
        <w:snapToGrid w:val="0"/>
        <w:spacing w:line="288" w:lineRule="auto"/>
        <w:ind w:firstLine="1040"/>
        <w:rPr>
          <w:rFonts w:ascii="仿宋_GB2312" w:eastAsia="仿宋_GB2312" w:hint="default"/>
          <w:color w:val="auto"/>
          <w:sz w:val="32"/>
          <w:szCs w:val="32"/>
        </w:rPr>
      </w:pPr>
      <w:r>
        <w:rPr>
          <w:rFonts w:ascii="仿宋_GB2312" w:eastAsia="仿宋_GB2312" w:hint="eastAsia"/>
          <w:color w:val="auto"/>
          <w:sz w:val="36"/>
          <w:szCs w:val="36"/>
        </w:rPr>
        <w:t>建设单位</w:t>
      </w:r>
      <w:r>
        <w:rPr>
          <w:rFonts w:ascii="仿宋_GB2312" w:eastAsia="仿宋_GB2312" w:hint="eastAsia"/>
          <w:color w:val="auto"/>
          <w:sz w:val="36"/>
          <w:szCs w:val="36"/>
          <w:lang w:eastAsia="zh-CN"/>
        </w:rPr>
        <w:t>（</w:t>
      </w:r>
      <w:r>
        <w:rPr>
          <w:rFonts w:ascii="仿宋_GB2312" w:eastAsia="仿宋_GB2312" w:hint="eastAsia"/>
          <w:color w:val="auto"/>
          <w:sz w:val="36"/>
          <w:szCs w:val="36"/>
        </w:rPr>
        <w:t>盖章</w:t>
      </w:r>
      <w:r>
        <w:rPr>
          <w:rFonts w:ascii="仿宋_GB2312" w:eastAsia="仿宋_GB2312" w:hint="eastAsia"/>
          <w:color w:val="auto"/>
          <w:sz w:val="36"/>
          <w:szCs w:val="36"/>
          <w:lang w:eastAsia="zh-CN"/>
        </w:rPr>
        <w:t>）</w:t>
      </w:r>
      <w:r>
        <w:rPr>
          <w:rFonts w:ascii="仿宋_GB2312" w:eastAsia="仿宋_GB2312" w:hint="eastAsia"/>
          <w:color w:val="auto"/>
          <w:sz w:val="36"/>
          <w:szCs w:val="36"/>
        </w:rPr>
        <w:t>：</w:t>
      </w:r>
      <w:r>
        <w:rPr>
          <w:rFonts w:ascii="仿宋_GB2312" w:eastAsia="仿宋_GB2312" w:hint="eastAsia"/>
          <w:b/>
          <w:bCs/>
          <w:color w:val="auto"/>
          <w:sz w:val="32"/>
          <w:szCs w:val="32"/>
          <w:u w:val="single"/>
          <w:lang w:val="en-US" w:eastAsia="zh-CN"/>
        </w:rPr>
        <w:t>三亚大小洞天发展有限公司</w:t>
      </w:r>
    </w:p>
    <w:p>
      <w:pPr>
        <w:adjustRightInd w:val="0"/>
        <w:snapToGrid w:val="0"/>
        <w:spacing w:line="288" w:lineRule="auto"/>
        <w:ind w:firstLine="1040"/>
        <w:rPr>
          <w:rFonts w:ascii="仿宋_GB2312" w:eastAsia="仿宋_GB2312"/>
          <w:color w:val="auto"/>
          <w:sz w:val="36"/>
          <w:szCs w:val="36"/>
          <w:u w:val="single"/>
        </w:rPr>
      </w:pPr>
      <w:r>
        <w:rPr>
          <w:rFonts w:ascii="仿宋_GB2312" w:eastAsia="仿宋_GB2312" w:hint="eastAsia"/>
          <w:color w:val="auto"/>
          <w:sz w:val="36"/>
          <w:szCs w:val="36"/>
        </w:rPr>
        <w:t>编制日期：</w:t>
      </w:r>
      <w:r>
        <w:rPr>
          <w:rFonts w:ascii="仿宋_GB2312" w:eastAsia="仿宋_GB2312" w:hint="eastAsia"/>
          <w:b/>
          <w:bCs/>
          <w:color w:val="auto"/>
          <w:sz w:val="32"/>
          <w:szCs w:val="32"/>
          <w:u w:val="single"/>
          <w:lang w:val="en-US" w:eastAsia="zh-CN"/>
        </w:rPr>
        <w:t xml:space="preserve">      2022年5月             </w:t>
      </w:r>
    </w:p>
    <w:p>
      <w:pPr>
        <w:adjustRightInd w:val="0"/>
        <w:snapToGrid w:val="0"/>
        <w:spacing w:line="288" w:lineRule="auto"/>
        <w:ind w:firstLine="1040"/>
        <w:rPr>
          <w:rFonts w:ascii="仿宋_GB2312" w:eastAsia="仿宋_GB2312"/>
          <w:color w:val="auto"/>
          <w:sz w:val="36"/>
          <w:szCs w:val="36"/>
          <w:u w:val="single"/>
        </w:rPr>
      </w:pPr>
    </w:p>
    <w:p>
      <w:pPr>
        <w:adjustRightInd w:val="0"/>
        <w:snapToGrid w:val="0"/>
        <w:spacing w:line="288" w:lineRule="auto"/>
        <w:ind w:firstLine="1040"/>
        <w:rPr>
          <w:rFonts w:ascii="仿宋_GB2312" w:eastAsia="仿宋_GB2312"/>
          <w:color w:val="auto"/>
          <w:sz w:val="36"/>
          <w:szCs w:val="36"/>
        </w:rPr>
      </w:pPr>
    </w:p>
    <w:p>
      <w:pPr>
        <w:adjustRightInd w:val="0"/>
        <w:snapToGrid w:val="0"/>
        <w:spacing w:line="288" w:lineRule="auto"/>
        <w:ind w:firstLine="1040"/>
        <w:rPr>
          <w:rFonts w:ascii="仿宋_GB2312" w:eastAsia="仿宋_GB2312"/>
          <w:color w:val="auto"/>
          <w:sz w:val="36"/>
          <w:szCs w:val="36"/>
        </w:rPr>
      </w:pPr>
    </w:p>
    <w:p>
      <w:pPr>
        <w:adjustRightInd w:val="0"/>
        <w:snapToGrid w:val="0"/>
        <w:spacing w:line="288" w:lineRule="auto"/>
        <w:ind w:firstLine="1040"/>
        <w:rPr>
          <w:rFonts w:ascii="仿宋_GB2312" w:eastAsia="仿宋_GB2312" w:hint="eastAsia"/>
          <w:color w:val="auto"/>
          <w:sz w:val="36"/>
          <w:szCs w:val="36"/>
        </w:rPr>
      </w:pPr>
    </w:p>
    <w:p>
      <w:pPr>
        <w:adjustRightInd w:val="0"/>
        <w:snapToGrid w:val="0"/>
        <w:spacing w:line="288" w:lineRule="auto"/>
        <w:ind w:firstLine="1040"/>
        <w:rPr>
          <w:rFonts w:ascii="仿宋_GB2312" w:eastAsia="仿宋_GB2312" w:hint="eastAsia"/>
          <w:color w:val="auto"/>
          <w:sz w:val="36"/>
          <w:szCs w:val="36"/>
        </w:rPr>
      </w:pPr>
    </w:p>
    <w:p>
      <w:pPr>
        <w:adjustRightInd w:val="0"/>
        <w:snapToGrid w:val="0"/>
        <w:spacing w:line="288" w:lineRule="auto"/>
        <w:jc w:val="center"/>
        <w:rPr>
          <w:rFonts w:ascii="楷体_GB2312" w:eastAsia="楷体_GB2312" w:hint="eastAsia"/>
          <w:color w:val="auto"/>
          <w:sz w:val="36"/>
          <w:szCs w:val="36"/>
        </w:rPr>
        <w:sectPr>
          <w:footerReference w:type="even" r:id="rId5"/>
          <w:footerReference w:type="default" r:id="rId6"/>
          <w:pgSz w:w="11906" w:h="16838"/>
          <w:pgMar w:top="1701" w:right="1531" w:bottom="1701" w:left="1531" w:header="851" w:footer="1077" w:gutter="0"/>
          <w:pgNumType w:fmt="decimal" w:start="21"/>
          <w:cols w:num="1" w:space="720"/>
          <w:docGrid w:linePitch="312" w:charSpace="0"/>
        </w:sectPr>
      </w:pPr>
      <w:r>
        <w:rPr>
          <w:rFonts w:ascii="楷体_GB2312" w:eastAsia="楷体_GB2312" w:hint="eastAsia"/>
          <w:color w:val="auto"/>
          <w:sz w:val="36"/>
          <w:szCs w:val="36"/>
        </w:rPr>
        <w:t>中华人民共和国生态环境部制</w:t>
      </w:r>
    </w:p>
    <w:p>
      <w:pPr>
        <w:pStyle w:val="NormalIndent"/>
        <w:ind w:left="0" w:firstLine="0" w:leftChars="0" w:firstLineChars="0"/>
        <w:sectPr>
          <w:footerReference w:type="even" r:id="rId7"/>
          <w:footerReference w:type="default" r:id="rId8"/>
          <w:pgSz w:w="11906" w:h="16838"/>
          <w:pgMar w:top="1701" w:right="1531" w:bottom="1701" w:left="1531" w:header="851" w:footer="1077" w:gutter="0"/>
          <w:pgNumType w:fmt="decimal" w:start="21"/>
          <w:cols w:num="1" w:space="720"/>
          <w:docGrid w:linePitch="312" w:charSpace="0"/>
        </w:sectPr>
      </w:pPr>
    </w:p>
    <w:p>
      <w:pPr>
        <w:pStyle w:val="NormalWeb"/>
        <w:jc w:val="center"/>
        <w:outlineLvl w:val="0"/>
        <w:rPr>
          <w:rFonts w:ascii="黑体" w:eastAsia="黑体" w:hAnsi="黑体" w:cs="Times New Roman" w:hint="eastAsia"/>
          <w:snapToGrid w:val="0"/>
          <w:sz w:val="30"/>
          <w:szCs w:val="30"/>
        </w:rPr>
      </w:pPr>
      <w:r>
        <w:rPr>
          <w:rFonts w:ascii="黑体" w:eastAsia="黑体" w:hAnsi="黑体" w:cs="Times New Roman" w:hint="eastAsia"/>
          <w:snapToGrid w:val="0"/>
          <w:sz w:val="30"/>
          <w:szCs w:val="30"/>
        </w:rPr>
        <w:t>一、建设项目基本情况</w:t>
      </w:r>
    </w:p>
    <w:tbl>
      <w:tblPr>
        <w:tblStyle w:val="TableNormal"/>
        <w:tblW w:w="4999"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
      <w:tblGrid>
        <w:gridCol w:w="2052"/>
        <w:gridCol w:w="1881"/>
        <w:gridCol w:w="2043"/>
        <w:gridCol w:w="10"/>
        <w:gridCol w:w="2344"/>
      </w:tblGrid>
      <w:tr>
        <w:tblPrEx>
          <w:tblW w:w="4999"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Ex>
        <w:trPr>
          <w:trHeight w:val="362"/>
        </w:trPr>
        <w:tc>
          <w:tcPr>
            <w:tcW w:w="1231" w:type="pct"/>
            <w:noWrap w:val="0"/>
            <w:tcMar>
              <w:top w:w="16" w:type="dxa"/>
              <w:left w:w="16" w:type="dxa"/>
              <w:right w:w="16" w:type="dxa"/>
            </w:tcMar>
            <w:vAlign w:val="center"/>
          </w:tcPr>
          <w:p>
            <w:pPr>
              <w:adjustRightInd w:val="0"/>
              <w:snapToGrid w:val="0"/>
              <w:jc w:val="center"/>
              <w:rPr>
                <w:color w:val="auto"/>
                <w:szCs w:val="21"/>
              </w:rPr>
            </w:pPr>
            <w:r>
              <w:rPr>
                <w:color w:val="auto"/>
                <w:sz w:val="21"/>
                <w:szCs w:val="21"/>
              </w:rPr>
              <w:t>建设项目名称</w:t>
            </w:r>
          </w:p>
        </w:tc>
        <w:tc>
          <w:tcPr>
            <w:tcW w:w="3768" w:type="pct"/>
            <w:gridSpan w:val="4"/>
            <w:noWrap w:val="0"/>
            <w:vAlign w:val="center"/>
          </w:tcPr>
          <w:p>
            <w:pPr>
              <w:adjustRightInd w:val="0"/>
              <w:snapToGrid w:val="0"/>
              <w:jc w:val="center"/>
              <w:rPr>
                <w:rFonts w:hint="eastAsia"/>
                <w:color w:val="auto"/>
                <w:szCs w:val="21"/>
              </w:rPr>
            </w:pPr>
            <w:r>
              <w:rPr>
                <w:rFonts w:hint="default"/>
                <w:color w:val="auto"/>
                <w:sz w:val="21"/>
                <w:szCs w:val="21"/>
              </w:rPr>
              <w:t>房车营地及管理中心（办公楼）项目</w:t>
            </w:r>
          </w:p>
        </w:tc>
      </w:tr>
      <w:tr>
        <w:tblPrEx>
          <w:tblW w:w="4999" w:type="pct"/>
          <w:tblInd w:w="0" w:type="dxa"/>
          <w:tblLayout w:type="fixed"/>
          <w:tblCellMar>
            <w:top w:w="0" w:type="dxa"/>
            <w:left w:w="0" w:type="dxa"/>
            <w:bottom w:w="0" w:type="dxa"/>
            <w:right w:w="0" w:type="dxa"/>
          </w:tblCellMar>
        </w:tblPrEx>
        <w:trPr>
          <w:trHeight w:val="355"/>
        </w:trPr>
        <w:tc>
          <w:tcPr>
            <w:tcW w:w="1231" w:type="pct"/>
            <w:noWrap w:val="0"/>
            <w:tcMar>
              <w:top w:w="16" w:type="dxa"/>
              <w:left w:w="16" w:type="dxa"/>
              <w:right w:w="16" w:type="dxa"/>
            </w:tcMar>
            <w:vAlign w:val="center"/>
          </w:tcPr>
          <w:p>
            <w:pPr>
              <w:adjustRightInd w:val="0"/>
              <w:snapToGrid w:val="0"/>
              <w:jc w:val="center"/>
              <w:rPr>
                <w:color w:val="auto"/>
                <w:szCs w:val="21"/>
              </w:rPr>
            </w:pPr>
            <w:r>
              <w:rPr>
                <w:color w:val="auto"/>
                <w:sz w:val="21"/>
                <w:szCs w:val="21"/>
              </w:rPr>
              <w:t>项目代码</w:t>
            </w:r>
          </w:p>
        </w:tc>
        <w:tc>
          <w:tcPr>
            <w:tcW w:w="3768" w:type="pct"/>
            <w:gridSpan w:val="4"/>
            <w:noWrap w:val="0"/>
            <w:vAlign w:val="center"/>
          </w:tcPr>
          <w:p>
            <w:pPr>
              <w:adjustRightInd w:val="0"/>
              <w:snapToGrid w:val="0"/>
              <w:jc w:val="center"/>
              <w:rPr>
                <w:color w:val="auto"/>
                <w:szCs w:val="21"/>
              </w:rPr>
            </w:pPr>
            <w:r>
              <w:rPr>
                <w:rFonts w:hint="eastAsia"/>
                <w:color w:val="auto"/>
                <w:sz w:val="21"/>
                <w:szCs w:val="21"/>
                <w:lang w:val="en-US" w:eastAsia="zh-CN"/>
              </w:rPr>
              <w:t>2210-460205-04-01-346985</w:t>
            </w:r>
          </w:p>
        </w:tc>
      </w:tr>
      <w:tr>
        <w:tblPrEx>
          <w:tblW w:w="4999" w:type="pct"/>
          <w:tblInd w:w="0" w:type="dxa"/>
          <w:tblLayout w:type="fixed"/>
          <w:tblCellMar>
            <w:top w:w="0" w:type="dxa"/>
            <w:left w:w="0" w:type="dxa"/>
            <w:bottom w:w="0" w:type="dxa"/>
            <w:right w:w="0" w:type="dxa"/>
          </w:tblCellMar>
        </w:tblPrEx>
        <w:trPr>
          <w:trHeight w:val="362"/>
        </w:trPr>
        <w:tc>
          <w:tcPr>
            <w:tcW w:w="1231" w:type="pct"/>
            <w:noWrap w:val="0"/>
            <w:tcMar>
              <w:top w:w="16" w:type="dxa"/>
              <w:left w:w="16" w:type="dxa"/>
              <w:right w:w="16" w:type="dxa"/>
            </w:tcMar>
            <w:vAlign w:val="center"/>
          </w:tcPr>
          <w:p>
            <w:pPr>
              <w:adjustRightInd w:val="0"/>
              <w:snapToGrid w:val="0"/>
              <w:jc w:val="center"/>
              <w:rPr>
                <w:color w:val="auto"/>
                <w:szCs w:val="21"/>
              </w:rPr>
            </w:pPr>
            <w:r>
              <w:rPr>
                <w:color w:val="auto"/>
                <w:sz w:val="21"/>
                <w:szCs w:val="21"/>
              </w:rPr>
              <w:t>建设单位联系人</w:t>
            </w:r>
          </w:p>
        </w:tc>
        <w:tc>
          <w:tcPr>
            <w:tcW w:w="1129" w:type="pct"/>
            <w:noWrap w:val="0"/>
            <w:vAlign w:val="center"/>
          </w:tcPr>
          <w:p>
            <w:pPr>
              <w:adjustRightInd w:val="0"/>
              <w:snapToGrid w:val="0"/>
              <w:jc w:val="center"/>
              <w:rPr>
                <w:rFonts w:hint="default"/>
                <w:color w:val="auto"/>
                <w:szCs w:val="21"/>
              </w:rPr>
            </w:pPr>
            <w:bookmarkStart w:id="2" w:name="_GoBack"/>
            <w:bookmarkEnd w:id="2"/>
          </w:p>
        </w:tc>
        <w:tc>
          <w:tcPr>
            <w:tcW w:w="1232" w:type="pct"/>
            <w:gridSpan w:val="2"/>
            <w:noWrap w:val="0"/>
            <w:vAlign w:val="center"/>
          </w:tcPr>
          <w:p>
            <w:pPr>
              <w:adjustRightInd w:val="0"/>
              <w:snapToGrid w:val="0"/>
              <w:jc w:val="center"/>
              <w:rPr>
                <w:color w:val="auto"/>
                <w:szCs w:val="21"/>
              </w:rPr>
            </w:pPr>
          </w:p>
        </w:tc>
        <w:tc>
          <w:tcPr>
            <w:tcW w:w="1406" w:type="pct"/>
            <w:noWrap w:val="0"/>
            <w:vAlign w:val="center"/>
          </w:tcPr>
          <w:p>
            <w:pPr>
              <w:adjustRightInd w:val="0"/>
              <w:snapToGrid w:val="0"/>
              <w:jc w:val="center"/>
              <w:rPr>
                <w:color w:val="auto"/>
                <w:szCs w:val="21"/>
              </w:rPr>
            </w:pPr>
          </w:p>
        </w:tc>
      </w:tr>
      <w:tr>
        <w:tblPrEx>
          <w:tblW w:w="4999" w:type="pct"/>
          <w:tblInd w:w="0" w:type="dxa"/>
          <w:tblLayout w:type="fixed"/>
          <w:tblCellMar>
            <w:top w:w="0" w:type="dxa"/>
            <w:left w:w="0" w:type="dxa"/>
            <w:bottom w:w="0" w:type="dxa"/>
            <w:right w:w="0" w:type="dxa"/>
          </w:tblCellMar>
        </w:tblPrEx>
        <w:trPr>
          <w:trHeight w:val="362"/>
        </w:trPr>
        <w:tc>
          <w:tcPr>
            <w:tcW w:w="1231" w:type="pct"/>
            <w:noWrap w:val="0"/>
            <w:tcMar>
              <w:top w:w="16" w:type="dxa"/>
              <w:left w:w="16" w:type="dxa"/>
              <w:right w:w="16" w:type="dxa"/>
            </w:tcMar>
            <w:vAlign w:val="center"/>
          </w:tcPr>
          <w:p>
            <w:pPr>
              <w:adjustRightInd w:val="0"/>
              <w:snapToGrid w:val="0"/>
              <w:jc w:val="center"/>
              <w:rPr>
                <w:color w:val="auto"/>
                <w:szCs w:val="21"/>
              </w:rPr>
            </w:pPr>
            <w:r>
              <w:rPr>
                <w:color w:val="auto"/>
                <w:sz w:val="21"/>
                <w:szCs w:val="21"/>
              </w:rPr>
              <w:t>建设地点</w:t>
            </w:r>
          </w:p>
        </w:tc>
        <w:tc>
          <w:tcPr>
            <w:tcW w:w="3768" w:type="pct"/>
            <w:gridSpan w:val="4"/>
            <w:noWrap w:val="0"/>
            <w:vAlign w:val="center"/>
          </w:tcPr>
          <w:p>
            <w:pPr>
              <w:adjustRightInd w:val="0"/>
              <w:snapToGrid w:val="0"/>
              <w:jc w:val="center"/>
              <w:rPr>
                <w:rFonts w:hint="eastAsia"/>
                <w:color w:val="auto"/>
                <w:szCs w:val="21"/>
              </w:rPr>
            </w:pPr>
            <w:r>
              <w:rPr>
                <w:rFonts w:hint="eastAsia"/>
                <w:color w:val="auto"/>
                <w:sz w:val="21"/>
                <w:szCs w:val="21"/>
              </w:rPr>
              <w:t>三亚市</w:t>
            </w:r>
            <w:r>
              <w:rPr>
                <w:rFonts w:hint="eastAsia"/>
                <w:color w:val="auto"/>
                <w:sz w:val="21"/>
                <w:szCs w:val="21"/>
                <w:lang w:val="en-US" w:eastAsia="zh-CN"/>
              </w:rPr>
              <w:t>崖州区</w:t>
            </w:r>
            <w:r>
              <w:rPr>
                <w:rFonts w:hint="eastAsia"/>
                <w:color w:val="auto"/>
                <w:sz w:val="21"/>
                <w:szCs w:val="21"/>
              </w:rPr>
              <w:t>大小洞天</w:t>
            </w:r>
            <w:r>
              <w:rPr>
                <w:rFonts w:hint="eastAsia"/>
                <w:color w:val="auto"/>
                <w:sz w:val="21"/>
                <w:szCs w:val="21"/>
                <w:lang w:val="en-US" w:eastAsia="zh-CN"/>
              </w:rPr>
              <w:t>旅游区</w:t>
            </w:r>
          </w:p>
        </w:tc>
      </w:tr>
      <w:tr>
        <w:tblPrEx>
          <w:tblW w:w="4999" w:type="pct"/>
          <w:tblInd w:w="0" w:type="dxa"/>
          <w:tblLayout w:type="fixed"/>
          <w:tblCellMar>
            <w:top w:w="0" w:type="dxa"/>
            <w:left w:w="0" w:type="dxa"/>
            <w:bottom w:w="0" w:type="dxa"/>
            <w:right w:w="0" w:type="dxa"/>
          </w:tblCellMar>
        </w:tblPrEx>
        <w:trPr>
          <w:trHeight w:val="355"/>
        </w:trPr>
        <w:tc>
          <w:tcPr>
            <w:tcW w:w="1231" w:type="pct"/>
            <w:noWrap w:val="0"/>
            <w:tcMar>
              <w:top w:w="16" w:type="dxa"/>
              <w:left w:w="16" w:type="dxa"/>
              <w:right w:w="16" w:type="dxa"/>
            </w:tcMar>
            <w:vAlign w:val="center"/>
          </w:tcPr>
          <w:p>
            <w:pPr>
              <w:adjustRightInd w:val="0"/>
              <w:snapToGrid w:val="0"/>
              <w:jc w:val="center"/>
              <w:rPr>
                <w:color w:val="auto"/>
                <w:szCs w:val="21"/>
              </w:rPr>
            </w:pPr>
            <w:r>
              <w:rPr>
                <w:color w:val="auto"/>
                <w:sz w:val="21"/>
                <w:szCs w:val="21"/>
              </w:rPr>
              <w:t>地理坐标</w:t>
            </w:r>
          </w:p>
        </w:tc>
        <w:tc>
          <w:tcPr>
            <w:tcW w:w="3768" w:type="pct"/>
            <w:gridSpan w:val="4"/>
            <w:noWrap w:val="0"/>
            <w:vAlign w:val="center"/>
          </w:tcPr>
          <w:p>
            <w:pPr>
              <w:adjustRightInd w:val="0"/>
              <w:snapToGrid w:val="0"/>
              <w:jc w:val="center"/>
              <w:rPr>
                <w:color w:val="auto"/>
                <w:szCs w:val="21"/>
              </w:rPr>
            </w:pPr>
            <w:r>
              <w:rPr>
                <w:color w:val="auto"/>
                <w:sz w:val="21"/>
                <w:szCs w:val="21"/>
              </w:rPr>
              <w:t>E：</w:t>
            </w:r>
            <w:r>
              <w:rPr>
                <w:color w:val="auto"/>
                <w:sz w:val="21"/>
                <w:szCs w:val="21"/>
                <w:u w:val="single"/>
              </w:rPr>
              <w:t>109</w:t>
            </w:r>
            <w:r>
              <w:rPr>
                <w:color w:val="auto"/>
                <w:sz w:val="21"/>
                <w:szCs w:val="21"/>
              </w:rPr>
              <w:t>度</w:t>
            </w:r>
            <w:r>
              <w:rPr>
                <w:rFonts w:hint="eastAsia"/>
                <w:color w:val="auto"/>
                <w:sz w:val="21"/>
                <w:szCs w:val="21"/>
                <w:u w:val="single"/>
                <w:lang w:val="en-US" w:eastAsia="zh-CN"/>
              </w:rPr>
              <w:t>09</w:t>
            </w:r>
            <w:r>
              <w:rPr>
                <w:color w:val="auto"/>
                <w:sz w:val="21"/>
                <w:szCs w:val="21"/>
              </w:rPr>
              <w:t>分</w:t>
            </w:r>
            <w:r>
              <w:rPr>
                <w:rFonts w:hint="eastAsia"/>
                <w:color w:val="auto"/>
                <w:sz w:val="21"/>
                <w:szCs w:val="21"/>
                <w:u w:val="single"/>
                <w:lang w:val="en-US" w:eastAsia="zh-CN"/>
              </w:rPr>
              <w:t>9.614</w:t>
            </w:r>
            <w:r>
              <w:rPr>
                <w:color w:val="auto"/>
                <w:sz w:val="21"/>
                <w:szCs w:val="21"/>
              </w:rPr>
              <w:t>秒，N：</w:t>
            </w:r>
            <w:r>
              <w:rPr>
                <w:color w:val="auto"/>
                <w:sz w:val="21"/>
                <w:szCs w:val="21"/>
                <w:u w:val="single"/>
              </w:rPr>
              <w:t>18</w:t>
            </w:r>
            <w:r>
              <w:rPr>
                <w:color w:val="auto"/>
                <w:sz w:val="21"/>
                <w:szCs w:val="21"/>
              </w:rPr>
              <w:t>度</w:t>
            </w:r>
            <w:r>
              <w:rPr>
                <w:rFonts w:hint="eastAsia"/>
                <w:color w:val="auto"/>
                <w:sz w:val="21"/>
                <w:szCs w:val="21"/>
                <w:u w:val="single"/>
                <w:lang w:val="en-US" w:eastAsia="zh-CN"/>
              </w:rPr>
              <w:t>18</w:t>
            </w:r>
            <w:r>
              <w:rPr>
                <w:color w:val="auto"/>
                <w:sz w:val="21"/>
                <w:szCs w:val="21"/>
              </w:rPr>
              <w:t>分</w:t>
            </w:r>
            <w:r>
              <w:rPr>
                <w:rFonts w:hint="eastAsia"/>
                <w:color w:val="auto"/>
                <w:sz w:val="21"/>
                <w:szCs w:val="21"/>
                <w:u w:val="single"/>
                <w:lang w:val="en-US" w:eastAsia="zh-CN"/>
              </w:rPr>
              <w:t>22</w:t>
            </w:r>
            <w:r>
              <w:rPr>
                <w:color w:val="auto"/>
                <w:sz w:val="21"/>
                <w:szCs w:val="21"/>
                <w:u w:val="single"/>
              </w:rPr>
              <w:t>.</w:t>
            </w:r>
            <w:r>
              <w:rPr>
                <w:rFonts w:hint="eastAsia"/>
                <w:color w:val="auto"/>
                <w:sz w:val="21"/>
                <w:szCs w:val="21"/>
                <w:u w:val="single"/>
                <w:lang w:val="en-US" w:eastAsia="zh-CN"/>
              </w:rPr>
              <w:t>388</w:t>
            </w:r>
            <w:r>
              <w:rPr>
                <w:color w:val="auto"/>
                <w:sz w:val="21"/>
                <w:szCs w:val="21"/>
              </w:rPr>
              <w:t>秒</w:t>
            </w:r>
          </w:p>
        </w:tc>
      </w:tr>
      <w:tr>
        <w:tblPrEx>
          <w:tblW w:w="4999" w:type="pct"/>
          <w:tblInd w:w="0" w:type="dxa"/>
          <w:tblLayout w:type="fixed"/>
          <w:tblCellMar>
            <w:top w:w="0" w:type="dxa"/>
            <w:left w:w="0" w:type="dxa"/>
            <w:bottom w:w="0" w:type="dxa"/>
            <w:right w:w="0" w:type="dxa"/>
          </w:tblCellMar>
        </w:tblPrEx>
        <w:trPr>
          <w:trHeight w:val="550"/>
        </w:trPr>
        <w:tc>
          <w:tcPr>
            <w:tcW w:w="1231" w:type="pct"/>
            <w:noWrap w:val="0"/>
            <w:tcMar>
              <w:top w:w="16" w:type="dxa"/>
              <w:left w:w="16" w:type="dxa"/>
              <w:right w:w="16" w:type="dxa"/>
            </w:tcMar>
            <w:vAlign w:val="center"/>
          </w:tcPr>
          <w:p>
            <w:pPr>
              <w:adjustRightInd w:val="0"/>
              <w:snapToGrid w:val="0"/>
              <w:jc w:val="center"/>
              <w:rPr>
                <w:color w:val="auto"/>
                <w:szCs w:val="21"/>
              </w:rPr>
            </w:pPr>
            <w:r>
              <w:rPr>
                <w:color w:val="auto"/>
                <w:sz w:val="21"/>
                <w:szCs w:val="21"/>
              </w:rPr>
              <w:t>建设项目</w:t>
            </w:r>
          </w:p>
          <w:p>
            <w:pPr>
              <w:adjustRightInd w:val="0"/>
              <w:snapToGrid w:val="0"/>
              <w:jc w:val="center"/>
              <w:rPr>
                <w:color w:val="auto"/>
                <w:szCs w:val="21"/>
              </w:rPr>
            </w:pPr>
            <w:r>
              <w:rPr>
                <w:color w:val="auto"/>
                <w:sz w:val="21"/>
                <w:szCs w:val="21"/>
              </w:rPr>
              <w:t>行业类别</w:t>
            </w:r>
          </w:p>
        </w:tc>
        <w:tc>
          <w:tcPr>
            <w:tcW w:w="1129" w:type="pct"/>
            <w:noWrap w:val="0"/>
            <w:vAlign w:val="center"/>
          </w:tcPr>
          <w:p>
            <w:pPr>
              <w:adjustRightInd w:val="0"/>
              <w:snapToGrid w:val="0"/>
              <w:jc w:val="center"/>
              <w:rPr>
                <w:rFonts w:hint="eastAsia"/>
                <w:color w:val="auto"/>
                <w:szCs w:val="21"/>
              </w:rPr>
            </w:pPr>
            <w:r>
              <w:rPr>
                <w:color w:val="auto"/>
                <w:sz w:val="21"/>
                <w:szCs w:val="21"/>
              </w:rPr>
              <w:t>四十四、房地产业；97、</w:t>
            </w:r>
            <w:r>
              <w:rPr>
                <w:rFonts w:hint="eastAsia"/>
                <w:color w:val="auto"/>
                <w:sz w:val="21"/>
                <w:szCs w:val="21"/>
                <w:lang w:val="en-US" w:eastAsia="zh-CN"/>
              </w:rPr>
              <w:t>办公用房</w:t>
            </w:r>
          </w:p>
        </w:tc>
        <w:tc>
          <w:tcPr>
            <w:tcW w:w="1226" w:type="pct"/>
            <w:noWrap w:val="0"/>
            <w:vAlign w:val="center"/>
          </w:tcPr>
          <w:p>
            <w:pPr>
              <w:adjustRightInd w:val="0"/>
              <w:snapToGrid w:val="0"/>
              <w:jc w:val="center"/>
              <w:rPr>
                <w:rFonts w:hint="eastAsia"/>
                <w:color w:val="auto"/>
                <w:szCs w:val="21"/>
              </w:rPr>
            </w:pPr>
            <w:r>
              <w:rPr>
                <w:color w:val="auto"/>
                <w:sz w:val="21"/>
                <w:szCs w:val="21"/>
              </w:rPr>
              <w:t>用地面积</w:t>
            </w:r>
            <w:r>
              <w:rPr>
                <w:rFonts w:hint="eastAsia"/>
                <w:color w:val="auto"/>
                <w:sz w:val="21"/>
                <w:szCs w:val="21"/>
                <w:lang w:eastAsia="zh-CN"/>
              </w:rPr>
              <w:t>（</w:t>
            </w:r>
            <w:r>
              <w:rPr>
                <w:color w:val="auto"/>
                <w:sz w:val="21"/>
                <w:szCs w:val="21"/>
                <w:highlight w:val="none"/>
              </w:rPr>
              <w:t>m</w:t>
            </w:r>
            <w:r>
              <w:rPr>
                <w:color w:val="auto"/>
                <w:sz w:val="21"/>
                <w:szCs w:val="21"/>
                <w:highlight w:val="none"/>
                <w:vertAlign w:val="superscript"/>
              </w:rPr>
              <w:t>2</w:t>
            </w:r>
            <w:r>
              <w:rPr>
                <w:rFonts w:hint="eastAsia"/>
                <w:color w:val="auto"/>
                <w:sz w:val="21"/>
                <w:szCs w:val="21"/>
                <w:lang w:eastAsia="zh-CN"/>
              </w:rPr>
              <w:t>）</w:t>
            </w:r>
            <w:r>
              <w:rPr>
                <w:color w:val="auto"/>
                <w:sz w:val="21"/>
                <w:szCs w:val="21"/>
              </w:rPr>
              <w:t>/长度</w:t>
            </w:r>
            <w:r>
              <w:rPr>
                <w:rFonts w:hint="eastAsia"/>
                <w:color w:val="auto"/>
                <w:sz w:val="21"/>
                <w:szCs w:val="21"/>
                <w:lang w:eastAsia="zh-CN"/>
              </w:rPr>
              <w:t>（</w:t>
            </w:r>
            <w:r>
              <w:rPr>
                <w:color w:val="auto"/>
                <w:sz w:val="21"/>
                <w:szCs w:val="21"/>
              </w:rPr>
              <w:t>km</w:t>
            </w:r>
            <w:r>
              <w:rPr>
                <w:rFonts w:hint="eastAsia"/>
                <w:color w:val="auto"/>
                <w:sz w:val="21"/>
                <w:szCs w:val="21"/>
                <w:lang w:eastAsia="zh-CN"/>
              </w:rPr>
              <w:t>）</w:t>
            </w:r>
          </w:p>
        </w:tc>
        <w:tc>
          <w:tcPr>
            <w:tcW w:w="1412" w:type="pct"/>
            <w:gridSpan w:val="2"/>
            <w:noWrap w:val="0"/>
            <w:vAlign w:val="center"/>
          </w:tcPr>
          <w:p>
            <w:pPr>
              <w:adjustRightInd w:val="0"/>
              <w:snapToGrid w:val="0"/>
              <w:jc w:val="center"/>
              <w:rPr>
                <w:rFonts w:hint="default"/>
                <w:color w:val="auto"/>
                <w:szCs w:val="21"/>
              </w:rPr>
            </w:pPr>
            <w:r>
              <w:rPr>
                <w:rFonts w:hint="eastAsia"/>
                <w:color w:val="auto"/>
                <w:sz w:val="21"/>
                <w:szCs w:val="21"/>
                <w:lang w:val="en-US" w:eastAsia="zh-CN"/>
              </w:rPr>
              <w:t>19600.00</w:t>
            </w:r>
          </w:p>
        </w:tc>
      </w:tr>
      <w:tr>
        <w:tblPrEx>
          <w:tblW w:w="4999" w:type="pct"/>
          <w:tblInd w:w="0" w:type="dxa"/>
          <w:tblLayout w:type="fixed"/>
          <w:tblCellMar>
            <w:top w:w="0" w:type="dxa"/>
            <w:left w:w="0" w:type="dxa"/>
            <w:bottom w:w="0" w:type="dxa"/>
            <w:right w:w="0" w:type="dxa"/>
          </w:tblCellMar>
        </w:tblPrEx>
        <w:trPr>
          <w:trHeight w:val="1170"/>
        </w:trPr>
        <w:tc>
          <w:tcPr>
            <w:tcW w:w="1231" w:type="pct"/>
            <w:noWrap w:val="0"/>
            <w:tcMar>
              <w:top w:w="16" w:type="dxa"/>
              <w:left w:w="16" w:type="dxa"/>
              <w:right w:w="16" w:type="dxa"/>
            </w:tcMar>
            <w:vAlign w:val="center"/>
          </w:tcPr>
          <w:p>
            <w:pPr>
              <w:adjustRightInd w:val="0"/>
              <w:snapToGrid w:val="0"/>
              <w:jc w:val="center"/>
              <w:rPr>
                <w:color w:val="auto"/>
                <w:szCs w:val="21"/>
              </w:rPr>
            </w:pPr>
            <w:r>
              <w:rPr>
                <w:color w:val="auto"/>
                <w:sz w:val="21"/>
                <w:szCs w:val="21"/>
              </w:rPr>
              <w:t>建设性质</w:t>
            </w:r>
          </w:p>
        </w:tc>
        <w:tc>
          <w:tcPr>
            <w:tcW w:w="1129" w:type="pct"/>
            <w:noWrap w:val="0"/>
            <w:vAlign w:val="center"/>
          </w:tcPr>
          <w:p>
            <w:pPr>
              <w:adjustRightInd w:val="0"/>
              <w:snapToGrid w:val="0"/>
              <w:jc w:val="left"/>
              <w:rPr>
                <w:rFonts w:hint="eastAsia"/>
                <w:color w:val="auto"/>
                <w:szCs w:val="21"/>
              </w:rPr>
            </w:pPr>
            <w:r>
              <w:rPr>
                <w:rFonts w:ascii="Wingdings 2" w:hAnsi="Wingdings 2"/>
                <w:color w:val="auto"/>
                <w:sz w:val="21"/>
                <w:szCs w:val="21"/>
                <w:highlight w:val="none"/>
                <w:lang w:eastAsia="zh-CN"/>
              </w:rPr>
              <w:t>R</w:t>
            </w:r>
            <w:r>
              <w:rPr>
                <w:color w:val="auto"/>
                <w:sz w:val="21"/>
                <w:szCs w:val="21"/>
              </w:rPr>
              <w:t>新建</w:t>
            </w:r>
            <w:r>
              <w:rPr>
                <w:rFonts w:hint="eastAsia"/>
                <w:color w:val="auto"/>
                <w:sz w:val="21"/>
                <w:szCs w:val="21"/>
                <w:lang w:eastAsia="zh-CN"/>
              </w:rPr>
              <w:t>（</w:t>
            </w:r>
            <w:r>
              <w:rPr>
                <w:color w:val="auto"/>
                <w:sz w:val="21"/>
                <w:szCs w:val="21"/>
              </w:rPr>
              <w:t>迁建</w:t>
            </w:r>
            <w:r>
              <w:rPr>
                <w:rFonts w:hint="eastAsia"/>
                <w:color w:val="auto"/>
                <w:sz w:val="21"/>
                <w:szCs w:val="21"/>
                <w:lang w:eastAsia="zh-CN"/>
              </w:rPr>
              <w:t>）</w:t>
            </w:r>
          </w:p>
          <w:p>
            <w:pPr>
              <w:adjustRightInd w:val="0"/>
              <w:snapToGrid w:val="0"/>
              <w:jc w:val="left"/>
              <w:rPr>
                <w:color w:val="auto"/>
                <w:szCs w:val="21"/>
              </w:rPr>
            </w:pPr>
            <w:r>
              <w:rPr>
                <w:color w:val="auto"/>
                <w:sz w:val="21"/>
                <w:szCs w:val="21"/>
              </w:rPr>
              <w:t>□改建</w:t>
            </w:r>
          </w:p>
          <w:p>
            <w:pPr>
              <w:adjustRightInd w:val="0"/>
              <w:snapToGrid w:val="0"/>
              <w:jc w:val="left"/>
              <w:rPr>
                <w:color w:val="auto"/>
                <w:szCs w:val="21"/>
              </w:rPr>
            </w:pPr>
            <w:r>
              <w:rPr>
                <w:rFonts w:ascii="Wingdings 2" w:hAnsi="Wingdings 2"/>
                <w:color w:val="auto"/>
                <w:sz w:val="21"/>
                <w:szCs w:val="21"/>
                <w:highlight w:val="none"/>
              </w:rPr>
              <w:t>£</w:t>
            </w:r>
            <w:r>
              <w:rPr>
                <w:color w:val="auto"/>
                <w:sz w:val="21"/>
                <w:szCs w:val="21"/>
              </w:rPr>
              <w:t>扩建</w:t>
            </w:r>
          </w:p>
          <w:p>
            <w:pPr>
              <w:adjustRightInd w:val="0"/>
              <w:snapToGrid w:val="0"/>
              <w:jc w:val="left"/>
              <w:rPr>
                <w:color w:val="auto"/>
                <w:szCs w:val="21"/>
              </w:rPr>
            </w:pPr>
            <w:r>
              <w:rPr>
                <w:color w:val="auto"/>
                <w:sz w:val="21"/>
                <w:szCs w:val="21"/>
              </w:rPr>
              <w:t>□技术改造</w:t>
            </w:r>
          </w:p>
        </w:tc>
        <w:tc>
          <w:tcPr>
            <w:tcW w:w="1226" w:type="pct"/>
            <w:noWrap w:val="0"/>
            <w:vAlign w:val="center"/>
          </w:tcPr>
          <w:p>
            <w:pPr>
              <w:adjustRightInd w:val="0"/>
              <w:snapToGrid w:val="0"/>
              <w:jc w:val="center"/>
              <w:rPr>
                <w:color w:val="auto"/>
                <w:szCs w:val="21"/>
              </w:rPr>
            </w:pPr>
            <w:r>
              <w:rPr>
                <w:color w:val="auto"/>
                <w:sz w:val="21"/>
                <w:szCs w:val="21"/>
              </w:rPr>
              <w:t>建设项目</w:t>
            </w:r>
          </w:p>
          <w:p>
            <w:pPr>
              <w:adjustRightInd w:val="0"/>
              <w:snapToGrid w:val="0"/>
              <w:jc w:val="center"/>
              <w:rPr>
                <w:color w:val="auto"/>
                <w:szCs w:val="21"/>
              </w:rPr>
            </w:pPr>
            <w:r>
              <w:rPr>
                <w:color w:val="auto"/>
                <w:sz w:val="21"/>
                <w:szCs w:val="21"/>
              </w:rPr>
              <w:t>申报情形</w:t>
            </w:r>
          </w:p>
        </w:tc>
        <w:tc>
          <w:tcPr>
            <w:tcW w:w="1412" w:type="pct"/>
            <w:gridSpan w:val="2"/>
            <w:noWrap w:val="0"/>
            <w:vAlign w:val="center"/>
          </w:tcPr>
          <w:p>
            <w:pPr>
              <w:adjustRightInd w:val="0"/>
              <w:snapToGrid w:val="0"/>
              <w:jc w:val="left"/>
              <w:rPr>
                <w:color w:val="auto"/>
                <w:szCs w:val="21"/>
              </w:rPr>
            </w:pPr>
            <w:r>
              <w:rPr>
                <w:color w:val="auto"/>
                <w:sz w:val="21"/>
                <w:szCs w:val="21"/>
              </w:rPr>
              <w:t>☑首次申报项目</w:t>
            </w:r>
          </w:p>
          <w:p>
            <w:pPr>
              <w:adjustRightInd w:val="0"/>
              <w:snapToGrid w:val="0"/>
              <w:jc w:val="left"/>
              <w:rPr>
                <w:color w:val="auto"/>
                <w:szCs w:val="21"/>
              </w:rPr>
            </w:pPr>
            <w:r>
              <w:rPr>
                <w:color w:val="auto"/>
                <w:sz w:val="21"/>
                <w:szCs w:val="21"/>
              </w:rPr>
              <w:t>□不予批准后再次申报项目</w:t>
            </w:r>
          </w:p>
          <w:p>
            <w:pPr>
              <w:adjustRightInd w:val="0"/>
              <w:snapToGrid w:val="0"/>
              <w:jc w:val="left"/>
              <w:rPr>
                <w:color w:val="auto"/>
                <w:szCs w:val="21"/>
              </w:rPr>
            </w:pPr>
            <w:r>
              <w:rPr>
                <w:color w:val="auto"/>
                <w:sz w:val="21"/>
                <w:szCs w:val="21"/>
              </w:rPr>
              <w:t>□超五年重新审核项目</w:t>
            </w:r>
          </w:p>
          <w:p>
            <w:pPr>
              <w:adjustRightInd w:val="0"/>
              <w:snapToGrid w:val="0"/>
              <w:rPr>
                <w:color w:val="auto"/>
                <w:szCs w:val="21"/>
              </w:rPr>
            </w:pPr>
            <w:r>
              <w:rPr>
                <w:color w:val="auto"/>
                <w:sz w:val="21"/>
                <w:szCs w:val="21"/>
              </w:rPr>
              <w:t>□重大变动重新报批项目</w:t>
            </w:r>
          </w:p>
        </w:tc>
      </w:tr>
      <w:tr>
        <w:tblPrEx>
          <w:tblW w:w="4999" w:type="pct"/>
          <w:tblInd w:w="0" w:type="dxa"/>
          <w:tblLayout w:type="fixed"/>
          <w:tblCellMar>
            <w:top w:w="0" w:type="dxa"/>
            <w:left w:w="0" w:type="dxa"/>
            <w:bottom w:w="0" w:type="dxa"/>
            <w:right w:w="0" w:type="dxa"/>
          </w:tblCellMar>
        </w:tblPrEx>
        <w:trPr>
          <w:trHeight w:val="762"/>
        </w:trPr>
        <w:tc>
          <w:tcPr>
            <w:tcW w:w="1231" w:type="pct"/>
            <w:noWrap w:val="0"/>
            <w:tcMar>
              <w:top w:w="16" w:type="dxa"/>
              <w:left w:w="16" w:type="dxa"/>
              <w:right w:w="16" w:type="dxa"/>
            </w:tcMar>
            <w:vAlign w:val="center"/>
          </w:tcPr>
          <w:p>
            <w:pPr>
              <w:adjustRightInd w:val="0"/>
              <w:snapToGrid w:val="0"/>
              <w:jc w:val="center"/>
              <w:rPr>
                <w:color w:val="auto"/>
                <w:szCs w:val="21"/>
              </w:rPr>
            </w:pPr>
            <w:r>
              <w:rPr>
                <w:color w:val="auto"/>
                <w:sz w:val="21"/>
                <w:szCs w:val="21"/>
              </w:rPr>
              <w:t>项目审批</w:t>
            </w:r>
            <w:r>
              <w:rPr>
                <w:rFonts w:hint="eastAsia"/>
                <w:color w:val="auto"/>
                <w:sz w:val="21"/>
                <w:szCs w:val="21"/>
                <w:lang w:eastAsia="zh-CN"/>
              </w:rPr>
              <w:t>（</w:t>
            </w:r>
            <w:r>
              <w:rPr>
                <w:color w:val="auto"/>
                <w:sz w:val="21"/>
                <w:szCs w:val="21"/>
              </w:rPr>
              <w:t>核准/</w:t>
            </w:r>
          </w:p>
          <w:p>
            <w:pPr>
              <w:adjustRightInd w:val="0"/>
              <w:snapToGrid w:val="0"/>
              <w:jc w:val="center"/>
              <w:rPr>
                <w:rFonts w:hint="eastAsia"/>
                <w:color w:val="auto"/>
                <w:szCs w:val="21"/>
              </w:rPr>
            </w:pPr>
            <w:r>
              <w:rPr>
                <w:color w:val="auto"/>
                <w:sz w:val="21"/>
                <w:szCs w:val="21"/>
              </w:rPr>
              <w:t>备案</w:t>
            </w:r>
            <w:r>
              <w:rPr>
                <w:rFonts w:hint="eastAsia"/>
                <w:color w:val="auto"/>
                <w:sz w:val="21"/>
                <w:szCs w:val="21"/>
                <w:lang w:eastAsia="zh-CN"/>
              </w:rPr>
              <w:t>）</w:t>
            </w:r>
            <w:r>
              <w:rPr>
                <w:color w:val="auto"/>
                <w:sz w:val="21"/>
                <w:szCs w:val="21"/>
              </w:rPr>
              <w:t>部门</w:t>
            </w:r>
            <w:r>
              <w:rPr>
                <w:rFonts w:hint="eastAsia"/>
                <w:color w:val="auto"/>
                <w:sz w:val="21"/>
                <w:szCs w:val="21"/>
                <w:lang w:eastAsia="zh-CN"/>
              </w:rPr>
              <w:t>（</w:t>
            </w:r>
            <w:r>
              <w:rPr>
                <w:color w:val="auto"/>
                <w:sz w:val="21"/>
                <w:szCs w:val="21"/>
              </w:rPr>
              <w:t>选填</w:t>
            </w:r>
            <w:r>
              <w:rPr>
                <w:rFonts w:hint="eastAsia"/>
                <w:color w:val="auto"/>
                <w:sz w:val="21"/>
                <w:szCs w:val="21"/>
                <w:lang w:eastAsia="zh-CN"/>
              </w:rPr>
              <w:t>）</w:t>
            </w:r>
          </w:p>
        </w:tc>
        <w:tc>
          <w:tcPr>
            <w:tcW w:w="1129" w:type="pct"/>
            <w:noWrap w:val="0"/>
            <w:vAlign w:val="center"/>
          </w:tcPr>
          <w:p>
            <w:pPr>
              <w:adjustRightInd w:val="0"/>
              <w:snapToGrid w:val="0"/>
              <w:jc w:val="center"/>
              <w:rPr>
                <w:color w:val="auto"/>
                <w:szCs w:val="21"/>
              </w:rPr>
            </w:pPr>
            <w:r>
              <w:rPr>
                <w:rFonts w:hint="default"/>
                <w:color w:val="auto"/>
                <w:sz w:val="21"/>
                <w:szCs w:val="21"/>
                <w:lang w:val="en-US" w:eastAsia="zh-CN"/>
              </w:rPr>
              <w:t>三亚市崖州区发展和改革委员</w:t>
            </w:r>
          </w:p>
        </w:tc>
        <w:tc>
          <w:tcPr>
            <w:tcW w:w="1226" w:type="pct"/>
            <w:noWrap w:val="0"/>
            <w:vAlign w:val="center"/>
          </w:tcPr>
          <w:p>
            <w:pPr>
              <w:adjustRightInd w:val="0"/>
              <w:snapToGrid w:val="0"/>
              <w:jc w:val="center"/>
              <w:rPr>
                <w:color w:val="auto"/>
                <w:szCs w:val="21"/>
              </w:rPr>
            </w:pPr>
            <w:r>
              <w:rPr>
                <w:color w:val="auto"/>
                <w:sz w:val="21"/>
                <w:szCs w:val="21"/>
              </w:rPr>
              <w:t>项目审批</w:t>
            </w:r>
            <w:r>
              <w:rPr>
                <w:rFonts w:hint="eastAsia"/>
                <w:color w:val="auto"/>
                <w:sz w:val="21"/>
                <w:szCs w:val="21"/>
                <w:lang w:eastAsia="zh-CN"/>
              </w:rPr>
              <w:t>（</w:t>
            </w:r>
            <w:r>
              <w:rPr>
                <w:color w:val="auto"/>
                <w:sz w:val="21"/>
                <w:szCs w:val="21"/>
              </w:rPr>
              <w:t>核准/</w:t>
            </w:r>
          </w:p>
          <w:p>
            <w:pPr>
              <w:adjustRightInd w:val="0"/>
              <w:snapToGrid w:val="0"/>
              <w:jc w:val="center"/>
              <w:rPr>
                <w:rFonts w:hint="eastAsia"/>
                <w:color w:val="auto"/>
                <w:szCs w:val="21"/>
              </w:rPr>
            </w:pPr>
            <w:r>
              <w:rPr>
                <w:color w:val="auto"/>
                <w:sz w:val="21"/>
                <w:szCs w:val="21"/>
              </w:rPr>
              <w:t>备案</w:t>
            </w:r>
            <w:r>
              <w:rPr>
                <w:rFonts w:hint="eastAsia"/>
                <w:color w:val="auto"/>
                <w:sz w:val="21"/>
                <w:szCs w:val="21"/>
                <w:lang w:eastAsia="zh-CN"/>
              </w:rPr>
              <w:t>）</w:t>
            </w:r>
            <w:r>
              <w:rPr>
                <w:color w:val="auto"/>
                <w:sz w:val="21"/>
                <w:szCs w:val="21"/>
              </w:rPr>
              <w:t>文号</w:t>
            </w:r>
            <w:r>
              <w:rPr>
                <w:rFonts w:hint="eastAsia"/>
                <w:color w:val="auto"/>
                <w:sz w:val="21"/>
                <w:szCs w:val="21"/>
                <w:lang w:eastAsia="zh-CN"/>
              </w:rPr>
              <w:t>（</w:t>
            </w:r>
            <w:r>
              <w:rPr>
                <w:color w:val="auto"/>
                <w:sz w:val="21"/>
                <w:szCs w:val="21"/>
              </w:rPr>
              <w:t>选填</w:t>
            </w:r>
            <w:r>
              <w:rPr>
                <w:rFonts w:hint="eastAsia"/>
                <w:color w:val="auto"/>
                <w:sz w:val="21"/>
                <w:szCs w:val="21"/>
                <w:lang w:eastAsia="zh-CN"/>
              </w:rPr>
              <w:t>）</w:t>
            </w:r>
          </w:p>
        </w:tc>
        <w:tc>
          <w:tcPr>
            <w:tcW w:w="1412" w:type="pct"/>
            <w:gridSpan w:val="2"/>
            <w:noWrap w:val="0"/>
            <w:vAlign w:val="center"/>
          </w:tcPr>
          <w:p>
            <w:pPr>
              <w:adjustRightInd w:val="0"/>
              <w:snapToGrid w:val="0"/>
              <w:jc w:val="center"/>
              <w:rPr>
                <w:color w:val="auto"/>
                <w:szCs w:val="21"/>
              </w:rPr>
            </w:pPr>
            <w:r>
              <w:rPr>
                <w:color w:val="auto"/>
                <w:sz w:val="21"/>
                <w:szCs w:val="21"/>
              </w:rPr>
              <w:t>/</w:t>
            </w:r>
          </w:p>
        </w:tc>
      </w:tr>
      <w:tr>
        <w:tblPrEx>
          <w:tblW w:w="4999" w:type="pct"/>
          <w:tblInd w:w="0" w:type="dxa"/>
          <w:tblLayout w:type="fixed"/>
          <w:tblCellMar>
            <w:top w:w="0" w:type="dxa"/>
            <w:left w:w="0" w:type="dxa"/>
            <w:bottom w:w="0" w:type="dxa"/>
            <w:right w:w="0" w:type="dxa"/>
          </w:tblCellMar>
        </w:tblPrEx>
        <w:trPr>
          <w:trHeight w:val="355"/>
        </w:trPr>
        <w:tc>
          <w:tcPr>
            <w:tcW w:w="1231" w:type="pct"/>
            <w:noWrap w:val="0"/>
            <w:tcMar>
              <w:top w:w="16" w:type="dxa"/>
              <w:left w:w="16" w:type="dxa"/>
              <w:right w:w="16" w:type="dxa"/>
            </w:tcMar>
            <w:vAlign w:val="center"/>
          </w:tcPr>
          <w:p>
            <w:pPr>
              <w:adjustRightInd w:val="0"/>
              <w:snapToGrid w:val="0"/>
              <w:jc w:val="center"/>
              <w:rPr>
                <w:rFonts w:hint="eastAsia"/>
                <w:color w:val="auto"/>
                <w:szCs w:val="21"/>
              </w:rPr>
            </w:pPr>
            <w:r>
              <w:rPr>
                <w:color w:val="auto"/>
                <w:sz w:val="21"/>
                <w:szCs w:val="21"/>
              </w:rPr>
              <w:t>总投资</w:t>
            </w:r>
            <w:r>
              <w:rPr>
                <w:rFonts w:hint="eastAsia"/>
                <w:color w:val="auto"/>
                <w:sz w:val="21"/>
                <w:szCs w:val="21"/>
                <w:lang w:eastAsia="zh-CN"/>
              </w:rPr>
              <w:t>（</w:t>
            </w:r>
            <w:r>
              <w:rPr>
                <w:color w:val="auto"/>
                <w:sz w:val="21"/>
                <w:szCs w:val="21"/>
              </w:rPr>
              <w:t>万元</w:t>
            </w:r>
            <w:r>
              <w:rPr>
                <w:rFonts w:hint="eastAsia"/>
                <w:color w:val="auto"/>
                <w:sz w:val="21"/>
                <w:szCs w:val="21"/>
                <w:lang w:eastAsia="zh-CN"/>
              </w:rPr>
              <w:t>）</w:t>
            </w:r>
          </w:p>
        </w:tc>
        <w:tc>
          <w:tcPr>
            <w:tcW w:w="1129" w:type="pct"/>
            <w:noWrap w:val="0"/>
            <w:vAlign w:val="center"/>
          </w:tcPr>
          <w:p>
            <w:pPr>
              <w:adjustRightInd w:val="0"/>
              <w:snapToGrid w:val="0"/>
              <w:jc w:val="center"/>
              <w:rPr>
                <w:rFonts w:hint="default"/>
                <w:color w:val="auto"/>
                <w:szCs w:val="21"/>
              </w:rPr>
            </w:pPr>
            <w:r>
              <w:rPr>
                <w:rFonts w:cs="Times New Roman" w:hint="eastAsia"/>
                <w:color w:val="auto"/>
                <w:sz w:val="21"/>
                <w:szCs w:val="21"/>
                <w:lang w:val="en-US" w:eastAsia="zh-CN"/>
              </w:rPr>
              <w:t>1000</w:t>
            </w:r>
          </w:p>
        </w:tc>
        <w:tc>
          <w:tcPr>
            <w:tcW w:w="1226" w:type="pct"/>
            <w:noWrap w:val="0"/>
            <w:tcMar>
              <w:top w:w="16" w:type="dxa"/>
              <w:left w:w="16" w:type="dxa"/>
              <w:right w:w="16" w:type="dxa"/>
            </w:tcMar>
            <w:vAlign w:val="center"/>
          </w:tcPr>
          <w:p>
            <w:pPr>
              <w:adjustRightInd w:val="0"/>
              <w:snapToGrid w:val="0"/>
              <w:jc w:val="center"/>
              <w:rPr>
                <w:rFonts w:hint="eastAsia"/>
                <w:color w:val="auto"/>
                <w:szCs w:val="21"/>
              </w:rPr>
            </w:pPr>
            <w:r>
              <w:rPr>
                <w:color w:val="auto"/>
                <w:sz w:val="21"/>
                <w:szCs w:val="21"/>
              </w:rPr>
              <w:t>环保投资</w:t>
            </w:r>
            <w:r>
              <w:rPr>
                <w:rFonts w:hint="eastAsia"/>
                <w:color w:val="auto"/>
                <w:sz w:val="21"/>
                <w:szCs w:val="21"/>
                <w:lang w:eastAsia="zh-CN"/>
              </w:rPr>
              <w:t>（</w:t>
            </w:r>
            <w:r>
              <w:rPr>
                <w:color w:val="auto"/>
                <w:sz w:val="21"/>
                <w:szCs w:val="21"/>
              </w:rPr>
              <w:t>万元</w:t>
            </w:r>
            <w:r>
              <w:rPr>
                <w:rFonts w:hint="eastAsia"/>
                <w:color w:val="auto"/>
                <w:sz w:val="21"/>
                <w:szCs w:val="21"/>
                <w:lang w:eastAsia="zh-CN"/>
              </w:rPr>
              <w:t>）</w:t>
            </w:r>
          </w:p>
        </w:tc>
        <w:tc>
          <w:tcPr>
            <w:tcW w:w="1412" w:type="pct"/>
            <w:gridSpan w:val="2"/>
            <w:noWrap w:val="0"/>
            <w:vAlign w:val="center"/>
          </w:tcPr>
          <w:p>
            <w:pPr>
              <w:adjustRightInd w:val="0"/>
              <w:snapToGrid w:val="0"/>
              <w:jc w:val="center"/>
              <w:rPr>
                <w:rFonts w:hint="default"/>
                <w:color w:val="auto"/>
                <w:szCs w:val="21"/>
              </w:rPr>
            </w:pPr>
            <w:r>
              <w:rPr>
                <w:rFonts w:hint="eastAsia"/>
                <w:color w:val="auto"/>
                <w:sz w:val="21"/>
                <w:szCs w:val="21"/>
                <w:lang w:val="en-US" w:eastAsia="zh-CN"/>
              </w:rPr>
              <w:t>40</w:t>
            </w:r>
          </w:p>
        </w:tc>
      </w:tr>
      <w:tr>
        <w:tblPrEx>
          <w:tblW w:w="4999" w:type="pct"/>
          <w:tblInd w:w="0" w:type="dxa"/>
          <w:tblLayout w:type="fixed"/>
          <w:tblCellMar>
            <w:top w:w="0" w:type="dxa"/>
            <w:left w:w="0" w:type="dxa"/>
            <w:bottom w:w="0" w:type="dxa"/>
            <w:right w:w="0" w:type="dxa"/>
          </w:tblCellMar>
        </w:tblPrEx>
        <w:trPr>
          <w:trHeight w:val="364"/>
        </w:trPr>
        <w:tc>
          <w:tcPr>
            <w:tcW w:w="1231" w:type="pct"/>
            <w:noWrap w:val="0"/>
            <w:tcMar>
              <w:top w:w="16" w:type="dxa"/>
              <w:left w:w="16" w:type="dxa"/>
              <w:right w:w="16" w:type="dxa"/>
            </w:tcMar>
            <w:vAlign w:val="center"/>
          </w:tcPr>
          <w:p>
            <w:pPr>
              <w:adjustRightInd w:val="0"/>
              <w:snapToGrid w:val="0"/>
              <w:jc w:val="center"/>
              <w:rPr>
                <w:rFonts w:hint="eastAsia"/>
                <w:color w:val="auto"/>
                <w:szCs w:val="21"/>
              </w:rPr>
            </w:pPr>
            <w:r>
              <w:rPr>
                <w:color w:val="auto"/>
                <w:sz w:val="21"/>
                <w:szCs w:val="21"/>
              </w:rPr>
              <w:t>环保投资占比</w:t>
            </w:r>
            <w:r>
              <w:rPr>
                <w:rFonts w:hint="eastAsia"/>
                <w:color w:val="auto"/>
                <w:sz w:val="21"/>
                <w:szCs w:val="21"/>
                <w:lang w:eastAsia="zh-CN"/>
              </w:rPr>
              <w:t>（</w:t>
            </w:r>
            <w:r>
              <w:rPr>
                <w:color w:val="auto"/>
                <w:sz w:val="21"/>
                <w:szCs w:val="21"/>
              </w:rPr>
              <w:t>%</w:t>
            </w:r>
            <w:r>
              <w:rPr>
                <w:rFonts w:hint="eastAsia"/>
                <w:color w:val="auto"/>
                <w:sz w:val="21"/>
                <w:szCs w:val="21"/>
                <w:lang w:eastAsia="zh-CN"/>
              </w:rPr>
              <w:t>）</w:t>
            </w:r>
          </w:p>
        </w:tc>
        <w:tc>
          <w:tcPr>
            <w:tcW w:w="1129" w:type="pct"/>
            <w:noWrap w:val="0"/>
            <w:vAlign w:val="center"/>
          </w:tcPr>
          <w:p>
            <w:pPr>
              <w:adjustRightInd w:val="0"/>
              <w:snapToGrid w:val="0"/>
              <w:jc w:val="center"/>
              <w:rPr>
                <w:rFonts w:hint="default"/>
                <w:color w:val="auto"/>
                <w:szCs w:val="21"/>
              </w:rPr>
            </w:pPr>
            <w:r>
              <w:rPr>
                <w:rFonts w:hint="eastAsia"/>
                <w:color w:val="auto"/>
                <w:sz w:val="21"/>
                <w:szCs w:val="21"/>
                <w:lang w:val="en-US" w:eastAsia="zh-CN"/>
              </w:rPr>
              <w:t>4.00</w:t>
            </w:r>
          </w:p>
        </w:tc>
        <w:tc>
          <w:tcPr>
            <w:tcW w:w="1226" w:type="pct"/>
            <w:noWrap w:val="0"/>
            <w:tcMar>
              <w:top w:w="16" w:type="dxa"/>
              <w:left w:w="16" w:type="dxa"/>
              <w:right w:w="16" w:type="dxa"/>
            </w:tcMar>
            <w:vAlign w:val="center"/>
          </w:tcPr>
          <w:p>
            <w:pPr>
              <w:adjustRightInd w:val="0"/>
              <w:snapToGrid w:val="0"/>
              <w:jc w:val="center"/>
              <w:rPr>
                <w:color w:val="auto"/>
                <w:szCs w:val="21"/>
              </w:rPr>
            </w:pPr>
            <w:r>
              <w:rPr>
                <w:color w:val="auto"/>
                <w:sz w:val="21"/>
                <w:szCs w:val="21"/>
              </w:rPr>
              <w:t>施工工期</w:t>
            </w:r>
          </w:p>
        </w:tc>
        <w:tc>
          <w:tcPr>
            <w:tcW w:w="1412" w:type="pct"/>
            <w:gridSpan w:val="2"/>
            <w:noWrap w:val="0"/>
            <w:vAlign w:val="center"/>
          </w:tcPr>
          <w:p>
            <w:pPr>
              <w:adjustRightInd w:val="0"/>
              <w:snapToGrid w:val="0"/>
              <w:jc w:val="center"/>
              <w:rPr>
                <w:rFonts w:hint="eastAsia"/>
                <w:color w:val="auto"/>
                <w:szCs w:val="21"/>
              </w:rPr>
            </w:pPr>
            <w:r>
              <w:rPr>
                <w:rFonts w:hint="eastAsia"/>
                <w:color w:val="auto"/>
                <w:sz w:val="21"/>
                <w:szCs w:val="21"/>
                <w:lang w:val="en-US" w:eastAsia="zh-CN"/>
              </w:rPr>
              <w:t>12</w:t>
            </w:r>
            <w:r>
              <w:rPr>
                <w:rFonts w:hint="eastAsia"/>
                <w:color w:val="auto"/>
                <w:sz w:val="21"/>
                <w:szCs w:val="21"/>
              </w:rPr>
              <w:t>个月</w:t>
            </w:r>
          </w:p>
        </w:tc>
      </w:tr>
      <w:tr>
        <w:tblPrEx>
          <w:tblW w:w="4999" w:type="pct"/>
          <w:tblInd w:w="0" w:type="dxa"/>
          <w:tblLayout w:type="fixed"/>
          <w:tblCellMar>
            <w:top w:w="0" w:type="dxa"/>
            <w:left w:w="0" w:type="dxa"/>
            <w:bottom w:w="0" w:type="dxa"/>
            <w:right w:w="0" w:type="dxa"/>
          </w:tblCellMar>
        </w:tblPrEx>
        <w:trPr>
          <w:trHeight w:val="911"/>
        </w:trPr>
        <w:tc>
          <w:tcPr>
            <w:tcW w:w="1231" w:type="pct"/>
            <w:noWrap w:val="0"/>
            <w:tcMar>
              <w:top w:w="16" w:type="dxa"/>
              <w:left w:w="16" w:type="dxa"/>
              <w:right w:w="16" w:type="dxa"/>
            </w:tcMar>
            <w:vAlign w:val="center"/>
          </w:tcPr>
          <w:p>
            <w:pPr>
              <w:adjustRightInd w:val="0"/>
              <w:snapToGrid w:val="0"/>
              <w:jc w:val="center"/>
              <w:rPr>
                <w:color w:val="auto"/>
                <w:szCs w:val="21"/>
              </w:rPr>
            </w:pPr>
            <w:r>
              <w:rPr>
                <w:color w:val="auto"/>
                <w:sz w:val="21"/>
                <w:szCs w:val="21"/>
              </w:rPr>
              <w:t>是否开工建设</w:t>
            </w:r>
          </w:p>
        </w:tc>
        <w:tc>
          <w:tcPr>
            <w:tcW w:w="3768" w:type="pct"/>
            <w:gridSpan w:val="4"/>
            <w:noWrap w:val="0"/>
            <w:vAlign w:val="center"/>
          </w:tcPr>
          <w:p>
            <w:pPr>
              <w:adjustRightInd w:val="0"/>
              <w:snapToGrid w:val="0"/>
              <w:ind w:firstLine="105"/>
              <w:jc w:val="left"/>
              <w:rPr>
                <w:color w:val="auto"/>
                <w:szCs w:val="21"/>
              </w:rPr>
            </w:pPr>
            <w:r>
              <w:rPr>
                <w:rFonts w:hint="eastAsia"/>
                <w:color w:val="auto"/>
                <w:sz w:val="21"/>
                <w:szCs w:val="21"/>
                <w:lang w:eastAsia="zh-CN"/>
              </w:rPr>
              <w:t>□</w:t>
            </w:r>
            <w:r>
              <w:rPr>
                <w:color w:val="auto"/>
                <w:sz w:val="21"/>
                <w:szCs w:val="21"/>
              </w:rPr>
              <w:t>否</w:t>
            </w:r>
          </w:p>
          <w:p>
            <w:pPr>
              <w:adjustRightInd w:val="0"/>
              <w:snapToGrid w:val="0"/>
              <w:ind w:firstLine="92"/>
              <w:jc w:val="left"/>
              <w:rPr>
                <w:color w:val="auto"/>
                <w:szCs w:val="21"/>
              </w:rPr>
            </w:pPr>
            <w:r>
              <w:rPr>
                <w:rFonts w:ascii="Wingdings 2" w:hAnsi="Wingdings 2"/>
                <w:color w:val="auto"/>
                <w:sz w:val="21"/>
                <w:szCs w:val="21"/>
                <w:highlight w:val="none"/>
              </w:rPr>
              <w:t>R</w:t>
            </w:r>
            <w:r>
              <w:rPr>
                <w:color w:val="auto"/>
                <w:sz w:val="21"/>
                <w:szCs w:val="21"/>
              </w:rPr>
              <w:t>是：</w:t>
            </w:r>
            <w:r>
              <w:rPr>
                <w:rFonts w:hint="eastAsia"/>
                <w:color w:val="auto"/>
                <w:sz w:val="21"/>
                <w:szCs w:val="21"/>
                <w:u w:val="single"/>
                <w:lang w:val="en-US" w:eastAsia="zh-CN"/>
              </w:rPr>
              <w:t>项目目前尚未办理环评手续，但已进行了开工建设，办公楼主体工程已基本施工完毕。尚未受到处罚。</w:t>
            </w:r>
            <w:r>
              <w:rPr>
                <w:color w:val="auto"/>
                <w:sz w:val="21"/>
                <w:szCs w:val="21"/>
                <w:u w:val="single"/>
              </w:rPr>
              <w:t xml:space="preserve">                      </w:t>
            </w:r>
          </w:p>
        </w:tc>
      </w:tr>
      <w:tr>
        <w:tblPrEx>
          <w:tblW w:w="4999" w:type="pct"/>
          <w:tblInd w:w="0" w:type="dxa"/>
          <w:tblLayout w:type="fixed"/>
          <w:tblCellMar>
            <w:top w:w="0" w:type="dxa"/>
            <w:left w:w="0" w:type="dxa"/>
            <w:bottom w:w="0" w:type="dxa"/>
            <w:right w:w="0" w:type="dxa"/>
          </w:tblCellMar>
        </w:tblPrEx>
        <w:trPr>
          <w:trHeight w:val="799"/>
        </w:trPr>
        <w:tc>
          <w:tcPr>
            <w:tcW w:w="1231" w:type="pct"/>
            <w:noWrap w:val="0"/>
            <w:tcMar>
              <w:top w:w="16" w:type="dxa"/>
              <w:left w:w="16" w:type="dxa"/>
              <w:right w:w="16" w:type="dxa"/>
            </w:tcMar>
            <w:vAlign w:val="center"/>
          </w:tcPr>
          <w:p>
            <w:pPr>
              <w:autoSpaceDE w:val="0"/>
              <w:autoSpaceDN w:val="0"/>
              <w:adjustRightInd w:val="0"/>
              <w:snapToGrid w:val="0"/>
              <w:jc w:val="center"/>
              <w:rPr>
                <w:color w:val="auto"/>
                <w:kern w:val="0"/>
                <w:szCs w:val="21"/>
              </w:rPr>
            </w:pPr>
            <w:r>
              <w:rPr>
                <w:color w:val="auto"/>
                <w:kern w:val="0"/>
                <w:sz w:val="21"/>
                <w:szCs w:val="21"/>
              </w:rPr>
              <w:t>专项评价设置情况</w:t>
            </w:r>
          </w:p>
        </w:tc>
        <w:tc>
          <w:tcPr>
            <w:tcW w:w="3768" w:type="pct"/>
            <w:gridSpan w:val="4"/>
            <w:noWrap w:val="0"/>
            <w:tcMar>
              <w:top w:w="16" w:type="dxa"/>
              <w:left w:w="16" w:type="dxa"/>
              <w:right w:w="16" w:type="dxa"/>
            </w:tcMar>
            <w:vAlign w:val="center"/>
          </w:tcPr>
          <w:p>
            <w:pPr>
              <w:autoSpaceDE w:val="0"/>
              <w:autoSpaceDN w:val="0"/>
              <w:adjustRightInd w:val="0"/>
              <w:snapToGrid w:val="0"/>
              <w:jc w:val="center"/>
              <w:rPr>
                <w:color w:val="auto"/>
                <w:kern w:val="0"/>
                <w:szCs w:val="21"/>
              </w:rPr>
            </w:pPr>
            <w:r>
              <w:rPr>
                <w:color w:val="auto"/>
                <w:kern w:val="0"/>
                <w:sz w:val="21"/>
                <w:szCs w:val="21"/>
              </w:rPr>
              <w:t>本项目</w:t>
            </w:r>
            <w:r>
              <w:rPr>
                <w:rFonts w:hint="eastAsia"/>
                <w:color w:val="auto"/>
                <w:kern w:val="0"/>
                <w:sz w:val="21"/>
                <w:szCs w:val="21"/>
                <w:lang w:val="en-US" w:eastAsia="zh-CN"/>
              </w:rPr>
              <w:t>位于</w:t>
            </w:r>
            <w:r>
              <w:rPr>
                <w:color w:val="auto"/>
                <w:kern w:val="0"/>
                <w:sz w:val="21"/>
                <w:szCs w:val="21"/>
                <w:lang w:val="en-US" w:eastAsia="zh-CN"/>
              </w:rPr>
              <w:t>三亚热带海滨风景名胜区</w:t>
            </w:r>
            <w:r>
              <w:rPr>
                <w:rFonts w:hint="eastAsia"/>
                <w:color w:val="auto"/>
                <w:kern w:val="0"/>
                <w:sz w:val="21"/>
                <w:szCs w:val="21"/>
                <w:lang w:val="en-US" w:eastAsia="zh-CN"/>
              </w:rPr>
              <w:t xml:space="preserve"> 大小洞天景区内</w:t>
            </w:r>
            <w:r>
              <w:rPr>
                <w:color w:val="auto"/>
                <w:kern w:val="0"/>
                <w:sz w:val="21"/>
                <w:szCs w:val="21"/>
              </w:rPr>
              <w:t>，因此编制生态环境影响专项报告</w:t>
            </w:r>
            <w:r>
              <w:rPr>
                <w:rFonts w:hint="eastAsia"/>
                <w:color w:val="auto"/>
                <w:kern w:val="0"/>
                <w:sz w:val="21"/>
                <w:szCs w:val="21"/>
              </w:rPr>
              <w:t>。</w:t>
            </w:r>
          </w:p>
        </w:tc>
      </w:tr>
      <w:tr>
        <w:tblPrEx>
          <w:tblW w:w="4999" w:type="pct"/>
          <w:tblInd w:w="0" w:type="dxa"/>
          <w:tblLayout w:type="fixed"/>
          <w:tblCellMar>
            <w:top w:w="0" w:type="dxa"/>
            <w:left w:w="0" w:type="dxa"/>
            <w:bottom w:w="0" w:type="dxa"/>
            <w:right w:w="0" w:type="dxa"/>
          </w:tblCellMar>
        </w:tblPrEx>
        <w:trPr>
          <w:trHeight w:val="513"/>
        </w:trPr>
        <w:tc>
          <w:tcPr>
            <w:tcW w:w="1231" w:type="pct"/>
            <w:noWrap w:val="0"/>
            <w:tcMar>
              <w:top w:w="16" w:type="dxa"/>
              <w:left w:w="16" w:type="dxa"/>
              <w:right w:w="16" w:type="dxa"/>
            </w:tcMar>
            <w:vAlign w:val="center"/>
          </w:tcPr>
          <w:p>
            <w:pPr>
              <w:autoSpaceDE w:val="0"/>
              <w:autoSpaceDN w:val="0"/>
              <w:adjustRightInd w:val="0"/>
              <w:snapToGrid w:val="0"/>
              <w:jc w:val="center"/>
              <w:rPr>
                <w:color w:val="auto"/>
                <w:kern w:val="0"/>
                <w:szCs w:val="21"/>
              </w:rPr>
            </w:pPr>
            <w:r>
              <w:rPr>
                <w:color w:val="auto"/>
                <w:sz w:val="21"/>
                <w:szCs w:val="21"/>
              </w:rPr>
              <w:t>规划情况</w:t>
            </w:r>
          </w:p>
        </w:tc>
        <w:tc>
          <w:tcPr>
            <w:tcW w:w="3768" w:type="pct"/>
            <w:gridSpan w:val="4"/>
            <w:noWrap w:val="0"/>
            <w:tcMar>
              <w:top w:w="16" w:type="dxa"/>
              <w:left w:w="16"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24" w:lineRule="auto"/>
              <w:ind w:firstLine="420" w:firstLineChars="200"/>
              <w:textAlignment w:val="auto"/>
              <w:rPr>
                <w:rFonts w:hint="eastAsia"/>
                <w:b w:val="0"/>
                <w:bCs w:val="0"/>
                <w:color w:val="auto"/>
                <w:szCs w:val="21"/>
              </w:rPr>
            </w:pPr>
            <w:r>
              <w:rPr>
                <w:rFonts w:ascii="Times New Roman" w:hAnsi="Times New Roman" w:cs="Times New Roman" w:hint="eastAsia"/>
                <w:b w:val="0"/>
                <w:bCs w:val="0"/>
                <w:color w:val="auto"/>
                <w:sz w:val="21"/>
                <w:szCs w:val="21"/>
                <w:lang w:val="en-US" w:eastAsia="zh-CN"/>
              </w:rPr>
              <w:t>文件名称：《三亚热带海滨风景名胜区 大小洞天景区（2021—2030年）》</w:t>
            </w:r>
            <w:r>
              <w:rPr>
                <w:rFonts w:cs="Times New Roman" w:hint="eastAsia"/>
                <w:b w:val="0"/>
                <w:bCs w:val="0"/>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24" w:lineRule="auto"/>
              <w:ind w:firstLine="420" w:firstLineChars="200"/>
              <w:textAlignment w:val="auto"/>
              <w:rPr>
                <w:rFonts w:hint="eastAsia"/>
                <w:b w:val="0"/>
                <w:bCs w:val="0"/>
                <w:color w:val="auto"/>
                <w:szCs w:val="21"/>
              </w:rPr>
            </w:pPr>
            <w:r>
              <w:rPr>
                <w:rFonts w:ascii="Times New Roman" w:hAnsi="Times New Roman" w:cs="Times New Roman" w:hint="eastAsia"/>
                <w:b w:val="0"/>
                <w:bCs w:val="0"/>
                <w:color w:val="auto"/>
                <w:sz w:val="21"/>
                <w:szCs w:val="21"/>
                <w:lang w:val="en-US" w:eastAsia="zh-CN"/>
              </w:rPr>
              <w:t>审批机关：国家林业和草原局</w:t>
            </w:r>
            <w:r>
              <w:rPr>
                <w:rFonts w:cs="Times New Roman" w:hint="eastAsia"/>
                <w:b w:val="0"/>
                <w:bCs w:val="0"/>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24" w:lineRule="auto"/>
              <w:ind w:firstLine="420" w:firstLineChars="200"/>
              <w:textAlignment w:val="auto"/>
              <w:rPr>
                <w:rFonts w:hint="default"/>
                <w:color w:val="auto"/>
              </w:rPr>
            </w:pPr>
            <w:r>
              <w:rPr>
                <w:rFonts w:ascii="Times New Roman" w:hAnsi="Times New Roman" w:cs="Times New Roman" w:hint="default"/>
                <w:b w:val="0"/>
                <w:bCs w:val="0"/>
                <w:color w:val="auto"/>
                <w:sz w:val="21"/>
                <w:szCs w:val="21"/>
                <w:lang w:val="en-US" w:eastAsia="zh-CN"/>
              </w:rPr>
              <w:t>审批文件名称及文号</w:t>
            </w:r>
            <w:r>
              <w:rPr>
                <w:rFonts w:ascii="Times New Roman" w:hAnsi="Times New Roman" w:cs="Times New Roman" w:hint="eastAsia"/>
                <w:b w:val="0"/>
                <w:bCs w:val="0"/>
                <w:color w:val="auto"/>
                <w:sz w:val="21"/>
                <w:szCs w:val="21"/>
                <w:lang w:val="en-US" w:eastAsia="zh-CN"/>
              </w:rPr>
              <w:t>：《国家林业和草原局关于三亚热带三亚热带海滨风景名胜区 天涯海角景区大小洞天片区详细规划的批复》（林保发</w:t>
            </w:r>
            <w:r>
              <w:rPr>
                <w:rFonts w:cs="Times New Roman" w:hint="eastAsia"/>
                <w:b w:val="0"/>
                <w:bCs w:val="0"/>
                <w:color w:val="auto"/>
                <w:sz w:val="21"/>
                <w:szCs w:val="21"/>
                <w:lang w:val="en-US" w:eastAsia="zh-CN"/>
              </w:rPr>
              <w:t>〔</w:t>
            </w:r>
            <w:r>
              <w:rPr>
                <w:rFonts w:ascii="Times New Roman" w:hAnsi="Times New Roman" w:cs="Times New Roman" w:hint="eastAsia"/>
                <w:b w:val="0"/>
                <w:bCs w:val="0"/>
                <w:color w:val="auto"/>
                <w:sz w:val="21"/>
                <w:szCs w:val="21"/>
                <w:lang w:val="en-US" w:eastAsia="zh-CN"/>
              </w:rPr>
              <w:t>2022</w:t>
            </w:r>
            <w:r>
              <w:rPr>
                <w:rFonts w:cs="Times New Roman" w:hint="eastAsia"/>
                <w:b w:val="0"/>
                <w:bCs w:val="0"/>
                <w:color w:val="auto"/>
                <w:sz w:val="21"/>
                <w:szCs w:val="21"/>
                <w:lang w:val="en-US" w:eastAsia="zh-CN"/>
              </w:rPr>
              <w:t>〕</w:t>
            </w:r>
            <w:r>
              <w:rPr>
                <w:rFonts w:ascii="Times New Roman" w:hAnsi="Times New Roman" w:cs="Times New Roman" w:hint="eastAsia"/>
                <w:b w:val="0"/>
                <w:bCs w:val="0"/>
                <w:color w:val="auto"/>
                <w:sz w:val="21"/>
                <w:szCs w:val="21"/>
                <w:lang w:val="en-US" w:eastAsia="zh-CN"/>
              </w:rPr>
              <w:t>13号）</w:t>
            </w:r>
            <w:r>
              <w:rPr>
                <w:rFonts w:cs="Times New Roman" w:hint="eastAsia"/>
                <w:b w:val="0"/>
                <w:bCs w:val="0"/>
                <w:color w:val="auto"/>
                <w:sz w:val="21"/>
                <w:szCs w:val="21"/>
                <w:lang w:val="en-US" w:eastAsia="zh-CN"/>
              </w:rPr>
              <w:t>。</w:t>
            </w:r>
          </w:p>
        </w:tc>
      </w:tr>
      <w:tr>
        <w:tblPrEx>
          <w:tblW w:w="4999" w:type="pct"/>
          <w:tblInd w:w="0" w:type="dxa"/>
          <w:tblLayout w:type="fixed"/>
          <w:tblCellMar>
            <w:top w:w="0" w:type="dxa"/>
            <w:left w:w="0" w:type="dxa"/>
            <w:bottom w:w="0" w:type="dxa"/>
            <w:right w:w="0" w:type="dxa"/>
          </w:tblCellMar>
        </w:tblPrEx>
        <w:trPr>
          <w:trHeight w:val="492"/>
        </w:trPr>
        <w:tc>
          <w:tcPr>
            <w:tcW w:w="1231" w:type="pct"/>
            <w:noWrap w:val="0"/>
            <w:tcMar>
              <w:top w:w="16" w:type="dxa"/>
              <w:left w:w="16" w:type="dxa"/>
              <w:right w:w="16" w:type="dxa"/>
            </w:tcMar>
            <w:vAlign w:val="center"/>
          </w:tcPr>
          <w:p>
            <w:pPr>
              <w:autoSpaceDE w:val="0"/>
              <w:autoSpaceDN w:val="0"/>
              <w:adjustRightInd w:val="0"/>
              <w:snapToGrid w:val="0"/>
              <w:jc w:val="center"/>
              <w:rPr>
                <w:color w:val="auto"/>
                <w:szCs w:val="21"/>
              </w:rPr>
            </w:pPr>
            <w:r>
              <w:rPr>
                <w:color w:val="auto"/>
                <w:sz w:val="21"/>
                <w:szCs w:val="21"/>
              </w:rPr>
              <w:t>规划环境影响</w:t>
            </w:r>
          </w:p>
          <w:p>
            <w:pPr>
              <w:autoSpaceDE w:val="0"/>
              <w:autoSpaceDN w:val="0"/>
              <w:adjustRightInd w:val="0"/>
              <w:snapToGrid w:val="0"/>
              <w:jc w:val="center"/>
              <w:rPr>
                <w:color w:val="auto"/>
                <w:kern w:val="0"/>
                <w:szCs w:val="21"/>
              </w:rPr>
            </w:pPr>
            <w:r>
              <w:rPr>
                <w:color w:val="auto"/>
                <w:sz w:val="21"/>
                <w:szCs w:val="21"/>
              </w:rPr>
              <w:t>评价情况</w:t>
            </w:r>
          </w:p>
        </w:tc>
        <w:tc>
          <w:tcPr>
            <w:tcW w:w="3768" w:type="pct"/>
            <w:gridSpan w:val="4"/>
            <w:noWrap w:val="0"/>
            <w:tcMar>
              <w:top w:w="16" w:type="dxa"/>
              <w:left w:w="16" w:type="dxa"/>
              <w:right w:w="16" w:type="dxa"/>
            </w:tcMar>
            <w:vAlign w:val="center"/>
          </w:tcPr>
          <w:p>
            <w:pPr>
              <w:adjustRightInd w:val="0"/>
              <w:snapToGrid w:val="0"/>
              <w:jc w:val="center"/>
              <w:rPr>
                <w:rFonts w:hint="eastAsia"/>
                <w:color w:val="auto"/>
                <w:kern w:val="0"/>
                <w:szCs w:val="21"/>
              </w:rPr>
            </w:pPr>
            <w:r>
              <w:rPr>
                <w:rFonts w:hint="eastAsia"/>
                <w:color w:val="auto"/>
                <w:kern w:val="0"/>
                <w:sz w:val="21"/>
                <w:szCs w:val="21"/>
              </w:rPr>
              <w:t>无</w:t>
            </w:r>
          </w:p>
        </w:tc>
      </w:tr>
      <w:tr>
        <w:tblPrEx>
          <w:tblW w:w="4999" w:type="pct"/>
          <w:tblInd w:w="0" w:type="dxa"/>
          <w:tblLayout w:type="fixed"/>
          <w:tblCellMar>
            <w:top w:w="0" w:type="dxa"/>
            <w:left w:w="0" w:type="dxa"/>
            <w:bottom w:w="0" w:type="dxa"/>
            <w:right w:w="0" w:type="dxa"/>
          </w:tblCellMar>
        </w:tblPrEx>
        <w:trPr>
          <w:trHeight w:val="759"/>
        </w:trPr>
        <w:tc>
          <w:tcPr>
            <w:tcW w:w="1231" w:type="pct"/>
            <w:noWrap w:val="0"/>
            <w:tcMar>
              <w:top w:w="16" w:type="dxa"/>
              <w:left w:w="16" w:type="dxa"/>
              <w:right w:w="16" w:type="dxa"/>
            </w:tcMar>
            <w:vAlign w:val="center"/>
          </w:tcPr>
          <w:p>
            <w:pPr>
              <w:autoSpaceDE w:val="0"/>
              <w:autoSpaceDN w:val="0"/>
              <w:adjustRightInd w:val="0"/>
              <w:snapToGrid w:val="0"/>
              <w:jc w:val="center"/>
              <w:rPr>
                <w:color w:val="auto"/>
                <w:kern w:val="0"/>
                <w:szCs w:val="21"/>
              </w:rPr>
            </w:pPr>
            <w:r>
              <w:rPr>
                <w:color w:val="auto"/>
                <w:kern w:val="0"/>
                <w:sz w:val="21"/>
                <w:szCs w:val="21"/>
              </w:rPr>
              <w:t>规划及</w:t>
            </w:r>
            <w:r>
              <w:rPr>
                <w:color w:val="auto"/>
                <w:sz w:val="21"/>
                <w:szCs w:val="21"/>
              </w:rPr>
              <w:t>规划环境影响评价</w:t>
            </w:r>
            <w:r>
              <w:rPr>
                <w:color w:val="auto"/>
                <w:kern w:val="0"/>
                <w:sz w:val="21"/>
                <w:szCs w:val="21"/>
              </w:rPr>
              <w:t>符合性分析</w:t>
            </w:r>
          </w:p>
        </w:tc>
        <w:tc>
          <w:tcPr>
            <w:tcW w:w="3768" w:type="pct"/>
            <w:gridSpan w:val="4"/>
            <w:noWrap w:val="0"/>
            <w:tcMar>
              <w:top w:w="16" w:type="dxa"/>
              <w:left w:w="16"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24" w:lineRule="auto"/>
              <w:ind w:firstLine="420" w:firstLineChars="200"/>
              <w:textAlignment w:val="auto"/>
              <w:rPr>
                <w:rFonts w:hint="eastAsia"/>
                <w:color w:val="auto"/>
                <w:szCs w:val="21"/>
              </w:rPr>
            </w:pPr>
            <w:r>
              <w:rPr>
                <w:rFonts w:cs="Times New Roman" w:hint="eastAsia"/>
                <w:color w:val="auto"/>
                <w:sz w:val="21"/>
                <w:szCs w:val="21"/>
                <w:lang w:val="en-US" w:eastAsia="zh-CN"/>
              </w:rPr>
              <w:t>（</w:t>
            </w:r>
            <w:r>
              <w:rPr>
                <w:rFonts w:ascii="Times New Roman" w:eastAsia="宋体" w:hAnsi="Times New Roman" w:cs="Times New Roman" w:hint="default"/>
                <w:color w:val="auto"/>
                <w:sz w:val="21"/>
                <w:szCs w:val="21"/>
                <w:lang w:val="en-US" w:eastAsia="zh-CN"/>
              </w:rPr>
              <w:t>1</w:t>
            </w:r>
            <w:r>
              <w:rPr>
                <w:rFonts w:cs="Times New Roman" w:hint="eastAsia"/>
                <w:color w:val="auto"/>
                <w:sz w:val="21"/>
                <w:szCs w:val="21"/>
                <w:lang w:val="en-US" w:eastAsia="zh-CN"/>
              </w:rPr>
              <w:t>）与</w:t>
            </w:r>
            <w:r>
              <w:rPr>
                <w:rFonts w:ascii="Times New Roman" w:eastAsia="宋体" w:hAnsi="Times New Roman" w:cs="Times New Roman" w:hint="default"/>
                <w:color w:val="auto"/>
                <w:sz w:val="21"/>
                <w:szCs w:val="21"/>
                <w:highlight w:val="none"/>
                <w:lang w:val="en-US" w:eastAsia="zh-CN"/>
              </w:rPr>
              <w:t>《</w:t>
            </w:r>
            <w:r>
              <w:rPr>
                <w:rFonts w:ascii="Times New Roman" w:eastAsia="宋体" w:hAnsi="Times New Roman" w:cs="Times New Roman" w:hint="default"/>
                <w:color w:val="auto"/>
                <w:sz w:val="21"/>
                <w:szCs w:val="21"/>
                <w:lang w:val="en-US" w:eastAsia="zh-CN"/>
              </w:rPr>
              <w:t>三亚热带海滨风景名胜区 大小洞天景区</w:t>
            </w:r>
            <w:r>
              <w:rPr>
                <w:rFonts w:cs="Times New Roman" w:hint="eastAsia"/>
                <w:color w:val="auto"/>
                <w:sz w:val="21"/>
                <w:szCs w:val="21"/>
                <w:lang w:val="en-US" w:eastAsia="zh-CN"/>
              </w:rPr>
              <w:t>（</w:t>
            </w:r>
            <w:r>
              <w:rPr>
                <w:rFonts w:ascii="Times New Roman" w:eastAsia="宋体" w:hAnsi="Times New Roman" w:cs="Times New Roman" w:hint="default"/>
                <w:color w:val="auto"/>
                <w:sz w:val="21"/>
                <w:szCs w:val="21"/>
                <w:lang w:val="en-US" w:eastAsia="zh-CN"/>
              </w:rPr>
              <w:t>2021—2030年</w:t>
            </w:r>
            <w:r>
              <w:rPr>
                <w:rFonts w:cs="Times New Roman" w:hint="eastAsia"/>
                <w:color w:val="auto"/>
                <w:sz w:val="21"/>
                <w:szCs w:val="21"/>
                <w:lang w:val="en-US" w:eastAsia="zh-CN"/>
              </w:rPr>
              <w:t>）》相符性分析</w:t>
            </w:r>
          </w:p>
          <w:p>
            <w:pPr>
              <w:keepNext w:val="0"/>
              <w:keepLines w:val="0"/>
              <w:pageBreakBefore w:val="0"/>
              <w:widowControl w:val="0"/>
              <w:kinsoku/>
              <w:wordWrap/>
              <w:overflowPunct/>
              <w:topLinePunct w:val="0"/>
              <w:autoSpaceDE/>
              <w:autoSpaceDN/>
              <w:bidi w:val="0"/>
              <w:adjustRightInd/>
              <w:snapToGrid/>
              <w:spacing w:after="0" w:line="324" w:lineRule="auto"/>
              <w:ind w:firstLine="420" w:firstLineChars="200"/>
              <w:textAlignment w:val="auto"/>
              <w:rPr>
                <w:rFonts w:hint="default"/>
                <w:color w:val="auto"/>
                <w:szCs w:val="21"/>
              </w:rPr>
            </w:pPr>
            <w:r>
              <w:rPr>
                <w:rFonts w:ascii="Times New Roman" w:eastAsia="宋体" w:hAnsi="Times New Roman" w:cs="Times New Roman" w:hint="default"/>
                <w:color w:val="auto"/>
                <w:sz w:val="21"/>
                <w:szCs w:val="21"/>
                <w:lang w:val="en-US" w:eastAsia="zh-CN"/>
              </w:rPr>
              <w:t>本项目总占地面积19600</w:t>
            </w:r>
            <w:r>
              <w:rPr>
                <w:rFonts w:cs="Times New Roman" w:hint="eastAsia"/>
                <w:color w:val="auto"/>
                <w:sz w:val="21"/>
                <w:szCs w:val="21"/>
                <w:lang w:val="en-US" w:eastAsia="zh-CN"/>
              </w:rPr>
              <w:t>m</w:t>
            </w:r>
            <w:r>
              <w:rPr>
                <w:rFonts w:cs="Times New Roman" w:hint="eastAsia"/>
                <w:color w:val="auto"/>
                <w:sz w:val="21"/>
                <w:szCs w:val="21"/>
                <w:vertAlign w:val="superscript"/>
                <w:lang w:val="en-US" w:eastAsia="zh-CN"/>
              </w:rPr>
              <w:t>2</w:t>
            </w:r>
            <w:r>
              <w:rPr>
                <w:rFonts w:ascii="Times New Roman" w:eastAsia="宋体" w:hAnsi="Times New Roman" w:cs="Times New Roman" w:hint="default"/>
                <w:color w:val="auto"/>
                <w:sz w:val="21"/>
                <w:szCs w:val="21"/>
                <w:lang w:val="en-US" w:eastAsia="zh-CN"/>
              </w:rPr>
              <w:t>，建设内容包括：营地内分为管理中心、房车区和休闲区三个部分。①管理中心：营地管理中心是房车营地的控制机构，是经营与管理的中心部分，主要由服务台、租赁间、办公室、淋浴间、卫生间等必要的服务设施组成。建筑层数为2层，面积1426</w:t>
            </w:r>
            <w:r>
              <w:rPr>
                <w:rFonts w:cs="Times New Roman" w:hint="eastAsia"/>
                <w:color w:val="auto"/>
                <w:sz w:val="21"/>
                <w:szCs w:val="21"/>
                <w:lang w:val="en-US" w:eastAsia="zh-CN"/>
              </w:rPr>
              <w:t>m</w:t>
            </w:r>
            <w:r>
              <w:rPr>
                <w:rFonts w:cs="Times New Roman" w:hint="eastAsia"/>
                <w:color w:val="auto"/>
                <w:sz w:val="21"/>
                <w:szCs w:val="21"/>
                <w:vertAlign w:val="superscript"/>
                <w:lang w:val="en-US" w:eastAsia="zh-CN"/>
              </w:rPr>
              <w:t>2</w:t>
            </w:r>
            <w:r>
              <w:rPr>
                <w:rFonts w:ascii="Times New Roman" w:eastAsia="宋体" w:hAnsi="Times New Roman" w:cs="Times New Roman" w:hint="default"/>
                <w:color w:val="auto"/>
                <w:sz w:val="21"/>
                <w:szCs w:val="21"/>
                <w:lang w:val="en-US" w:eastAsia="zh-CN"/>
              </w:rPr>
              <w:t>，占地面积824</w:t>
            </w:r>
            <w:r>
              <w:rPr>
                <w:rFonts w:cs="Times New Roman" w:hint="eastAsia"/>
                <w:color w:val="auto"/>
                <w:sz w:val="21"/>
                <w:szCs w:val="21"/>
                <w:lang w:val="en-US" w:eastAsia="zh-CN"/>
              </w:rPr>
              <w:t>m</w:t>
            </w:r>
            <w:r>
              <w:rPr>
                <w:rFonts w:cs="Times New Roman" w:hint="eastAsia"/>
                <w:color w:val="auto"/>
                <w:sz w:val="21"/>
                <w:szCs w:val="21"/>
                <w:vertAlign w:val="superscript"/>
                <w:lang w:val="en-US" w:eastAsia="zh-CN"/>
              </w:rPr>
              <w:t>2</w:t>
            </w:r>
          </w:p>
        </w:tc>
      </w:tr>
    </w:tbl>
    <w:p>
      <w:pPr>
        <w:sectPr>
          <w:footerReference w:type="even" r:id="rId9"/>
          <w:footerReference w:type="default" r:id="rId10"/>
          <w:pgSz w:w="11906" w:h="16838"/>
          <w:pgMar w:top="1440" w:right="1800" w:bottom="1440" w:left="1800" w:header="851" w:footer="1077" w:gutter="0"/>
          <w:pgNumType w:fmt="decimal" w:start="1"/>
          <w:cols w:num="1" w:space="720"/>
          <w:docGrid w:linePitch="312" w:charSpace="0"/>
        </w:sectPr>
      </w:pPr>
    </w:p>
    <w:tbl>
      <w:tblPr>
        <w:tblStyle w:val="TableNormal"/>
        <w:tblW w:w="4999"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
      <w:tblGrid>
        <w:gridCol w:w="2052"/>
        <w:gridCol w:w="6284"/>
      </w:tblGrid>
      <w:tr>
        <w:tblPrEx>
          <w:tblW w:w="4999"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Ex>
        <w:trPr>
          <w:trHeight w:val="759"/>
        </w:trPr>
        <w:tc>
          <w:tcPr>
            <w:tcW w:w="1231" w:type="pct"/>
            <w:noWrap w:val="0"/>
            <w:tcMar>
              <w:top w:w="16" w:type="dxa"/>
              <w:left w:w="16" w:type="dxa"/>
              <w:right w:w="16" w:type="dxa"/>
            </w:tcMar>
            <w:vAlign w:val="center"/>
          </w:tcPr>
          <w:p/>
        </w:tc>
        <w:tc>
          <w:tcPr>
            <w:tcW w:w="3768" w:type="pct"/>
            <w:noWrap w:val="0"/>
            <w:tcMar>
              <w:top w:w="16" w:type="dxa"/>
              <w:left w:w="16" w:type="dxa"/>
              <w:right w:w="16" w:type="dxa"/>
            </w:tcMar>
            <w:vAlign w:val="center"/>
          </w:tcPr>
          <w:p>
            <w:pPr>
              <w:keepNext w:val="0"/>
              <w:keepLines w:val="0"/>
              <w:pageBreakBefore w:val="0"/>
              <w:widowControl w:val="0"/>
              <w:kinsoku/>
              <w:wordWrap/>
              <w:overflowPunct/>
              <w:topLinePunct w:val="0"/>
              <w:autoSpaceDE/>
              <w:autoSpaceDN/>
              <w:bidi w:val="0"/>
              <w:adjustRightInd/>
              <w:snapToGrid/>
              <w:spacing w:before="0" w:line="324" w:lineRule="auto"/>
              <w:ind w:firstLine="420" w:firstLineChars="200"/>
              <w:textAlignment w:val="auto"/>
              <w:rPr>
                <w:rFonts w:hint="default"/>
                <w:color w:val="auto"/>
                <w:szCs w:val="21"/>
              </w:rPr>
            </w:pPr>
            <w:r>
              <w:rPr>
                <w:rFonts w:ascii="Times New Roman" w:eastAsia="宋体" w:hAnsi="Times New Roman" w:cs="Times New Roman" w:hint="default"/>
                <w:color w:val="auto"/>
                <w:sz w:val="21"/>
                <w:szCs w:val="21"/>
                <w:lang w:val="en-US" w:eastAsia="zh-CN"/>
              </w:rPr>
              <w:t>。②房车宿营区：利用现状停车场设置房车停车位，停车位约50个。③生活休闲区：由天然材料如木材和石头建造而成的无动力游乐园。园中布置木桩栈桥、秋千、独木桥、木质滑梯、迷宫花园、枯木攀爬、丛林射箭等游乐设施。</w:t>
            </w:r>
            <w:r>
              <w:rPr>
                <w:rFonts w:cs="Times New Roman" w:hint="eastAsia"/>
                <w:color w:val="auto"/>
                <w:sz w:val="21"/>
                <w:szCs w:val="21"/>
                <w:lang w:val="en-US" w:eastAsia="zh-CN"/>
              </w:rPr>
              <w:t>本项目用地性质为旅游点建设用地，已被纳入</w:t>
            </w:r>
            <w:r>
              <w:rPr>
                <w:rFonts w:eastAsia="宋体" w:hint="eastAsia"/>
                <w:color w:val="auto"/>
                <w:kern w:val="0"/>
                <w:sz w:val="21"/>
                <w:szCs w:val="21"/>
                <w:highlight w:val="none"/>
                <w:lang w:eastAsia="zh-CN"/>
              </w:rPr>
              <w:t>《</w:t>
            </w:r>
            <w:r>
              <w:rPr>
                <w:color w:val="auto"/>
                <w:kern w:val="0"/>
                <w:sz w:val="21"/>
                <w:szCs w:val="21"/>
                <w:lang w:val="en-US" w:eastAsia="zh-CN"/>
              </w:rPr>
              <w:t>三亚热带海滨风景名胜区</w:t>
            </w:r>
            <w:r>
              <w:rPr>
                <w:rFonts w:hint="eastAsia"/>
                <w:color w:val="auto"/>
                <w:kern w:val="0"/>
                <w:sz w:val="21"/>
                <w:szCs w:val="21"/>
                <w:lang w:val="en-US" w:eastAsia="zh-CN"/>
              </w:rPr>
              <w:t xml:space="preserve"> 大小洞天景区</w:t>
            </w:r>
            <w:r>
              <w:rPr>
                <w:rFonts w:hint="eastAsia"/>
                <w:color w:val="auto"/>
                <w:kern w:val="0"/>
                <w:sz w:val="21"/>
                <w:szCs w:val="21"/>
                <w:lang w:eastAsia="zh-CN"/>
              </w:rPr>
              <w:t>（</w:t>
            </w:r>
            <w:r>
              <w:rPr>
                <w:rFonts w:eastAsia="宋体" w:hint="eastAsia"/>
                <w:color w:val="auto"/>
                <w:kern w:val="0"/>
                <w:sz w:val="21"/>
                <w:szCs w:val="21"/>
                <w:lang w:eastAsia="zh-CN"/>
              </w:rPr>
              <w:t>20</w:t>
            </w:r>
            <w:r>
              <w:rPr>
                <w:rFonts w:hint="eastAsia"/>
                <w:color w:val="auto"/>
                <w:kern w:val="0"/>
                <w:sz w:val="21"/>
                <w:szCs w:val="21"/>
                <w:lang w:val="en-US" w:eastAsia="zh-CN"/>
              </w:rPr>
              <w:t>21</w:t>
            </w:r>
            <w:r>
              <w:rPr>
                <w:rFonts w:hint="eastAsia"/>
                <w:color w:val="auto"/>
                <w:kern w:val="0"/>
                <w:sz w:val="21"/>
                <w:szCs w:val="21"/>
                <w:highlight w:val="none"/>
                <w:lang w:eastAsia="zh-CN"/>
              </w:rPr>
              <w:t>—20</w:t>
            </w:r>
            <w:r>
              <w:rPr>
                <w:rFonts w:hint="eastAsia"/>
                <w:color w:val="auto"/>
                <w:kern w:val="0"/>
                <w:sz w:val="21"/>
                <w:szCs w:val="21"/>
                <w:highlight w:val="none"/>
                <w:lang w:val="en-US" w:eastAsia="zh-CN"/>
              </w:rPr>
              <w:t>3</w:t>
            </w:r>
            <w:r>
              <w:rPr>
                <w:rFonts w:hint="eastAsia"/>
                <w:color w:val="auto"/>
                <w:kern w:val="0"/>
                <w:sz w:val="21"/>
                <w:szCs w:val="21"/>
                <w:highlight w:val="none"/>
                <w:lang w:eastAsia="zh-CN"/>
              </w:rPr>
              <w:t>0年</w:t>
            </w:r>
            <w:r>
              <w:rPr>
                <w:rFonts w:hint="eastAsia"/>
                <w:color w:val="auto"/>
                <w:kern w:val="0"/>
                <w:sz w:val="21"/>
                <w:szCs w:val="21"/>
                <w:lang w:eastAsia="zh-CN"/>
              </w:rPr>
              <w:t>）》</w:t>
            </w:r>
            <w:r>
              <w:rPr>
                <w:rFonts w:eastAsia="宋体" w:hint="eastAsia"/>
                <w:color w:val="auto"/>
                <w:kern w:val="0"/>
                <w:sz w:val="21"/>
                <w:szCs w:val="21"/>
                <w:lang w:val="en-US" w:eastAsia="zh-CN"/>
              </w:rPr>
              <w:t>中</w:t>
            </w:r>
            <w:r>
              <w:rPr>
                <w:rFonts w:hint="eastAsia"/>
                <w:color w:val="auto"/>
                <w:kern w:val="0"/>
                <w:sz w:val="21"/>
                <w:szCs w:val="21"/>
                <w:lang w:val="en-US" w:eastAsia="zh-CN"/>
              </w:rPr>
              <w:t>（附图4）</w:t>
            </w:r>
            <w:r>
              <w:rPr>
                <w:rFonts w:eastAsia="宋体" w:hint="eastAsia"/>
                <w:color w:val="auto"/>
                <w:kern w:val="0"/>
                <w:sz w:val="21"/>
                <w:szCs w:val="21"/>
                <w:lang w:val="en-US" w:eastAsia="zh-CN"/>
              </w:rPr>
              <w:t>，因此本项目的建设符合相应的风景名胜区</w:t>
            </w:r>
            <w:r>
              <w:rPr>
                <w:rFonts w:hint="eastAsia"/>
                <w:color w:val="auto"/>
                <w:kern w:val="0"/>
                <w:sz w:val="21"/>
                <w:szCs w:val="21"/>
                <w:lang w:val="en-US" w:eastAsia="zh-CN"/>
              </w:rPr>
              <w:t>规划</w:t>
            </w:r>
            <w:r>
              <w:rPr>
                <w:rFonts w:eastAsia="宋体" w:hint="eastAsia"/>
                <w:color w:val="auto"/>
                <w:kern w:val="0"/>
                <w:sz w:val="21"/>
                <w:szCs w:val="21"/>
                <w:lang w:val="en-US" w:eastAsia="zh-CN"/>
              </w:rPr>
              <w:t>要求。</w:t>
            </w:r>
          </w:p>
          <w:p>
            <w:pPr>
              <w:keepNext w:val="0"/>
              <w:keepLines w:val="0"/>
              <w:pageBreakBefore w:val="0"/>
              <w:widowControl w:val="0"/>
              <w:kinsoku/>
              <w:wordWrap/>
              <w:overflowPunct/>
              <w:topLinePunct w:val="0"/>
              <w:autoSpaceDE/>
              <w:autoSpaceDN/>
              <w:bidi w:val="0"/>
              <w:adjustRightInd/>
              <w:snapToGrid/>
              <w:spacing w:line="324" w:lineRule="auto"/>
              <w:ind w:firstLine="420" w:firstLineChars="200"/>
              <w:textAlignment w:val="auto"/>
              <w:rPr>
                <w:rFonts w:hint="default"/>
                <w:color w:val="auto"/>
                <w:kern w:val="0"/>
                <w:szCs w:val="21"/>
              </w:rPr>
            </w:pPr>
            <w:r>
              <w:rPr>
                <w:rFonts w:cs="Times New Roman" w:hint="eastAsia"/>
                <w:color w:val="auto"/>
                <w:sz w:val="21"/>
                <w:szCs w:val="21"/>
                <w:lang w:val="en-US" w:eastAsia="zh-CN"/>
              </w:rPr>
              <w:t>（</w:t>
            </w:r>
            <w:r>
              <w:rPr>
                <w:rFonts w:ascii="Times New Roman" w:eastAsia="宋体" w:hAnsi="Times New Roman" w:cs="Times New Roman" w:hint="default"/>
                <w:color w:val="auto"/>
                <w:sz w:val="21"/>
                <w:szCs w:val="21"/>
                <w:lang w:val="en-US" w:eastAsia="zh-CN"/>
              </w:rPr>
              <w:t>2</w:t>
            </w:r>
            <w:r>
              <w:rPr>
                <w:rFonts w:cs="Times New Roman" w:hint="eastAsia"/>
                <w:color w:val="auto"/>
                <w:sz w:val="21"/>
                <w:szCs w:val="21"/>
                <w:lang w:val="en-US" w:eastAsia="zh-CN"/>
              </w:rPr>
              <w:t>）</w:t>
            </w:r>
            <w:r>
              <w:rPr>
                <w:rFonts w:ascii="Times New Roman" w:eastAsia="宋体" w:hAnsi="Times New Roman" w:cs="Times New Roman" w:hint="default"/>
                <w:color w:val="auto"/>
                <w:sz w:val="21"/>
                <w:szCs w:val="21"/>
                <w:lang w:val="en-US" w:eastAsia="zh-CN"/>
              </w:rPr>
              <w:t>根据</w:t>
            </w:r>
            <w:r>
              <w:rPr>
                <w:rFonts w:cs="Times New Roman" w:hint="eastAsia"/>
                <w:color w:val="auto"/>
                <w:sz w:val="21"/>
                <w:szCs w:val="21"/>
                <w:lang w:val="en-US" w:eastAsia="zh-CN"/>
              </w:rPr>
              <w:t>三亚市</w:t>
            </w:r>
            <w:r>
              <w:rPr>
                <w:rFonts w:ascii="Times New Roman" w:eastAsia="宋体" w:hAnsi="Times New Roman" w:cs="Times New Roman" w:hint="default"/>
                <w:color w:val="auto"/>
                <w:sz w:val="21"/>
                <w:szCs w:val="21"/>
                <w:lang w:val="en-US" w:eastAsia="zh-CN"/>
              </w:rPr>
              <w:t>林业局关于《三亚市林业局关于查询三亚大小洞天景区房车营地管理中心用地性质的复函》</w:t>
            </w:r>
            <w:r>
              <w:rPr>
                <w:rFonts w:cs="Times New Roman" w:hint="eastAsia"/>
                <w:color w:val="auto"/>
                <w:sz w:val="21"/>
                <w:szCs w:val="21"/>
                <w:lang w:val="en-US" w:eastAsia="zh-CN"/>
              </w:rPr>
              <w:t>（</w:t>
            </w:r>
            <w:r>
              <w:rPr>
                <w:rFonts w:ascii="Times New Roman" w:eastAsia="宋体" w:hAnsi="Times New Roman" w:cs="Times New Roman" w:hint="default"/>
                <w:color w:val="auto"/>
                <w:sz w:val="21"/>
                <w:szCs w:val="21"/>
                <w:lang w:val="en-US" w:eastAsia="zh-CN"/>
              </w:rPr>
              <w:t>具体见附件</w:t>
            </w:r>
            <w:r>
              <w:rPr>
                <w:rFonts w:cs="Times New Roman" w:hint="eastAsia"/>
                <w:color w:val="auto"/>
                <w:sz w:val="21"/>
                <w:szCs w:val="21"/>
                <w:lang w:val="en-US" w:eastAsia="zh-CN"/>
              </w:rPr>
              <w:t>2）</w:t>
            </w:r>
            <w:r>
              <w:rPr>
                <w:rFonts w:ascii="Times New Roman" w:eastAsia="宋体" w:hAnsi="Times New Roman" w:cs="Times New Roman" w:hint="default"/>
                <w:color w:val="auto"/>
                <w:sz w:val="21"/>
                <w:szCs w:val="21"/>
                <w:lang w:val="en-US" w:eastAsia="zh-CN"/>
              </w:rPr>
              <w:t>，本项目位于三亚热带海滨风景名胜区 大小洞天景区内，</w:t>
            </w:r>
            <w:r>
              <w:rPr>
                <w:rFonts w:cs="Times New Roman" w:hint="eastAsia"/>
                <w:color w:val="auto"/>
                <w:sz w:val="21"/>
                <w:szCs w:val="21"/>
                <w:lang w:val="en-US" w:eastAsia="zh-CN"/>
              </w:rPr>
              <w:t>项目范围涉及用地规划为旅游点建设用地。位于景区三级陆域保护区内，不涉及核心景区。具体见附图6。</w:t>
            </w:r>
          </w:p>
        </w:tc>
      </w:tr>
    </w:tbl>
    <w:p>
      <w:pPr>
        <w:sectPr>
          <w:footerReference w:type="even" r:id="rId11"/>
          <w:footerReference w:type="default" r:id="rId12"/>
          <w:type w:val="nextPage"/>
          <w:pgSz w:w="11906" w:h="16838"/>
          <w:pgMar w:top="1440" w:right="1800" w:bottom="1440" w:left="1800" w:header="851" w:footer="1077" w:gutter="0"/>
          <w:pgNumType w:fmt="decimal" w:start="2"/>
          <w:cols w:num="1" w:space="720"/>
          <w:titlePg w:val="0"/>
          <w:docGrid w:linePitch="312" w:charSpace="0"/>
        </w:sectPr>
      </w:pPr>
    </w:p>
    <w:tbl>
      <w:tblPr>
        <w:tblStyle w:val="TableNormal"/>
        <w:tblW w:w="4999"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
      <w:tblGrid>
        <w:gridCol w:w="2052"/>
        <w:gridCol w:w="6284"/>
      </w:tblGrid>
      <w:tr>
        <w:tblPrEx>
          <w:tblW w:w="4999"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Ex>
        <w:trPr>
          <w:trHeight w:val="12905"/>
        </w:trPr>
        <w:tc>
          <w:tcPr>
            <w:tcW w:w="1231" w:type="pct"/>
            <w:noWrap w:val="0"/>
            <w:tcMar>
              <w:top w:w="16" w:type="dxa"/>
              <w:left w:w="16" w:type="dxa"/>
              <w:right w:w="16" w:type="dxa"/>
            </w:tcMar>
            <w:vAlign w:val="center"/>
          </w:tcPr>
          <w:p>
            <w:pPr>
              <w:autoSpaceDE w:val="0"/>
              <w:autoSpaceDN w:val="0"/>
              <w:adjustRightInd w:val="0"/>
              <w:snapToGrid w:val="0"/>
              <w:jc w:val="center"/>
              <w:rPr>
                <w:color w:val="auto"/>
                <w:kern w:val="0"/>
                <w:szCs w:val="21"/>
              </w:rPr>
            </w:pPr>
            <w:bookmarkStart w:id="3" w:name="_Hlk56690880"/>
            <w:r>
              <w:rPr>
                <w:color w:val="auto"/>
                <w:kern w:val="0"/>
                <w:sz w:val="21"/>
                <w:szCs w:val="21"/>
              </w:rPr>
              <w:t>其他符合性分析</w:t>
            </w:r>
            <w:bookmarkEnd w:id="3"/>
          </w:p>
        </w:tc>
        <w:tc>
          <w:tcPr>
            <w:tcW w:w="3768" w:type="pct"/>
            <w:noWrap w:val="0"/>
            <w:tcMar>
              <w:top w:w="16" w:type="dxa"/>
              <w:left w:w="16" w:type="dxa"/>
              <w:right w:w="16" w:type="dxa"/>
            </w:tcMar>
            <w:vAlign w:val="center"/>
          </w:tcPr>
          <w:p>
            <w:pPr>
              <w:autoSpaceDE w:val="0"/>
              <w:autoSpaceDN w:val="0"/>
              <w:snapToGrid w:val="0"/>
              <w:spacing w:line="360" w:lineRule="auto"/>
              <w:rPr>
                <w:rFonts w:hint="eastAsia"/>
                <w:b/>
                <w:bCs/>
                <w:color w:val="auto"/>
                <w:kern w:val="0"/>
                <w:szCs w:val="21"/>
              </w:rPr>
            </w:pPr>
            <w:r>
              <w:rPr>
                <w:rFonts w:hint="eastAsia"/>
                <w:b/>
                <w:bCs/>
                <w:color w:val="auto"/>
                <w:kern w:val="0"/>
                <w:sz w:val="21"/>
                <w:szCs w:val="21"/>
              </w:rPr>
              <w:t>1、与</w:t>
            </w:r>
            <w:r>
              <w:rPr>
                <w:rFonts w:hint="eastAsia"/>
                <w:b/>
                <w:bCs/>
                <w:color w:val="auto"/>
                <w:kern w:val="0"/>
                <w:sz w:val="21"/>
                <w:szCs w:val="21"/>
                <w:lang w:val="en-US" w:eastAsia="zh-CN"/>
              </w:rPr>
              <w:t>三亚</w:t>
            </w:r>
            <w:r>
              <w:rPr>
                <w:rFonts w:hint="eastAsia"/>
                <w:b/>
                <w:bCs/>
                <w:color w:val="auto"/>
                <w:kern w:val="0"/>
                <w:sz w:val="21"/>
                <w:szCs w:val="21"/>
              </w:rPr>
              <w:t>市</w:t>
            </w:r>
            <w:r>
              <w:rPr>
                <w:rFonts w:hint="eastAsia"/>
                <w:b/>
                <w:bCs/>
                <w:color w:val="auto"/>
                <w:kern w:val="0"/>
                <w:sz w:val="21"/>
                <w:szCs w:val="21"/>
                <w:lang w:eastAsia="zh-CN"/>
              </w:rPr>
              <w:t>“</w:t>
            </w:r>
            <w:r>
              <w:rPr>
                <w:rFonts w:hint="eastAsia"/>
                <w:b/>
                <w:bCs/>
                <w:color w:val="auto"/>
                <w:kern w:val="0"/>
                <w:sz w:val="21"/>
                <w:szCs w:val="21"/>
              </w:rPr>
              <w:t>三线一单</w:t>
            </w:r>
            <w:r>
              <w:rPr>
                <w:rFonts w:hint="eastAsia"/>
                <w:b/>
                <w:bCs/>
                <w:color w:val="auto"/>
                <w:kern w:val="0"/>
                <w:sz w:val="21"/>
                <w:szCs w:val="21"/>
                <w:lang w:eastAsia="zh-CN"/>
              </w:rPr>
              <w:t>”</w:t>
            </w:r>
            <w:r>
              <w:rPr>
                <w:rFonts w:hint="eastAsia"/>
                <w:b/>
                <w:bCs/>
                <w:color w:val="auto"/>
                <w:kern w:val="0"/>
                <w:sz w:val="21"/>
                <w:szCs w:val="21"/>
              </w:rPr>
              <w:t>相符性分析</w:t>
            </w:r>
          </w:p>
          <w:p>
            <w:pPr>
              <w:spacing w:line="360" w:lineRule="auto"/>
              <w:ind w:firstLine="420" w:firstLineChars="200"/>
              <w:rPr>
                <w:rFonts w:hint="eastAsia"/>
                <w:b/>
                <w:bCs/>
                <w:color w:val="auto"/>
                <w:szCs w:val="21"/>
              </w:rPr>
            </w:pPr>
            <w:r>
              <w:rPr>
                <w:rFonts w:hint="eastAsia"/>
                <w:b w:val="0"/>
                <w:bCs w:val="0"/>
                <w:color w:val="auto"/>
                <w:sz w:val="21"/>
                <w:szCs w:val="21"/>
              </w:rPr>
              <w:t>根据《关于三亚市“三线一单”生态管控分区的实施意见》的通知</w:t>
            </w:r>
            <w:r>
              <w:rPr>
                <w:rFonts w:hint="eastAsia"/>
                <w:b w:val="0"/>
                <w:bCs w:val="0"/>
                <w:color w:val="auto"/>
                <w:sz w:val="21"/>
                <w:szCs w:val="21"/>
                <w:lang w:eastAsia="zh-CN"/>
              </w:rPr>
              <w:t>（</w:t>
            </w:r>
            <w:r>
              <w:rPr>
                <w:rFonts w:hint="eastAsia"/>
                <w:b w:val="0"/>
                <w:bCs w:val="0"/>
                <w:color w:val="auto"/>
                <w:sz w:val="21"/>
                <w:szCs w:val="21"/>
              </w:rPr>
              <w:t>三办发</w:t>
            </w:r>
            <w:r>
              <w:rPr>
                <w:rFonts w:hint="eastAsia"/>
                <w:b w:val="0"/>
                <w:bCs w:val="0"/>
                <w:color w:val="auto"/>
                <w:sz w:val="21"/>
                <w:szCs w:val="21"/>
                <w:highlight w:val="none"/>
                <w:lang w:eastAsia="zh-CN"/>
              </w:rPr>
              <w:t>〔</w:t>
            </w:r>
            <w:r>
              <w:rPr>
                <w:rFonts w:hint="eastAsia"/>
                <w:b w:val="0"/>
                <w:bCs w:val="0"/>
                <w:color w:val="auto"/>
                <w:sz w:val="21"/>
                <w:szCs w:val="21"/>
              </w:rPr>
              <w:t>2021</w:t>
            </w:r>
            <w:r>
              <w:rPr>
                <w:rFonts w:hint="eastAsia"/>
                <w:b w:val="0"/>
                <w:bCs w:val="0"/>
                <w:color w:val="auto"/>
                <w:sz w:val="21"/>
                <w:szCs w:val="21"/>
                <w:highlight w:val="none"/>
                <w:lang w:eastAsia="zh-CN"/>
              </w:rPr>
              <w:t>〕</w:t>
            </w:r>
            <w:r>
              <w:rPr>
                <w:rFonts w:hint="eastAsia"/>
                <w:b w:val="0"/>
                <w:bCs w:val="0"/>
                <w:color w:val="auto"/>
                <w:sz w:val="21"/>
                <w:szCs w:val="21"/>
              </w:rPr>
              <w:t>42号</w:t>
            </w:r>
            <w:r>
              <w:rPr>
                <w:rFonts w:hint="eastAsia"/>
                <w:b w:val="0"/>
                <w:bCs w:val="0"/>
                <w:color w:val="auto"/>
                <w:sz w:val="21"/>
                <w:szCs w:val="21"/>
                <w:lang w:eastAsia="zh-CN"/>
              </w:rPr>
              <w:t>）</w:t>
            </w:r>
            <w:r>
              <w:rPr>
                <w:rFonts w:hint="eastAsia"/>
                <w:b w:val="0"/>
                <w:bCs w:val="0"/>
                <w:color w:val="auto"/>
                <w:sz w:val="21"/>
                <w:szCs w:val="21"/>
              </w:rPr>
              <w:t>，本项目位于</w:t>
            </w:r>
            <w:r>
              <w:rPr>
                <w:rFonts w:hint="eastAsia"/>
                <w:b w:val="0"/>
                <w:bCs w:val="0"/>
                <w:color w:val="auto"/>
                <w:sz w:val="21"/>
                <w:szCs w:val="21"/>
                <w:lang w:val="en-US" w:eastAsia="zh-CN"/>
              </w:rPr>
              <w:t>三亚市崖州区，涉及</w:t>
            </w:r>
            <w:r>
              <w:rPr>
                <w:rFonts w:hint="eastAsia"/>
                <w:b w:val="0"/>
                <w:bCs w:val="0"/>
                <w:color w:val="auto"/>
                <w:sz w:val="21"/>
                <w:szCs w:val="21"/>
              </w:rPr>
              <w:t>优先保护单元和重点管控单元</w:t>
            </w:r>
            <w:r>
              <w:rPr>
                <w:rFonts w:hint="eastAsia"/>
                <w:b w:val="0"/>
                <w:bCs w:val="0"/>
                <w:color w:val="auto"/>
                <w:sz w:val="21"/>
                <w:szCs w:val="21"/>
                <w:lang w:eastAsia="zh-CN"/>
              </w:rPr>
              <w:t>，</w:t>
            </w:r>
            <w:r>
              <w:rPr>
                <w:rFonts w:hint="eastAsia"/>
                <w:b w:val="0"/>
                <w:bCs w:val="0"/>
                <w:color w:val="auto"/>
                <w:sz w:val="21"/>
                <w:szCs w:val="21"/>
              </w:rPr>
              <w:t>项目与各管控单元及区域管控要求符合性见表1-1</w:t>
            </w:r>
            <w:r>
              <w:rPr>
                <w:rFonts w:hint="eastAsia"/>
                <w:b w:val="0"/>
                <w:bCs w:val="0"/>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auto"/>
                <w:szCs w:val="21"/>
              </w:rPr>
            </w:pPr>
            <w:r>
              <w:rPr>
                <w:rFonts w:hint="eastAsia"/>
                <w:b/>
                <w:bCs/>
                <w:color w:val="auto"/>
                <w:sz w:val="21"/>
                <w:szCs w:val="21"/>
                <w:lang w:val="en-US" w:eastAsia="zh-CN"/>
              </w:rPr>
              <w:t>表1-1项目与三亚市“三线一单”各环境管控单元的管控要求符合性</w:t>
            </w:r>
          </w:p>
          <w:tbl>
            <w:tblPr>
              <w:tblStyle w:val="TableGrid0"/>
              <w:tblW w:w="6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81"/>
              <w:gridCol w:w="2564"/>
              <w:gridCol w:w="2236"/>
              <w:gridCol w:w="697"/>
            </w:tblGrid>
            <w:tr>
              <w:tblPrEx>
                <w:tblW w:w="6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45"/>
                <w:jc w:val="center"/>
              </w:trPr>
              <w:tc>
                <w:tcPr>
                  <w:tcW w:w="881"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eastAsia"/>
                      <w:b/>
                      <w:bCs/>
                      <w:i w:val="0"/>
                      <w:iCs w:val="0"/>
                      <w:caps w:val="0"/>
                      <w:color w:val="auto"/>
                      <w:spacing w:val="0"/>
                      <w:szCs w:val="21"/>
                      <w:shd w:val="clear" w:color="auto" w:fill="FFFFFF"/>
                    </w:rPr>
                  </w:pPr>
                  <w:r>
                    <w:rPr>
                      <w:rFonts w:ascii="Times New Roman" w:eastAsia="宋体" w:hAnsi="Times New Roman" w:cs="Times New Roman" w:hint="eastAsia"/>
                      <w:b/>
                      <w:bCs/>
                      <w:i w:val="0"/>
                      <w:iCs w:val="0"/>
                      <w:caps w:val="0"/>
                      <w:color w:val="auto"/>
                      <w:spacing w:val="0"/>
                      <w:sz w:val="21"/>
                      <w:szCs w:val="21"/>
                      <w:shd w:val="clear" w:color="auto" w:fill="FFFFFF"/>
                      <w:lang w:val="en-US" w:eastAsia="zh-CN"/>
                    </w:rPr>
                    <w:t>环境管控单元类型</w:t>
                  </w:r>
                </w:p>
              </w:tc>
              <w:tc>
                <w:tcPr>
                  <w:tcW w:w="2564"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eastAsia"/>
                      <w:b/>
                      <w:bCs/>
                      <w:i w:val="0"/>
                      <w:iCs w:val="0"/>
                      <w:caps w:val="0"/>
                      <w:color w:val="auto"/>
                      <w:spacing w:val="0"/>
                      <w:szCs w:val="21"/>
                      <w:shd w:val="clear" w:color="auto" w:fill="FFFFFF"/>
                    </w:rPr>
                  </w:pPr>
                  <w:r>
                    <w:rPr>
                      <w:rFonts w:ascii="Times New Roman" w:eastAsia="宋体" w:hAnsi="Times New Roman" w:cs="Times New Roman" w:hint="eastAsia"/>
                      <w:b/>
                      <w:bCs/>
                      <w:i w:val="0"/>
                      <w:iCs w:val="0"/>
                      <w:caps w:val="0"/>
                      <w:color w:val="auto"/>
                      <w:spacing w:val="0"/>
                      <w:sz w:val="21"/>
                      <w:szCs w:val="21"/>
                      <w:shd w:val="clear" w:color="auto" w:fill="FFFFFF"/>
                      <w:lang w:val="en-US" w:eastAsia="zh-CN"/>
                    </w:rPr>
                    <w:t>生态环境分区管控要求</w:t>
                  </w:r>
                </w:p>
              </w:tc>
              <w:tc>
                <w:tcPr>
                  <w:tcW w:w="2236"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eastAsia"/>
                      <w:b/>
                      <w:bCs/>
                      <w:i w:val="0"/>
                      <w:iCs w:val="0"/>
                      <w:caps w:val="0"/>
                      <w:color w:val="auto"/>
                      <w:spacing w:val="0"/>
                      <w:szCs w:val="21"/>
                      <w:shd w:val="clear" w:color="auto" w:fill="FFFFFF"/>
                      <w:vertAlign w:val="baseline"/>
                    </w:rPr>
                  </w:pPr>
                  <w:r>
                    <w:rPr>
                      <w:rFonts w:ascii="Times New Roman" w:eastAsia="宋体" w:hAnsi="Times New Roman" w:cs="Times New Roman" w:hint="eastAsia"/>
                      <w:b/>
                      <w:bCs/>
                      <w:i w:val="0"/>
                      <w:iCs w:val="0"/>
                      <w:caps w:val="0"/>
                      <w:color w:val="auto"/>
                      <w:spacing w:val="0"/>
                      <w:sz w:val="21"/>
                      <w:szCs w:val="21"/>
                      <w:shd w:val="clear" w:color="auto" w:fill="FFFFFF"/>
                      <w:vertAlign w:val="baseline"/>
                      <w:lang w:val="en-US" w:eastAsia="zh-CN"/>
                    </w:rPr>
                    <w:t>本项目落实情况</w:t>
                  </w:r>
                </w:p>
              </w:tc>
              <w:tc>
                <w:tcPr>
                  <w:tcW w:w="697"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default"/>
                      <w:b/>
                      <w:bCs/>
                      <w:i w:val="0"/>
                      <w:iCs w:val="0"/>
                      <w:caps w:val="0"/>
                      <w:color w:val="auto"/>
                      <w:spacing w:val="0"/>
                      <w:szCs w:val="21"/>
                      <w:shd w:val="clear" w:color="auto" w:fill="FFFFFF"/>
                      <w:vertAlign w:val="baseline"/>
                    </w:rPr>
                  </w:pPr>
                  <w:r>
                    <w:rPr>
                      <w:rFonts w:ascii="Times New Roman" w:eastAsia="宋体" w:hAnsi="Times New Roman" w:cs="Times New Roman" w:hint="eastAsia"/>
                      <w:b/>
                      <w:bCs/>
                      <w:i w:val="0"/>
                      <w:iCs w:val="0"/>
                      <w:caps w:val="0"/>
                      <w:color w:val="auto"/>
                      <w:spacing w:val="0"/>
                      <w:sz w:val="21"/>
                      <w:szCs w:val="21"/>
                      <w:shd w:val="clear" w:color="auto" w:fill="FFFFFF"/>
                      <w:vertAlign w:val="baseline"/>
                      <w:lang w:val="en-US" w:eastAsia="zh-CN"/>
                    </w:rPr>
                    <w:t>符合情况</w:t>
                  </w:r>
                </w:p>
              </w:tc>
            </w:tr>
            <w:tr>
              <w:tblPrEx>
                <w:tblW w:w="6378" w:type="dxa"/>
                <w:jc w:val="center"/>
                <w:tblLayout w:type="fixed"/>
                <w:tblCellMar>
                  <w:top w:w="0" w:type="dxa"/>
                  <w:left w:w="108" w:type="dxa"/>
                  <w:bottom w:w="0" w:type="dxa"/>
                  <w:right w:w="108" w:type="dxa"/>
                </w:tblCellMar>
              </w:tblPrEx>
              <w:trPr>
                <w:trHeight w:val="2833"/>
                <w:jc w:val="center"/>
              </w:trPr>
              <w:tc>
                <w:tcPr>
                  <w:tcW w:w="881"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eastAsia"/>
                      <w:b w:val="0"/>
                      <w:bCs w:val="0"/>
                      <w:i w:val="0"/>
                      <w:iCs w:val="0"/>
                      <w:caps w:val="0"/>
                      <w:color w:val="auto"/>
                      <w:spacing w:val="0"/>
                      <w:szCs w:val="21"/>
                      <w:shd w:val="clear" w:color="auto" w:fill="FFFFFF"/>
                    </w:rPr>
                  </w:pPr>
                  <w:r>
                    <w:rPr>
                      <w:rFonts w:ascii="Times New Roman" w:eastAsia="宋体" w:hAnsi="Times New Roman" w:cs="Times New Roman" w:hint="eastAsia"/>
                      <w:b w:val="0"/>
                      <w:bCs w:val="0"/>
                      <w:i w:val="0"/>
                      <w:iCs w:val="0"/>
                      <w:caps w:val="0"/>
                      <w:color w:val="auto"/>
                      <w:spacing w:val="0"/>
                      <w:sz w:val="21"/>
                      <w:szCs w:val="21"/>
                      <w:shd w:val="clear" w:color="auto" w:fill="FFFFFF"/>
                      <w:lang w:val="en-US" w:eastAsia="zh-CN"/>
                    </w:rPr>
                    <w:t>重点管控单元</w:t>
                  </w:r>
                </w:p>
              </w:tc>
              <w:tc>
                <w:tcPr>
                  <w:tcW w:w="2564"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eastAsia"/>
                      <w:b w:val="0"/>
                      <w:bCs w:val="0"/>
                      <w:i w:val="0"/>
                      <w:iCs w:val="0"/>
                      <w:caps w:val="0"/>
                      <w:color w:val="auto"/>
                      <w:spacing w:val="0"/>
                      <w:szCs w:val="21"/>
                      <w:shd w:val="clear" w:color="auto" w:fill="FFFFFF"/>
                    </w:rPr>
                  </w:pPr>
                  <w:r>
                    <w:rPr>
                      <w:rFonts w:ascii="Times New Roman" w:eastAsia="宋体" w:hAnsi="Times New Roman" w:cs="Times New Roman" w:hint="eastAsia"/>
                      <w:b w:val="0"/>
                      <w:bCs w:val="0"/>
                      <w:i w:val="0"/>
                      <w:iCs w:val="0"/>
                      <w:caps w:val="0"/>
                      <w:color w:val="auto"/>
                      <w:spacing w:val="0"/>
                      <w:kern w:val="2"/>
                      <w:sz w:val="21"/>
                      <w:szCs w:val="21"/>
                      <w:shd w:val="clear" w:color="auto" w:fill="FFFFFF"/>
                      <w:lang w:val="en-US" w:eastAsia="zh-CN" w:bidi="ar-SA"/>
                    </w:rPr>
                    <w:t>根据现状环境质量是否达标、区域经济社会发展趋势与需求、可能面临的环境压力等因素，重点推进产业布局优化、转型升级，不断提高资源利用效率，加强污染物排放控制和环境风险管控，解决突出生态环境问题。</w:t>
                  </w:r>
                </w:p>
              </w:tc>
              <w:tc>
                <w:tcPr>
                  <w:tcW w:w="2236"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eastAsia"/>
                      <w:b w:val="0"/>
                      <w:bCs w:val="0"/>
                      <w:i w:val="0"/>
                      <w:iCs w:val="0"/>
                      <w:caps w:val="0"/>
                      <w:color w:val="auto"/>
                      <w:spacing w:val="0"/>
                      <w:szCs w:val="21"/>
                      <w:shd w:val="clear" w:color="auto" w:fill="FFFFFF"/>
                      <w:vertAlign w:val="baseline"/>
                    </w:rPr>
                  </w:pPr>
                  <w:r>
                    <w:rPr>
                      <w:rFonts w:cs="Times New Roman" w:hint="eastAsia"/>
                      <w:b w:val="0"/>
                      <w:bCs w:val="0"/>
                      <w:i w:val="0"/>
                      <w:iCs w:val="0"/>
                      <w:caps w:val="0"/>
                      <w:color w:val="auto"/>
                      <w:spacing w:val="0"/>
                      <w:sz w:val="21"/>
                      <w:szCs w:val="21"/>
                      <w:shd w:val="clear" w:color="auto" w:fill="FFFFFF"/>
                      <w:vertAlign w:val="baseline"/>
                      <w:lang w:val="en-US" w:eastAsia="zh-CN"/>
                    </w:rPr>
                    <w:t>本项目所在区域为达标区。环境空气质量满足《环境空气质量标准》（GB3095-2012）及2018年修改单中的一级标准。</w:t>
                  </w:r>
                  <w:r>
                    <w:rPr>
                      <w:rFonts w:ascii="Times New Roman" w:eastAsia="宋体" w:hAnsi="Times New Roman" w:cs="Times New Roman" w:hint="eastAsia"/>
                      <w:b w:val="0"/>
                      <w:bCs w:val="0"/>
                      <w:i w:val="0"/>
                      <w:iCs w:val="0"/>
                      <w:caps w:val="0"/>
                      <w:color w:val="auto"/>
                      <w:spacing w:val="0"/>
                      <w:sz w:val="21"/>
                      <w:szCs w:val="21"/>
                      <w:shd w:val="clear" w:color="auto" w:fill="FFFFFF"/>
                      <w:vertAlign w:val="baseline"/>
                      <w:lang w:val="en-US" w:eastAsia="zh-CN"/>
                    </w:rPr>
                    <w:t>本项目为办公用房建设，项目产生的污染物在采取相应的环保措施后对周边环境的影响较小</w:t>
                  </w:r>
                  <w:r>
                    <w:rPr>
                      <w:rFonts w:cs="Times New Roman" w:hint="eastAsia"/>
                      <w:b w:val="0"/>
                      <w:bCs w:val="0"/>
                      <w:i w:val="0"/>
                      <w:iCs w:val="0"/>
                      <w:caps w:val="0"/>
                      <w:color w:val="auto"/>
                      <w:spacing w:val="0"/>
                      <w:sz w:val="21"/>
                      <w:szCs w:val="21"/>
                      <w:shd w:val="clear" w:color="auto" w:fill="FFFFFF"/>
                      <w:vertAlign w:val="baseline"/>
                      <w:lang w:val="en-US" w:eastAsia="zh-CN"/>
                    </w:rPr>
                    <w:t>。</w:t>
                  </w:r>
                </w:p>
              </w:tc>
              <w:tc>
                <w:tcPr>
                  <w:tcW w:w="697"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default"/>
                      <w:b w:val="0"/>
                      <w:bCs w:val="0"/>
                      <w:i w:val="0"/>
                      <w:iCs w:val="0"/>
                      <w:caps w:val="0"/>
                      <w:color w:val="auto"/>
                      <w:spacing w:val="0"/>
                      <w:szCs w:val="21"/>
                      <w:shd w:val="clear" w:color="auto" w:fill="FFFFFF"/>
                      <w:vertAlign w:val="baseline"/>
                    </w:rPr>
                  </w:pPr>
                  <w:r>
                    <w:rPr>
                      <w:rFonts w:ascii="Times New Roman" w:eastAsia="宋体" w:hAnsi="Times New Roman" w:cs="Times New Roman" w:hint="eastAsia"/>
                      <w:b w:val="0"/>
                      <w:bCs w:val="0"/>
                      <w:i w:val="0"/>
                      <w:iCs w:val="0"/>
                      <w:caps w:val="0"/>
                      <w:color w:val="auto"/>
                      <w:spacing w:val="0"/>
                      <w:sz w:val="21"/>
                      <w:szCs w:val="21"/>
                      <w:shd w:val="clear" w:color="auto" w:fill="FFFFFF"/>
                      <w:vertAlign w:val="baseline"/>
                      <w:lang w:val="en-US" w:eastAsia="zh-CN"/>
                    </w:rPr>
                    <w:t>符合</w:t>
                  </w:r>
                </w:p>
              </w:tc>
            </w:tr>
            <w:tr>
              <w:tblPrEx>
                <w:tblW w:w="6378" w:type="dxa"/>
                <w:jc w:val="center"/>
                <w:tblLayout w:type="fixed"/>
                <w:tblCellMar>
                  <w:top w:w="0" w:type="dxa"/>
                  <w:left w:w="108" w:type="dxa"/>
                  <w:bottom w:w="0" w:type="dxa"/>
                  <w:right w:w="108" w:type="dxa"/>
                </w:tblCellMar>
              </w:tblPrEx>
              <w:trPr>
                <w:trHeight w:val="1955"/>
                <w:jc w:val="center"/>
              </w:trPr>
              <w:tc>
                <w:tcPr>
                  <w:tcW w:w="881"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eastAsia"/>
                      <w:b w:val="0"/>
                      <w:bCs w:val="0"/>
                      <w:i w:val="0"/>
                      <w:iCs w:val="0"/>
                      <w:caps w:val="0"/>
                      <w:color w:val="auto"/>
                      <w:spacing w:val="0"/>
                      <w:szCs w:val="21"/>
                      <w:shd w:val="clear" w:color="auto" w:fill="FFFFFF"/>
                    </w:rPr>
                  </w:pPr>
                  <w:r>
                    <w:rPr>
                      <w:rFonts w:ascii="Times New Roman" w:eastAsia="宋体" w:hAnsi="Times New Roman" w:cs="Times New Roman" w:hint="eastAsia"/>
                      <w:b w:val="0"/>
                      <w:bCs w:val="0"/>
                      <w:i w:val="0"/>
                      <w:iCs w:val="0"/>
                      <w:caps w:val="0"/>
                      <w:color w:val="auto"/>
                      <w:spacing w:val="0"/>
                      <w:sz w:val="21"/>
                      <w:szCs w:val="21"/>
                      <w:shd w:val="clear" w:color="auto" w:fill="FFFFFF"/>
                      <w:lang w:val="en-US" w:eastAsia="zh-CN"/>
                    </w:rPr>
                    <w:t>优先保护单元</w:t>
                  </w:r>
                </w:p>
              </w:tc>
              <w:tc>
                <w:tcPr>
                  <w:tcW w:w="2564"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eastAsia"/>
                      <w:b w:val="0"/>
                      <w:bCs w:val="0"/>
                      <w:i w:val="0"/>
                      <w:iCs w:val="0"/>
                      <w:caps w:val="0"/>
                      <w:color w:val="auto"/>
                      <w:spacing w:val="0"/>
                      <w:szCs w:val="21"/>
                      <w:shd w:val="clear" w:color="auto" w:fill="FFFFFF"/>
                    </w:rPr>
                  </w:pPr>
                  <w:r>
                    <w:rPr>
                      <w:rFonts w:ascii="Times New Roman" w:eastAsia="宋体" w:hAnsi="Times New Roman" w:cs="Times New Roman" w:hint="eastAsia"/>
                      <w:b w:val="0"/>
                      <w:bCs w:val="0"/>
                      <w:i w:val="0"/>
                      <w:iCs w:val="0"/>
                      <w:caps w:val="0"/>
                      <w:color w:val="auto"/>
                      <w:spacing w:val="0"/>
                      <w:kern w:val="2"/>
                      <w:sz w:val="21"/>
                      <w:szCs w:val="21"/>
                      <w:shd w:val="clear" w:color="auto" w:fill="FFFFFF"/>
                      <w:lang w:val="en-US" w:eastAsia="zh-CN" w:bidi="ar-SA"/>
                    </w:rPr>
                    <w:t>以生态环境保护优先为原则，严守生态保护红线和环境质量底线要求，依法禁止或限制开发建设活动，确保生态环境功能不降低、面积不减少、性质不改变；生态保护红线、饮用水水源地保护区及其他各级各类自然保护地严格按照国家、海南省相关法律法规和文件要求进行管控；优先开展生态功能受损区域生态保护修复活动，恢复生态系统服务功能。</w:t>
                  </w:r>
                </w:p>
              </w:tc>
              <w:tc>
                <w:tcPr>
                  <w:tcW w:w="2236"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eastAsia"/>
                      <w:b w:val="0"/>
                      <w:bCs w:val="0"/>
                      <w:i w:val="0"/>
                      <w:iCs w:val="0"/>
                      <w:caps w:val="0"/>
                      <w:color w:val="auto"/>
                      <w:spacing w:val="0"/>
                      <w:szCs w:val="21"/>
                      <w:shd w:val="clear" w:color="auto" w:fill="FFFFFF"/>
                      <w:vertAlign w:val="baseline"/>
                    </w:rPr>
                  </w:pPr>
                  <w:r>
                    <w:rPr>
                      <w:rFonts w:ascii="Times New Roman" w:eastAsia="宋体" w:hAnsi="Times New Roman" w:cs="Times New Roman" w:hint="eastAsia"/>
                      <w:b w:val="0"/>
                      <w:bCs w:val="0"/>
                      <w:i w:val="0"/>
                      <w:iCs w:val="0"/>
                      <w:caps w:val="0"/>
                      <w:color w:val="auto"/>
                      <w:spacing w:val="0"/>
                      <w:sz w:val="21"/>
                      <w:szCs w:val="21"/>
                      <w:shd w:val="clear" w:color="auto" w:fill="FFFFFF"/>
                      <w:vertAlign w:val="baseline"/>
                      <w:lang w:val="en-US" w:eastAsia="zh-CN"/>
                    </w:rPr>
                    <w:t>本项目为办公用房建设，项目不占用生态保护红线、饮用水水源地保护区及其他各级各类自然保护地，项目产生的污染物在采取相应的环保措施后对周边环境的影响较小</w:t>
                  </w:r>
                  <w:r>
                    <w:rPr>
                      <w:rFonts w:cs="Times New Roman" w:hint="eastAsia"/>
                      <w:b w:val="0"/>
                      <w:bCs w:val="0"/>
                      <w:i w:val="0"/>
                      <w:iCs w:val="0"/>
                      <w:caps w:val="0"/>
                      <w:color w:val="auto"/>
                      <w:spacing w:val="0"/>
                      <w:sz w:val="21"/>
                      <w:szCs w:val="21"/>
                      <w:shd w:val="clear" w:color="auto" w:fill="FFFFFF"/>
                      <w:vertAlign w:val="baseline"/>
                      <w:lang w:val="en-US" w:eastAsia="zh-CN"/>
                    </w:rPr>
                    <w:t>。</w:t>
                  </w:r>
                </w:p>
              </w:tc>
              <w:tc>
                <w:tcPr>
                  <w:tcW w:w="697"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default"/>
                      <w:b w:val="0"/>
                      <w:bCs w:val="0"/>
                      <w:i w:val="0"/>
                      <w:iCs w:val="0"/>
                      <w:caps w:val="0"/>
                      <w:color w:val="auto"/>
                      <w:spacing w:val="0"/>
                      <w:szCs w:val="21"/>
                      <w:shd w:val="clear" w:color="auto" w:fill="FFFFFF"/>
                      <w:vertAlign w:val="baseline"/>
                    </w:rPr>
                  </w:pPr>
                  <w:r>
                    <w:rPr>
                      <w:rFonts w:ascii="Times New Roman" w:eastAsia="宋体" w:hAnsi="Times New Roman" w:cs="Times New Roman" w:hint="eastAsia"/>
                      <w:b w:val="0"/>
                      <w:bCs w:val="0"/>
                      <w:i w:val="0"/>
                      <w:iCs w:val="0"/>
                      <w:caps w:val="0"/>
                      <w:color w:val="auto"/>
                      <w:spacing w:val="0"/>
                      <w:sz w:val="21"/>
                      <w:szCs w:val="21"/>
                      <w:shd w:val="clear" w:color="auto" w:fill="FFFFFF"/>
                      <w:vertAlign w:val="baseline"/>
                      <w:lang w:val="en-US" w:eastAsia="zh-CN"/>
                    </w:rPr>
                    <w:t>符合</w:t>
                  </w:r>
                </w:p>
              </w:tc>
            </w:tr>
            <w:tr>
              <w:tblPrEx>
                <w:tblW w:w="6378" w:type="dxa"/>
                <w:jc w:val="center"/>
                <w:tblLayout w:type="fixed"/>
                <w:tblCellMar>
                  <w:top w:w="0" w:type="dxa"/>
                  <w:left w:w="108" w:type="dxa"/>
                  <w:bottom w:w="0" w:type="dxa"/>
                  <w:right w:w="108" w:type="dxa"/>
                </w:tblCellMar>
              </w:tblPrEx>
              <w:trPr>
                <w:trHeight w:val="1955"/>
                <w:jc w:val="center"/>
              </w:trPr>
              <w:tc>
                <w:tcPr>
                  <w:tcW w:w="881"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eastAsia"/>
                      <w:b w:val="0"/>
                      <w:bCs w:val="0"/>
                      <w:i w:val="0"/>
                      <w:iCs w:val="0"/>
                      <w:caps w:val="0"/>
                      <w:color w:val="auto"/>
                      <w:spacing w:val="0"/>
                      <w:szCs w:val="21"/>
                      <w:shd w:val="clear" w:color="auto" w:fill="FFFFFF"/>
                    </w:rPr>
                  </w:pPr>
                  <w:r>
                    <w:rPr>
                      <w:rFonts w:ascii="Times New Roman" w:eastAsia="宋体" w:hAnsi="Times New Roman" w:cs="Times New Roman" w:hint="eastAsia"/>
                      <w:b w:val="0"/>
                      <w:bCs w:val="0"/>
                      <w:i w:val="0"/>
                      <w:iCs w:val="0"/>
                      <w:caps w:val="0"/>
                      <w:color w:val="auto"/>
                      <w:spacing w:val="0"/>
                      <w:sz w:val="21"/>
                      <w:szCs w:val="21"/>
                      <w:shd w:val="clear" w:color="auto" w:fill="FFFFFF"/>
                      <w:lang w:val="en-US" w:eastAsia="zh-CN"/>
                    </w:rPr>
                    <w:t>普适性管控要求</w:t>
                  </w:r>
                </w:p>
              </w:tc>
              <w:tc>
                <w:tcPr>
                  <w:tcW w:w="2564"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eastAsia"/>
                      <w:b w:val="0"/>
                      <w:bCs w:val="0"/>
                      <w:i w:val="0"/>
                      <w:iCs w:val="0"/>
                      <w:caps w:val="0"/>
                      <w:color w:val="auto"/>
                      <w:spacing w:val="0"/>
                      <w:szCs w:val="21"/>
                      <w:shd w:val="clear" w:color="auto" w:fill="FFFFFF"/>
                    </w:rPr>
                  </w:pPr>
                  <w:r>
                    <w:rPr>
                      <w:rFonts w:ascii="Times New Roman" w:eastAsia="宋体" w:hAnsi="Times New Roman" w:cs="Times New Roman" w:hint="eastAsia"/>
                      <w:b w:val="0"/>
                      <w:bCs w:val="0"/>
                      <w:i w:val="0"/>
                      <w:iCs w:val="0"/>
                      <w:caps w:val="0"/>
                      <w:color w:val="auto"/>
                      <w:spacing w:val="0"/>
                      <w:kern w:val="2"/>
                      <w:sz w:val="21"/>
                      <w:szCs w:val="21"/>
                      <w:shd w:val="clear" w:color="auto" w:fill="FFFFFF"/>
                      <w:lang w:val="en-US" w:eastAsia="zh-CN" w:bidi="ar-SA"/>
                    </w:rPr>
                    <w:t>在海岸带风暴潮影响预防区内，自最高潮位线起向陆地延伸100m至200m的范围内，不得擅自新建、扩建、改建建筑物，禁止新增商品房开发，严禁挤占、开挖、围垦、破坏区域内的沟塘、洼地、湿地、沼泽等能受纳风暴潮增水与汇集暴雨径流的生态空间。</w:t>
                  </w:r>
                </w:p>
              </w:tc>
              <w:tc>
                <w:tcPr>
                  <w:tcW w:w="2236"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default"/>
                      <w:b w:val="0"/>
                      <w:bCs w:val="0"/>
                      <w:i w:val="0"/>
                      <w:iCs w:val="0"/>
                      <w:caps w:val="0"/>
                      <w:color w:val="auto"/>
                      <w:spacing w:val="0"/>
                      <w:szCs w:val="21"/>
                      <w:shd w:val="clear" w:color="auto" w:fill="FFFFFF"/>
                      <w:vertAlign w:val="baseline"/>
                    </w:rPr>
                  </w:pPr>
                  <w:r>
                    <w:rPr>
                      <w:rFonts w:cs="Times New Roman" w:hint="eastAsia"/>
                      <w:b w:val="0"/>
                      <w:bCs w:val="0"/>
                      <w:i w:val="0"/>
                      <w:iCs w:val="0"/>
                      <w:caps w:val="0"/>
                      <w:color w:val="auto"/>
                      <w:spacing w:val="0"/>
                      <w:sz w:val="21"/>
                      <w:szCs w:val="21"/>
                      <w:shd w:val="clear" w:color="auto" w:fill="FFFFFF"/>
                      <w:vertAlign w:val="baseline"/>
                      <w:lang w:val="en-US" w:eastAsia="zh-CN"/>
                    </w:rPr>
                    <w:t>本项目新建的建筑物距离</w:t>
                  </w:r>
                  <w:r>
                    <w:rPr>
                      <w:rFonts w:ascii="Times New Roman" w:eastAsia="宋体" w:hAnsi="Times New Roman" w:cs="Times New Roman" w:hint="eastAsia"/>
                      <w:b w:val="0"/>
                      <w:bCs w:val="0"/>
                      <w:i w:val="0"/>
                      <w:iCs w:val="0"/>
                      <w:caps w:val="0"/>
                      <w:color w:val="auto"/>
                      <w:spacing w:val="0"/>
                      <w:kern w:val="2"/>
                      <w:sz w:val="21"/>
                      <w:szCs w:val="21"/>
                      <w:shd w:val="clear" w:color="auto" w:fill="FFFFFF"/>
                      <w:lang w:val="en-US" w:eastAsia="zh-CN" w:bidi="ar-SA"/>
                    </w:rPr>
                    <w:t>最高潮位线</w:t>
                  </w:r>
                  <w:r>
                    <w:rPr>
                      <w:rFonts w:cs="Times New Roman" w:hint="eastAsia"/>
                      <w:b w:val="0"/>
                      <w:bCs w:val="0"/>
                      <w:i w:val="0"/>
                      <w:iCs w:val="0"/>
                      <w:caps w:val="0"/>
                      <w:color w:val="auto"/>
                      <w:spacing w:val="0"/>
                      <w:kern w:val="2"/>
                      <w:sz w:val="21"/>
                      <w:szCs w:val="21"/>
                      <w:shd w:val="clear" w:color="auto" w:fill="FFFFFF"/>
                      <w:lang w:val="en-US" w:eastAsia="zh-CN" w:bidi="ar-SA"/>
                    </w:rPr>
                    <w:t>超过200米。</w:t>
                  </w:r>
                </w:p>
              </w:tc>
              <w:tc>
                <w:tcPr>
                  <w:tcW w:w="697"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default"/>
                      <w:b w:val="0"/>
                      <w:bCs w:val="0"/>
                      <w:i w:val="0"/>
                      <w:iCs w:val="0"/>
                      <w:caps w:val="0"/>
                      <w:color w:val="auto"/>
                      <w:spacing w:val="0"/>
                      <w:szCs w:val="21"/>
                      <w:shd w:val="clear" w:color="auto" w:fill="FFFFFF"/>
                      <w:vertAlign w:val="baseline"/>
                    </w:rPr>
                  </w:pPr>
                  <w:r>
                    <w:rPr>
                      <w:rFonts w:cs="Times New Roman" w:hint="eastAsia"/>
                      <w:b w:val="0"/>
                      <w:bCs w:val="0"/>
                      <w:i w:val="0"/>
                      <w:iCs w:val="0"/>
                      <w:caps w:val="0"/>
                      <w:color w:val="auto"/>
                      <w:spacing w:val="0"/>
                      <w:sz w:val="21"/>
                      <w:szCs w:val="21"/>
                      <w:shd w:val="clear" w:color="auto" w:fill="FFFFFF"/>
                      <w:vertAlign w:val="baseline"/>
                      <w:lang w:val="en-US" w:eastAsia="zh-CN"/>
                    </w:rPr>
                    <w:t>符合</w:t>
                  </w:r>
                </w:p>
              </w:tc>
            </w:tr>
          </w:tbl>
          <w:p>
            <w:pPr>
              <w:autoSpaceDE w:val="0"/>
              <w:autoSpaceDN w:val="0"/>
              <w:adjustRightInd w:val="0"/>
              <w:snapToGrid w:val="0"/>
              <w:spacing w:line="360" w:lineRule="auto"/>
              <w:ind w:firstLine="420" w:firstLineChars="200"/>
              <w:rPr>
                <w:rFonts w:hint="eastAsia"/>
                <w:i w:val="0"/>
                <w:iCs w:val="0"/>
                <w:caps w:val="0"/>
                <w:color w:val="auto"/>
                <w:spacing w:val="0"/>
                <w:szCs w:val="21"/>
                <w:shd w:val="clear" w:color="auto" w:fill="auto"/>
                <w:vertAlign w:val="baseline"/>
              </w:rPr>
            </w:pPr>
            <w:r>
              <w:rPr>
                <w:rFonts w:ascii="Times New Roman" w:eastAsia="宋体" w:hAnsi="Times New Roman" w:cs="Times New Roman" w:hint="eastAsia"/>
                <w:b w:val="0"/>
                <w:bCs w:val="0"/>
                <w:i w:val="0"/>
                <w:iCs w:val="0"/>
                <w:caps w:val="0"/>
                <w:color w:val="auto"/>
                <w:spacing w:val="0"/>
                <w:sz w:val="21"/>
                <w:szCs w:val="21"/>
                <w:shd w:val="clear" w:color="auto" w:fill="FFFFFF"/>
                <w:lang w:val="en-US" w:eastAsia="zh-CN"/>
              </w:rPr>
              <w:t>项目位于崖州区，项目与该区域管控要求符合性见表1-2。</w:t>
            </w:r>
          </w:p>
          <w:p>
            <w:pPr>
              <w:pStyle w:val="NormalIndent"/>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jc w:val="center"/>
              <w:textAlignment w:val="auto"/>
              <w:rPr>
                <w:rFonts w:cs="Times New Roman" w:hint="eastAsia"/>
                <w:b/>
                <w:bCs/>
                <w:i w:val="0"/>
                <w:iCs w:val="0"/>
                <w:caps w:val="0"/>
                <w:color w:val="auto"/>
                <w:spacing w:val="0"/>
                <w:sz w:val="21"/>
                <w:szCs w:val="21"/>
                <w:shd w:val="clear" w:color="auto" w:fill="FFFFFF"/>
                <w:lang w:val="en-US" w:eastAsia="zh-CN"/>
              </w:rPr>
            </w:pPr>
          </w:p>
          <w:p>
            <w:pPr>
              <w:pStyle w:val="NormalIndent"/>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jc w:val="center"/>
              <w:textAlignment w:val="auto"/>
              <w:rPr>
                <w:rFonts w:hint="default"/>
                <w:color w:val="auto"/>
                <w:sz w:val="21"/>
                <w:szCs w:val="21"/>
                <w:lang w:val="en-US" w:eastAsia="zh-CN"/>
              </w:rPr>
            </w:pPr>
            <w:r>
              <w:rPr>
                <w:rFonts w:ascii="Times New Roman" w:eastAsia="宋体" w:hAnsi="Times New Roman" w:cs="Times New Roman" w:hint="eastAsia"/>
                <w:b/>
                <w:bCs/>
                <w:i w:val="0"/>
                <w:iCs w:val="0"/>
                <w:caps w:val="0"/>
                <w:color w:val="auto"/>
                <w:spacing w:val="0"/>
                <w:sz w:val="21"/>
                <w:szCs w:val="21"/>
                <w:shd w:val="clear" w:color="auto" w:fill="FFFFFF"/>
                <w:lang w:val="en-US" w:eastAsia="zh-CN"/>
              </w:rPr>
              <w:t>表1-2 项目与</w:t>
            </w:r>
            <w:r>
              <w:rPr>
                <w:rFonts w:hint="eastAsia"/>
                <w:b/>
                <w:bCs/>
                <w:color w:val="auto"/>
                <w:sz w:val="21"/>
                <w:szCs w:val="21"/>
                <w:lang w:eastAsia="zh-CN"/>
              </w:rPr>
              <w:t>三亚市</w:t>
            </w:r>
            <w:r>
              <w:rPr>
                <w:rFonts w:ascii="宋体" w:eastAsia="宋体" w:hAnsi="宋体" w:cs="宋体" w:hint="eastAsia"/>
                <w:b/>
                <w:bCs/>
                <w:color w:val="auto"/>
                <w:sz w:val="21"/>
                <w:szCs w:val="21"/>
                <w:lang w:val="en-US" w:eastAsia="zh-CN"/>
              </w:rPr>
              <w:t>“三线一单”分区生态环境管控要求</w:t>
            </w:r>
            <w:r>
              <w:rPr>
                <w:rFonts w:ascii="Times New Roman" w:eastAsia="宋体" w:hAnsi="Times New Roman" w:cs="Times New Roman" w:hint="eastAsia"/>
                <w:b/>
                <w:bCs/>
                <w:i w:val="0"/>
                <w:iCs w:val="0"/>
                <w:caps w:val="0"/>
                <w:color w:val="auto"/>
                <w:spacing w:val="0"/>
                <w:sz w:val="21"/>
                <w:szCs w:val="21"/>
                <w:shd w:val="clear" w:color="auto" w:fill="FFFFFF"/>
                <w:lang w:val="en-US" w:eastAsia="zh-CN"/>
              </w:rPr>
              <w:t>符合性</w:t>
            </w:r>
          </w:p>
        </w:tc>
      </w:tr>
    </w:tbl>
    <w:p>
      <w:pPr>
        <w:sectPr>
          <w:footerReference w:type="even" r:id="rId13"/>
          <w:footerReference w:type="default" r:id="rId14"/>
          <w:type w:val="nextPage"/>
          <w:pgSz w:w="11906" w:h="16838"/>
          <w:pgMar w:top="1440" w:right="1800" w:bottom="1440" w:left="1800" w:header="851" w:footer="1077" w:gutter="0"/>
          <w:pgNumType w:fmt="decimal" w:start="3"/>
          <w:cols w:num="1" w:space="720"/>
          <w:titlePg w:val="0"/>
          <w:docGrid w:linePitch="312" w:charSpace="0"/>
        </w:sectPr>
      </w:pPr>
    </w:p>
    <w:tbl>
      <w:tblPr>
        <w:tblStyle w:val="TableNormal"/>
        <w:tblW w:w="4999"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
      <w:tblGrid>
        <w:gridCol w:w="2052"/>
        <w:gridCol w:w="6284"/>
      </w:tblGrid>
      <w:tr>
        <w:tblPrEx>
          <w:tblW w:w="4999"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Ex>
        <w:trPr>
          <w:trHeight w:val="12905"/>
        </w:trPr>
        <w:tc>
          <w:tcPr>
            <w:tcW w:w="1231" w:type="pct"/>
            <w:noWrap w:val="0"/>
            <w:tcMar>
              <w:top w:w="16" w:type="dxa"/>
              <w:left w:w="16" w:type="dxa"/>
              <w:right w:w="16" w:type="dxa"/>
            </w:tcMar>
            <w:vAlign w:val="center"/>
          </w:tcPr>
          <w:p/>
        </w:tc>
        <w:tc>
          <w:tcPr>
            <w:tcW w:w="3768" w:type="pct"/>
            <w:noWrap w:val="0"/>
            <w:tcMar>
              <w:top w:w="16" w:type="dxa"/>
              <w:left w:w="16" w:type="dxa"/>
              <w:right w:w="16" w:type="dxa"/>
            </w:tcMar>
            <w:vAlign w:val="center"/>
          </w:tcPr>
          <w:tbl>
            <w:tblPr>
              <w:tblStyle w:val="TableGrid1"/>
              <w:tblW w:w="6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8"/>
              <w:gridCol w:w="2391"/>
              <w:gridCol w:w="2500"/>
              <w:gridCol w:w="719"/>
            </w:tblGrid>
            <w:tr>
              <w:tblPrEx>
                <w:tblW w:w="6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18"/>
                <w:jc w:val="center"/>
              </w:trPr>
              <w:tc>
                <w:tcPr>
                  <w:tcW w:w="768"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default"/>
                      <w:b w:val="0"/>
                      <w:bCs w:val="0"/>
                      <w:i w:val="0"/>
                      <w:iCs w:val="0"/>
                      <w:caps w:val="0"/>
                      <w:color w:val="auto"/>
                      <w:spacing w:val="0"/>
                      <w:szCs w:val="21"/>
                      <w:shd w:val="clear" w:color="auto" w:fill="FFFFFF"/>
                      <w:vertAlign w:val="baseline"/>
                    </w:rPr>
                  </w:pPr>
                  <w:r>
                    <w:rPr>
                      <w:rFonts w:ascii="Times New Roman" w:eastAsia="宋体" w:hAnsi="Times New Roman" w:cs="Times New Roman" w:hint="eastAsia"/>
                      <w:b w:val="0"/>
                      <w:bCs w:val="0"/>
                      <w:i w:val="0"/>
                      <w:iCs w:val="0"/>
                      <w:caps w:val="0"/>
                      <w:color w:val="auto"/>
                      <w:spacing w:val="0"/>
                      <w:sz w:val="21"/>
                      <w:szCs w:val="21"/>
                      <w:shd w:val="clear" w:color="auto" w:fill="FFFFFF"/>
                      <w:vertAlign w:val="baseline"/>
                      <w:lang w:val="en-US" w:eastAsia="zh-CN"/>
                    </w:rPr>
                    <w:t>区域</w:t>
                  </w:r>
                </w:p>
              </w:tc>
              <w:tc>
                <w:tcPr>
                  <w:tcW w:w="2391"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eastAsia"/>
                      <w:b w:val="0"/>
                      <w:bCs w:val="0"/>
                      <w:i w:val="0"/>
                      <w:iCs w:val="0"/>
                      <w:caps w:val="0"/>
                      <w:color w:val="auto"/>
                      <w:spacing w:val="0"/>
                      <w:szCs w:val="21"/>
                      <w:shd w:val="clear" w:color="auto" w:fill="FFFFFF"/>
                      <w:vertAlign w:val="baseline"/>
                    </w:rPr>
                  </w:pPr>
                  <w:r>
                    <w:rPr>
                      <w:rFonts w:ascii="Times New Roman" w:eastAsia="宋体" w:hAnsi="Times New Roman" w:cs="Times New Roman" w:hint="eastAsia"/>
                      <w:b w:val="0"/>
                      <w:bCs w:val="0"/>
                      <w:i w:val="0"/>
                      <w:iCs w:val="0"/>
                      <w:caps w:val="0"/>
                      <w:color w:val="auto"/>
                      <w:spacing w:val="0"/>
                      <w:sz w:val="21"/>
                      <w:szCs w:val="21"/>
                      <w:shd w:val="clear" w:color="auto" w:fill="FFFFFF"/>
                      <w:vertAlign w:val="baseline"/>
                      <w:lang w:val="en-US" w:eastAsia="zh-CN"/>
                    </w:rPr>
                    <w:t>片区生态环境管控要求</w:t>
                  </w:r>
                </w:p>
              </w:tc>
              <w:tc>
                <w:tcPr>
                  <w:tcW w:w="2500"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eastAsia"/>
                      <w:b w:val="0"/>
                      <w:bCs w:val="0"/>
                      <w:i w:val="0"/>
                      <w:iCs w:val="0"/>
                      <w:caps w:val="0"/>
                      <w:color w:val="auto"/>
                      <w:spacing w:val="0"/>
                      <w:szCs w:val="21"/>
                      <w:shd w:val="clear" w:color="auto" w:fill="FFFFFF"/>
                      <w:vertAlign w:val="baseline"/>
                    </w:rPr>
                  </w:pPr>
                  <w:r>
                    <w:rPr>
                      <w:rFonts w:ascii="Times New Roman" w:eastAsia="宋体" w:hAnsi="Times New Roman" w:cs="Times New Roman" w:hint="eastAsia"/>
                      <w:b w:val="0"/>
                      <w:bCs w:val="0"/>
                      <w:i w:val="0"/>
                      <w:iCs w:val="0"/>
                      <w:caps w:val="0"/>
                      <w:color w:val="auto"/>
                      <w:spacing w:val="0"/>
                      <w:sz w:val="21"/>
                      <w:szCs w:val="21"/>
                      <w:shd w:val="clear" w:color="auto" w:fill="FFFFFF"/>
                      <w:vertAlign w:val="baseline"/>
                      <w:lang w:val="en-US" w:eastAsia="zh-CN"/>
                    </w:rPr>
                    <w:t>本项目落实情况</w:t>
                  </w:r>
                </w:p>
              </w:tc>
              <w:tc>
                <w:tcPr>
                  <w:tcW w:w="719"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default"/>
                      <w:b w:val="0"/>
                      <w:bCs w:val="0"/>
                      <w:i w:val="0"/>
                      <w:iCs w:val="0"/>
                      <w:caps w:val="0"/>
                      <w:color w:val="auto"/>
                      <w:spacing w:val="0"/>
                      <w:szCs w:val="21"/>
                      <w:shd w:val="clear" w:color="auto" w:fill="FFFFFF"/>
                      <w:vertAlign w:val="baseline"/>
                    </w:rPr>
                  </w:pPr>
                  <w:r>
                    <w:rPr>
                      <w:rFonts w:ascii="Times New Roman" w:eastAsia="宋体" w:hAnsi="Times New Roman" w:cs="Times New Roman" w:hint="eastAsia"/>
                      <w:b w:val="0"/>
                      <w:bCs w:val="0"/>
                      <w:i w:val="0"/>
                      <w:iCs w:val="0"/>
                      <w:caps w:val="0"/>
                      <w:color w:val="auto"/>
                      <w:spacing w:val="0"/>
                      <w:sz w:val="21"/>
                      <w:szCs w:val="21"/>
                      <w:shd w:val="clear" w:color="auto" w:fill="FFFFFF"/>
                      <w:vertAlign w:val="baseline"/>
                      <w:lang w:val="en-US" w:eastAsia="zh-CN"/>
                    </w:rPr>
                    <w:t>符合情况</w:t>
                  </w:r>
                </w:p>
              </w:tc>
            </w:tr>
            <w:tr>
              <w:tblPrEx>
                <w:tblW w:w="6378" w:type="dxa"/>
                <w:jc w:val="center"/>
                <w:tblLayout w:type="fixed"/>
                <w:tblCellMar>
                  <w:top w:w="0" w:type="dxa"/>
                  <w:left w:w="108" w:type="dxa"/>
                  <w:bottom w:w="0" w:type="dxa"/>
                  <w:right w:w="108" w:type="dxa"/>
                </w:tblCellMar>
              </w:tblPrEx>
              <w:trPr>
                <w:trHeight w:val="2845"/>
                <w:jc w:val="center"/>
              </w:trPr>
              <w:tc>
                <w:tcPr>
                  <w:tcW w:w="768"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default"/>
                      <w:b w:val="0"/>
                      <w:bCs w:val="0"/>
                      <w:i w:val="0"/>
                      <w:iCs w:val="0"/>
                      <w:caps w:val="0"/>
                      <w:color w:val="auto"/>
                      <w:spacing w:val="0"/>
                      <w:szCs w:val="21"/>
                      <w:shd w:val="clear" w:color="auto" w:fill="FFFFFF"/>
                      <w:vertAlign w:val="baseline"/>
                    </w:rPr>
                  </w:pPr>
                  <w:r>
                    <w:rPr>
                      <w:rFonts w:cs="Times New Roman" w:hint="eastAsia"/>
                      <w:b w:val="0"/>
                      <w:bCs w:val="0"/>
                      <w:i w:val="0"/>
                      <w:iCs w:val="0"/>
                      <w:caps w:val="0"/>
                      <w:color w:val="auto"/>
                      <w:spacing w:val="0"/>
                      <w:sz w:val="21"/>
                      <w:szCs w:val="21"/>
                      <w:shd w:val="clear" w:color="auto" w:fill="FFFFFF"/>
                      <w:vertAlign w:val="baseline"/>
                      <w:lang w:val="en-US" w:eastAsia="zh-CN"/>
                    </w:rPr>
                    <w:t>崖州区</w:t>
                  </w:r>
                </w:p>
              </w:tc>
              <w:tc>
                <w:tcPr>
                  <w:tcW w:w="2391"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eastAsia"/>
                      <w:b w:val="0"/>
                      <w:bCs w:val="0"/>
                      <w:i w:val="0"/>
                      <w:iCs w:val="0"/>
                      <w:caps w:val="0"/>
                      <w:color w:val="auto"/>
                      <w:spacing w:val="0"/>
                      <w:szCs w:val="21"/>
                      <w:shd w:val="clear" w:color="auto" w:fill="FFFFFF"/>
                      <w:vertAlign w:val="baseline"/>
                    </w:rPr>
                  </w:pPr>
                  <w:r>
                    <w:rPr>
                      <w:rFonts w:ascii="Times New Roman" w:eastAsia="宋体" w:hAnsi="Times New Roman" w:cs="Times New Roman" w:hint="eastAsia"/>
                      <w:b w:val="0"/>
                      <w:bCs w:val="0"/>
                      <w:i w:val="0"/>
                      <w:iCs w:val="0"/>
                      <w:caps w:val="0"/>
                      <w:color w:val="auto"/>
                      <w:spacing w:val="0"/>
                      <w:kern w:val="2"/>
                      <w:sz w:val="21"/>
                      <w:szCs w:val="21"/>
                      <w:shd w:val="clear" w:color="auto" w:fill="FFFFFF"/>
                      <w:lang w:val="en-US" w:eastAsia="zh-CN" w:bidi="ar-SA"/>
                    </w:rPr>
                    <w:t>加强山体及森林生态系统保护和修复，促进水源涵养功能提升。强化近岸海域水产养殖及港口船舶污染治理，加强风险防控。保护岸线资源，控制开发强度，提高岸线利用效率。加强农业面源和城镇面源污染控制，推进城镇内河</w:t>
                  </w:r>
                  <w:r>
                    <w:rPr>
                      <w:rFonts w:cs="Times New Roman" w:hint="eastAsia"/>
                      <w:b w:val="0"/>
                      <w:bCs w:val="0"/>
                      <w:i w:val="0"/>
                      <w:iCs w:val="0"/>
                      <w:caps w:val="0"/>
                      <w:color w:val="auto"/>
                      <w:spacing w:val="0"/>
                      <w:kern w:val="2"/>
                      <w:sz w:val="21"/>
                      <w:szCs w:val="21"/>
                      <w:shd w:val="clear" w:color="auto" w:fill="FFFFFF"/>
                      <w:lang w:val="en-US" w:eastAsia="zh-CN" w:bidi="ar-SA"/>
                    </w:rPr>
                    <w:t>（</w:t>
                  </w:r>
                  <w:r>
                    <w:rPr>
                      <w:rFonts w:ascii="Times New Roman" w:eastAsia="宋体" w:hAnsi="Times New Roman" w:cs="Times New Roman" w:hint="eastAsia"/>
                      <w:b w:val="0"/>
                      <w:bCs w:val="0"/>
                      <w:i w:val="0"/>
                      <w:iCs w:val="0"/>
                      <w:caps w:val="0"/>
                      <w:color w:val="auto"/>
                      <w:spacing w:val="0"/>
                      <w:kern w:val="2"/>
                      <w:sz w:val="21"/>
                      <w:szCs w:val="21"/>
                      <w:shd w:val="clear" w:color="auto" w:fill="FFFFFF"/>
                      <w:lang w:val="en-US" w:eastAsia="zh-CN" w:bidi="ar-SA"/>
                    </w:rPr>
                    <w:t>湖</w:t>
                  </w:r>
                  <w:r>
                    <w:rPr>
                      <w:rFonts w:cs="Times New Roman" w:hint="eastAsia"/>
                      <w:b w:val="0"/>
                      <w:bCs w:val="0"/>
                      <w:i w:val="0"/>
                      <w:iCs w:val="0"/>
                      <w:caps w:val="0"/>
                      <w:color w:val="auto"/>
                      <w:spacing w:val="0"/>
                      <w:kern w:val="2"/>
                      <w:sz w:val="21"/>
                      <w:szCs w:val="21"/>
                      <w:shd w:val="clear" w:color="auto" w:fill="FFFFFF"/>
                      <w:lang w:val="en-US" w:eastAsia="zh-CN" w:bidi="ar-SA"/>
                    </w:rPr>
                    <w:t>）</w:t>
                  </w:r>
                  <w:r>
                    <w:rPr>
                      <w:rFonts w:ascii="Times New Roman" w:eastAsia="宋体" w:hAnsi="Times New Roman" w:cs="Times New Roman" w:hint="eastAsia"/>
                      <w:b w:val="0"/>
                      <w:bCs w:val="0"/>
                      <w:i w:val="0"/>
                      <w:iCs w:val="0"/>
                      <w:caps w:val="0"/>
                      <w:color w:val="auto"/>
                      <w:spacing w:val="0"/>
                      <w:kern w:val="2"/>
                      <w:sz w:val="21"/>
                      <w:szCs w:val="21"/>
                      <w:shd w:val="clear" w:color="auto" w:fill="FFFFFF"/>
                      <w:lang w:val="en-US" w:eastAsia="zh-CN" w:bidi="ar-SA"/>
                    </w:rPr>
                    <w:t>整治，提升城乡生活污水处理能力和标准，促进环境质量持续改善。以崖州湾科技城发展为契机，推进产业绿色化、高端化转型和布局优化。</w:t>
                  </w:r>
                </w:p>
              </w:tc>
              <w:tc>
                <w:tcPr>
                  <w:tcW w:w="2500"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default"/>
                      <w:b w:val="0"/>
                      <w:bCs w:val="0"/>
                      <w:i w:val="0"/>
                      <w:iCs w:val="0"/>
                      <w:caps w:val="0"/>
                      <w:color w:val="auto"/>
                      <w:spacing w:val="0"/>
                      <w:szCs w:val="21"/>
                      <w:shd w:val="clear" w:color="auto" w:fill="FFFFFF"/>
                      <w:vertAlign w:val="baseline"/>
                    </w:rPr>
                  </w:pPr>
                  <w:r>
                    <w:rPr>
                      <w:rFonts w:cs="Times New Roman" w:hint="eastAsia"/>
                      <w:b w:val="0"/>
                      <w:bCs w:val="0"/>
                      <w:i w:val="0"/>
                      <w:iCs w:val="0"/>
                      <w:caps w:val="0"/>
                      <w:color w:val="auto"/>
                      <w:spacing w:val="0"/>
                      <w:sz w:val="21"/>
                      <w:szCs w:val="21"/>
                      <w:shd w:val="clear" w:color="auto" w:fill="FFFFFF"/>
                      <w:vertAlign w:val="baseline"/>
                      <w:lang w:val="en-US" w:eastAsia="zh-CN"/>
                    </w:rPr>
                    <w:t>本</w:t>
                  </w:r>
                  <w:r>
                    <w:rPr>
                      <w:rFonts w:ascii="Times New Roman" w:eastAsia="宋体" w:hAnsi="Times New Roman" w:cs="Times New Roman" w:hint="default"/>
                      <w:b w:val="0"/>
                      <w:bCs w:val="0"/>
                      <w:i w:val="0"/>
                      <w:iCs w:val="0"/>
                      <w:caps w:val="0"/>
                      <w:color w:val="auto"/>
                      <w:spacing w:val="0"/>
                      <w:sz w:val="21"/>
                      <w:szCs w:val="21"/>
                      <w:shd w:val="clear" w:color="auto" w:fill="FFFFFF"/>
                      <w:vertAlign w:val="baseline"/>
                      <w:lang w:val="en-US" w:eastAsia="zh-CN"/>
                    </w:rPr>
                    <w:t>项目不占用生态保护红线、饮用水水源地保护区及其他各级各类自然保护地，项目产生的污染物在采取相应的环保措施后对周边环境的影响较小。</w:t>
                  </w:r>
                  <w:r>
                    <w:rPr>
                      <w:rFonts w:cs="Times New Roman" w:hint="eastAsia"/>
                      <w:b w:val="0"/>
                      <w:bCs w:val="0"/>
                      <w:i w:val="0"/>
                      <w:iCs w:val="0"/>
                      <w:caps w:val="0"/>
                      <w:color w:val="auto"/>
                      <w:spacing w:val="0"/>
                      <w:sz w:val="21"/>
                      <w:szCs w:val="21"/>
                      <w:shd w:val="clear" w:color="auto" w:fill="FFFFFF"/>
                      <w:vertAlign w:val="baseline"/>
                      <w:lang w:val="en-US" w:eastAsia="zh-CN"/>
                    </w:rPr>
                    <w:t>本项目的建设有助于推动大小洞天景区旅游业的发展。符合产业绿色化、高端化转型的布局优化。</w:t>
                  </w:r>
                </w:p>
              </w:tc>
              <w:tc>
                <w:tcPr>
                  <w:tcW w:w="719"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rPr>
                      <w:rFonts w:hint="default"/>
                      <w:b w:val="0"/>
                      <w:bCs w:val="0"/>
                      <w:i w:val="0"/>
                      <w:iCs w:val="0"/>
                      <w:caps w:val="0"/>
                      <w:color w:val="auto"/>
                      <w:spacing w:val="0"/>
                      <w:szCs w:val="21"/>
                      <w:shd w:val="clear" w:color="auto" w:fill="FFFFFF"/>
                      <w:vertAlign w:val="baseline"/>
                    </w:rPr>
                  </w:pPr>
                  <w:r>
                    <w:rPr>
                      <w:rFonts w:ascii="Times New Roman" w:eastAsia="宋体" w:hAnsi="Times New Roman" w:cs="Times New Roman" w:hint="eastAsia"/>
                      <w:b w:val="0"/>
                      <w:bCs w:val="0"/>
                      <w:i w:val="0"/>
                      <w:iCs w:val="0"/>
                      <w:caps w:val="0"/>
                      <w:color w:val="auto"/>
                      <w:spacing w:val="0"/>
                      <w:sz w:val="21"/>
                      <w:szCs w:val="21"/>
                      <w:shd w:val="clear" w:color="auto" w:fill="FFFFFF"/>
                      <w:vertAlign w:val="baseline"/>
                      <w:lang w:val="en-US" w:eastAsia="zh-CN"/>
                    </w:rPr>
                    <w:t>符合</w:t>
                  </w:r>
                </w:p>
              </w:tc>
            </w:tr>
          </w:tbl>
          <w:p>
            <w:pPr>
              <w:spacing w:line="360" w:lineRule="auto"/>
              <w:ind w:firstLine="420" w:firstLineChars="200"/>
              <w:rPr>
                <w:b/>
                <w:bCs/>
                <w:color w:val="auto"/>
                <w:szCs w:val="21"/>
              </w:rPr>
            </w:pPr>
            <w:r>
              <w:rPr>
                <w:rFonts w:hint="eastAsia"/>
                <w:b/>
                <w:bCs/>
                <w:color w:val="auto"/>
                <w:sz w:val="21"/>
                <w:szCs w:val="21"/>
                <w:lang w:eastAsia="zh-CN"/>
              </w:rPr>
              <w:t>（</w:t>
            </w:r>
            <w:r>
              <w:rPr>
                <w:rFonts w:hint="eastAsia"/>
                <w:b/>
                <w:bCs/>
                <w:color w:val="auto"/>
                <w:sz w:val="21"/>
                <w:szCs w:val="21"/>
              </w:rPr>
              <w:t>1</w:t>
            </w:r>
            <w:r>
              <w:rPr>
                <w:rFonts w:hint="eastAsia"/>
                <w:b/>
                <w:bCs/>
                <w:color w:val="auto"/>
                <w:sz w:val="21"/>
                <w:szCs w:val="21"/>
                <w:lang w:eastAsia="zh-CN"/>
              </w:rPr>
              <w:t>）</w:t>
            </w:r>
            <w:r>
              <w:rPr>
                <w:b/>
                <w:bCs/>
                <w:color w:val="auto"/>
                <w:sz w:val="21"/>
                <w:szCs w:val="21"/>
              </w:rPr>
              <w:t>生态保护红线</w:t>
            </w:r>
          </w:p>
          <w:p>
            <w:pPr>
              <w:spacing w:line="360" w:lineRule="auto"/>
              <w:ind w:firstLine="420" w:firstLineChars="200"/>
              <w:rPr>
                <w:rFonts w:hint="eastAsia"/>
                <w:b/>
                <w:bCs/>
                <w:color w:val="auto"/>
                <w:szCs w:val="21"/>
              </w:rPr>
            </w:pPr>
            <w:r>
              <w:rPr>
                <w:rFonts w:hint="eastAsia"/>
                <w:color w:val="auto"/>
                <w:sz w:val="21"/>
                <w:szCs w:val="21"/>
                <w:lang w:val="en-US" w:eastAsia="zh-CN"/>
              </w:rPr>
              <w:t>根据</w:t>
            </w:r>
            <w:r>
              <w:rPr>
                <w:rFonts w:hint="eastAsia"/>
                <w:color w:val="auto"/>
                <w:sz w:val="21"/>
                <w:szCs w:val="21"/>
              </w:rPr>
              <w:t>附图7项目与海南省生态保护红线关系图</w:t>
            </w:r>
            <w:r>
              <w:rPr>
                <w:color w:val="auto"/>
                <w:sz w:val="21"/>
                <w:szCs w:val="21"/>
              </w:rPr>
              <w:t>，</w:t>
            </w:r>
            <w:r>
              <w:rPr>
                <w:rFonts w:hint="eastAsia"/>
                <w:color w:val="auto"/>
                <w:sz w:val="21"/>
                <w:szCs w:val="21"/>
                <w:lang w:val="en-US" w:eastAsia="zh-CN"/>
              </w:rPr>
              <w:t>本项目不占用生态保护红线</w:t>
            </w:r>
            <w:r>
              <w:rPr>
                <w:color w:val="auto"/>
                <w:sz w:val="21"/>
                <w:szCs w:val="21"/>
              </w:rPr>
              <w:t>。因此项目的建设符合生态保护红线相关管控要求。</w:t>
            </w:r>
          </w:p>
          <w:p>
            <w:pPr>
              <w:spacing w:line="360" w:lineRule="auto"/>
              <w:ind w:firstLine="420" w:firstLineChars="200"/>
              <w:rPr>
                <w:b/>
                <w:bCs/>
                <w:color w:val="auto"/>
                <w:szCs w:val="21"/>
              </w:rPr>
            </w:pPr>
            <w:r>
              <w:rPr>
                <w:rFonts w:hint="eastAsia"/>
                <w:b/>
                <w:bCs/>
                <w:color w:val="auto"/>
                <w:sz w:val="21"/>
                <w:szCs w:val="21"/>
                <w:lang w:eastAsia="zh-CN"/>
              </w:rPr>
              <w:t>（</w:t>
            </w:r>
            <w:r>
              <w:rPr>
                <w:rFonts w:hint="eastAsia"/>
                <w:b/>
                <w:bCs/>
                <w:color w:val="auto"/>
                <w:sz w:val="21"/>
                <w:szCs w:val="21"/>
              </w:rPr>
              <w:t>2</w:t>
            </w:r>
            <w:r>
              <w:rPr>
                <w:rFonts w:hint="eastAsia"/>
                <w:b/>
                <w:bCs/>
                <w:color w:val="auto"/>
                <w:sz w:val="21"/>
                <w:szCs w:val="21"/>
                <w:lang w:eastAsia="zh-CN"/>
              </w:rPr>
              <w:t>）</w:t>
            </w:r>
            <w:r>
              <w:rPr>
                <w:b/>
                <w:bCs/>
                <w:color w:val="auto"/>
                <w:sz w:val="21"/>
                <w:szCs w:val="21"/>
              </w:rPr>
              <w:t>环境质量底线</w:t>
            </w:r>
          </w:p>
          <w:p>
            <w:pPr>
              <w:spacing w:line="360" w:lineRule="auto"/>
              <w:ind w:firstLine="420" w:firstLineChars="200"/>
              <w:rPr>
                <w:color w:val="auto"/>
                <w:szCs w:val="21"/>
              </w:rPr>
            </w:pPr>
            <w:r>
              <w:rPr>
                <w:color w:val="auto"/>
                <w:sz w:val="21"/>
                <w:szCs w:val="21"/>
              </w:rPr>
              <w:t>1</w:t>
            </w:r>
            <w:r>
              <w:rPr>
                <w:rFonts w:hint="eastAsia"/>
                <w:color w:val="auto"/>
                <w:sz w:val="21"/>
                <w:szCs w:val="21"/>
                <w:lang w:eastAsia="zh-CN"/>
              </w:rPr>
              <w:t>）</w:t>
            </w:r>
            <w:r>
              <w:rPr>
                <w:color w:val="auto"/>
                <w:sz w:val="21"/>
                <w:szCs w:val="21"/>
              </w:rPr>
              <w:t>与大气环境质量底线的符合性分析</w:t>
            </w:r>
          </w:p>
          <w:p>
            <w:pPr>
              <w:spacing w:line="360" w:lineRule="auto"/>
              <w:ind w:firstLine="420" w:firstLineChars="200"/>
              <w:rPr>
                <w:color w:val="auto"/>
                <w:szCs w:val="21"/>
              </w:rPr>
            </w:pPr>
            <w:r>
              <w:rPr>
                <w:color w:val="auto"/>
                <w:sz w:val="21"/>
                <w:szCs w:val="21"/>
              </w:rPr>
              <w:t>本项目施工期产生的大气污染物主要为机械废气</w:t>
            </w:r>
            <w:r>
              <w:rPr>
                <w:rFonts w:hint="eastAsia"/>
                <w:color w:val="auto"/>
                <w:sz w:val="21"/>
                <w:szCs w:val="21"/>
                <w:lang w:eastAsia="zh-CN"/>
              </w:rPr>
              <w:t>（</w:t>
            </w:r>
            <w:r>
              <w:rPr>
                <w:color w:val="auto"/>
                <w:sz w:val="21"/>
                <w:szCs w:val="21"/>
              </w:rPr>
              <w:t>主要成分为SO</w:t>
            </w:r>
            <w:r>
              <w:rPr>
                <w:color w:val="auto"/>
                <w:sz w:val="21"/>
                <w:szCs w:val="21"/>
                <w:vertAlign w:val="subscript"/>
              </w:rPr>
              <w:t>2</w:t>
            </w:r>
            <w:r>
              <w:rPr>
                <w:color w:val="auto"/>
                <w:sz w:val="21"/>
                <w:szCs w:val="21"/>
              </w:rPr>
              <w:t>、NOx、烟尘等</w:t>
            </w:r>
            <w:r>
              <w:rPr>
                <w:rFonts w:hint="eastAsia"/>
                <w:color w:val="auto"/>
                <w:sz w:val="21"/>
                <w:szCs w:val="21"/>
                <w:lang w:eastAsia="zh-CN"/>
              </w:rPr>
              <w:t>）</w:t>
            </w:r>
            <w:r>
              <w:rPr>
                <w:color w:val="auto"/>
                <w:sz w:val="21"/>
                <w:szCs w:val="21"/>
              </w:rPr>
              <w:t>、粉尘及其装修过程中产生的VOCs</w:t>
            </w:r>
            <w:r>
              <w:rPr>
                <w:rFonts w:hint="eastAsia"/>
                <w:color w:val="auto"/>
                <w:sz w:val="21"/>
                <w:szCs w:val="21"/>
                <w:lang w:eastAsia="zh-CN"/>
              </w:rPr>
              <w:t>，</w:t>
            </w:r>
            <w:r>
              <w:rPr>
                <w:color w:val="auto"/>
                <w:sz w:val="21"/>
                <w:szCs w:val="21"/>
              </w:rPr>
              <w:t>均属于无组织排放。</w:t>
            </w:r>
          </w:p>
          <w:p>
            <w:pPr>
              <w:spacing w:line="360" w:lineRule="auto"/>
              <w:ind w:firstLine="420" w:firstLineChars="200"/>
              <w:rPr>
                <w:color w:val="auto"/>
                <w:szCs w:val="21"/>
              </w:rPr>
            </w:pPr>
            <w:r>
              <w:rPr>
                <w:color w:val="auto"/>
                <w:sz w:val="21"/>
                <w:szCs w:val="21"/>
              </w:rPr>
              <w:t>为了保证区域环境空气质量现状，要求在项目建设过程中加强防尘措施，对堆场洒水、</w:t>
            </w:r>
            <w:r>
              <w:rPr>
                <w:rFonts w:hint="eastAsia"/>
                <w:color w:val="auto"/>
                <w:sz w:val="21"/>
                <w:szCs w:val="21"/>
                <w:lang w:val="en-US" w:eastAsia="zh-CN"/>
              </w:rPr>
              <w:t>彩条布覆盖等措施，防止粉尘产生；</w:t>
            </w:r>
            <w:r>
              <w:rPr>
                <w:color w:val="auto"/>
                <w:sz w:val="21"/>
                <w:szCs w:val="21"/>
              </w:rPr>
              <w:t>运输车辆采用限速、遮盖、限载等方式，防止物料的遗洒</w:t>
            </w:r>
            <w:r>
              <w:rPr>
                <w:rFonts w:hint="eastAsia"/>
                <w:color w:val="auto"/>
                <w:sz w:val="21"/>
                <w:szCs w:val="21"/>
                <w:lang w:eastAsia="zh-CN"/>
              </w:rPr>
              <w:t>；</w:t>
            </w:r>
            <w:r>
              <w:rPr>
                <w:rFonts w:hint="eastAsia"/>
                <w:color w:val="auto"/>
                <w:sz w:val="21"/>
                <w:szCs w:val="21"/>
                <w:lang w:val="en-US" w:eastAsia="zh-CN"/>
              </w:rPr>
              <w:t>施工机械</w:t>
            </w:r>
            <w:r>
              <w:rPr>
                <w:color w:val="auto"/>
                <w:sz w:val="21"/>
                <w:szCs w:val="21"/>
              </w:rPr>
              <w:t>使用清洁燃油等措施，确保区域内环境空气质量不降低</w:t>
            </w:r>
            <w:r>
              <w:rPr>
                <w:rFonts w:hint="eastAsia"/>
                <w:color w:val="auto"/>
                <w:sz w:val="21"/>
                <w:szCs w:val="21"/>
              </w:rPr>
              <w:t>。</w:t>
            </w:r>
            <w:r>
              <w:rPr>
                <w:rFonts w:hint="eastAsia"/>
                <w:color w:val="auto"/>
                <w:sz w:val="21"/>
                <w:szCs w:val="21"/>
                <w:lang w:val="en-US" w:eastAsia="zh-CN"/>
              </w:rPr>
              <w:t>通过采取以上措施，项目施工期的大气污染物不会对周边环境造成太大影响。</w:t>
            </w:r>
            <w:r>
              <w:rPr>
                <w:color w:val="auto"/>
                <w:sz w:val="21"/>
                <w:szCs w:val="21"/>
              </w:rPr>
              <w:t>因此，符合大气环境质量底线。</w:t>
            </w:r>
          </w:p>
          <w:p>
            <w:pPr>
              <w:spacing w:line="360" w:lineRule="auto"/>
              <w:ind w:firstLine="420" w:firstLineChars="200"/>
              <w:rPr>
                <w:color w:val="auto"/>
                <w:szCs w:val="21"/>
              </w:rPr>
            </w:pPr>
            <w:r>
              <w:rPr>
                <w:color w:val="auto"/>
                <w:sz w:val="21"/>
                <w:szCs w:val="21"/>
              </w:rPr>
              <w:t>2</w:t>
            </w:r>
            <w:r>
              <w:rPr>
                <w:rFonts w:hint="eastAsia"/>
                <w:color w:val="auto"/>
                <w:sz w:val="21"/>
                <w:szCs w:val="21"/>
                <w:lang w:eastAsia="zh-CN"/>
              </w:rPr>
              <w:t>）</w:t>
            </w:r>
            <w:r>
              <w:rPr>
                <w:color w:val="auto"/>
                <w:sz w:val="21"/>
                <w:szCs w:val="21"/>
              </w:rPr>
              <w:t>与水环境质量底线的符合性分析</w:t>
            </w:r>
          </w:p>
          <w:p>
            <w:pPr>
              <w:widowControl/>
              <w:spacing w:line="360" w:lineRule="auto"/>
              <w:ind w:firstLine="420" w:firstLineChars="200"/>
              <w:rPr>
                <w:color w:val="auto"/>
                <w:kern w:val="0"/>
                <w:szCs w:val="21"/>
              </w:rPr>
            </w:pPr>
            <w:r>
              <w:rPr>
                <w:rFonts w:hint="eastAsia"/>
                <w:color w:val="auto"/>
                <w:sz w:val="21"/>
                <w:szCs w:val="21"/>
                <w:lang w:val="en-US" w:eastAsia="zh-CN"/>
              </w:rPr>
              <w:t>本项目施工过程中产生的施工废水，项目通过设置沉淀池等临时设施，施工废水经沉淀后用于施工场地喷水抑尘循环使用，不外排</w:t>
            </w:r>
            <w:r>
              <w:rPr>
                <w:color w:val="auto"/>
                <w:sz w:val="21"/>
                <w:szCs w:val="21"/>
              </w:rPr>
              <w:t>。</w:t>
            </w:r>
            <w:r>
              <w:rPr>
                <w:rFonts w:hint="eastAsia"/>
                <w:color w:val="auto"/>
                <w:sz w:val="21"/>
                <w:szCs w:val="21"/>
                <w:lang w:val="en-US" w:eastAsia="zh-CN"/>
              </w:rPr>
              <w:t>运营期的生活污水进入大小洞天污水处理站处理后回用于绿化。</w:t>
            </w:r>
            <w:r>
              <w:rPr>
                <w:color w:val="auto"/>
                <w:sz w:val="21"/>
                <w:szCs w:val="21"/>
              </w:rPr>
              <w:t>不会对周边水环境造成太大影响。符合水环境质量底线。</w:t>
            </w:r>
          </w:p>
          <w:p>
            <w:pPr>
              <w:spacing w:line="360" w:lineRule="auto"/>
              <w:ind w:firstLine="420" w:firstLineChars="200"/>
              <w:rPr>
                <w:color w:val="auto"/>
                <w:szCs w:val="21"/>
              </w:rPr>
            </w:pPr>
            <w:r>
              <w:rPr>
                <w:color w:val="auto"/>
                <w:sz w:val="21"/>
                <w:szCs w:val="21"/>
              </w:rPr>
              <w:t>3</w:t>
            </w:r>
            <w:r>
              <w:rPr>
                <w:rFonts w:hint="eastAsia"/>
                <w:color w:val="auto"/>
                <w:sz w:val="21"/>
                <w:szCs w:val="21"/>
                <w:lang w:eastAsia="zh-CN"/>
              </w:rPr>
              <w:t>）</w:t>
            </w:r>
            <w:r>
              <w:rPr>
                <w:color w:val="auto"/>
                <w:sz w:val="21"/>
                <w:szCs w:val="21"/>
              </w:rPr>
              <w:t>与土壤环境风险防控底线的符合性分析</w:t>
            </w:r>
          </w:p>
          <w:p>
            <w:pPr>
              <w:spacing w:after="0" w:line="360" w:lineRule="auto"/>
              <w:ind w:firstLine="420" w:firstLineChars="200"/>
              <w:rPr>
                <w:color w:val="auto"/>
                <w:szCs w:val="21"/>
              </w:rPr>
            </w:pPr>
            <w:r>
              <w:rPr>
                <w:color w:val="auto"/>
                <w:sz w:val="21"/>
                <w:szCs w:val="21"/>
              </w:rPr>
              <w:t>本项目建成后主要功能为</w:t>
            </w:r>
          </w:p>
        </w:tc>
      </w:tr>
    </w:tbl>
    <w:p>
      <w:pPr>
        <w:sectPr>
          <w:footerReference w:type="even" r:id="rId15"/>
          <w:footerReference w:type="default" r:id="rId16"/>
          <w:type w:val="nextPage"/>
          <w:pgSz w:w="11906" w:h="16838"/>
          <w:pgMar w:top="1440" w:right="1800" w:bottom="1440" w:left="1800" w:header="851" w:footer="1077" w:gutter="0"/>
          <w:pgNumType w:fmt="decimal" w:start="4"/>
          <w:cols w:num="1" w:space="720"/>
          <w:titlePg w:val="0"/>
          <w:docGrid w:linePitch="312" w:charSpace="0"/>
        </w:sectPr>
      </w:pPr>
    </w:p>
    <w:tbl>
      <w:tblPr>
        <w:tblStyle w:val="TableNormal"/>
        <w:tblW w:w="4999"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
      <w:tblGrid>
        <w:gridCol w:w="2052"/>
        <w:gridCol w:w="6284"/>
      </w:tblGrid>
      <w:tr>
        <w:tblPrEx>
          <w:tblW w:w="4999"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Ex>
        <w:trPr>
          <w:trHeight w:val="12905"/>
        </w:trPr>
        <w:tc>
          <w:tcPr>
            <w:tcW w:w="1231" w:type="pct"/>
            <w:noWrap w:val="0"/>
            <w:tcMar>
              <w:top w:w="16" w:type="dxa"/>
              <w:left w:w="16" w:type="dxa"/>
              <w:right w:w="16" w:type="dxa"/>
            </w:tcMar>
            <w:vAlign w:val="center"/>
          </w:tcPr>
          <w:p/>
        </w:tc>
        <w:tc>
          <w:tcPr>
            <w:tcW w:w="3768" w:type="pct"/>
            <w:noWrap w:val="0"/>
            <w:tcMar>
              <w:top w:w="16" w:type="dxa"/>
              <w:left w:w="16" w:type="dxa"/>
              <w:right w:w="16" w:type="dxa"/>
            </w:tcMar>
            <w:vAlign w:val="center"/>
          </w:tcPr>
          <w:p>
            <w:pPr>
              <w:spacing w:before="0" w:line="360" w:lineRule="auto"/>
              <w:ind w:firstLine="420" w:firstLineChars="200"/>
              <w:rPr>
                <w:color w:val="auto"/>
                <w:szCs w:val="21"/>
              </w:rPr>
            </w:pPr>
            <w:r>
              <w:rPr>
                <w:rFonts w:hint="eastAsia"/>
                <w:color w:val="auto"/>
                <w:sz w:val="21"/>
                <w:szCs w:val="21"/>
                <w:lang w:val="en-US" w:eastAsia="zh-CN"/>
              </w:rPr>
              <w:t>工作人员办公使用和为游客提供游玩休息空间</w:t>
            </w:r>
            <w:r>
              <w:rPr>
                <w:color w:val="auto"/>
                <w:sz w:val="21"/>
                <w:szCs w:val="21"/>
              </w:rPr>
              <w:t>，不涉及生产加工类项目，片区土壤环境安全得到基本保障，项目的建设符合</w:t>
            </w:r>
            <w:r>
              <w:rPr>
                <w:rFonts w:hint="eastAsia"/>
                <w:color w:val="auto"/>
                <w:sz w:val="21"/>
                <w:szCs w:val="21"/>
                <w:lang w:val="en-US" w:eastAsia="zh-CN"/>
              </w:rPr>
              <w:t>三亚</w:t>
            </w:r>
            <w:r>
              <w:rPr>
                <w:color w:val="auto"/>
                <w:sz w:val="21"/>
                <w:szCs w:val="21"/>
              </w:rPr>
              <w:t>市土壤环境风险防控底线的相关管控要求。</w:t>
            </w:r>
          </w:p>
          <w:p>
            <w:pPr>
              <w:spacing w:line="360" w:lineRule="auto"/>
              <w:ind w:firstLine="420" w:firstLineChars="200"/>
              <w:rPr>
                <w:b/>
                <w:bCs/>
                <w:color w:val="auto"/>
                <w:szCs w:val="21"/>
              </w:rPr>
            </w:pPr>
            <w:r>
              <w:rPr>
                <w:rFonts w:hint="eastAsia"/>
                <w:b/>
                <w:bCs/>
                <w:color w:val="auto"/>
                <w:sz w:val="21"/>
                <w:szCs w:val="21"/>
                <w:lang w:eastAsia="zh-CN"/>
              </w:rPr>
              <w:t>（</w:t>
            </w:r>
            <w:r>
              <w:rPr>
                <w:rFonts w:hint="eastAsia"/>
                <w:b/>
                <w:bCs/>
                <w:color w:val="auto"/>
                <w:sz w:val="21"/>
                <w:szCs w:val="21"/>
              </w:rPr>
              <w:t>3</w:t>
            </w:r>
            <w:r>
              <w:rPr>
                <w:rFonts w:hint="eastAsia"/>
                <w:b/>
                <w:bCs/>
                <w:color w:val="auto"/>
                <w:sz w:val="21"/>
                <w:szCs w:val="21"/>
                <w:lang w:eastAsia="zh-CN"/>
              </w:rPr>
              <w:t>）</w:t>
            </w:r>
            <w:r>
              <w:rPr>
                <w:b/>
                <w:bCs/>
                <w:color w:val="auto"/>
                <w:sz w:val="21"/>
                <w:szCs w:val="21"/>
              </w:rPr>
              <w:t>资源利用上线</w:t>
            </w:r>
          </w:p>
          <w:p>
            <w:pPr>
              <w:spacing w:line="360" w:lineRule="auto"/>
              <w:ind w:firstLine="420" w:firstLineChars="200"/>
              <w:rPr>
                <w:color w:val="auto"/>
                <w:szCs w:val="21"/>
              </w:rPr>
            </w:pPr>
            <w:r>
              <w:rPr>
                <w:rFonts w:hint="eastAsia"/>
                <w:color w:val="auto"/>
                <w:sz w:val="21"/>
                <w:szCs w:val="21"/>
                <w:lang w:val="en-US" w:eastAsia="zh-CN"/>
              </w:rPr>
              <w:t>项目用地为</w:t>
            </w:r>
            <w:r>
              <w:rPr>
                <w:color w:val="auto"/>
                <w:sz w:val="21"/>
                <w:szCs w:val="21"/>
              </w:rPr>
              <w:t>旅游</w:t>
            </w:r>
            <w:r>
              <w:rPr>
                <w:rFonts w:hint="eastAsia"/>
                <w:color w:val="auto"/>
                <w:sz w:val="21"/>
                <w:szCs w:val="21"/>
                <w:lang w:val="en-US" w:eastAsia="zh-CN"/>
              </w:rPr>
              <w:t>点</w:t>
            </w:r>
            <w:r>
              <w:rPr>
                <w:color w:val="auto"/>
                <w:sz w:val="21"/>
                <w:szCs w:val="21"/>
              </w:rPr>
              <w:t>建设用地，项目建设不额外占用耕地、园地或林地资源。项目建成后</w:t>
            </w:r>
            <w:r>
              <w:rPr>
                <w:rFonts w:hint="eastAsia"/>
                <w:color w:val="auto"/>
                <w:sz w:val="21"/>
                <w:szCs w:val="21"/>
                <w:lang w:val="en-US" w:eastAsia="zh-CN"/>
              </w:rPr>
              <w:t>主要消耗资源</w:t>
            </w:r>
            <w:r>
              <w:rPr>
                <w:color w:val="auto"/>
                <w:sz w:val="21"/>
                <w:szCs w:val="21"/>
              </w:rPr>
              <w:t>办公人员生活用水，对水资源消耗较小，对能源消耗也较小，因此</w:t>
            </w:r>
            <w:r>
              <w:rPr>
                <w:rFonts w:hint="eastAsia"/>
                <w:color w:val="auto"/>
                <w:sz w:val="21"/>
                <w:szCs w:val="21"/>
                <w:lang w:val="en-US" w:eastAsia="zh-CN"/>
              </w:rPr>
              <w:t>项目建设</w:t>
            </w:r>
            <w:r>
              <w:rPr>
                <w:color w:val="auto"/>
                <w:sz w:val="21"/>
                <w:szCs w:val="21"/>
              </w:rPr>
              <w:t>可满足区域水资源、能源资源和土地资源利用上线管控要求。综上所述，</w:t>
            </w:r>
            <w:r>
              <w:rPr>
                <w:rFonts w:hint="eastAsia"/>
                <w:color w:val="auto"/>
                <w:sz w:val="21"/>
                <w:szCs w:val="21"/>
                <w:lang w:val="en-US" w:eastAsia="zh-CN"/>
              </w:rPr>
              <w:t>项目建设</w:t>
            </w:r>
            <w:r>
              <w:rPr>
                <w:color w:val="auto"/>
                <w:sz w:val="21"/>
                <w:szCs w:val="21"/>
              </w:rPr>
              <w:t>符合资源利用上线的相关管控要求。</w:t>
            </w:r>
          </w:p>
          <w:p>
            <w:pPr>
              <w:spacing w:line="360" w:lineRule="auto"/>
              <w:ind w:firstLine="420" w:firstLineChars="200"/>
              <w:rPr>
                <w:b/>
                <w:bCs/>
                <w:color w:val="auto"/>
                <w:szCs w:val="21"/>
              </w:rPr>
            </w:pPr>
            <w:r>
              <w:rPr>
                <w:rFonts w:hint="eastAsia"/>
                <w:b/>
                <w:bCs/>
                <w:color w:val="auto"/>
                <w:sz w:val="21"/>
                <w:szCs w:val="21"/>
                <w:lang w:eastAsia="zh-CN"/>
              </w:rPr>
              <w:t>（</w:t>
            </w:r>
            <w:r>
              <w:rPr>
                <w:rFonts w:hint="eastAsia"/>
                <w:b/>
                <w:bCs/>
                <w:color w:val="auto"/>
                <w:sz w:val="21"/>
                <w:szCs w:val="21"/>
              </w:rPr>
              <w:t>4</w:t>
            </w:r>
            <w:r>
              <w:rPr>
                <w:rFonts w:hint="eastAsia"/>
                <w:b/>
                <w:bCs/>
                <w:color w:val="auto"/>
                <w:sz w:val="21"/>
                <w:szCs w:val="21"/>
                <w:lang w:eastAsia="zh-CN"/>
              </w:rPr>
              <w:t>）</w:t>
            </w:r>
            <w:r>
              <w:rPr>
                <w:b/>
                <w:bCs/>
                <w:color w:val="auto"/>
                <w:sz w:val="21"/>
                <w:szCs w:val="21"/>
              </w:rPr>
              <w:t>生态环境准入清单</w:t>
            </w:r>
          </w:p>
          <w:p>
            <w:pPr>
              <w:spacing w:line="360" w:lineRule="auto"/>
              <w:ind w:firstLine="420" w:firstLineChars="200"/>
              <w:rPr>
                <w:rFonts w:hint="eastAsia"/>
                <w:color w:val="auto"/>
                <w:szCs w:val="21"/>
              </w:rPr>
            </w:pPr>
            <w:r>
              <w:rPr>
                <w:rFonts w:hint="eastAsia"/>
                <w:color w:val="auto"/>
                <w:sz w:val="21"/>
                <w:szCs w:val="21"/>
              </w:rPr>
              <w:t>本项目不占用生态红线，施工废水经沉淀处理后回用，运营期的生活污水进入大小洞天污水处理站处理后回用于绿化，施工人员生活垃圾交由环卫部门处理，建筑垃圾运往三亚市建筑废弃物综合利用厂进行综合利用。施工机械、运输车辆在使用清洁燃料、洒水降尘和加强管理下对周边大气环境影响不大。</w:t>
            </w:r>
          </w:p>
          <w:p>
            <w:pPr>
              <w:spacing w:line="360" w:lineRule="auto"/>
              <w:ind w:firstLine="420" w:firstLineChars="200"/>
              <w:rPr>
                <w:color w:val="auto"/>
                <w:szCs w:val="21"/>
              </w:rPr>
            </w:pPr>
            <w:r>
              <w:rPr>
                <w:rFonts w:hint="eastAsia"/>
                <w:color w:val="auto"/>
                <w:sz w:val="21"/>
                <w:szCs w:val="21"/>
              </w:rPr>
              <w:t>本项目不属于高污染、高能耗、高排放项目，项目产生的废水、废气、固废不会对周边环境造成较大影响，因此符合生态环境准入清单</w:t>
            </w:r>
            <w:r>
              <w:rPr>
                <w:color w:val="auto"/>
                <w:sz w:val="21"/>
                <w:szCs w:val="21"/>
              </w:rPr>
              <w:t>。</w:t>
            </w:r>
          </w:p>
          <w:p>
            <w:pPr>
              <w:autoSpaceDE w:val="0"/>
              <w:autoSpaceDN w:val="0"/>
              <w:spacing w:line="360" w:lineRule="auto"/>
              <w:ind w:firstLine="420" w:firstLineChars="200"/>
              <w:rPr>
                <w:rFonts w:hint="default"/>
                <w:b/>
                <w:bCs/>
                <w:color w:val="auto"/>
                <w:szCs w:val="21"/>
              </w:rPr>
            </w:pPr>
            <w:r>
              <w:rPr>
                <w:rFonts w:cs="Times New Roman" w:hint="eastAsia"/>
                <w:b/>
                <w:bCs/>
                <w:color w:val="auto"/>
                <w:sz w:val="21"/>
                <w:szCs w:val="21"/>
                <w:lang w:eastAsia="zh-CN"/>
              </w:rPr>
              <w:t>（</w:t>
            </w:r>
            <w:r>
              <w:rPr>
                <w:rFonts w:cs="Times New Roman" w:hint="eastAsia"/>
                <w:b/>
                <w:bCs/>
                <w:color w:val="auto"/>
                <w:sz w:val="21"/>
                <w:szCs w:val="21"/>
                <w:lang w:val="en-US" w:eastAsia="zh-CN"/>
              </w:rPr>
              <w:t>5</w:t>
            </w:r>
            <w:r>
              <w:rPr>
                <w:rFonts w:cs="Times New Roman" w:hint="eastAsia"/>
                <w:b/>
                <w:bCs/>
                <w:color w:val="auto"/>
                <w:sz w:val="21"/>
                <w:szCs w:val="21"/>
                <w:lang w:eastAsia="zh-CN"/>
              </w:rPr>
              <w:t>）</w:t>
            </w:r>
            <w:r>
              <w:rPr>
                <w:rFonts w:cs="Times New Roman" w:hint="eastAsia"/>
                <w:b/>
                <w:bCs/>
                <w:color w:val="auto"/>
                <w:sz w:val="21"/>
                <w:szCs w:val="21"/>
                <w:lang w:val="en-US" w:eastAsia="zh-CN"/>
              </w:rPr>
              <w:t>项目与多规合一的分析</w:t>
            </w:r>
          </w:p>
          <w:p>
            <w:pPr>
              <w:autoSpaceDE w:val="0"/>
              <w:autoSpaceDN w:val="0"/>
              <w:spacing w:line="360" w:lineRule="auto"/>
              <w:ind w:firstLine="420" w:firstLineChars="200"/>
              <w:rPr>
                <w:rFonts w:hint="default"/>
                <w:b w:val="0"/>
                <w:bCs w:val="0"/>
                <w:color w:val="auto"/>
                <w:szCs w:val="21"/>
              </w:rPr>
            </w:pPr>
            <w:r>
              <w:rPr>
                <w:rFonts w:ascii="Times New Roman" w:hAnsi="Times New Roman" w:cs="Times New Roman" w:hint="default"/>
                <w:b w:val="0"/>
                <w:bCs w:val="0"/>
                <w:color w:val="auto"/>
                <w:sz w:val="21"/>
                <w:szCs w:val="21"/>
                <w:lang w:eastAsia="zh-CN"/>
              </w:rPr>
              <w:t>根据</w:t>
            </w:r>
            <w:r>
              <w:rPr>
                <w:rFonts w:cs="Times New Roman" w:hint="eastAsia"/>
                <w:b w:val="0"/>
                <w:bCs w:val="0"/>
                <w:color w:val="auto"/>
                <w:sz w:val="21"/>
                <w:szCs w:val="21"/>
                <w:lang w:val="en-US" w:eastAsia="zh-CN"/>
              </w:rPr>
              <w:t>附图7</w:t>
            </w:r>
            <w:r>
              <w:rPr>
                <w:rFonts w:cs="Times New Roman" w:hint="eastAsia"/>
                <w:b w:val="0"/>
                <w:bCs w:val="0"/>
                <w:color w:val="auto"/>
                <w:sz w:val="21"/>
                <w:szCs w:val="21"/>
                <w:lang w:eastAsia="zh-CN"/>
              </w:rPr>
              <w:t>《</w:t>
            </w:r>
            <w:r>
              <w:rPr>
                <w:rFonts w:cs="Times New Roman" w:hint="eastAsia"/>
                <w:b w:val="0"/>
                <w:bCs w:val="0"/>
                <w:color w:val="auto"/>
                <w:sz w:val="21"/>
                <w:szCs w:val="21"/>
                <w:lang w:val="en-US" w:eastAsia="zh-CN"/>
              </w:rPr>
              <w:t>三亚市总体规划（空间类2015-2030年）局部图</w:t>
            </w:r>
            <w:r>
              <w:rPr>
                <w:rFonts w:cs="Times New Roman" w:hint="eastAsia"/>
                <w:b w:val="0"/>
                <w:bCs w:val="0"/>
                <w:color w:val="auto"/>
                <w:sz w:val="21"/>
                <w:szCs w:val="21"/>
                <w:lang w:eastAsia="zh-CN"/>
              </w:rPr>
              <w:t>》</w:t>
            </w:r>
            <w:r>
              <w:rPr>
                <w:rFonts w:ascii="Times New Roman" w:hAnsi="Times New Roman" w:cs="Times New Roman" w:hint="default"/>
                <w:b w:val="0"/>
                <w:bCs w:val="0"/>
                <w:color w:val="auto"/>
                <w:sz w:val="21"/>
                <w:szCs w:val="21"/>
                <w:lang w:eastAsia="zh-CN"/>
              </w:rPr>
              <w:t>，本项目用地性质为旅游建设用地</w:t>
            </w:r>
            <w:r>
              <w:rPr>
                <w:rFonts w:cs="Times New Roman" w:hint="eastAsia"/>
                <w:b w:val="0"/>
                <w:bCs w:val="0"/>
                <w:color w:val="auto"/>
                <w:sz w:val="21"/>
                <w:szCs w:val="21"/>
                <w:lang w:eastAsia="zh-CN"/>
              </w:rPr>
              <w:t>（</w:t>
            </w:r>
            <w:r>
              <w:rPr>
                <w:rFonts w:cs="Times New Roman" w:hint="eastAsia"/>
                <w:b w:val="0"/>
                <w:bCs w:val="0"/>
                <w:color w:val="auto"/>
                <w:sz w:val="21"/>
                <w:szCs w:val="21"/>
                <w:lang w:val="en-US" w:eastAsia="zh-CN"/>
              </w:rPr>
              <w:t>1.4935公顷</w:t>
            </w:r>
            <w:r>
              <w:rPr>
                <w:rFonts w:cs="Times New Roman" w:hint="eastAsia"/>
                <w:b w:val="0"/>
                <w:bCs w:val="0"/>
                <w:color w:val="auto"/>
                <w:sz w:val="21"/>
                <w:szCs w:val="21"/>
                <w:lang w:eastAsia="zh-CN"/>
              </w:rPr>
              <w:t>）</w:t>
            </w:r>
            <w:r>
              <w:rPr>
                <w:rFonts w:cs="Times New Roman" w:hint="eastAsia"/>
                <w:b w:val="0"/>
                <w:bCs w:val="0"/>
                <w:color w:val="auto"/>
                <w:sz w:val="21"/>
                <w:szCs w:val="21"/>
                <w:lang w:val="en-US" w:eastAsia="zh-CN"/>
              </w:rPr>
              <w:t>和Ⅱ级保护林地（0.4653公顷）</w:t>
            </w:r>
            <w:r>
              <w:rPr>
                <w:rFonts w:ascii="Times New Roman" w:hAnsi="Times New Roman" w:cs="Times New Roman" w:hint="default"/>
                <w:b w:val="0"/>
                <w:bCs w:val="0"/>
                <w:color w:val="auto"/>
                <w:sz w:val="21"/>
                <w:szCs w:val="21"/>
                <w:lang w:eastAsia="zh-CN"/>
              </w:rPr>
              <w:t>，不</w:t>
            </w:r>
            <w:r>
              <w:rPr>
                <w:rFonts w:cs="Times New Roman" w:hint="eastAsia"/>
                <w:b w:val="0"/>
                <w:bCs w:val="0"/>
                <w:color w:val="auto"/>
                <w:sz w:val="21"/>
                <w:szCs w:val="21"/>
                <w:lang w:val="en-US" w:eastAsia="zh-CN"/>
              </w:rPr>
              <w:t>占用</w:t>
            </w:r>
            <w:r>
              <w:rPr>
                <w:rFonts w:ascii="Times New Roman" w:hAnsi="Times New Roman" w:cs="Times New Roman" w:hint="default"/>
                <w:b w:val="0"/>
                <w:bCs w:val="0"/>
                <w:color w:val="auto"/>
                <w:sz w:val="21"/>
                <w:szCs w:val="21"/>
                <w:lang w:eastAsia="zh-CN"/>
              </w:rPr>
              <w:t>生态保护红线。</w:t>
            </w:r>
            <w:r>
              <w:rPr>
                <w:rFonts w:cs="Times New Roman" w:hint="eastAsia"/>
                <w:b w:val="0"/>
                <w:bCs w:val="0"/>
                <w:color w:val="auto"/>
                <w:sz w:val="21"/>
                <w:szCs w:val="21"/>
                <w:lang w:val="en-US" w:eastAsia="zh-CN"/>
              </w:rPr>
              <w:t>根据《建设项目使用林地审核审批管理办法》第四条 占用和临时占用林地的建设项目应当遵守林地分级管理的规定中的（七）符合自然保护区、森林公园、湿地公园、风景名胜区等规划的建设项目，可以使用自然保护区、森林公园、湿地公园、风景名胜区范围内Ⅱ级及其以下保护林地。本项目已纳入《三亚热带海滨风景名胜区 大小洞天景区（2021—2030年）》中。因此本项目的用地符合相关的法律法规。本项目因涉及Ⅱ级保护林地，因严格在项目用地界线内建设。同时占用Ⅱ级保护林地部分建设时，应按照根据《中华人民共和国森林法》、《森林法实施条例》、国家林业局《征占用林地审核审批管理办法》、《海南经济特区林地管理条例》等相关法律法规，向三亚市林业局提出占用林地申请并取得同意后，方可动工建设。</w:t>
            </w:r>
          </w:p>
          <w:p>
            <w:pPr>
              <w:autoSpaceDE w:val="0"/>
              <w:autoSpaceDN w:val="0"/>
              <w:spacing w:line="360" w:lineRule="auto"/>
              <w:ind w:firstLine="420" w:firstLineChars="200"/>
              <w:rPr>
                <w:rFonts w:hint="default"/>
                <w:b/>
                <w:bCs/>
                <w:color w:val="auto"/>
                <w:szCs w:val="21"/>
              </w:rPr>
            </w:pPr>
          </w:p>
          <w:p>
            <w:pPr>
              <w:autoSpaceDE w:val="0"/>
              <w:autoSpaceDN w:val="0"/>
              <w:spacing w:after="0" w:line="360" w:lineRule="auto"/>
              <w:ind w:firstLine="420" w:firstLineChars="200"/>
              <w:rPr>
                <w:rFonts w:hint="default"/>
                <w:b/>
                <w:bCs/>
                <w:color w:val="auto"/>
                <w:kern w:val="0"/>
                <w:szCs w:val="21"/>
              </w:rPr>
            </w:pPr>
            <w:r>
              <w:rPr>
                <w:rFonts w:ascii="Times New Roman" w:hAnsi="Times New Roman" w:cs="Times New Roman" w:hint="default"/>
                <w:b/>
                <w:bCs/>
                <w:color w:val="auto"/>
                <w:sz w:val="21"/>
                <w:szCs w:val="21"/>
                <w:lang w:eastAsia="zh-CN"/>
              </w:rPr>
              <w:t>（</w:t>
            </w:r>
            <w:r>
              <w:rPr>
                <w:rFonts w:cs="Times New Roman" w:hint="eastAsia"/>
                <w:b/>
                <w:bCs/>
                <w:color w:val="auto"/>
                <w:sz w:val="21"/>
                <w:szCs w:val="21"/>
                <w:lang w:val="en-US" w:eastAsia="zh-CN"/>
              </w:rPr>
              <w:t>6</w:t>
            </w:r>
            <w:r>
              <w:rPr>
                <w:rFonts w:ascii="Times New Roman" w:hAnsi="Times New Roman" w:cs="Times New Roman" w:hint="default"/>
                <w:b/>
                <w:bCs/>
                <w:color w:val="auto"/>
                <w:sz w:val="21"/>
                <w:szCs w:val="21"/>
                <w:lang w:eastAsia="zh-CN"/>
              </w:rPr>
              <w:t>）</w:t>
            </w:r>
          </w:p>
        </w:tc>
      </w:tr>
    </w:tbl>
    <w:p>
      <w:pPr>
        <w:sectPr>
          <w:footerReference w:type="even" r:id="rId17"/>
          <w:footerReference w:type="default" r:id="rId18"/>
          <w:type w:val="nextPage"/>
          <w:pgSz w:w="11906" w:h="16838"/>
          <w:pgMar w:top="1440" w:right="1800" w:bottom="1440" w:left="1800" w:header="851" w:footer="1077" w:gutter="0"/>
          <w:pgNumType w:fmt="decimal" w:start="5"/>
          <w:cols w:num="1" w:space="720"/>
          <w:titlePg w:val="0"/>
          <w:docGrid w:linePitch="312" w:charSpace="0"/>
        </w:sectPr>
      </w:pPr>
    </w:p>
    <w:tbl>
      <w:tblPr>
        <w:tblStyle w:val="TableNormal"/>
        <w:tblW w:w="4999"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
      <w:tblGrid>
        <w:gridCol w:w="2052"/>
        <w:gridCol w:w="6284"/>
      </w:tblGrid>
      <w:tr>
        <w:tblPrEx>
          <w:tblW w:w="4999"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Ex>
        <w:trPr>
          <w:trHeight w:val="12905"/>
        </w:trPr>
        <w:tc>
          <w:tcPr>
            <w:tcW w:w="1231" w:type="pct"/>
            <w:noWrap w:val="0"/>
            <w:tcMar>
              <w:top w:w="16" w:type="dxa"/>
              <w:left w:w="16" w:type="dxa"/>
              <w:right w:w="16" w:type="dxa"/>
            </w:tcMar>
            <w:vAlign w:val="center"/>
          </w:tcPr>
          <w:p/>
        </w:tc>
        <w:tc>
          <w:tcPr>
            <w:tcW w:w="3768" w:type="pct"/>
            <w:noWrap w:val="0"/>
            <w:tcMar>
              <w:top w:w="16" w:type="dxa"/>
              <w:left w:w="16" w:type="dxa"/>
              <w:right w:w="16" w:type="dxa"/>
            </w:tcMar>
            <w:vAlign w:val="center"/>
          </w:tcPr>
          <w:p>
            <w:pPr>
              <w:autoSpaceDE w:val="0"/>
              <w:autoSpaceDN w:val="0"/>
              <w:spacing w:before="0" w:line="360" w:lineRule="auto"/>
              <w:ind w:firstLine="420" w:firstLineChars="200"/>
              <w:rPr>
                <w:rFonts w:hint="default"/>
                <w:b/>
                <w:bCs/>
                <w:color w:val="auto"/>
                <w:kern w:val="0"/>
                <w:szCs w:val="21"/>
              </w:rPr>
            </w:pPr>
            <w:r>
              <w:rPr>
                <w:rFonts w:ascii="Times New Roman" w:hAnsi="Times New Roman" w:cs="Times New Roman" w:hint="default"/>
                <w:b/>
                <w:bCs/>
                <w:color w:val="auto"/>
                <w:kern w:val="0"/>
                <w:sz w:val="21"/>
                <w:szCs w:val="21"/>
                <w:lang w:val="en-US" w:eastAsia="zh-CN"/>
              </w:rPr>
              <w:t>与《海南省生态环境准入清单》（2021年版）的相符性分析</w:t>
            </w:r>
          </w:p>
          <w:p>
            <w:pPr>
              <w:autoSpaceDE w:val="0"/>
              <w:autoSpaceDN w:val="0"/>
              <w:spacing w:line="360" w:lineRule="auto"/>
              <w:ind w:firstLine="420" w:firstLineChars="200"/>
              <w:rPr>
                <w:rFonts w:hint="eastAsia"/>
                <w:color w:val="auto"/>
                <w:kern w:val="0"/>
                <w:szCs w:val="21"/>
              </w:rPr>
            </w:pPr>
            <w:r>
              <w:rPr>
                <w:rFonts w:ascii="Times New Roman" w:hAnsi="Times New Roman" w:cs="Times New Roman" w:hint="eastAsia"/>
                <w:color w:val="auto"/>
                <w:kern w:val="0"/>
                <w:sz w:val="21"/>
                <w:szCs w:val="21"/>
                <w:lang w:val="en-US" w:eastAsia="zh-CN"/>
              </w:rPr>
              <w:t>根据项目区域“三线一单”综合查询报告</w:t>
            </w:r>
            <w:r>
              <w:rPr>
                <w:rFonts w:cs="Times New Roman" w:hint="eastAsia"/>
                <w:color w:val="auto"/>
                <w:kern w:val="0"/>
                <w:sz w:val="21"/>
                <w:szCs w:val="21"/>
                <w:lang w:val="en-US" w:eastAsia="zh-CN"/>
              </w:rPr>
              <w:t>（</w:t>
            </w:r>
            <w:r>
              <w:rPr>
                <w:rFonts w:ascii="Times New Roman" w:hAnsi="Times New Roman" w:cs="Times New Roman" w:hint="eastAsia"/>
                <w:color w:val="auto"/>
                <w:kern w:val="0"/>
                <w:sz w:val="21"/>
                <w:szCs w:val="21"/>
                <w:lang w:val="en-US" w:eastAsia="zh-CN"/>
              </w:rPr>
              <w:t>见附件</w:t>
            </w:r>
            <w:r>
              <w:rPr>
                <w:rFonts w:cs="Times New Roman" w:hint="eastAsia"/>
                <w:color w:val="auto"/>
                <w:kern w:val="0"/>
                <w:sz w:val="21"/>
                <w:szCs w:val="21"/>
                <w:lang w:val="en-US" w:eastAsia="zh-CN"/>
              </w:rPr>
              <w:t>3）</w:t>
            </w:r>
            <w:r>
              <w:rPr>
                <w:rFonts w:ascii="Times New Roman" w:hAnsi="Times New Roman" w:cs="Times New Roman" w:hint="eastAsia"/>
                <w:color w:val="auto"/>
                <w:kern w:val="0"/>
                <w:sz w:val="21"/>
                <w:szCs w:val="21"/>
                <w:lang w:val="en-US" w:eastAsia="zh-CN"/>
              </w:rPr>
              <w:t>，本项目位于三亚市崖州区重点管控单元2</w:t>
            </w:r>
            <w:r>
              <w:rPr>
                <w:rFonts w:cs="Times New Roman" w:hint="eastAsia"/>
                <w:color w:val="auto"/>
                <w:kern w:val="0"/>
                <w:sz w:val="21"/>
                <w:szCs w:val="21"/>
                <w:lang w:val="en-US" w:eastAsia="zh-CN"/>
              </w:rPr>
              <w:t>（</w:t>
            </w:r>
            <w:r>
              <w:rPr>
                <w:rFonts w:ascii="Times New Roman" w:hAnsi="Times New Roman" w:cs="Times New Roman" w:hint="eastAsia"/>
                <w:color w:val="auto"/>
                <w:kern w:val="0"/>
                <w:sz w:val="21"/>
                <w:szCs w:val="21"/>
                <w:lang w:val="en-US" w:eastAsia="zh-CN"/>
              </w:rPr>
              <w:t>编码ZH46020520002</w:t>
            </w:r>
            <w:r>
              <w:rPr>
                <w:rFonts w:cs="Times New Roman" w:hint="eastAsia"/>
                <w:color w:val="auto"/>
                <w:kern w:val="0"/>
                <w:sz w:val="21"/>
                <w:szCs w:val="21"/>
                <w:lang w:val="en-US" w:eastAsia="zh-CN"/>
              </w:rPr>
              <w:t>）</w:t>
            </w:r>
            <w:r>
              <w:rPr>
                <w:rFonts w:ascii="Times New Roman" w:hAnsi="Times New Roman" w:cs="Times New Roman" w:hint="eastAsia"/>
                <w:color w:val="auto"/>
                <w:kern w:val="0"/>
                <w:sz w:val="21"/>
                <w:szCs w:val="21"/>
                <w:lang w:val="en-US" w:eastAsia="zh-CN"/>
              </w:rPr>
              <w:t>、三亚市崖州区优先保护单元7</w:t>
            </w:r>
            <w:r>
              <w:rPr>
                <w:rFonts w:cs="Times New Roman" w:hint="eastAsia"/>
                <w:color w:val="auto"/>
                <w:kern w:val="0"/>
                <w:sz w:val="21"/>
                <w:szCs w:val="21"/>
                <w:lang w:val="en-US" w:eastAsia="zh-CN"/>
              </w:rPr>
              <w:t>（</w:t>
            </w:r>
            <w:r>
              <w:rPr>
                <w:rFonts w:ascii="Times New Roman" w:hAnsi="Times New Roman" w:cs="Times New Roman" w:hint="eastAsia"/>
                <w:color w:val="auto"/>
                <w:kern w:val="0"/>
                <w:sz w:val="21"/>
                <w:szCs w:val="21"/>
                <w:lang w:val="en-US" w:eastAsia="zh-CN"/>
              </w:rPr>
              <w:t>编码ZH46020510007</w:t>
            </w:r>
            <w:r>
              <w:rPr>
                <w:rFonts w:cs="Times New Roman" w:hint="eastAsia"/>
                <w:color w:val="auto"/>
                <w:kern w:val="0"/>
                <w:sz w:val="21"/>
                <w:szCs w:val="21"/>
                <w:lang w:val="en-US" w:eastAsia="zh-CN"/>
              </w:rPr>
              <w:t>）</w:t>
            </w:r>
            <w:r>
              <w:rPr>
                <w:rFonts w:ascii="Times New Roman" w:hAnsi="Times New Roman" w:cs="Times New Roman" w:hint="eastAsia"/>
                <w:color w:val="auto"/>
                <w:kern w:val="0"/>
                <w:sz w:val="21"/>
                <w:szCs w:val="21"/>
                <w:lang w:val="en-US" w:eastAsia="zh-CN"/>
              </w:rPr>
              <w:t>和三亚市崖州区优先保护单元6</w:t>
            </w:r>
            <w:r>
              <w:rPr>
                <w:rFonts w:cs="Times New Roman" w:hint="eastAsia"/>
                <w:color w:val="auto"/>
                <w:kern w:val="0"/>
                <w:sz w:val="21"/>
                <w:szCs w:val="21"/>
                <w:lang w:val="en-US" w:eastAsia="zh-CN"/>
              </w:rPr>
              <w:t>（</w:t>
            </w:r>
            <w:r>
              <w:rPr>
                <w:rFonts w:ascii="Times New Roman" w:hAnsi="Times New Roman" w:cs="Times New Roman" w:hint="eastAsia"/>
                <w:color w:val="auto"/>
                <w:kern w:val="0"/>
                <w:sz w:val="21"/>
                <w:szCs w:val="21"/>
                <w:lang w:val="en-US" w:eastAsia="zh-CN"/>
              </w:rPr>
              <w:t>编码ZH46020510006</w:t>
            </w:r>
            <w:r>
              <w:rPr>
                <w:rFonts w:cs="Times New Roman" w:hint="eastAsia"/>
                <w:color w:val="auto"/>
                <w:kern w:val="0"/>
                <w:sz w:val="21"/>
                <w:szCs w:val="21"/>
                <w:lang w:val="en-US" w:eastAsia="zh-CN"/>
              </w:rPr>
              <w:t>）</w:t>
            </w:r>
            <w:r>
              <w:rPr>
                <w:rFonts w:ascii="Times New Roman" w:hAnsi="Times New Roman" w:cs="Times New Roman" w:hint="eastAsia"/>
                <w:color w:val="auto"/>
                <w:kern w:val="0"/>
                <w:sz w:val="21"/>
                <w:szCs w:val="21"/>
                <w:lang w:val="en-US" w:eastAsia="zh-CN"/>
              </w:rPr>
              <w:t>，项目与</w:t>
            </w:r>
            <w:r>
              <w:rPr>
                <w:rFonts w:hint="eastAsia"/>
                <w:color w:val="auto"/>
                <w:kern w:val="0"/>
                <w:sz w:val="21"/>
                <w:szCs w:val="21"/>
                <w:lang w:val="en-US" w:eastAsia="zh-CN"/>
              </w:rPr>
              <w:t>《海南省生态环境准入清单》（2021年版）的相符性分析见下表1-2。</w:t>
            </w:r>
          </w:p>
          <w:p>
            <w:pPr>
              <w:adjustRightInd w:val="0"/>
              <w:snapToGrid w:val="0"/>
              <w:spacing w:line="240" w:lineRule="auto"/>
              <w:jc w:val="center"/>
              <w:rPr>
                <w:b/>
                <w:bCs/>
                <w:color w:val="auto"/>
                <w:szCs w:val="21"/>
              </w:rPr>
            </w:pPr>
            <w:r>
              <w:rPr>
                <w:rFonts w:hint="eastAsia"/>
                <w:b/>
                <w:bCs/>
                <w:color w:val="auto"/>
                <w:kern w:val="0"/>
                <w:sz w:val="21"/>
                <w:szCs w:val="21"/>
                <w:lang w:val="en-US" w:eastAsia="zh-CN"/>
              </w:rPr>
              <w:t xml:space="preserve">表1-2 </w:t>
            </w:r>
            <w:r>
              <w:rPr>
                <w:rFonts w:ascii="Times New Roman" w:hAnsi="Times New Roman" w:hint="eastAsia"/>
                <w:b/>
                <w:bCs/>
                <w:color w:val="auto"/>
                <w:sz w:val="21"/>
                <w:szCs w:val="21"/>
                <w:lang w:eastAsia="zh-CN"/>
              </w:rPr>
              <w:t>与《海南省生态环境准入清单</w:t>
            </w:r>
            <w:r>
              <w:rPr>
                <w:rFonts w:hint="eastAsia"/>
                <w:b/>
                <w:bCs/>
                <w:color w:val="auto"/>
                <w:sz w:val="21"/>
                <w:szCs w:val="21"/>
                <w:lang w:eastAsia="zh-CN"/>
              </w:rPr>
              <w:t>（</w:t>
            </w:r>
            <w:r>
              <w:rPr>
                <w:rFonts w:ascii="Times New Roman" w:hAnsi="Times New Roman" w:hint="eastAsia"/>
                <w:b/>
                <w:bCs/>
                <w:color w:val="auto"/>
                <w:sz w:val="21"/>
                <w:szCs w:val="21"/>
                <w:lang w:eastAsia="zh-CN"/>
              </w:rPr>
              <w:t>2021年版</w:t>
            </w:r>
            <w:r>
              <w:rPr>
                <w:rFonts w:hint="eastAsia"/>
                <w:b/>
                <w:bCs/>
                <w:color w:val="auto"/>
                <w:sz w:val="21"/>
                <w:szCs w:val="21"/>
                <w:lang w:eastAsia="zh-CN"/>
              </w:rPr>
              <w:t>）</w:t>
            </w:r>
            <w:r>
              <w:rPr>
                <w:rFonts w:ascii="Times New Roman" w:hAnsi="Times New Roman" w:hint="eastAsia"/>
                <w:b/>
                <w:bCs/>
                <w:color w:val="auto"/>
                <w:sz w:val="21"/>
                <w:szCs w:val="21"/>
                <w:lang w:eastAsia="zh-CN"/>
              </w:rPr>
              <w:t>》</w:t>
            </w:r>
            <w:r>
              <w:rPr>
                <w:rFonts w:ascii="Times New Roman" w:hAnsi="Times New Roman"/>
                <w:b/>
                <w:bCs/>
                <w:color w:val="auto"/>
                <w:sz w:val="21"/>
                <w:szCs w:val="21"/>
              </w:rPr>
              <w:t>的符合性</w:t>
            </w:r>
          </w:p>
          <w:tbl>
            <w:tblPr>
              <w:tblStyle w:val="TableGrid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6"/>
              <w:gridCol w:w="780"/>
              <w:gridCol w:w="2222"/>
              <w:gridCol w:w="1752"/>
              <w:gridCol w:w="682"/>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46"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right="0" w:firstLine="0" w:leftChars="0" w:rightChars="0" w:firstLineChars="0"/>
                    <w:jc w:val="center"/>
                    <w:textAlignment w:val="auto"/>
                    <w:rPr>
                      <w:rFonts w:hint="default"/>
                      <w:b/>
                      <w:bCs/>
                      <w:color w:val="auto"/>
                      <w:szCs w:val="21"/>
                      <w:vertAlign w:val="baseline"/>
                    </w:rPr>
                  </w:pPr>
                  <w:r>
                    <w:rPr>
                      <w:rFonts w:ascii="Times New Roman" w:eastAsia="宋体" w:hAnsi="Times New Roman" w:cs="Times New Roman" w:hint="default"/>
                      <w:b/>
                      <w:bCs/>
                      <w:color w:val="auto"/>
                      <w:sz w:val="21"/>
                      <w:szCs w:val="21"/>
                      <w:vertAlign w:val="baseline"/>
                      <w:lang w:val="en-US" w:eastAsia="zh-CN"/>
                    </w:rPr>
                    <w:t>环境管控单元编码</w:t>
                  </w:r>
                </w:p>
              </w:tc>
              <w:tc>
                <w:tcPr>
                  <w:tcW w:w="625"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right="0" w:firstLine="0" w:leftChars="0" w:rightChars="0" w:firstLineChars="0"/>
                    <w:jc w:val="center"/>
                    <w:textAlignment w:val="auto"/>
                    <w:rPr>
                      <w:rFonts w:hint="default"/>
                      <w:b/>
                      <w:bCs/>
                      <w:color w:val="auto"/>
                      <w:szCs w:val="21"/>
                      <w:vertAlign w:val="baseline"/>
                    </w:rPr>
                  </w:pPr>
                  <w:r>
                    <w:rPr>
                      <w:rFonts w:ascii="Times New Roman" w:eastAsia="宋体" w:hAnsi="Times New Roman" w:cs="Times New Roman" w:hint="eastAsia"/>
                      <w:b/>
                      <w:bCs/>
                      <w:color w:val="auto"/>
                      <w:sz w:val="21"/>
                      <w:szCs w:val="21"/>
                      <w:vertAlign w:val="baseline"/>
                      <w:lang w:val="en-US" w:eastAsia="zh-CN"/>
                    </w:rPr>
                    <w:t>单元类型</w:t>
                  </w:r>
                </w:p>
              </w:tc>
              <w:tc>
                <w:tcPr>
                  <w:tcW w:w="1779"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right="0" w:firstLine="0" w:leftChars="0" w:rightChars="0" w:firstLineChars="0"/>
                    <w:jc w:val="center"/>
                    <w:textAlignment w:val="auto"/>
                    <w:rPr>
                      <w:rFonts w:hint="default"/>
                      <w:b/>
                      <w:bCs/>
                      <w:color w:val="auto"/>
                      <w:szCs w:val="21"/>
                      <w:vertAlign w:val="baseline"/>
                    </w:rPr>
                  </w:pPr>
                  <w:r>
                    <w:rPr>
                      <w:rFonts w:ascii="Times New Roman" w:eastAsia="宋体" w:hAnsi="Times New Roman" w:cs="Times New Roman" w:hint="eastAsia"/>
                      <w:b/>
                      <w:bCs/>
                      <w:color w:val="auto"/>
                      <w:sz w:val="21"/>
                      <w:szCs w:val="21"/>
                      <w:vertAlign w:val="baseline"/>
                      <w:lang w:val="en-US" w:eastAsia="zh-CN"/>
                    </w:rPr>
                    <w:t>管控要求</w:t>
                  </w:r>
                </w:p>
              </w:tc>
              <w:tc>
                <w:tcPr>
                  <w:tcW w:w="1402"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right="0" w:firstLine="0" w:leftChars="0" w:rightChars="0" w:firstLineChars="0"/>
                    <w:jc w:val="center"/>
                    <w:textAlignment w:val="auto"/>
                    <w:rPr>
                      <w:rFonts w:hint="default"/>
                      <w:b/>
                      <w:bCs/>
                      <w:color w:val="auto"/>
                      <w:szCs w:val="21"/>
                      <w:vertAlign w:val="baseline"/>
                    </w:rPr>
                  </w:pPr>
                  <w:r>
                    <w:rPr>
                      <w:rFonts w:ascii="Times New Roman" w:eastAsia="宋体" w:hAnsi="Times New Roman" w:cs="Times New Roman" w:hint="eastAsia"/>
                      <w:b/>
                      <w:bCs/>
                      <w:color w:val="auto"/>
                      <w:sz w:val="21"/>
                      <w:szCs w:val="21"/>
                      <w:vertAlign w:val="baseline"/>
                      <w:lang w:val="en-US" w:eastAsia="zh-CN"/>
                    </w:rPr>
                    <w:t>本项目情况</w:t>
                  </w:r>
                </w:p>
              </w:tc>
              <w:tc>
                <w:tcPr>
                  <w:tcW w:w="546"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right="0" w:firstLine="0" w:leftChars="0" w:rightChars="0" w:firstLineChars="0"/>
                    <w:jc w:val="center"/>
                    <w:textAlignment w:val="auto"/>
                    <w:rPr>
                      <w:rFonts w:hint="default"/>
                      <w:b/>
                      <w:bCs/>
                      <w:color w:val="auto"/>
                      <w:szCs w:val="21"/>
                      <w:vertAlign w:val="baseline"/>
                    </w:rPr>
                  </w:pPr>
                  <w:r>
                    <w:rPr>
                      <w:rFonts w:ascii="Times New Roman" w:eastAsia="宋体" w:hAnsi="Times New Roman" w:cs="Times New Roman" w:hint="eastAsia"/>
                      <w:b/>
                      <w:bCs/>
                      <w:color w:val="auto"/>
                      <w:sz w:val="21"/>
                      <w:szCs w:val="21"/>
                      <w:vertAlign w:val="baseline"/>
                      <w:lang w:val="en-US" w:eastAsia="zh-CN"/>
                    </w:rPr>
                    <w:t>符合情况</w:t>
                  </w:r>
                </w:p>
              </w:tc>
            </w:tr>
            <w:tr>
              <w:tblPrEx>
                <w:tblW w:w="5000" w:type="pct"/>
                <w:tblInd w:w="0" w:type="dxa"/>
                <w:tblLayout w:type="fixed"/>
                <w:tblCellMar>
                  <w:top w:w="0" w:type="dxa"/>
                  <w:left w:w="108" w:type="dxa"/>
                  <w:bottom w:w="0" w:type="dxa"/>
                  <w:right w:w="108" w:type="dxa"/>
                </w:tblCellMar>
              </w:tblPrEx>
              <w:tc>
                <w:tcPr>
                  <w:tcW w:w="646"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right="0" w:firstLine="0" w:leftChars="0" w:rightChars="0" w:firstLineChars="0"/>
                    <w:jc w:val="left"/>
                    <w:textAlignment w:val="auto"/>
                    <w:rPr>
                      <w:rFonts w:hint="default"/>
                      <w:color w:val="auto"/>
                      <w:szCs w:val="21"/>
                      <w:vertAlign w:val="baseline"/>
                    </w:rPr>
                  </w:pPr>
                  <w:r>
                    <w:rPr>
                      <w:rFonts w:ascii="Times New Roman" w:eastAsia="宋体" w:hAnsi="Times New Roman" w:cs="Times New Roman" w:hint="default"/>
                      <w:color w:val="auto"/>
                      <w:sz w:val="21"/>
                      <w:szCs w:val="21"/>
                      <w:vertAlign w:val="baseline"/>
                      <w:lang w:val="en-US" w:eastAsia="zh-CN"/>
                    </w:rPr>
                    <w:t>ZH46020520002</w:t>
                  </w:r>
                </w:p>
              </w:tc>
              <w:tc>
                <w:tcPr>
                  <w:tcW w:w="625"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right="0" w:firstLine="0" w:leftChars="0" w:rightChars="0" w:firstLineChars="0"/>
                    <w:jc w:val="left"/>
                    <w:textAlignment w:val="auto"/>
                    <w:rPr>
                      <w:rFonts w:hint="default"/>
                      <w:color w:val="auto"/>
                      <w:szCs w:val="21"/>
                      <w:vertAlign w:val="baseline"/>
                    </w:rPr>
                  </w:pPr>
                  <w:r>
                    <w:rPr>
                      <w:rFonts w:ascii="Times New Roman" w:eastAsia="宋体" w:hAnsi="Times New Roman" w:cs="Times New Roman" w:hint="default"/>
                      <w:color w:val="auto"/>
                      <w:sz w:val="21"/>
                      <w:szCs w:val="21"/>
                      <w:vertAlign w:val="baseline"/>
                      <w:lang w:val="en-US" w:eastAsia="zh-CN"/>
                    </w:rPr>
                    <w:t>重点管控</w:t>
                  </w:r>
                </w:p>
              </w:tc>
              <w:tc>
                <w:tcPr>
                  <w:tcW w:w="1779"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right="0" w:firstLine="0" w:leftChars="0" w:rightChars="0" w:firstLineChars="0"/>
                    <w:jc w:val="left"/>
                    <w:textAlignment w:val="auto"/>
                    <w:rPr>
                      <w:rFonts w:hint="default"/>
                      <w:color w:val="auto"/>
                      <w:szCs w:val="21"/>
                      <w:vertAlign w:val="baseline"/>
                    </w:rPr>
                  </w:pPr>
                  <w:r>
                    <w:rPr>
                      <w:rFonts w:ascii="Times New Roman" w:eastAsia="宋体" w:hAnsi="Times New Roman" w:cs="Times New Roman" w:hint="default"/>
                      <w:color w:val="auto"/>
                      <w:sz w:val="21"/>
                      <w:szCs w:val="21"/>
                      <w:vertAlign w:val="baseline"/>
                      <w:lang w:val="en-US" w:eastAsia="zh-CN"/>
                    </w:rPr>
                    <w:t>1.执行水环境</w:t>
                  </w:r>
                  <w:r>
                    <w:rPr>
                      <w:rFonts w:cs="Times New Roman" w:hint="eastAsia"/>
                      <w:color w:val="auto"/>
                      <w:sz w:val="21"/>
                      <w:szCs w:val="21"/>
                      <w:vertAlign w:val="baseline"/>
                      <w:lang w:val="en-US" w:eastAsia="zh-CN"/>
                    </w:rPr>
                    <w:t>（</w:t>
                  </w:r>
                  <w:r>
                    <w:rPr>
                      <w:rFonts w:ascii="Times New Roman" w:eastAsia="宋体" w:hAnsi="Times New Roman" w:cs="Times New Roman" w:hint="default"/>
                      <w:color w:val="auto"/>
                      <w:sz w:val="21"/>
                      <w:szCs w:val="21"/>
                      <w:vertAlign w:val="baseline"/>
                      <w:lang w:val="en-US" w:eastAsia="zh-CN"/>
                    </w:rPr>
                    <w:t>城镇生活污染重点管控区</w:t>
                  </w:r>
                  <w:r>
                    <w:rPr>
                      <w:rFonts w:cs="Times New Roman" w:hint="eastAsia"/>
                      <w:color w:val="auto"/>
                      <w:sz w:val="21"/>
                      <w:szCs w:val="21"/>
                      <w:vertAlign w:val="baseline"/>
                      <w:lang w:val="en-US" w:eastAsia="zh-CN"/>
                    </w:rPr>
                    <w:t>）</w:t>
                  </w:r>
                  <w:r>
                    <w:rPr>
                      <w:rFonts w:ascii="Times New Roman" w:eastAsia="宋体" w:hAnsi="Times New Roman" w:cs="Times New Roman" w:hint="default"/>
                      <w:color w:val="auto"/>
                      <w:sz w:val="21"/>
                      <w:szCs w:val="21"/>
                      <w:vertAlign w:val="baseline"/>
                      <w:lang w:val="en-US" w:eastAsia="zh-CN"/>
                    </w:rPr>
                    <w:t>普适性管控要求。</w:t>
                  </w:r>
                </w:p>
                <w:p>
                  <w:pPr>
                    <w:keepNext w:val="0"/>
                    <w:keepLines w:val="0"/>
                    <w:pageBreakBefore w:val="0"/>
                    <w:widowControl w:val="0"/>
                    <w:kinsoku/>
                    <w:wordWrap/>
                    <w:overflowPunct/>
                    <w:topLinePunct w:val="0"/>
                    <w:autoSpaceDE w:val="0"/>
                    <w:autoSpaceDN w:val="0"/>
                    <w:bidi w:val="0"/>
                    <w:adjustRightInd w:val="0"/>
                    <w:snapToGrid w:val="0"/>
                    <w:spacing w:line="240" w:lineRule="auto"/>
                    <w:ind w:left="0" w:right="0" w:firstLine="0" w:leftChars="0" w:rightChars="0" w:firstLineChars="0"/>
                    <w:jc w:val="left"/>
                    <w:textAlignment w:val="auto"/>
                    <w:rPr>
                      <w:rFonts w:hint="default"/>
                      <w:color w:val="auto"/>
                      <w:szCs w:val="21"/>
                      <w:vertAlign w:val="baseline"/>
                    </w:rPr>
                  </w:pPr>
                  <w:r>
                    <w:rPr>
                      <w:rFonts w:ascii="Times New Roman" w:eastAsia="宋体" w:hAnsi="Times New Roman" w:cs="Times New Roman" w:hint="default"/>
                      <w:color w:val="auto"/>
                      <w:sz w:val="21"/>
                      <w:szCs w:val="21"/>
                      <w:vertAlign w:val="baseline"/>
                      <w:lang w:val="en-US" w:eastAsia="zh-CN"/>
                    </w:rPr>
                    <w:t>2.严格控制生活污水直接排放入海，防止海洋环境状况恶化。</w:t>
                  </w:r>
                </w:p>
              </w:tc>
              <w:tc>
                <w:tcPr>
                  <w:tcW w:w="14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left"/>
                    <w:textAlignment w:val="auto"/>
                    <w:rPr>
                      <w:rFonts w:hint="default"/>
                      <w:b w:val="0"/>
                      <w:bCs w:val="0"/>
                      <w:i w:val="0"/>
                      <w:iCs w:val="0"/>
                      <w:caps w:val="0"/>
                      <w:color w:val="auto"/>
                      <w:spacing w:val="0"/>
                      <w:szCs w:val="21"/>
                      <w:shd w:val="clear" w:color="auto" w:fill="FFFFFF"/>
                      <w:vertAlign w:val="baseline"/>
                    </w:rPr>
                  </w:pPr>
                  <w:r>
                    <w:rPr>
                      <w:rFonts w:cs="Times New Roman" w:hint="eastAsia"/>
                      <w:b w:val="0"/>
                      <w:bCs w:val="0"/>
                      <w:i w:val="0"/>
                      <w:iCs w:val="0"/>
                      <w:caps w:val="0"/>
                      <w:color w:val="auto"/>
                      <w:spacing w:val="0"/>
                      <w:kern w:val="2"/>
                      <w:sz w:val="21"/>
                      <w:szCs w:val="21"/>
                      <w:shd w:val="clear" w:color="auto" w:fill="FFFFFF"/>
                      <w:vertAlign w:val="baseline"/>
                      <w:lang w:val="en-US" w:eastAsia="zh-CN" w:bidi="ar-SA"/>
                    </w:rPr>
                    <w:t>本项目自建了污水处理站。项目产生的污水经过自建污水处理站处理后回用于绿化。项目区域内已建设了较为完善的供排水管网，本项目可依托项目已建的供排水管网。</w:t>
                  </w:r>
                  <w:r>
                    <w:rPr>
                      <w:rFonts w:ascii="Times New Roman" w:eastAsia="宋体" w:hAnsi="Times New Roman" w:cs="Times New Roman" w:hint="default"/>
                      <w:b w:val="0"/>
                      <w:bCs w:val="0"/>
                      <w:i w:val="0"/>
                      <w:iCs w:val="0"/>
                      <w:caps w:val="0"/>
                      <w:color w:val="auto"/>
                      <w:spacing w:val="0"/>
                      <w:kern w:val="2"/>
                      <w:sz w:val="21"/>
                      <w:szCs w:val="21"/>
                      <w:shd w:val="clear" w:color="auto" w:fill="FFFFFF"/>
                      <w:vertAlign w:val="baseline"/>
                      <w:lang w:val="en-US" w:eastAsia="zh-CN" w:bidi="ar-SA"/>
                    </w:rPr>
                    <w:t>施工废水经沉淀处理后回用，运营期</w:t>
                  </w:r>
                  <w:r>
                    <w:rPr>
                      <w:rFonts w:ascii="Times New Roman" w:eastAsia="宋体" w:hAnsi="Times New Roman" w:cs="Times New Roman" w:hint="eastAsia"/>
                      <w:b w:val="0"/>
                      <w:bCs w:val="0"/>
                      <w:i w:val="0"/>
                      <w:iCs w:val="0"/>
                      <w:caps w:val="0"/>
                      <w:color w:val="auto"/>
                      <w:spacing w:val="0"/>
                      <w:kern w:val="2"/>
                      <w:sz w:val="21"/>
                      <w:szCs w:val="21"/>
                      <w:shd w:val="clear" w:color="auto" w:fill="FFFFFF"/>
                      <w:vertAlign w:val="baseline"/>
                      <w:lang w:val="en-US" w:eastAsia="zh-CN" w:bidi="ar-SA"/>
                    </w:rPr>
                    <w:t>主要产生少量的生活污水</w:t>
                  </w:r>
                  <w:r>
                    <w:rPr>
                      <w:rFonts w:cs="Times New Roman" w:hint="eastAsia"/>
                      <w:b w:val="0"/>
                      <w:bCs w:val="0"/>
                      <w:i w:val="0"/>
                      <w:iCs w:val="0"/>
                      <w:caps w:val="0"/>
                      <w:color w:val="auto"/>
                      <w:spacing w:val="0"/>
                      <w:kern w:val="2"/>
                      <w:sz w:val="21"/>
                      <w:szCs w:val="21"/>
                      <w:shd w:val="clear" w:color="auto" w:fill="FFFFFF"/>
                      <w:vertAlign w:val="baseline"/>
                      <w:lang w:val="en-US" w:eastAsia="zh-CN" w:bidi="ar-SA"/>
                    </w:rPr>
                    <w:t>进入大小洞天污水处理站处理后回用于绿化，生活污水不会外排入海。</w:t>
                  </w:r>
                </w:p>
              </w:tc>
              <w:tc>
                <w:tcPr>
                  <w:tcW w:w="546"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right="0" w:firstLine="0" w:leftChars="0" w:rightChars="0" w:firstLineChars="0"/>
                    <w:jc w:val="left"/>
                    <w:textAlignment w:val="auto"/>
                    <w:rPr>
                      <w:rFonts w:hint="default"/>
                      <w:color w:val="auto"/>
                      <w:szCs w:val="21"/>
                      <w:vertAlign w:val="baseline"/>
                    </w:rPr>
                  </w:pPr>
                  <w:r>
                    <w:rPr>
                      <w:rFonts w:ascii="Times New Roman" w:eastAsia="宋体" w:hAnsi="Times New Roman" w:cs="Times New Roman" w:hint="eastAsia"/>
                      <w:color w:val="auto"/>
                      <w:sz w:val="21"/>
                      <w:szCs w:val="21"/>
                      <w:vertAlign w:val="baseline"/>
                      <w:lang w:val="en-US" w:eastAsia="zh-CN"/>
                    </w:rPr>
                    <w:t>符合</w:t>
                  </w:r>
                </w:p>
              </w:tc>
            </w:tr>
            <w:tr>
              <w:tblPrEx>
                <w:tblW w:w="5000" w:type="pct"/>
                <w:tblInd w:w="0" w:type="dxa"/>
                <w:tblLayout w:type="fixed"/>
                <w:tblCellMar>
                  <w:top w:w="0" w:type="dxa"/>
                  <w:left w:w="108" w:type="dxa"/>
                  <w:bottom w:w="0" w:type="dxa"/>
                  <w:right w:w="108" w:type="dxa"/>
                </w:tblCellMar>
              </w:tblPrEx>
              <w:tc>
                <w:tcPr>
                  <w:tcW w:w="646"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right="0" w:firstLine="0" w:leftChars="0" w:rightChars="0" w:firstLineChars="0"/>
                    <w:jc w:val="left"/>
                    <w:textAlignment w:val="auto"/>
                    <w:rPr>
                      <w:rFonts w:hint="default"/>
                      <w:color w:val="auto"/>
                      <w:szCs w:val="21"/>
                      <w:vertAlign w:val="baseline"/>
                    </w:rPr>
                  </w:pPr>
                  <w:r>
                    <w:rPr>
                      <w:rFonts w:ascii="Times New Roman" w:eastAsia="宋体" w:hAnsi="Times New Roman" w:cs="Times New Roman" w:hint="default"/>
                      <w:color w:val="auto"/>
                      <w:sz w:val="21"/>
                      <w:szCs w:val="21"/>
                      <w:vertAlign w:val="baseline"/>
                      <w:lang w:val="en-US" w:eastAsia="zh-CN"/>
                    </w:rPr>
                    <w:t>ZH46020510007</w:t>
                  </w:r>
                </w:p>
              </w:tc>
              <w:tc>
                <w:tcPr>
                  <w:tcW w:w="625"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right="0" w:firstLine="0" w:leftChars="0" w:rightChars="0" w:firstLineChars="0"/>
                    <w:jc w:val="left"/>
                    <w:textAlignment w:val="auto"/>
                    <w:rPr>
                      <w:rFonts w:hint="default"/>
                      <w:color w:val="auto"/>
                      <w:szCs w:val="21"/>
                      <w:vertAlign w:val="baseline"/>
                    </w:rPr>
                  </w:pPr>
                  <w:r>
                    <w:rPr>
                      <w:rFonts w:ascii="Times New Roman" w:eastAsia="宋体" w:hAnsi="Times New Roman" w:cs="Times New Roman" w:hint="default"/>
                      <w:color w:val="auto"/>
                      <w:sz w:val="21"/>
                      <w:szCs w:val="21"/>
                      <w:vertAlign w:val="baseline"/>
                      <w:lang w:val="en-US" w:eastAsia="zh-CN"/>
                    </w:rPr>
                    <w:t>优先保护</w:t>
                  </w:r>
                </w:p>
              </w:tc>
              <w:tc>
                <w:tcPr>
                  <w:tcW w:w="1779"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right="0" w:firstLine="0" w:leftChars="0" w:rightChars="0" w:firstLineChars="0"/>
                    <w:jc w:val="left"/>
                    <w:textAlignment w:val="auto"/>
                    <w:rPr>
                      <w:rFonts w:hint="default"/>
                      <w:color w:val="auto"/>
                      <w:szCs w:val="21"/>
                      <w:vertAlign w:val="baseline"/>
                    </w:rPr>
                  </w:pPr>
                  <w:r>
                    <w:rPr>
                      <w:rFonts w:ascii="Times New Roman" w:eastAsia="宋体" w:hAnsi="Times New Roman" w:cs="Times New Roman" w:hint="default"/>
                      <w:color w:val="auto"/>
                      <w:sz w:val="21"/>
                      <w:szCs w:val="21"/>
                      <w:vertAlign w:val="baseline"/>
                      <w:lang w:val="en-US" w:eastAsia="zh-CN"/>
                    </w:rPr>
                    <w:t>执行生态空间</w:t>
                  </w:r>
                  <w:r>
                    <w:rPr>
                      <w:rFonts w:cs="Times New Roman" w:hint="eastAsia"/>
                      <w:color w:val="auto"/>
                      <w:sz w:val="21"/>
                      <w:szCs w:val="21"/>
                      <w:vertAlign w:val="baseline"/>
                      <w:lang w:val="en-US" w:eastAsia="zh-CN"/>
                    </w:rPr>
                    <w:t>（</w:t>
                  </w:r>
                  <w:r>
                    <w:rPr>
                      <w:rFonts w:ascii="Times New Roman" w:eastAsia="宋体" w:hAnsi="Times New Roman" w:cs="Times New Roman" w:hint="default"/>
                      <w:color w:val="auto"/>
                      <w:sz w:val="21"/>
                      <w:szCs w:val="21"/>
                      <w:vertAlign w:val="baseline"/>
                      <w:lang w:val="en-US" w:eastAsia="zh-CN"/>
                    </w:rPr>
                    <w:t>陆域生态保护红线、海岸带自然岸段、一般生态空间、海岸防护</w:t>
                  </w:r>
                  <w:r>
                    <w:rPr>
                      <w:rFonts w:cs="Times New Roman" w:hint="eastAsia"/>
                      <w:color w:val="auto"/>
                      <w:sz w:val="21"/>
                      <w:szCs w:val="21"/>
                      <w:vertAlign w:val="baseline"/>
                      <w:lang w:val="en-US" w:eastAsia="zh-CN"/>
                    </w:rPr>
                    <w:t>）</w:t>
                  </w:r>
                  <w:r>
                    <w:rPr>
                      <w:rFonts w:ascii="Times New Roman" w:eastAsia="宋体" w:hAnsi="Times New Roman" w:cs="Times New Roman" w:hint="default"/>
                      <w:color w:val="auto"/>
                      <w:sz w:val="21"/>
                      <w:szCs w:val="21"/>
                      <w:vertAlign w:val="baseline"/>
                      <w:lang w:val="en-US" w:eastAsia="zh-CN"/>
                    </w:rPr>
                    <w:t>普适性管控要求。</w:t>
                  </w:r>
                </w:p>
              </w:tc>
              <w:tc>
                <w:tcPr>
                  <w:tcW w:w="14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left"/>
                    <w:textAlignment w:val="auto"/>
                    <w:rPr>
                      <w:rFonts w:hint="default"/>
                      <w:b w:val="0"/>
                      <w:bCs w:val="0"/>
                      <w:i w:val="0"/>
                      <w:iCs w:val="0"/>
                      <w:caps w:val="0"/>
                      <w:color w:val="auto"/>
                      <w:spacing w:val="0"/>
                      <w:szCs w:val="21"/>
                      <w:shd w:val="clear" w:color="auto" w:fill="FFFFFF"/>
                      <w:vertAlign w:val="baseline"/>
                    </w:rPr>
                  </w:pPr>
                  <w:r>
                    <w:rPr>
                      <w:rFonts w:ascii="Times New Roman" w:eastAsia="宋体" w:hAnsi="Times New Roman" w:cs="Times New Roman" w:hint="default"/>
                      <w:b w:val="0"/>
                      <w:bCs w:val="0"/>
                      <w:i w:val="0"/>
                      <w:iCs w:val="0"/>
                      <w:caps w:val="0"/>
                      <w:color w:val="auto"/>
                      <w:spacing w:val="0"/>
                      <w:kern w:val="2"/>
                      <w:sz w:val="21"/>
                      <w:szCs w:val="21"/>
                      <w:shd w:val="clear" w:color="auto" w:fill="FFFFFF"/>
                      <w:vertAlign w:val="baseline"/>
                      <w:lang w:val="en-US" w:eastAsia="zh-CN" w:bidi="ar-SA"/>
                    </w:rPr>
                    <w:t>本项目用地性质为旅游</w:t>
                  </w:r>
                  <w:r>
                    <w:rPr>
                      <w:rFonts w:cs="Times New Roman" w:hint="eastAsia"/>
                      <w:b w:val="0"/>
                      <w:bCs w:val="0"/>
                      <w:i w:val="0"/>
                      <w:iCs w:val="0"/>
                      <w:caps w:val="0"/>
                      <w:color w:val="auto"/>
                      <w:spacing w:val="0"/>
                      <w:kern w:val="2"/>
                      <w:sz w:val="21"/>
                      <w:szCs w:val="21"/>
                      <w:shd w:val="clear" w:color="auto" w:fill="FFFFFF"/>
                      <w:vertAlign w:val="baseline"/>
                      <w:lang w:val="en-US" w:eastAsia="zh-CN" w:bidi="ar-SA"/>
                    </w:rPr>
                    <w:t>点</w:t>
                  </w:r>
                  <w:r>
                    <w:rPr>
                      <w:rFonts w:ascii="Times New Roman" w:eastAsia="宋体" w:hAnsi="Times New Roman" w:cs="Times New Roman" w:hint="default"/>
                      <w:b w:val="0"/>
                      <w:bCs w:val="0"/>
                      <w:i w:val="0"/>
                      <w:iCs w:val="0"/>
                      <w:caps w:val="0"/>
                      <w:color w:val="auto"/>
                      <w:spacing w:val="0"/>
                      <w:kern w:val="2"/>
                      <w:sz w:val="21"/>
                      <w:szCs w:val="21"/>
                      <w:shd w:val="clear" w:color="auto" w:fill="FFFFFF"/>
                      <w:vertAlign w:val="baseline"/>
                      <w:lang w:val="en-US" w:eastAsia="zh-CN" w:bidi="ar-SA"/>
                    </w:rPr>
                    <w:t>建设用地，不</w:t>
                  </w:r>
                  <w:r>
                    <w:rPr>
                      <w:rFonts w:cs="Times New Roman" w:hint="eastAsia"/>
                      <w:b w:val="0"/>
                      <w:bCs w:val="0"/>
                      <w:i w:val="0"/>
                      <w:iCs w:val="0"/>
                      <w:caps w:val="0"/>
                      <w:color w:val="auto"/>
                      <w:spacing w:val="0"/>
                      <w:kern w:val="2"/>
                      <w:sz w:val="21"/>
                      <w:szCs w:val="21"/>
                      <w:shd w:val="clear" w:color="auto" w:fill="FFFFFF"/>
                      <w:vertAlign w:val="baseline"/>
                      <w:lang w:val="en-US" w:eastAsia="zh-CN" w:bidi="ar-SA"/>
                    </w:rPr>
                    <w:t>占用</w:t>
                  </w:r>
                  <w:r>
                    <w:rPr>
                      <w:rFonts w:ascii="Times New Roman" w:eastAsia="宋体" w:hAnsi="Times New Roman" w:cs="Times New Roman" w:hint="default"/>
                      <w:b w:val="0"/>
                      <w:bCs w:val="0"/>
                      <w:i w:val="0"/>
                      <w:iCs w:val="0"/>
                      <w:caps w:val="0"/>
                      <w:color w:val="auto"/>
                      <w:spacing w:val="0"/>
                      <w:kern w:val="2"/>
                      <w:sz w:val="21"/>
                      <w:szCs w:val="21"/>
                      <w:shd w:val="clear" w:color="auto" w:fill="FFFFFF"/>
                      <w:vertAlign w:val="baseline"/>
                      <w:lang w:val="en-US" w:eastAsia="zh-CN" w:bidi="ar-SA"/>
                    </w:rPr>
                    <w:t>生态保护红线。本项目新建的建筑物距离最高潮位线超过200米。</w:t>
                  </w:r>
                  <w:r>
                    <w:rPr>
                      <w:rFonts w:cs="Times New Roman" w:hint="eastAsia"/>
                      <w:b w:val="0"/>
                      <w:bCs w:val="0"/>
                      <w:i w:val="0"/>
                      <w:iCs w:val="0"/>
                      <w:caps w:val="0"/>
                      <w:color w:val="auto"/>
                      <w:spacing w:val="0"/>
                      <w:kern w:val="2"/>
                      <w:sz w:val="21"/>
                      <w:szCs w:val="21"/>
                      <w:shd w:val="clear" w:color="auto" w:fill="FFFFFF"/>
                      <w:vertAlign w:val="baseline"/>
                      <w:lang w:val="en-US" w:eastAsia="zh-CN" w:bidi="ar-SA"/>
                    </w:rPr>
                    <w:t>不在自最高潮位线起向陆地延伸100m至200m的范围内；不会改变海岛海岸带地形地貌，不砍伐海岛植被和破坏海岛周边海域的红树林等相关生态系统稳定性</w:t>
                  </w:r>
                </w:p>
              </w:tc>
              <w:tc>
                <w:tcPr>
                  <w:tcW w:w="546"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right="0" w:firstLine="0" w:leftChars="0" w:rightChars="0" w:firstLineChars="0"/>
                    <w:jc w:val="left"/>
                    <w:textAlignment w:val="auto"/>
                    <w:rPr>
                      <w:rFonts w:hint="default"/>
                      <w:color w:val="auto"/>
                      <w:szCs w:val="21"/>
                      <w:vertAlign w:val="baseline"/>
                    </w:rPr>
                  </w:pPr>
                  <w:r>
                    <w:rPr>
                      <w:rFonts w:ascii="Times New Roman" w:eastAsia="宋体" w:hAnsi="Times New Roman" w:cs="Times New Roman" w:hint="eastAsia"/>
                      <w:color w:val="auto"/>
                      <w:sz w:val="21"/>
                      <w:szCs w:val="21"/>
                      <w:vertAlign w:val="baseline"/>
                      <w:lang w:val="en-US" w:eastAsia="zh-CN"/>
                    </w:rPr>
                    <w:t>符合</w:t>
                  </w:r>
                </w:p>
              </w:tc>
            </w:tr>
          </w:tbl>
          <w:p/>
        </w:tc>
      </w:tr>
    </w:tbl>
    <w:p>
      <w:pPr>
        <w:sectPr>
          <w:footerReference w:type="even" r:id="rId19"/>
          <w:footerReference w:type="default" r:id="rId20"/>
          <w:type w:val="nextPage"/>
          <w:pgSz w:w="11906" w:h="16838"/>
          <w:pgMar w:top="1440" w:right="1800" w:bottom="1440" w:left="1800" w:header="851" w:footer="1077" w:gutter="0"/>
          <w:pgNumType w:fmt="decimal" w:start="6"/>
          <w:cols w:num="1" w:space="720"/>
          <w:titlePg w:val="0"/>
          <w:docGrid w:linePitch="312" w:charSpace="0"/>
        </w:sectPr>
      </w:pPr>
    </w:p>
    <w:tbl>
      <w:tblPr>
        <w:tblStyle w:val="TableNormal"/>
        <w:tblW w:w="4999"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
      <w:tblGrid>
        <w:gridCol w:w="2052"/>
        <w:gridCol w:w="6284"/>
      </w:tblGrid>
      <w:tr>
        <w:tblPrEx>
          <w:tblW w:w="4999"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Ex>
        <w:trPr>
          <w:trHeight w:val="12905"/>
        </w:trPr>
        <w:tc>
          <w:tcPr>
            <w:tcW w:w="1231" w:type="pct"/>
            <w:noWrap w:val="0"/>
            <w:tcMar>
              <w:top w:w="16" w:type="dxa"/>
              <w:left w:w="16" w:type="dxa"/>
              <w:right w:w="16" w:type="dxa"/>
            </w:tcMar>
            <w:vAlign w:val="center"/>
          </w:tcPr>
          <w:p/>
        </w:tc>
        <w:tc>
          <w:tcPr>
            <w:tcW w:w="3768" w:type="pct"/>
            <w:noWrap w:val="0"/>
            <w:tcMar>
              <w:top w:w="16" w:type="dxa"/>
              <w:left w:w="16" w:type="dxa"/>
              <w:right w:w="16" w:type="dxa"/>
            </w:tcMar>
            <w:vAlign w:val="center"/>
          </w:tcPr>
          <w:tbl>
            <w:tblPr>
              <w:tblStyle w:val="TableGrid3"/>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6"/>
              <w:gridCol w:w="780"/>
              <w:gridCol w:w="2222"/>
              <w:gridCol w:w="1752"/>
              <w:gridCol w:w="682"/>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46" w:type="pct"/>
                  <w:noWrap w:val="0"/>
                  <w:vAlign w:val="center"/>
                </w:tcPr>
                <w:p/>
              </w:tc>
              <w:tc>
                <w:tcPr>
                  <w:tcW w:w="625" w:type="pct"/>
                  <w:noWrap w:val="0"/>
                  <w:vAlign w:val="center"/>
                </w:tcPr>
                <w:p/>
              </w:tc>
              <w:tc>
                <w:tcPr>
                  <w:tcW w:w="1779" w:type="pct"/>
                  <w:noWrap w:val="0"/>
                  <w:vAlign w:val="center"/>
                </w:tcPr>
                <w:p/>
              </w:tc>
              <w:tc>
                <w:tcPr>
                  <w:tcW w:w="1402" w:type="pct"/>
                  <w:noWrap w:val="0"/>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0" w:leftChars="0" w:rightChars="0" w:firstLineChars="0"/>
                    <w:jc w:val="left"/>
                    <w:textAlignment w:val="auto"/>
                    <w:rPr>
                      <w:rFonts w:hint="default"/>
                      <w:b w:val="0"/>
                      <w:bCs w:val="0"/>
                      <w:i w:val="0"/>
                      <w:iCs w:val="0"/>
                      <w:caps w:val="0"/>
                      <w:color w:val="auto"/>
                      <w:spacing w:val="0"/>
                      <w:szCs w:val="21"/>
                      <w:shd w:val="clear" w:color="auto" w:fill="FFFFFF"/>
                      <w:vertAlign w:val="baseline"/>
                    </w:rPr>
                  </w:pPr>
                  <w:r>
                    <w:rPr>
                      <w:rFonts w:ascii="Times New Roman" w:eastAsia="宋体" w:hAnsi="Times New Roman" w:cs="Times New Roman" w:hint="eastAsia"/>
                      <w:b w:val="0"/>
                      <w:bCs w:val="0"/>
                      <w:i w:val="0"/>
                      <w:iCs w:val="0"/>
                      <w:caps w:val="0"/>
                      <w:color w:val="auto"/>
                      <w:spacing w:val="0"/>
                      <w:kern w:val="2"/>
                      <w:sz w:val="21"/>
                      <w:szCs w:val="21"/>
                      <w:shd w:val="clear" w:color="auto" w:fill="FFFFFF"/>
                      <w:vertAlign w:val="baseline"/>
                      <w:lang w:val="en-US" w:eastAsia="zh-CN" w:bidi="ar-SA"/>
                    </w:rPr>
                    <w:t>项目建设过程中和建成后不会对周边生态环境造成较大影响</w:t>
                  </w:r>
                  <w:r>
                    <w:rPr>
                      <w:rFonts w:cs="Times New Roman" w:hint="eastAsia"/>
                      <w:b w:val="0"/>
                      <w:bCs w:val="0"/>
                      <w:i w:val="0"/>
                      <w:iCs w:val="0"/>
                      <w:caps w:val="0"/>
                      <w:color w:val="auto"/>
                      <w:spacing w:val="0"/>
                      <w:kern w:val="2"/>
                      <w:sz w:val="21"/>
                      <w:szCs w:val="21"/>
                      <w:shd w:val="clear" w:color="auto" w:fill="FFFFFF"/>
                      <w:vertAlign w:val="baseline"/>
                      <w:lang w:val="en-US" w:eastAsia="zh-CN" w:bidi="ar-SA"/>
                    </w:rPr>
                    <w:t>。</w:t>
                  </w:r>
                </w:p>
              </w:tc>
              <w:tc>
                <w:tcPr>
                  <w:tcW w:w="546" w:type="pct"/>
                  <w:noWrap w:val="0"/>
                  <w:vAlign w:val="center"/>
                </w:tcPr>
                <w:p/>
              </w:tc>
            </w:tr>
            <w:tr>
              <w:tblPrEx>
                <w:tblW w:w="5000" w:type="pct"/>
                <w:tblInd w:w="0" w:type="dxa"/>
                <w:tblLayout w:type="fixed"/>
                <w:tblCellMar>
                  <w:top w:w="0" w:type="dxa"/>
                  <w:left w:w="108" w:type="dxa"/>
                  <w:bottom w:w="0" w:type="dxa"/>
                  <w:right w:w="108" w:type="dxa"/>
                </w:tblCellMar>
              </w:tblPrEx>
              <w:tc>
                <w:tcPr>
                  <w:tcW w:w="646"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right="0" w:firstLine="0" w:leftChars="0" w:rightChars="0" w:firstLineChars="0"/>
                    <w:jc w:val="left"/>
                    <w:textAlignment w:val="auto"/>
                    <w:rPr>
                      <w:rFonts w:hint="default"/>
                      <w:color w:val="auto"/>
                      <w:szCs w:val="21"/>
                      <w:vertAlign w:val="baseline"/>
                    </w:rPr>
                  </w:pPr>
                  <w:r>
                    <w:rPr>
                      <w:rFonts w:ascii="Times New Roman" w:eastAsia="宋体" w:hAnsi="Times New Roman" w:cs="Times New Roman" w:hint="default"/>
                      <w:color w:val="auto"/>
                      <w:sz w:val="21"/>
                      <w:szCs w:val="21"/>
                      <w:vertAlign w:val="baseline"/>
                      <w:lang w:val="en-US" w:eastAsia="zh-CN"/>
                    </w:rPr>
                    <w:t>ZH46020510006</w:t>
                  </w:r>
                </w:p>
              </w:tc>
              <w:tc>
                <w:tcPr>
                  <w:tcW w:w="625"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right="0" w:firstLine="0" w:leftChars="0" w:rightChars="0" w:firstLineChars="0"/>
                    <w:jc w:val="left"/>
                    <w:textAlignment w:val="auto"/>
                    <w:rPr>
                      <w:rFonts w:hint="default"/>
                      <w:color w:val="auto"/>
                      <w:szCs w:val="21"/>
                      <w:vertAlign w:val="baseline"/>
                    </w:rPr>
                  </w:pPr>
                  <w:r>
                    <w:rPr>
                      <w:rFonts w:ascii="Times New Roman" w:eastAsia="宋体" w:hAnsi="Times New Roman" w:cs="Times New Roman" w:hint="default"/>
                      <w:color w:val="auto"/>
                      <w:sz w:val="21"/>
                      <w:szCs w:val="21"/>
                      <w:vertAlign w:val="baseline"/>
                      <w:lang w:val="en-US" w:eastAsia="zh-CN"/>
                    </w:rPr>
                    <w:t xml:space="preserve">优先保护 </w:t>
                  </w:r>
                </w:p>
              </w:tc>
              <w:tc>
                <w:tcPr>
                  <w:tcW w:w="1779"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right="0" w:firstLine="0" w:leftChars="0" w:rightChars="0" w:firstLineChars="0"/>
                    <w:jc w:val="left"/>
                    <w:textAlignment w:val="auto"/>
                    <w:rPr>
                      <w:rFonts w:hint="default"/>
                      <w:color w:val="auto"/>
                      <w:szCs w:val="21"/>
                      <w:vertAlign w:val="baseline"/>
                    </w:rPr>
                  </w:pPr>
                  <w:r>
                    <w:rPr>
                      <w:rFonts w:ascii="Times New Roman" w:eastAsia="宋体" w:hAnsi="Times New Roman" w:cs="Times New Roman" w:hint="default"/>
                      <w:color w:val="auto"/>
                      <w:sz w:val="21"/>
                      <w:szCs w:val="21"/>
                      <w:vertAlign w:val="baseline"/>
                      <w:lang w:val="en-US" w:eastAsia="zh-CN"/>
                    </w:rPr>
                    <w:t>执行生态空间</w:t>
                  </w:r>
                  <w:r>
                    <w:rPr>
                      <w:rFonts w:cs="Times New Roman" w:hint="eastAsia"/>
                      <w:color w:val="auto"/>
                      <w:sz w:val="21"/>
                      <w:szCs w:val="21"/>
                      <w:vertAlign w:val="baseline"/>
                      <w:lang w:val="en-US" w:eastAsia="zh-CN"/>
                    </w:rPr>
                    <w:t>（</w:t>
                  </w:r>
                  <w:r>
                    <w:rPr>
                      <w:rFonts w:ascii="Times New Roman" w:eastAsia="宋体" w:hAnsi="Times New Roman" w:cs="Times New Roman" w:hint="default"/>
                      <w:color w:val="auto"/>
                      <w:sz w:val="21"/>
                      <w:szCs w:val="21"/>
                      <w:vertAlign w:val="baseline"/>
                      <w:lang w:val="en-US" w:eastAsia="zh-CN"/>
                    </w:rPr>
                    <w:t>陆域生态保护红线、海岸带自然岸段、一般生态空间、海岸防护</w:t>
                  </w:r>
                  <w:r>
                    <w:rPr>
                      <w:rFonts w:cs="Times New Roman" w:hint="eastAsia"/>
                      <w:color w:val="auto"/>
                      <w:sz w:val="21"/>
                      <w:szCs w:val="21"/>
                      <w:vertAlign w:val="baseline"/>
                      <w:lang w:val="en-US" w:eastAsia="zh-CN"/>
                    </w:rPr>
                    <w:t>）</w:t>
                  </w:r>
                  <w:r>
                    <w:rPr>
                      <w:rFonts w:ascii="Times New Roman" w:eastAsia="宋体" w:hAnsi="Times New Roman" w:cs="Times New Roman" w:hint="default"/>
                      <w:color w:val="auto"/>
                      <w:sz w:val="21"/>
                      <w:szCs w:val="21"/>
                      <w:vertAlign w:val="baseline"/>
                      <w:lang w:val="en-US" w:eastAsia="zh-CN"/>
                    </w:rPr>
                    <w:t>普适性管控要求。</w:t>
                  </w:r>
                </w:p>
              </w:tc>
              <w:tc>
                <w:tcPr>
                  <w:tcW w:w="14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right="0" w:firstLine="0" w:leftChars="0" w:rightChars="0" w:firstLineChars="0"/>
                    <w:jc w:val="left"/>
                    <w:textAlignment w:val="auto"/>
                    <w:rPr>
                      <w:rFonts w:hint="default"/>
                      <w:b w:val="0"/>
                      <w:bCs w:val="0"/>
                      <w:i w:val="0"/>
                      <w:iCs w:val="0"/>
                      <w:caps w:val="0"/>
                      <w:color w:val="auto"/>
                      <w:spacing w:val="0"/>
                      <w:szCs w:val="21"/>
                      <w:shd w:val="clear" w:color="auto" w:fill="FFFFFF"/>
                      <w:vertAlign w:val="baseline"/>
                    </w:rPr>
                  </w:pPr>
                  <w:r>
                    <w:rPr>
                      <w:rFonts w:ascii="Times New Roman" w:eastAsia="宋体" w:hAnsi="Times New Roman" w:cs="Times New Roman" w:hint="default"/>
                      <w:b w:val="0"/>
                      <w:bCs w:val="0"/>
                      <w:i w:val="0"/>
                      <w:iCs w:val="0"/>
                      <w:caps w:val="0"/>
                      <w:color w:val="auto"/>
                      <w:spacing w:val="0"/>
                      <w:kern w:val="2"/>
                      <w:sz w:val="21"/>
                      <w:szCs w:val="21"/>
                      <w:shd w:val="clear" w:color="auto" w:fill="FFFFFF"/>
                      <w:vertAlign w:val="baseline"/>
                      <w:lang w:val="en-US" w:eastAsia="zh-CN" w:bidi="ar-SA"/>
                    </w:rPr>
                    <w:t>本项目用地性质为旅游点建设用地，不</w:t>
                  </w:r>
                  <w:r>
                    <w:rPr>
                      <w:rFonts w:cs="Times New Roman" w:hint="eastAsia"/>
                      <w:b w:val="0"/>
                      <w:bCs w:val="0"/>
                      <w:i w:val="0"/>
                      <w:iCs w:val="0"/>
                      <w:caps w:val="0"/>
                      <w:color w:val="auto"/>
                      <w:spacing w:val="0"/>
                      <w:kern w:val="2"/>
                      <w:sz w:val="21"/>
                      <w:szCs w:val="21"/>
                      <w:shd w:val="clear" w:color="auto" w:fill="FFFFFF"/>
                      <w:vertAlign w:val="baseline"/>
                      <w:lang w:val="en-US" w:eastAsia="zh-CN" w:bidi="ar-SA"/>
                    </w:rPr>
                    <w:t>占用</w:t>
                  </w:r>
                  <w:r>
                    <w:rPr>
                      <w:rFonts w:ascii="Times New Roman" w:eastAsia="宋体" w:hAnsi="Times New Roman" w:cs="Times New Roman" w:hint="default"/>
                      <w:b w:val="0"/>
                      <w:bCs w:val="0"/>
                      <w:i w:val="0"/>
                      <w:iCs w:val="0"/>
                      <w:caps w:val="0"/>
                      <w:color w:val="auto"/>
                      <w:spacing w:val="0"/>
                      <w:kern w:val="2"/>
                      <w:sz w:val="21"/>
                      <w:szCs w:val="21"/>
                      <w:shd w:val="clear" w:color="auto" w:fill="FFFFFF"/>
                      <w:vertAlign w:val="baseline"/>
                      <w:lang w:val="en-US" w:eastAsia="zh-CN" w:bidi="ar-SA"/>
                    </w:rPr>
                    <w:t>生态保护红线。本项目新建的建筑物距离最高潮位线超过200米。不在自最高潮位线起向陆地延伸100m至200m的范围内；不会改变海岛海岸带地形地貌，不砍伐海岛植被和破坏海岛周边海域的红树林等相关生态系统稳定性项目建设过程中和建成后不会对周边生态环境造成较大影响。</w:t>
                  </w:r>
                </w:p>
              </w:tc>
              <w:tc>
                <w:tcPr>
                  <w:tcW w:w="546"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right="0" w:firstLine="0" w:leftChars="0" w:rightChars="0" w:firstLineChars="0"/>
                    <w:jc w:val="left"/>
                    <w:textAlignment w:val="auto"/>
                    <w:rPr>
                      <w:rFonts w:hint="default"/>
                      <w:color w:val="auto"/>
                      <w:szCs w:val="21"/>
                      <w:vertAlign w:val="baseline"/>
                    </w:rPr>
                  </w:pPr>
                  <w:r>
                    <w:rPr>
                      <w:rFonts w:ascii="Times New Roman" w:eastAsia="宋体" w:hAnsi="Times New Roman" w:cs="Times New Roman" w:hint="eastAsia"/>
                      <w:color w:val="auto"/>
                      <w:sz w:val="21"/>
                      <w:szCs w:val="21"/>
                      <w:vertAlign w:val="baseline"/>
                      <w:lang w:val="en-US" w:eastAsia="zh-CN"/>
                    </w:rPr>
                    <w:t>符合</w:t>
                  </w:r>
                </w:p>
              </w:tc>
            </w:tr>
          </w:tbl>
          <w:p>
            <w:pPr>
              <w:spacing w:line="360" w:lineRule="auto"/>
              <w:ind w:firstLine="420" w:firstLineChars="200"/>
              <w:rPr>
                <w:rFonts w:hint="default"/>
                <w:color w:val="auto"/>
                <w:kern w:val="0"/>
                <w:szCs w:val="21"/>
              </w:rPr>
            </w:pPr>
            <w:r>
              <w:rPr>
                <w:rFonts w:hint="eastAsia"/>
                <w:color w:val="auto"/>
                <w:kern w:val="0"/>
                <w:sz w:val="21"/>
                <w:szCs w:val="21"/>
                <w:lang w:eastAsia="zh-CN"/>
              </w:rPr>
              <w:t>（</w:t>
            </w:r>
            <w:r>
              <w:rPr>
                <w:rFonts w:hint="eastAsia"/>
                <w:color w:val="auto"/>
                <w:kern w:val="0"/>
                <w:sz w:val="21"/>
                <w:szCs w:val="21"/>
                <w:lang w:val="en-US" w:eastAsia="zh-CN"/>
              </w:rPr>
              <w:t>7</w:t>
            </w:r>
            <w:r>
              <w:rPr>
                <w:rFonts w:hint="eastAsia"/>
                <w:color w:val="auto"/>
                <w:kern w:val="0"/>
                <w:sz w:val="21"/>
                <w:szCs w:val="21"/>
                <w:lang w:eastAsia="zh-CN"/>
              </w:rPr>
              <w:t>）</w:t>
            </w:r>
            <w:r>
              <w:rPr>
                <w:rFonts w:hint="eastAsia"/>
                <w:color w:val="auto"/>
                <w:kern w:val="0"/>
                <w:sz w:val="21"/>
                <w:szCs w:val="21"/>
                <w:lang w:val="en-US" w:eastAsia="zh-CN"/>
              </w:rPr>
              <w:t>与产业政策相符性分析</w:t>
            </w:r>
          </w:p>
          <w:p>
            <w:pPr>
              <w:autoSpaceDE w:val="0"/>
              <w:autoSpaceDN w:val="0"/>
              <w:spacing w:line="360" w:lineRule="auto"/>
              <w:ind w:firstLine="420" w:firstLineChars="200"/>
              <w:rPr>
                <w:rFonts w:hint="eastAsia"/>
                <w:color w:val="auto"/>
                <w:kern w:val="0"/>
                <w:szCs w:val="21"/>
              </w:rPr>
            </w:pPr>
            <w:r>
              <w:rPr>
                <w:rFonts w:ascii="Times New Roman" w:eastAsia="宋体" w:hAnsi="Times New Roman" w:cs="Times New Roman" w:hint="default"/>
                <w:color w:val="auto"/>
                <w:kern w:val="0"/>
                <w:sz w:val="21"/>
                <w:szCs w:val="21"/>
                <w:lang w:val="en-US" w:eastAsia="zh-CN"/>
              </w:rPr>
              <w:t>本项目为</w:t>
            </w:r>
            <w:r>
              <w:rPr>
                <w:rFonts w:ascii="Times New Roman" w:hAnsi="Times New Roman" w:cs="Times New Roman" w:hint="eastAsia"/>
                <w:color w:val="auto"/>
                <w:kern w:val="0"/>
                <w:sz w:val="21"/>
                <w:szCs w:val="21"/>
                <w:lang w:val="en-US" w:eastAsia="zh-CN"/>
              </w:rPr>
              <w:t>景区房车营地管理中心建设</w:t>
            </w:r>
            <w:r>
              <w:rPr>
                <w:rFonts w:ascii="Times New Roman" w:eastAsia="宋体" w:hAnsi="Times New Roman" w:cs="Times New Roman" w:hint="default"/>
                <w:color w:val="auto"/>
                <w:kern w:val="0"/>
                <w:sz w:val="21"/>
                <w:szCs w:val="21"/>
                <w:lang w:val="en-US" w:eastAsia="zh-CN"/>
              </w:rPr>
              <w:t>项目</w:t>
            </w:r>
            <w:r>
              <w:rPr>
                <w:rFonts w:ascii="Times New Roman" w:eastAsia="宋体" w:hAnsi="Times New Roman" w:cs="Times New Roman" w:hint="eastAsia"/>
                <w:color w:val="auto"/>
                <w:kern w:val="0"/>
                <w:sz w:val="21"/>
                <w:szCs w:val="21"/>
                <w:lang w:val="en-US" w:eastAsia="zh-CN"/>
              </w:rPr>
              <w:t>，建设内容</w:t>
            </w:r>
            <w:r>
              <w:rPr>
                <w:rFonts w:cs="Times New Roman" w:hint="eastAsia"/>
                <w:color w:val="auto"/>
                <w:kern w:val="0"/>
                <w:sz w:val="21"/>
                <w:szCs w:val="21"/>
                <w:lang w:val="en-US" w:eastAsia="zh-CN"/>
              </w:rPr>
              <w:t>包括</w:t>
            </w:r>
            <w:r>
              <w:rPr>
                <w:rFonts w:ascii="Times New Roman" w:eastAsia="宋体" w:hAnsi="Times New Roman" w:cs="Times New Roman" w:hint="eastAsia"/>
                <w:color w:val="auto"/>
                <w:kern w:val="0"/>
                <w:sz w:val="21"/>
                <w:szCs w:val="21"/>
                <w:lang w:val="en-US" w:eastAsia="zh-CN"/>
              </w:rPr>
              <w:t>管理中心</w:t>
            </w:r>
            <w:r>
              <w:rPr>
                <w:rFonts w:cs="Times New Roman" w:hint="eastAsia"/>
                <w:color w:val="auto"/>
                <w:kern w:val="0"/>
                <w:sz w:val="21"/>
                <w:szCs w:val="21"/>
                <w:lang w:val="en-US" w:eastAsia="zh-CN"/>
              </w:rPr>
              <w:t>（办公楼）</w:t>
            </w:r>
            <w:r>
              <w:rPr>
                <w:rFonts w:ascii="Times New Roman" w:eastAsia="宋体" w:hAnsi="Times New Roman" w:cs="Times New Roman" w:hint="eastAsia"/>
                <w:color w:val="auto"/>
                <w:kern w:val="0"/>
                <w:sz w:val="21"/>
                <w:szCs w:val="21"/>
                <w:lang w:val="en-US" w:eastAsia="zh-CN"/>
              </w:rPr>
              <w:t>、房车宿营区、生活休闲区</w:t>
            </w:r>
            <w:r>
              <w:rPr>
                <w:rFonts w:ascii="Times New Roman" w:eastAsia="宋体" w:hAnsi="Times New Roman" w:cs="Times New Roman" w:hint="default"/>
                <w:color w:val="auto"/>
                <w:kern w:val="0"/>
                <w:sz w:val="21"/>
                <w:szCs w:val="21"/>
                <w:lang w:val="en-US" w:eastAsia="zh-CN"/>
              </w:rPr>
              <w:t>，属于国家《产业结构调整指导目录</w:t>
            </w:r>
            <w:r>
              <w:rPr>
                <w:rFonts w:cs="Times New Roman" w:hint="eastAsia"/>
                <w:color w:val="auto"/>
                <w:kern w:val="0"/>
                <w:sz w:val="21"/>
                <w:szCs w:val="21"/>
                <w:lang w:val="en-US" w:eastAsia="zh-CN"/>
              </w:rPr>
              <w:t>（</w:t>
            </w:r>
            <w:r>
              <w:rPr>
                <w:rFonts w:ascii="Times New Roman" w:eastAsia="宋体" w:hAnsi="Times New Roman" w:cs="Times New Roman" w:hint="default"/>
                <w:color w:val="auto"/>
                <w:kern w:val="0"/>
                <w:sz w:val="21"/>
                <w:szCs w:val="21"/>
                <w:lang w:val="en-US" w:eastAsia="zh-CN"/>
              </w:rPr>
              <w:t>2019 年本</w:t>
            </w:r>
            <w:r>
              <w:rPr>
                <w:rFonts w:cs="Times New Roman" w:hint="eastAsia"/>
                <w:color w:val="auto"/>
                <w:kern w:val="0"/>
                <w:sz w:val="21"/>
                <w:szCs w:val="21"/>
                <w:lang w:val="en-US" w:eastAsia="zh-CN"/>
              </w:rPr>
              <w:t>）</w:t>
            </w:r>
            <w:r>
              <w:rPr>
                <w:rFonts w:ascii="Times New Roman" w:eastAsia="宋体" w:hAnsi="Times New Roman" w:cs="Times New Roman" w:hint="default"/>
                <w:color w:val="auto"/>
                <w:kern w:val="0"/>
                <w:sz w:val="21"/>
                <w:szCs w:val="21"/>
                <w:lang w:val="en-US" w:eastAsia="zh-CN"/>
              </w:rPr>
              <w:t>》中第一类鼓励类的建设项目</w:t>
            </w:r>
            <w:r>
              <w:rPr>
                <w:rFonts w:cs="Times New Roman" w:hint="eastAsia"/>
                <w:color w:val="auto"/>
                <w:kern w:val="0"/>
                <w:sz w:val="21"/>
                <w:szCs w:val="21"/>
                <w:lang w:val="en-US" w:eastAsia="zh-CN"/>
              </w:rPr>
              <w:t>（</w:t>
            </w:r>
            <w:r>
              <w:rPr>
                <w:rFonts w:ascii="Times New Roman" w:eastAsia="宋体" w:hAnsi="Times New Roman" w:cs="Times New Roman" w:hint="eastAsia"/>
                <w:color w:val="auto"/>
                <w:kern w:val="0"/>
                <w:sz w:val="21"/>
                <w:szCs w:val="21"/>
                <w:lang w:val="en-US" w:eastAsia="zh-CN"/>
              </w:rPr>
              <w:t>三</w:t>
            </w:r>
            <w:r>
              <w:rPr>
                <w:rFonts w:ascii="Times New Roman" w:eastAsia="宋体" w:hAnsi="Times New Roman" w:cs="Times New Roman" w:hint="default"/>
                <w:color w:val="auto"/>
                <w:kern w:val="0"/>
                <w:sz w:val="21"/>
                <w:szCs w:val="21"/>
                <w:lang w:val="en-US" w:eastAsia="zh-CN"/>
              </w:rPr>
              <w:t>十</w:t>
            </w:r>
            <w:r>
              <w:rPr>
                <w:rFonts w:ascii="Times New Roman" w:hAnsi="Times New Roman" w:cs="Times New Roman" w:hint="eastAsia"/>
                <w:color w:val="auto"/>
                <w:kern w:val="0"/>
                <w:sz w:val="21"/>
                <w:szCs w:val="21"/>
                <w:lang w:val="en-US" w:eastAsia="zh-CN"/>
              </w:rPr>
              <w:t>四、旅游业</w:t>
            </w:r>
            <w:r>
              <w:rPr>
                <w:rFonts w:ascii="Times New Roman" w:eastAsia="宋体" w:hAnsi="Times New Roman" w:cs="Times New Roman" w:hint="default"/>
                <w:color w:val="auto"/>
                <w:kern w:val="0"/>
                <w:sz w:val="21"/>
                <w:szCs w:val="21"/>
                <w:lang w:val="en-US" w:eastAsia="zh-CN"/>
              </w:rPr>
              <w:t>中的2、基础设施建设</w:t>
            </w:r>
            <w:r>
              <w:rPr>
                <w:rFonts w:cs="Times New Roman" w:hint="eastAsia"/>
                <w:color w:val="auto"/>
                <w:kern w:val="0"/>
                <w:sz w:val="21"/>
                <w:szCs w:val="21"/>
                <w:lang w:val="en-US" w:eastAsia="zh-CN"/>
              </w:rPr>
              <w:t>）</w:t>
            </w:r>
            <w:r>
              <w:rPr>
                <w:rFonts w:ascii="Times New Roman" w:hAnsi="Times New Roman" w:cs="Times New Roman" w:hint="eastAsia"/>
                <w:color w:val="auto"/>
                <w:kern w:val="0"/>
                <w:sz w:val="21"/>
                <w:szCs w:val="21"/>
                <w:lang w:val="en-US" w:eastAsia="zh-CN"/>
              </w:rPr>
              <w:t>，</w:t>
            </w:r>
            <w:r>
              <w:rPr>
                <w:rFonts w:ascii="Times New Roman" w:eastAsia="宋体" w:hAnsi="Times New Roman" w:cs="Times New Roman" w:hint="default"/>
                <w:color w:val="auto"/>
                <w:kern w:val="0"/>
                <w:sz w:val="21"/>
                <w:szCs w:val="21"/>
                <w:lang w:val="en-US" w:eastAsia="zh-CN"/>
              </w:rPr>
              <w:t>由此本项目建设符合国家产业政策</w:t>
            </w:r>
            <w:r>
              <w:rPr>
                <w:rFonts w:ascii="Times New Roman" w:hAnsi="Times New Roman" w:cs="Times New Roman" w:hint="eastAsia"/>
                <w:color w:val="auto"/>
                <w:kern w:val="0"/>
                <w:sz w:val="21"/>
                <w:szCs w:val="21"/>
                <w:lang w:val="en-US" w:eastAsia="zh-CN"/>
              </w:rPr>
              <w:t>。</w:t>
            </w:r>
          </w:p>
          <w:p>
            <w:pPr>
              <w:spacing w:line="360" w:lineRule="auto"/>
              <w:ind w:firstLine="420" w:firstLineChars="200"/>
              <w:rPr>
                <w:rFonts w:hint="eastAsia"/>
                <w:color w:val="auto"/>
                <w:szCs w:val="21"/>
              </w:rPr>
            </w:pPr>
            <w:r>
              <w:rPr>
                <w:rFonts w:hint="eastAsia"/>
                <w:color w:val="auto"/>
                <w:kern w:val="0"/>
                <w:sz w:val="21"/>
                <w:szCs w:val="21"/>
                <w:lang w:eastAsia="zh-CN"/>
              </w:rPr>
              <w:t>（</w:t>
            </w:r>
            <w:r>
              <w:rPr>
                <w:rFonts w:hint="eastAsia"/>
                <w:color w:val="auto"/>
                <w:kern w:val="0"/>
                <w:sz w:val="21"/>
                <w:szCs w:val="21"/>
                <w:lang w:val="en-US" w:eastAsia="zh-CN"/>
              </w:rPr>
              <w:t>8</w:t>
            </w:r>
            <w:r>
              <w:rPr>
                <w:rFonts w:hint="eastAsia"/>
                <w:color w:val="auto"/>
                <w:kern w:val="0"/>
                <w:sz w:val="21"/>
                <w:szCs w:val="21"/>
                <w:lang w:eastAsia="zh-CN"/>
              </w:rPr>
              <w:t>）</w:t>
            </w:r>
            <w:r>
              <w:rPr>
                <w:rFonts w:hint="eastAsia"/>
                <w:color w:val="auto"/>
                <w:kern w:val="0"/>
                <w:sz w:val="21"/>
                <w:szCs w:val="21"/>
                <w:lang w:val="en-US" w:eastAsia="zh-CN"/>
              </w:rPr>
              <w:t>与</w:t>
            </w:r>
            <w:r>
              <w:rPr>
                <w:rFonts w:ascii="Times New Roman" w:eastAsia="宋体" w:hAnsi="Times New Roman" w:cs="Times New Roman" w:hint="eastAsia"/>
                <w:color w:val="auto"/>
                <w:sz w:val="21"/>
                <w:szCs w:val="21"/>
                <w:lang w:val="en-US" w:eastAsia="zh-CN"/>
              </w:rPr>
              <w:t>《风景名胜区管理条例》的相符性分析</w:t>
            </w:r>
          </w:p>
          <w:p>
            <w:pPr>
              <w:spacing w:line="360" w:lineRule="auto"/>
              <w:ind w:firstLine="420" w:firstLineChars="200"/>
              <w:rPr>
                <w:rFonts w:hint="eastAsia"/>
                <w:color w:val="auto"/>
                <w:szCs w:val="21"/>
              </w:rPr>
            </w:pPr>
            <w:r>
              <w:rPr>
                <w:rFonts w:hint="eastAsia"/>
                <w:color w:val="auto"/>
                <w:kern w:val="0"/>
                <w:sz w:val="21"/>
                <w:szCs w:val="21"/>
                <w:lang w:val="en-US" w:eastAsia="zh-CN"/>
              </w:rPr>
              <w:t>根据</w:t>
            </w:r>
            <w:r>
              <w:rPr>
                <w:rFonts w:ascii="Times New Roman" w:eastAsia="宋体" w:hAnsi="Times New Roman" w:cs="Times New Roman" w:hint="eastAsia"/>
                <w:color w:val="auto"/>
                <w:sz w:val="21"/>
                <w:szCs w:val="21"/>
                <w:lang w:val="en-US" w:eastAsia="zh-CN"/>
              </w:rPr>
              <w:t>《风景名胜区管理条例》第二十六条  在风景名胜区内禁止进行下列活动：a开山、采石、开矿、开荒、修坟立碑等破坏景观、植被和地形地貌的活动；b修建储存爆炸性、易燃性、放射性、毒害性、腐蚀性物品的设施；c在景物或者设施上刻划、涂污；d乱扔垃圾。</w:t>
            </w:r>
          </w:p>
          <w:p>
            <w:pPr>
              <w:spacing w:line="360" w:lineRule="auto"/>
              <w:ind w:firstLine="420" w:firstLineChars="200"/>
              <w:rPr>
                <w:rFonts w:hint="eastAsia"/>
                <w:color w:val="auto"/>
                <w:szCs w:val="21"/>
              </w:rPr>
            </w:pPr>
            <w:r>
              <w:rPr>
                <w:rFonts w:ascii="Times New Roman" w:eastAsia="宋体" w:hAnsi="Times New Roman" w:cs="Times New Roman" w:hint="eastAsia"/>
                <w:color w:val="auto"/>
                <w:sz w:val="21"/>
                <w:szCs w:val="21"/>
                <w:lang w:val="en-US" w:eastAsia="zh-CN"/>
              </w:rPr>
              <w:t>第二十七条　禁止违反风景名胜区规划，在风景名胜区内设立各类开发区和在核心景区内建设宾馆、招待所、培训中心、疗养院以及与风景名胜资源保护无关的其他建筑物；已经建设的，应当按照风景名胜区规划，逐步迁出。</w:t>
            </w:r>
          </w:p>
          <w:p>
            <w:pPr>
              <w:spacing w:after="0" w:line="360" w:lineRule="auto"/>
              <w:ind w:firstLine="420" w:firstLineChars="200"/>
              <w:rPr>
                <w:rFonts w:hint="eastAsia"/>
                <w:color w:val="auto"/>
                <w:szCs w:val="21"/>
              </w:rPr>
            </w:pPr>
          </w:p>
        </w:tc>
      </w:tr>
    </w:tbl>
    <w:p>
      <w:pPr>
        <w:sectPr>
          <w:footerReference w:type="even" r:id="rId21"/>
          <w:footerReference w:type="default" r:id="rId22"/>
          <w:type w:val="nextPage"/>
          <w:pgSz w:w="11906" w:h="16838"/>
          <w:pgMar w:top="1440" w:right="1800" w:bottom="1440" w:left="1800" w:header="851" w:footer="1077" w:gutter="0"/>
          <w:pgNumType w:fmt="decimal" w:start="7"/>
          <w:cols w:num="1" w:space="720"/>
          <w:titlePg w:val="0"/>
          <w:docGrid w:linePitch="312" w:charSpace="0"/>
        </w:sectPr>
      </w:pPr>
    </w:p>
    <w:tbl>
      <w:tblPr>
        <w:tblStyle w:val="TableNormal"/>
        <w:tblW w:w="4999"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
      <w:tblGrid>
        <w:gridCol w:w="2052"/>
        <w:gridCol w:w="6284"/>
      </w:tblGrid>
      <w:tr>
        <w:tblPrEx>
          <w:tblW w:w="4999" w:type="pct"/>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Ex>
        <w:trPr>
          <w:trHeight w:val="12905"/>
        </w:trPr>
        <w:tc>
          <w:tcPr>
            <w:tcW w:w="1231" w:type="pct"/>
            <w:noWrap w:val="0"/>
            <w:tcMar>
              <w:top w:w="16" w:type="dxa"/>
              <w:left w:w="16" w:type="dxa"/>
              <w:right w:w="16" w:type="dxa"/>
            </w:tcMar>
            <w:vAlign w:val="center"/>
          </w:tcPr>
          <w:p/>
        </w:tc>
        <w:tc>
          <w:tcPr>
            <w:tcW w:w="3768" w:type="pct"/>
            <w:noWrap w:val="0"/>
            <w:tcMar>
              <w:top w:w="16" w:type="dxa"/>
              <w:left w:w="16" w:type="dxa"/>
              <w:right w:w="16" w:type="dxa"/>
            </w:tcMar>
            <w:vAlign w:val="center"/>
          </w:tcPr>
          <w:p>
            <w:pPr>
              <w:spacing w:before="0" w:line="360" w:lineRule="auto"/>
              <w:ind w:firstLine="420" w:firstLineChars="200"/>
              <w:rPr>
                <w:rFonts w:hint="eastAsia"/>
                <w:color w:val="auto"/>
                <w:szCs w:val="21"/>
              </w:rPr>
            </w:pPr>
            <w:r>
              <w:rPr>
                <w:rFonts w:ascii="Times New Roman" w:eastAsia="宋体" w:hAnsi="Times New Roman" w:cs="Times New Roman" w:hint="eastAsia"/>
                <w:color w:val="auto"/>
                <w:sz w:val="21"/>
                <w:szCs w:val="21"/>
                <w:lang w:val="en-US" w:eastAsia="zh-CN"/>
              </w:rPr>
              <w:t>第二十八条　在风景名胜区内从事本条例第二十六条、第二十七条禁止范围以外的建设活动，应当经风景名胜区管理机构审核后，依照有关法律、法规的规定办理审批手续。</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szCs w:val="21"/>
              </w:rPr>
            </w:pPr>
            <w:r>
              <w:rPr>
                <w:rFonts w:ascii="Times New Roman" w:eastAsia="宋体" w:hAnsi="Times New Roman" w:cs="Times New Roman" w:hint="eastAsia"/>
                <w:color w:val="auto"/>
                <w:sz w:val="21"/>
                <w:szCs w:val="21"/>
                <w:lang w:val="en-US" w:eastAsia="zh-CN"/>
              </w:rPr>
              <w:t>本项目为办公用房，不在风景名胜区内进行开山、采石、取土、弃土，施工期和运营期各类垃圾合理处置，不存在乱扔垃圾的情况。</w:t>
            </w:r>
          </w:p>
          <w:p>
            <w:pPr>
              <w:spacing w:line="360" w:lineRule="auto"/>
              <w:ind w:firstLine="420" w:firstLineChars="200"/>
              <w:rPr>
                <w:rFonts w:hint="default"/>
                <w:color w:val="auto"/>
                <w:szCs w:val="21"/>
              </w:rPr>
            </w:pPr>
            <w:r>
              <w:rPr>
                <w:rFonts w:ascii="Times New Roman" w:eastAsia="宋体" w:hAnsi="Times New Roman" w:cs="Times New Roman" w:hint="eastAsia"/>
                <w:color w:val="auto"/>
                <w:sz w:val="21"/>
                <w:szCs w:val="21"/>
                <w:lang w:val="en-US" w:eastAsia="zh-CN"/>
              </w:rPr>
              <w:t>根据《三亚热带海滨风景名胜区 大小洞天景区详细规划（2021-2030年）》，本项目位于三级保护区（控制建设范围）内，不涉及一级保护区（核心景区—严格禁止建设范围）和二级保护区（严格限制建设范围） 。具体见附图6项目与大小洞天景区核心区的关系。本项目不属于在风景名胜区内设立各类开发区也建设范围也不在核心景区内。因此，本项目属于不在禁止范围以内的建设活动。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kern w:val="0"/>
                <w:szCs w:val="21"/>
              </w:rPr>
            </w:pPr>
          </w:p>
        </w:tc>
      </w:tr>
    </w:tbl>
    <w:p>
      <w:pPr>
        <w:spacing w:line="360" w:lineRule="auto"/>
        <w:outlineLvl w:val="0"/>
        <w:rPr>
          <w:rFonts w:eastAsia="黑体"/>
          <w:color w:val="auto"/>
          <w:sz w:val="30"/>
        </w:rPr>
        <w:sectPr>
          <w:footerReference w:type="even" r:id="rId23"/>
          <w:footerReference w:type="default" r:id="rId24"/>
          <w:type w:val="nextPage"/>
          <w:pgSz w:w="11906" w:h="16838"/>
          <w:pgMar w:top="1440" w:right="1800" w:bottom="1440" w:left="1800" w:header="851" w:footer="1077" w:gutter="0"/>
          <w:pgNumType w:fmt="decimal" w:start="8"/>
          <w:cols w:num="1" w:space="720"/>
          <w:titlePg w:val="0"/>
          <w:docGrid w:linePitch="312" w:charSpace="0"/>
        </w:sectPr>
      </w:pPr>
    </w:p>
    <w:p>
      <w:pPr>
        <w:pStyle w:val="NormalWeb"/>
        <w:jc w:val="center"/>
        <w:outlineLvl w:val="0"/>
        <w:rPr>
          <w:rFonts w:ascii="黑体" w:eastAsia="黑体" w:hAnsi="黑体" w:cs="Times New Roman" w:hint="eastAsia"/>
          <w:snapToGrid w:val="0"/>
          <w:color w:val="auto"/>
          <w:sz w:val="30"/>
          <w:szCs w:val="30"/>
        </w:rPr>
      </w:pPr>
      <w:r>
        <w:rPr>
          <w:rFonts w:ascii="黑体" w:eastAsia="黑体" w:hAnsi="黑体" w:cs="Times New Roman" w:hint="eastAsia"/>
          <w:snapToGrid w:val="0"/>
          <w:color w:val="auto"/>
          <w:sz w:val="30"/>
          <w:szCs w:val="30"/>
        </w:rPr>
        <w:t>二、建设内容</w:t>
      </w:r>
    </w:p>
    <w:tbl>
      <w:tblPr>
        <w:tblStyle w:val="TableNormal"/>
        <w:tblW w:w="4999"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2"/>
        <w:gridCol w:w="8070"/>
      </w:tblGrid>
      <w:tr>
        <w:tblPrEx>
          <w:tblW w:w="4999"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0"/>
          <w:jc w:val="center"/>
        </w:trPr>
        <w:tc>
          <w:tcPr>
            <w:tcW w:w="390" w:type="pct"/>
            <w:noWrap w:val="0"/>
            <w:vAlign w:val="center"/>
          </w:tcPr>
          <w:p>
            <w:pPr>
              <w:adjustRightInd w:val="0"/>
              <w:snapToGrid w:val="0"/>
              <w:spacing w:line="360" w:lineRule="auto"/>
              <w:jc w:val="center"/>
              <w:rPr>
                <w:rFonts w:ascii="宋体" w:hAnsi="宋体" w:cs="宋体"/>
                <w:color w:val="auto"/>
                <w:kern w:val="0"/>
                <w:sz w:val="24"/>
              </w:rPr>
            </w:pPr>
            <w:r>
              <w:rPr>
                <w:rFonts w:ascii="宋体" w:hAnsi="宋体" w:cs="宋体" w:hint="eastAsia"/>
                <w:color w:val="auto"/>
                <w:kern w:val="0"/>
                <w:sz w:val="24"/>
                <w:szCs w:val="24"/>
              </w:rPr>
              <w:t>地理位置</w:t>
            </w:r>
          </w:p>
        </w:tc>
        <w:tc>
          <w:tcPr>
            <w:tcW w:w="4609" w:type="pct"/>
            <w:noWrap w:val="0"/>
            <w:vAlign w:val="center"/>
          </w:tcPr>
          <w:p>
            <w:pPr>
              <w:adjustRightInd w:val="0"/>
              <w:snapToGrid w:val="0"/>
              <w:spacing w:line="360" w:lineRule="auto"/>
              <w:jc w:val="center"/>
              <w:rPr>
                <w:color w:val="auto"/>
                <w:szCs w:val="21"/>
              </w:rPr>
            </w:pPr>
            <w:r>
              <w:rPr>
                <w:color w:val="auto"/>
                <w:sz w:val="21"/>
                <w:szCs w:val="21"/>
              </w:rPr>
              <w:t>本项目位于</w:t>
            </w:r>
            <w:r>
              <w:rPr>
                <w:rFonts w:hint="eastAsia"/>
                <w:color w:val="auto"/>
                <w:sz w:val="21"/>
                <w:szCs w:val="21"/>
              </w:rPr>
              <w:t>三亚市崖州区大小洞天旅游区</w:t>
            </w:r>
          </w:p>
          <w:p>
            <w:pPr>
              <w:adjustRightInd w:val="0"/>
              <w:snapToGrid w:val="0"/>
              <w:spacing w:line="360" w:lineRule="auto"/>
              <w:jc w:val="center"/>
              <w:rPr>
                <w:rFonts w:ascii="宋体" w:hAnsi="宋体" w:cs="宋体"/>
                <w:color w:val="auto"/>
                <w:kern w:val="0"/>
                <w:szCs w:val="21"/>
              </w:rPr>
            </w:pPr>
            <w:r>
              <w:rPr>
                <w:color w:val="auto"/>
                <w:sz w:val="21"/>
                <w:szCs w:val="21"/>
              </w:rPr>
              <w:t>中心地理坐标：E：109°</w:t>
            </w:r>
            <w:r>
              <w:rPr>
                <w:rFonts w:hint="eastAsia"/>
                <w:color w:val="auto"/>
                <w:sz w:val="21"/>
                <w:szCs w:val="21"/>
                <w:lang w:val="en-US" w:eastAsia="zh-CN"/>
              </w:rPr>
              <w:t>09</w:t>
            </w:r>
            <w:r>
              <w:rPr>
                <w:color w:val="auto"/>
                <w:sz w:val="21"/>
                <w:szCs w:val="21"/>
              </w:rPr>
              <w:t>′</w:t>
            </w:r>
            <w:r>
              <w:rPr>
                <w:rFonts w:hint="eastAsia"/>
                <w:color w:val="auto"/>
                <w:sz w:val="21"/>
                <w:szCs w:val="21"/>
                <w:lang w:val="en-US" w:eastAsia="zh-CN"/>
              </w:rPr>
              <w:t>9</w:t>
            </w:r>
            <w:r>
              <w:rPr>
                <w:color w:val="auto"/>
                <w:sz w:val="21"/>
                <w:szCs w:val="21"/>
              </w:rPr>
              <w:t>.</w:t>
            </w:r>
            <w:r>
              <w:rPr>
                <w:rFonts w:hint="eastAsia"/>
                <w:color w:val="auto"/>
                <w:sz w:val="21"/>
                <w:szCs w:val="21"/>
                <w:lang w:val="en-US" w:eastAsia="zh-CN"/>
              </w:rPr>
              <w:t>614</w:t>
            </w:r>
            <w:r>
              <w:rPr>
                <w:color w:val="auto"/>
                <w:sz w:val="21"/>
                <w:szCs w:val="21"/>
              </w:rPr>
              <w:t>″，N：18°</w:t>
            </w:r>
            <w:r>
              <w:rPr>
                <w:rFonts w:hint="eastAsia"/>
                <w:color w:val="auto"/>
                <w:sz w:val="21"/>
                <w:szCs w:val="21"/>
                <w:lang w:val="en-US" w:eastAsia="zh-CN"/>
              </w:rPr>
              <w:t>18</w:t>
            </w:r>
            <w:r>
              <w:rPr>
                <w:color w:val="auto"/>
                <w:sz w:val="21"/>
                <w:szCs w:val="21"/>
              </w:rPr>
              <w:t>′</w:t>
            </w:r>
            <w:r>
              <w:rPr>
                <w:rFonts w:hint="eastAsia"/>
                <w:color w:val="auto"/>
                <w:sz w:val="21"/>
                <w:szCs w:val="21"/>
                <w:lang w:val="en-US" w:eastAsia="zh-CN"/>
              </w:rPr>
              <w:t>22</w:t>
            </w:r>
            <w:r>
              <w:rPr>
                <w:color w:val="auto"/>
                <w:sz w:val="21"/>
                <w:szCs w:val="21"/>
              </w:rPr>
              <w:t>.</w:t>
            </w:r>
            <w:r>
              <w:rPr>
                <w:rFonts w:hint="eastAsia"/>
                <w:color w:val="auto"/>
                <w:sz w:val="21"/>
                <w:szCs w:val="21"/>
                <w:lang w:val="en-US" w:eastAsia="zh-CN"/>
              </w:rPr>
              <w:t>388</w:t>
            </w:r>
            <w:r>
              <w:rPr>
                <w:color w:val="auto"/>
                <w:sz w:val="21"/>
                <w:szCs w:val="21"/>
              </w:rPr>
              <w:t>″</w:t>
            </w:r>
          </w:p>
        </w:tc>
      </w:tr>
      <w:tr>
        <w:tblPrEx>
          <w:tblW w:w="4999" w:type="pct"/>
          <w:jc w:val="center"/>
          <w:tblCellMar>
            <w:top w:w="0" w:type="dxa"/>
            <w:left w:w="108" w:type="dxa"/>
            <w:bottom w:w="0" w:type="dxa"/>
            <w:right w:w="108" w:type="dxa"/>
          </w:tblCellMar>
        </w:tblPrEx>
        <w:trPr>
          <w:trHeight w:val="90"/>
          <w:jc w:val="center"/>
        </w:trPr>
        <w:tc>
          <w:tcPr>
            <w:tcW w:w="390" w:type="pct"/>
            <w:noWrap w:val="0"/>
            <w:vAlign w:val="center"/>
          </w:tcPr>
          <w:p>
            <w:pPr>
              <w:adjustRightInd w:val="0"/>
              <w:snapToGrid w:val="0"/>
              <w:jc w:val="center"/>
              <w:rPr>
                <w:rFonts w:ascii="宋体" w:hAnsi="宋体" w:cs="宋体"/>
                <w:color w:val="auto"/>
                <w:kern w:val="0"/>
                <w:sz w:val="24"/>
              </w:rPr>
            </w:pPr>
            <w:r>
              <w:rPr>
                <w:rFonts w:ascii="宋体" w:hAnsi="宋体" w:cs="宋体" w:hint="eastAsia"/>
                <w:color w:val="auto"/>
                <w:kern w:val="0"/>
                <w:sz w:val="24"/>
                <w:szCs w:val="24"/>
              </w:rPr>
              <w:t>项目组成及规模</w:t>
            </w:r>
          </w:p>
        </w:tc>
        <w:tc>
          <w:tcPr>
            <w:tcW w:w="4609"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120" w:beforeLines="50" w:line="360" w:lineRule="auto"/>
              <w:ind w:firstLine="420" w:firstLineChars="200"/>
              <w:jc w:val="left"/>
              <w:textAlignment w:val="auto"/>
              <w:rPr>
                <w:b/>
                <w:bCs/>
                <w:color w:val="auto"/>
                <w:kern w:val="0"/>
                <w:szCs w:val="21"/>
              </w:rPr>
            </w:pPr>
            <w:r>
              <w:rPr>
                <w:rFonts w:hint="eastAsia"/>
                <w:b/>
                <w:bCs/>
                <w:color w:val="auto"/>
                <w:kern w:val="0"/>
                <w:sz w:val="21"/>
                <w:szCs w:val="21"/>
              </w:rPr>
              <w:t>1</w:t>
            </w:r>
            <w:r>
              <w:rPr>
                <w:rFonts w:hint="eastAsia"/>
                <w:b/>
                <w:bCs/>
                <w:color w:val="auto"/>
                <w:kern w:val="0"/>
                <w:sz w:val="21"/>
                <w:szCs w:val="21"/>
                <w:lang w:eastAsia="zh-CN"/>
              </w:rPr>
              <w:t>、</w:t>
            </w:r>
            <w:r>
              <w:rPr>
                <w:rFonts w:hint="eastAsia"/>
                <w:b/>
                <w:bCs/>
                <w:color w:val="auto"/>
                <w:kern w:val="0"/>
                <w:sz w:val="21"/>
                <w:szCs w:val="21"/>
              </w:rPr>
              <w:t xml:space="preserve"> </w:t>
            </w:r>
            <w:r>
              <w:rPr>
                <w:b/>
                <w:bCs/>
                <w:color w:val="auto"/>
                <w:kern w:val="0"/>
                <w:sz w:val="21"/>
                <w:szCs w:val="21"/>
              </w:rPr>
              <w:t>项目组成及规模</w:t>
            </w:r>
          </w:p>
          <w:p>
            <w:pPr>
              <w:adjustRightInd w:val="0"/>
              <w:snapToGrid w:val="0"/>
              <w:spacing w:line="360" w:lineRule="auto"/>
              <w:ind w:firstLine="420" w:firstLineChars="200"/>
              <w:jc w:val="left"/>
              <w:rPr>
                <w:color w:val="auto"/>
                <w:kern w:val="0"/>
                <w:szCs w:val="21"/>
              </w:rPr>
            </w:pPr>
            <w:r>
              <w:rPr>
                <w:rFonts w:hint="eastAsia"/>
                <w:color w:val="auto"/>
                <w:kern w:val="0"/>
                <w:sz w:val="21"/>
                <w:szCs w:val="21"/>
                <w:lang w:eastAsia="zh-CN"/>
              </w:rPr>
              <w:t>（</w:t>
            </w:r>
            <w:r>
              <w:rPr>
                <w:color w:val="auto"/>
                <w:kern w:val="0"/>
                <w:sz w:val="21"/>
                <w:szCs w:val="21"/>
              </w:rPr>
              <w:t>1</w:t>
            </w:r>
            <w:r>
              <w:rPr>
                <w:rFonts w:hint="eastAsia"/>
                <w:color w:val="auto"/>
                <w:kern w:val="0"/>
                <w:sz w:val="21"/>
                <w:szCs w:val="21"/>
                <w:lang w:eastAsia="zh-CN"/>
              </w:rPr>
              <w:t>）</w:t>
            </w:r>
            <w:r>
              <w:rPr>
                <w:color w:val="auto"/>
                <w:kern w:val="0"/>
                <w:sz w:val="21"/>
                <w:szCs w:val="21"/>
              </w:rPr>
              <w:t>项目名称：</w:t>
            </w:r>
            <w:r>
              <w:rPr>
                <w:rFonts w:hint="eastAsia"/>
                <w:color w:val="auto"/>
                <w:kern w:val="0"/>
                <w:sz w:val="21"/>
                <w:szCs w:val="21"/>
              </w:rPr>
              <w:t>房车营地及管理中心（办公楼）项目</w:t>
            </w:r>
          </w:p>
          <w:p>
            <w:pPr>
              <w:adjustRightInd w:val="0"/>
              <w:snapToGrid w:val="0"/>
              <w:spacing w:line="360" w:lineRule="auto"/>
              <w:ind w:firstLine="420" w:firstLineChars="200"/>
              <w:jc w:val="left"/>
              <w:rPr>
                <w:color w:val="auto"/>
                <w:kern w:val="0"/>
                <w:szCs w:val="21"/>
              </w:rPr>
            </w:pPr>
            <w:r>
              <w:rPr>
                <w:rFonts w:hint="eastAsia"/>
                <w:color w:val="auto"/>
                <w:kern w:val="0"/>
                <w:sz w:val="21"/>
                <w:szCs w:val="21"/>
                <w:lang w:eastAsia="zh-CN"/>
              </w:rPr>
              <w:t>（</w:t>
            </w:r>
            <w:r>
              <w:rPr>
                <w:color w:val="auto"/>
                <w:kern w:val="0"/>
                <w:sz w:val="21"/>
                <w:szCs w:val="21"/>
              </w:rPr>
              <w:t>2</w:t>
            </w:r>
            <w:r>
              <w:rPr>
                <w:rFonts w:hint="eastAsia"/>
                <w:color w:val="auto"/>
                <w:kern w:val="0"/>
                <w:sz w:val="21"/>
                <w:szCs w:val="21"/>
                <w:lang w:eastAsia="zh-CN"/>
              </w:rPr>
              <w:t>）</w:t>
            </w:r>
            <w:r>
              <w:rPr>
                <w:color w:val="auto"/>
                <w:kern w:val="0"/>
                <w:sz w:val="21"/>
                <w:szCs w:val="21"/>
              </w:rPr>
              <w:t>建设单位：</w:t>
            </w:r>
            <w:r>
              <w:rPr>
                <w:rFonts w:hint="eastAsia"/>
                <w:color w:val="auto"/>
                <w:kern w:val="0"/>
                <w:sz w:val="21"/>
                <w:szCs w:val="21"/>
              </w:rPr>
              <w:t>三亚大小洞天发展有限公司</w:t>
            </w:r>
          </w:p>
          <w:p>
            <w:pPr>
              <w:adjustRightInd w:val="0"/>
              <w:snapToGrid w:val="0"/>
              <w:spacing w:line="360" w:lineRule="auto"/>
              <w:ind w:firstLine="420" w:firstLineChars="200"/>
              <w:jc w:val="left"/>
              <w:rPr>
                <w:color w:val="auto"/>
                <w:kern w:val="0"/>
                <w:szCs w:val="21"/>
              </w:rPr>
            </w:pPr>
            <w:r>
              <w:rPr>
                <w:rFonts w:hint="eastAsia"/>
                <w:color w:val="auto"/>
                <w:kern w:val="0"/>
                <w:sz w:val="21"/>
                <w:szCs w:val="21"/>
                <w:lang w:eastAsia="zh-CN"/>
              </w:rPr>
              <w:t>（</w:t>
            </w:r>
            <w:r>
              <w:rPr>
                <w:color w:val="auto"/>
                <w:kern w:val="0"/>
                <w:sz w:val="21"/>
                <w:szCs w:val="21"/>
              </w:rPr>
              <w:t>3</w:t>
            </w:r>
            <w:r>
              <w:rPr>
                <w:rFonts w:hint="eastAsia"/>
                <w:color w:val="auto"/>
                <w:kern w:val="0"/>
                <w:sz w:val="21"/>
                <w:szCs w:val="21"/>
                <w:lang w:eastAsia="zh-CN"/>
              </w:rPr>
              <w:t>）</w:t>
            </w:r>
            <w:r>
              <w:rPr>
                <w:color w:val="auto"/>
                <w:kern w:val="0"/>
                <w:sz w:val="21"/>
                <w:szCs w:val="21"/>
              </w:rPr>
              <w:t>建设地点：</w:t>
            </w:r>
            <w:r>
              <w:rPr>
                <w:rFonts w:hint="eastAsia"/>
                <w:color w:val="auto"/>
                <w:sz w:val="21"/>
                <w:szCs w:val="21"/>
              </w:rPr>
              <w:t>三亚市崖州区大小洞天旅游区</w:t>
            </w:r>
          </w:p>
          <w:p>
            <w:pPr>
              <w:adjustRightInd w:val="0"/>
              <w:snapToGrid w:val="0"/>
              <w:spacing w:line="360" w:lineRule="auto"/>
              <w:ind w:firstLine="420" w:firstLineChars="200"/>
              <w:jc w:val="left"/>
              <w:rPr>
                <w:color w:val="auto"/>
                <w:kern w:val="0"/>
                <w:szCs w:val="21"/>
              </w:rPr>
            </w:pPr>
            <w:r>
              <w:rPr>
                <w:rFonts w:hint="eastAsia"/>
                <w:color w:val="auto"/>
                <w:kern w:val="0"/>
                <w:sz w:val="21"/>
                <w:szCs w:val="21"/>
                <w:lang w:eastAsia="zh-CN"/>
              </w:rPr>
              <w:t>（</w:t>
            </w:r>
            <w:r>
              <w:rPr>
                <w:color w:val="auto"/>
                <w:kern w:val="0"/>
                <w:sz w:val="21"/>
                <w:szCs w:val="21"/>
              </w:rPr>
              <w:t>4</w:t>
            </w:r>
            <w:r>
              <w:rPr>
                <w:rFonts w:hint="eastAsia"/>
                <w:color w:val="auto"/>
                <w:kern w:val="0"/>
                <w:sz w:val="21"/>
                <w:szCs w:val="21"/>
                <w:lang w:eastAsia="zh-CN"/>
              </w:rPr>
              <w:t>）</w:t>
            </w:r>
            <w:r>
              <w:rPr>
                <w:color w:val="auto"/>
                <w:kern w:val="0"/>
                <w:sz w:val="21"/>
                <w:szCs w:val="21"/>
              </w:rPr>
              <w:t>建设性质：新建</w:t>
            </w:r>
          </w:p>
          <w:p>
            <w:pPr>
              <w:adjustRightInd w:val="0"/>
              <w:snapToGrid w:val="0"/>
              <w:spacing w:line="360" w:lineRule="auto"/>
              <w:ind w:firstLine="420" w:firstLineChars="200"/>
              <w:jc w:val="left"/>
              <w:rPr>
                <w:color w:val="auto"/>
                <w:kern w:val="0"/>
                <w:szCs w:val="21"/>
              </w:rPr>
            </w:pPr>
            <w:r>
              <w:rPr>
                <w:rFonts w:hint="eastAsia"/>
                <w:color w:val="auto"/>
                <w:kern w:val="0"/>
                <w:sz w:val="21"/>
                <w:szCs w:val="21"/>
                <w:lang w:eastAsia="zh-CN"/>
              </w:rPr>
              <w:t>（</w:t>
            </w:r>
            <w:r>
              <w:rPr>
                <w:color w:val="auto"/>
                <w:kern w:val="0"/>
                <w:sz w:val="21"/>
                <w:szCs w:val="21"/>
              </w:rPr>
              <w:t>5</w:t>
            </w:r>
            <w:r>
              <w:rPr>
                <w:rFonts w:hint="eastAsia"/>
                <w:color w:val="auto"/>
                <w:kern w:val="0"/>
                <w:sz w:val="21"/>
                <w:szCs w:val="21"/>
                <w:lang w:eastAsia="zh-CN"/>
              </w:rPr>
              <w:t>）</w:t>
            </w:r>
            <w:r>
              <w:rPr>
                <w:color w:val="auto"/>
                <w:kern w:val="0"/>
                <w:sz w:val="21"/>
                <w:szCs w:val="21"/>
              </w:rPr>
              <w:t>工程建设规模：</w:t>
            </w:r>
            <w:r>
              <w:rPr>
                <w:rFonts w:hint="eastAsia"/>
                <w:color w:val="auto"/>
                <w:kern w:val="0"/>
                <w:sz w:val="21"/>
                <w:szCs w:val="21"/>
              </w:rPr>
              <w:t>①管理中心</w:t>
            </w:r>
            <w:r>
              <w:rPr>
                <w:rFonts w:hint="eastAsia"/>
                <w:color w:val="auto"/>
                <w:kern w:val="0"/>
                <w:sz w:val="21"/>
                <w:szCs w:val="21"/>
                <w:lang w:eastAsia="zh-CN"/>
              </w:rPr>
              <w:t>：</w:t>
            </w:r>
            <w:r>
              <w:rPr>
                <w:rFonts w:hint="eastAsia"/>
                <w:color w:val="auto"/>
                <w:kern w:val="0"/>
                <w:sz w:val="21"/>
                <w:szCs w:val="21"/>
                <w:lang w:val="en-US" w:eastAsia="zh-CN"/>
              </w:rPr>
              <w:t>两层办公楼</w:t>
            </w:r>
            <w:r>
              <w:rPr>
                <w:rFonts w:hint="eastAsia"/>
                <w:color w:val="auto"/>
                <w:kern w:val="0"/>
                <w:sz w:val="21"/>
                <w:szCs w:val="21"/>
                <w:lang w:eastAsia="zh-CN"/>
              </w:rPr>
              <w:t>，</w:t>
            </w:r>
            <w:r>
              <w:rPr>
                <w:rFonts w:hint="eastAsia"/>
                <w:color w:val="auto"/>
                <w:kern w:val="0"/>
                <w:sz w:val="21"/>
                <w:szCs w:val="21"/>
                <w:lang w:val="en-US" w:eastAsia="zh-CN"/>
              </w:rPr>
              <w:t>占地面积824m</w:t>
            </w:r>
            <w:r>
              <w:rPr>
                <w:rFonts w:hint="eastAsia"/>
                <w:color w:val="auto"/>
                <w:kern w:val="0"/>
                <w:sz w:val="21"/>
                <w:szCs w:val="21"/>
                <w:vertAlign w:val="superscript"/>
                <w:lang w:val="en-US" w:eastAsia="zh-CN"/>
              </w:rPr>
              <w:t>2</w:t>
            </w:r>
            <w:r>
              <w:rPr>
                <w:rFonts w:hint="eastAsia"/>
                <w:color w:val="auto"/>
                <w:kern w:val="0"/>
                <w:sz w:val="21"/>
                <w:szCs w:val="21"/>
                <w:lang w:val="en-US" w:eastAsia="zh-CN"/>
              </w:rPr>
              <w:t>，建筑面积1426m</w:t>
            </w:r>
            <w:r>
              <w:rPr>
                <w:rFonts w:hint="eastAsia"/>
                <w:color w:val="auto"/>
                <w:kern w:val="0"/>
                <w:sz w:val="21"/>
                <w:szCs w:val="21"/>
                <w:vertAlign w:val="superscript"/>
                <w:lang w:val="en-US" w:eastAsia="zh-CN"/>
              </w:rPr>
              <w:t>2</w:t>
            </w:r>
            <w:r>
              <w:rPr>
                <w:rFonts w:hint="eastAsia"/>
                <w:color w:val="auto"/>
                <w:kern w:val="0"/>
                <w:sz w:val="21"/>
                <w:szCs w:val="21"/>
              </w:rPr>
              <w:t>。②房车宿营区</w:t>
            </w:r>
            <w:r>
              <w:rPr>
                <w:rFonts w:hint="eastAsia"/>
                <w:color w:val="auto"/>
                <w:kern w:val="0"/>
                <w:sz w:val="21"/>
                <w:szCs w:val="21"/>
                <w:lang w:eastAsia="zh-CN"/>
              </w:rPr>
              <w:t>：</w:t>
            </w:r>
            <w:r>
              <w:rPr>
                <w:rFonts w:hint="eastAsia"/>
                <w:color w:val="auto"/>
                <w:kern w:val="0"/>
                <w:sz w:val="21"/>
                <w:szCs w:val="21"/>
                <w:lang w:val="en-US" w:eastAsia="zh-CN"/>
              </w:rPr>
              <w:t>利用现状停车场设置房车停车位，停车位约50个。</w:t>
            </w:r>
            <w:r>
              <w:rPr>
                <w:rFonts w:hint="eastAsia"/>
                <w:color w:val="auto"/>
                <w:kern w:val="0"/>
                <w:sz w:val="21"/>
                <w:szCs w:val="21"/>
              </w:rPr>
              <w:t>③生活休闲区</w:t>
            </w:r>
            <w:r>
              <w:rPr>
                <w:rFonts w:hint="eastAsia"/>
                <w:color w:val="auto"/>
                <w:kern w:val="0"/>
                <w:sz w:val="21"/>
                <w:szCs w:val="21"/>
                <w:lang w:eastAsia="zh-CN"/>
              </w:rPr>
              <w:t>：由天然材料如木材和石头建造而成的无动力游乐园。园中布置木桩栈桥、秋千、独木桥、木质滑梯、迷宫花园、枯木攀爬、丛林射箭等游乐设施。</w:t>
            </w:r>
            <w:r>
              <w:rPr>
                <w:rFonts w:hint="eastAsia"/>
                <w:color w:val="auto"/>
                <w:kern w:val="0"/>
                <w:sz w:val="21"/>
                <w:szCs w:val="21"/>
              </w:rPr>
              <w:t>项目组成及规模见表2</w:t>
            </w:r>
            <w:r>
              <w:rPr>
                <w:rFonts w:hint="eastAsia"/>
                <w:color w:val="auto"/>
                <w:kern w:val="0"/>
                <w:sz w:val="21"/>
                <w:szCs w:val="21"/>
                <w:lang w:val="en-US" w:eastAsia="zh-CN"/>
              </w:rPr>
              <w:t>-1</w:t>
            </w:r>
            <w:r>
              <w:rPr>
                <w:rFonts w:hint="eastAsia"/>
                <w:color w:val="auto"/>
                <w:kern w:val="0"/>
                <w:sz w:val="21"/>
                <w:szCs w:val="21"/>
              </w:rPr>
              <w:t>。</w:t>
            </w:r>
            <w:r>
              <w:rPr>
                <w:color w:val="auto"/>
                <w:kern w:val="0"/>
                <w:sz w:val="21"/>
                <w:szCs w:val="21"/>
              </w:rPr>
              <w:t>地理位置图见附图1。</w:t>
            </w:r>
          </w:p>
          <w:p>
            <w:pPr>
              <w:adjustRightInd w:val="0"/>
              <w:snapToGrid w:val="0"/>
              <w:spacing w:line="360" w:lineRule="auto"/>
              <w:ind w:firstLine="420" w:firstLineChars="200"/>
              <w:jc w:val="left"/>
              <w:rPr>
                <w:color w:val="auto"/>
                <w:kern w:val="0"/>
                <w:szCs w:val="21"/>
              </w:rPr>
            </w:pPr>
            <w:r>
              <w:rPr>
                <w:rFonts w:hint="eastAsia"/>
                <w:color w:val="auto"/>
                <w:kern w:val="0"/>
                <w:sz w:val="21"/>
                <w:szCs w:val="21"/>
                <w:lang w:eastAsia="zh-CN"/>
              </w:rPr>
              <w:t>（</w:t>
            </w:r>
            <w:r>
              <w:rPr>
                <w:color w:val="auto"/>
                <w:kern w:val="0"/>
                <w:sz w:val="21"/>
                <w:szCs w:val="21"/>
              </w:rPr>
              <w:t>6</w:t>
            </w:r>
            <w:r>
              <w:rPr>
                <w:rFonts w:hint="eastAsia"/>
                <w:color w:val="auto"/>
                <w:kern w:val="0"/>
                <w:sz w:val="21"/>
                <w:szCs w:val="21"/>
                <w:lang w:eastAsia="zh-CN"/>
              </w:rPr>
              <w:t>）</w:t>
            </w:r>
            <w:r>
              <w:rPr>
                <w:color w:val="auto"/>
                <w:kern w:val="0"/>
                <w:sz w:val="21"/>
                <w:szCs w:val="21"/>
              </w:rPr>
              <w:t>项目建设周期：202</w:t>
            </w:r>
            <w:r>
              <w:rPr>
                <w:rFonts w:hint="eastAsia"/>
                <w:color w:val="auto"/>
                <w:kern w:val="0"/>
                <w:sz w:val="21"/>
                <w:szCs w:val="21"/>
                <w:lang w:val="en-US" w:eastAsia="zh-CN"/>
              </w:rPr>
              <w:t>2</w:t>
            </w:r>
            <w:r>
              <w:rPr>
                <w:color w:val="auto"/>
                <w:kern w:val="0"/>
                <w:sz w:val="21"/>
                <w:szCs w:val="21"/>
              </w:rPr>
              <w:t>年</w:t>
            </w:r>
            <w:r>
              <w:rPr>
                <w:rFonts w:hint="eastAsia"/>
                <w:color w:val="auto"/>
                <w:kern w:val="0"/>
                <w:sz w:val="21"/>
                <w:szCs w:val="21"/>
                <w:lang w:val="en-US" w:eastAsia="zh-CN"/>
              </w:rPr>
              <w:t>1</w:t>
            </w:r>
            <w:r>
              <w:rPr>
                <w:color w:val="auto"/>
                <w:kern w:val="0"/>
                <w:sz w:val="21"/>
                <w:szCs w:val="21"/>
              </w:rPr>
              <w:t>月至202</w:t>
            </w:r>
            <w:r>
              <w:rPr>
                <w:rFonts w:hint="eastAsia"/>
                <w:color w:val="auto"/>
                <w:kern w:val="0"/>
                <w:sz w:val="21"/>
                <w:szCs w:val="21"/>
                <w:lang w:val="en-US" w:eastAsia="zh-CN"/>
              </w:rPr>
              <w:t>2</w:t>
            </w:r>
            <w:r>
              <w:rPr>
                <w:color w:val="auto"/>
                <w:kern w:val="0"/>
                <w:sz w:val="21"/>
                <w:szCs w:val="21"/>
              </w:rPr>
              <w:t>年</w:t>
            </w:r>
            <w:r>
              <w:rPr>
                <w:rFonts w:hint="eastAsia"/>
                <w:color w:val="auto"/>
                <w:kern w:val="0"/>
                <w:sz w:val="21"/>
                <w:szCs w:val="21"/>
                <w:lang w:val="en-US" w:eastAsia="zh-CN"/>
              </w:rPr>
              <w:t>12</w:t>
            </w:r>
            <w:r>
              <w:rPr>
                <w:color w:val="auto"/>
                <w:kern w:val="0"/>
                <w:sz w:val="21"/>
                <w:szCs w:val="21"/>
              </w:rPr>
              <w:t>月</w:t>
            </w:r>
            <w:r>
              <w:rPr>
                <w:rFonts w:hint="eastAsia"/>
                <w:color w:val="auto"/>
                <w:kern w:val="0"/>
                <w:sz w:val="21"/>
                <w:szCs w:val="21"/>
              </w:rPr>
              <w:t>，共</w:t>
            </w:r>
            <w:r>
              <w:rPr>
                <w:rFonts w:hint="eastAsia"/>
                <w:color w:val="auto"/>
                <w:kern w:val="0"/>
                <w:sz w:val="21"/>
                <w:szCs w:val="21"/>
                <w:lang w:val="en-US" w:eastAsia="zh-CN"/>
              </w:rPr>
              <w:t>12</w:t>
            </w:r>
            <w:r>
              <w:rPr>
                <w:rFonts w:hint="eastAsia"/>
                <w:color w:val="auto"/>
                <w:kern w:val="0"/>
                <w:sz w:val="21"/>
                <w:szCs w:val="21"/>
              </w:rPr>
              <w:t>个月</w:t>
            </w:r>
          </w:p>
          <w:p>
            <w:pPr>
              <w:adjustRightInd w:val="0"/>
              <w:snapToGrid w:val="0"/>
              <w:spacing w:line="360" w:lineRule="auto"/>
              <w:ind w:firstLine="420" w:firstLineChars="200"/>
              <w:jc w:val="left"/>
              <w:rPr>
                <w:color w:val="auto"/>
                <w:kern w:val="0"/>
                <w:szCs w:val="21"/>
              </w:rPr>
            </w:pPr>
            <w:r>
              <w:rPr>
                <w:rFonts w:hint="eastAsia"/>
                <w:color w:val="auto"/>
                <w:kern w:val="0"/>
                <w:sz w:val="21"/>
                <w:szCs w:val="21"/>
                <w:lang w:eastAsia="zh-CN"/>
              </w:rPr>
              <w:t>（</w:t>
            </w:r>
            <w:r>
              <w:rPr>
                <w:color w:val="auto"/>
                <w:kern w:val="0"/>
                <w:sz w:val="21"/>
                <w:szCs w:val="21"/>
              </w:rPr>
              <w:t>7</w:t>
            </w:r>
            <w:r>
              <w:rPr>
                <w:rFonts w:hint="eastAsia"/>
                <w:color w:val="auto"/>
                <w:kern w:val="0"/>
                <w:sz w:val="21"/>
                <w:szCs w:val="21"/>
                <w:lang w:eastAsia="zh-CN"/>
              </w:rPr>
              <w:t>）</w:t>
            </w:r>
            <w:r>
              <w:rPr>
                <w:color w:val="auto"/>
                <w:kern w:val="0"/>
                <w:sz w:val="21"/>
                <w:szCs w:val="21"/>
              </w:rPr>
              <w:t>项目建设情况：</w:t>
            </w:r>
            <w:r>
              <w:rPr>
                <w:rFonts w:hint="eastAsia"/>
                <w:color w:val="auto"/>
                <w:kern w:val="0"/>
                <w:sz w:val="21"/>
                <w:szCs w:val="21"/>
              </w:rPr>
              <w:t>项目</w:t>
            </w:r>
            <w:r>
              <w:rPr>
                <w:rFonts w:hint="eastAsia"/>
                <w:color w:val="auto"/>
                <w:kern w:val="0"/>
                <w:sz w:val="21"/>
                <w:szCs w:val="21"/>
                <w:lang w:val="en-US" w:eastAsia="zh-CN"/>
              </w:rPr>
              <w:t>目前管理中心（两层办公楼）已经开始动工建设，主体工程已基本施工完毕</w:t>
            </w:r>
            <w:r>
              <w:rPr>
                <w:rFonts w:hint="eastAsia"/>
                <w:color w:val="auto"/>
                <w:kern w:val="0"/>
                <w:sz w:val="21"/>
                <w:szCs w:val="21"/>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val="0"/>
                <w:bCs w:val="0"/>
                <w:color w:val="auto"/>
                <w:kern w:val="0"/>
                <w:sz w:val="24"/>
              </w:rPr>
            </w:pPr>
            <w:r>
              <w:rPr>
                <w:rFonts w:hint="eastAsia"/>
                <w:b/>
                <w:bCs/>
                <w:color w:val="auto"/>
                <w:kern w:val="0"/>
                <w:sz w:val="24"/>
              </w:rPr>
              <w:t>表2</w:t>
            </w:r>
            <w:r>
              <w:rPr>
                <w:rFonts w:hint="eastAsia"/>
                <w:b/>
                <w:bCs/>
                <w:color w:val="auto"/>
                <w:kern w:val="0"/>
                <w:sz w:val="24"/>
                <w:lang w:val="en-US" w:eastAsia="zh-CN"/>
              </w:rPr>
              <w:t>-1</w:t>
            </w:r>
            <w:r>
              <w:rPr>
                <w:rFonts w:hint="eastAsia"/>
                <w:b/>
                <w:bCs/>
                <w:color w:val="auto"/>
                <w:kern w:val="0"/>
                <w:sz w:val="24"/>
              </w:rPr>
              <w:t>项目组成及规模</w:t>
            </w:r>
          </w:p>
          <w:tbl>
            <w:tblPr>
              <w:tblStyle w:val="TableNormal"/>
              <w:tblW w:w="4989"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8" w:type="dxa"/>
                <w:left w:w="11" w:type="dxa"/>
                <w:bottom w:w="28" w:type="dxa"/>
                <w:right w:w="11" w:type="dxa"/>
              </w:tblCellMar>
            </w:tblPr>
            <w:tblGrid>
              <w:gridCol w:w="530"/>
              <w:gridCol w:w="940"/>
              <w:gridCol w:w="1120"/>
              <w:gridCol w:w="4702"/>
              <w:gridCol w:w="530"/>
            </w:tblGrid>
            <w:tr>
              <w:tblPrEx>
                <w:tblW w:w="4989"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8" w:type="dxa"/>
                  <w:left w:w="11" w:type="dxa"/>
                  <w:bottom w:w="28" w:type="dxa"/>
                  <w:right w:w="11" w:type="dxa"/>
                </w:tblCellMar>
              </w:tblPrEx>
              <w:trPr>
                <w:cantSplit/>
                <w:tblHeader/>
                <w:jc w:val="center"/>
              </w:trPr>
              <w:tc>
                <w:tcPr>
                  <w:tcW w:w="1656" w:type="pct"/>
                  <w:gridSpan w:val="3"/>
                  <w:noWrap w:val="0"/>
                  <w:vAlign w:val="center"/>
                </w:tcPr>
                <w:p>
                  <w:pPr>
                    <w:jc w:val="center"/>
                    <w:rPr>
                      <w:b w:val="0"/>
                      <w:bCs w:val="0"/>
                      <w:color w:val="auto"/>
                      <w:szCs w:val="21"/>
                    </w:rPr>
                  </w:pPr>
                  <w:r>
                    <w:rPr>
                      <w:b w:val="0"/>
                      <w:bCs w:val="0"/>
                      <w:color w:val="auto"/>
                      <w:szCs w:val="21"/>
                    </w:rPr>
                    <w:t>项目组成</w:t>
                  </w:r>
                </w:p>
              </w:tc>
              <w:tc>
                <w:tcPr>
                  <w:tcW w:w="3005" w:type="pct"/>
                  <w:noWrap w:val="0"/>
                  <w:vAlign w:val="center"/>
                </w:tcPr>
                <w:p>
                  <w:pPr>
                    <w:jc w:val="center"/>
                    <w:rPr>
                      <w:b w:val="0"/>
                      <w:bCs w:val="0"/>
                      <w:color w:val="auto"/>
                      <w:szCs w:val="21"/>
                    </w:rPr>
                  </w:pPr>
                  <w:r>
                    <w:rPr>
                      <w:b w:val="0"/>
                      <w:bCs w:val="0"/>
                      <w:color w:val="auto"/>
                      <w:szCs w:val="21"/>
                    </w:rPr>
                    <w:t>工    程    内    容</w:t>
                  </w:r>
                </w:p>
              </w:tc>
              <w:tc>
                <w:tcPr>
                  <w:tcW w:w="338" w:type="pct"/>
                  <w:noWrap w:val="0"/>
                  <w:vAlign w:val="center"/>
                </w:tcPr>
                <w:p>
                  <w:pPr>
                    <w:jc w:val="center"/>
                    <w:rPr>
                      <w:rFonts w:hint="eastAsia"/>
                      <w:b w:val="0"/>
                      <w:bCs w:val="0"/>
                      <w:color w:val="auto"/>
                      <w:szCs w:val="21"/>
                    </w:rPr>
                  </w:pPr>
                  <w:r>
                    <w:rPr>
                      <w:rFonts w:hint="eastAsia"/>
                      <w:b w:val="0"/>
                      <w:bCs w:val="0"/>
                      <w:color w:val="auto"/>
                      <w:szCs w:val="21"/>
                    </w:rPr>
                    <w:t>备注</w:t>
                  </w:r>
                </w:p>
              </w:tc>
            </w:tr>
            <w:tr>
              <w:tblPrEx>
                <w:tblW w:w="4989" w:type="pct"/>
                <w:jc w:val="center"/>
                <w:tblCellMar>
                  <w:top w:w="28" w:type="dxa"/>
                  <w:left w:w="11" w:type="dxa"/>
                  <w:bottom w:w="28" w:type="dxa"/>
                  <w:right w:w="11" w:type="dxa"/>
                </w:tblCellMar>
              </w:tblPrEx>
              <w:trPr>
                <w:cantSplit/>
                <w:jc w:val="center"/>
              </w:trPr>
              <w:tc>
                <w:tcPr>
                  <w:tcW w:w="339" w:type="pct"/>
                  <w:vMerge w:val="restart"/>
                  <w:noWrap w:val="0"/>
                  <w:vAlign w:val="center"/>
                </w:tcPr>
                <w:p>
                  <w:pPr>
                    <w:jc w:val="center"/>
                    <w:rPr>
                      <w:b w:val="0"/>
                      <w:bCs w:val="0"/>
                      <w:color w:val="auto"/>
                      <w:szCs w:val="21"/>
                    </w:rPr>
                  </w:pPr>
                  <w:r>
                    <w:rPr>
                      <w:b w:val="0"/>
                      <w:bCs w:val="0"/>
                      <w:color w:val="auto"/>
                      <w:szCs w:val="21"/>
                    </w:rPr>
                    <w:t>主体</w:t>
                  </w:r>
                </w:p>
                <w:p>
                  <w:pPr>
                    <w:jc w:val="center"/>
                    <w:rPr>
                      <w:b w:val="0"/>
                      <w:bCs w:val="0"/>
                      <w:color w:val="auto"/>
                      <w:szCs w:val="21"/>
                    </w:rPr>
                  </w:pPr>
                  <w:r>
                    <w:rPr>
                      <w:b w:val="0"/>
                      <w:bCs w:val="0"/>
                      <w:color w:val="auto"/>
                      <w:szCs w:val="21"/>
                    </w:rPr>
                    <w:t>工程</w:t>
                  </w:r>
                </w:p>
              </w:tc>
              <w:tc>
                <w:tcPr>
                  <w:tcW w:w="1317" w:type="pct"/>
                  <w:gridSpan w:val="2"/>
                  <w:noWrap w:val="0"/>
                  <w:vAlign w:val="center"/>
                </w:tcPr>
                <w:p>
                  <w:pPr>
                    <w:jc w:val="center"/>
                    <w:rPr>
                      <w:b w:val="0"/>
                      <w:bCs w:val="0"/>
                      <w:color w:val="auto"/>
                      <w:kern w:val="0"/>
                      <w:szCs w:val="21"/>
                    </w:rPr>
                  </w:pPr>
                  <w:r>
                    <w:rPr>
                      <w:rFonts w:hint="eastAsia"/>
                      <w:b w:val="0"/>
                      <w:bCs w:val="0"/>
                      <w:color w:val="auto"/>
                      <w:kern w:val="0"/>
                      <w:szCs w:val="21"/>
                      <w:lang w:val="en-US" w:eastAsia="zh-CN"/>
                    </w:rPr>
                    <w:t>房车营地管理中心</w:t>
                  </w:r>
                </w:p>
              </w:tc>
              <w:tc>
                <w:tcPr>
                  <w:tcW w:w="3005" w:type="pct"/>
                  <w:noWrap w:val="0"/>
                  <w:vAlign w:val="center"/>
                </w:tcPr>
                <w:p>
                  <w:pPr>
                    <w:jc w:val="center"/>
                    <w:rPr>
                      <w:rFonts w:hint="default"/>
                      <w:b w:val="0"/>
                      <w:bCs w:val="0"/>
                      <w:color w:val="auto"/>
                      <w:szCs w:val="21"/>
                    </w:rPr>
                  </w:pPr>
                  <w:r>
                    <w:rPr>
                      <w:rFonts w:hint="eastAsia"/>
                      <w:b w:val="0"/>
                      <w:bCs w:val="0"/>
                      <w:color w:val="auto"/>
                      <w:szCs w:val="21"/>
                      <w:lang w:val="en-US" w:eastAsia="zh-CN"/>
                    </w:rPr>
                    <w:t>2层建筑，占地面积824m</w:t>
                  </w:r>
                  <w:r>
                    <w:rPr>
                      <w:rFonts w:hint="eastAsia"/>
                      <w:b w:val="0"/>
                      <w:bCs w:val="0"/>
                      <w:color w:val="auto"/>
                      <w:szCs w:val="21"/>
                      <w:vertAlign w:val="superscript"/>
                      <w:lang w:val="en-US" w:eastAsia="zh-CN"/>
                    </w:rPr>
                    <w:t>2</w:t>
                  </w:r>
                  <w:r>
                    <w:rPr>
                      <w:rFonts w:hint="eastAsia"/>
                      <w:b w:val="0"/>
                      <w:bCs w:val="0"/>
                      <w:color w:val="auto"/>
                      <w:szCs w:val="21"/>
                      <w:lang w:val="en-US" w:eastAsia="zh-CN"/>
                    </w:rPr>
                    <w:t>，建筑面积1426m</w:t>
                  </w:r>
                  <w:r>
                    <w:rPr>
                      <w:rFonts w:hint="eastAsia"/>
                      <w:b w:val="0"/>
                      <w:bCs w:val="0"/>
                      <w:color w:val="auto"/>
                      <w:szCs w:val="21"/>
                      <w:vertAlign w:val="superscript"/>
                      <w:lang w:val="en-US" w:eastAsia="zh-CN"/>
                    </w:rPr>
                    <w:t>2</w:t>
                  </w:r>
                </w:p>
              </w:tc>
              <w:tc>
                <w:tcPr>
                  <w:tcW w:w="338" w:type="pct"/>
                  <w:noWrap w:val="0"/>
                  <w:vAlign w:val="center"/>
                </w:tcPr>
                <w:p>
                  <w:pPr>
                    <w:jc w:val="center"/>
                    <w:rPr>
                      <w:b w:val="0"/>
                      <w:bCs w:val="0"/>
                      <w:color w:val="auto"/>
                      <w:szCs w:val="21"/>
                    </w:rPr>
                  </w:pPr>
                  <w:r>
                    <w:rPr>
                      <w:rFonts w:hint="eastAsia"/>
                      <w:b w:val="0"/>
                      <w:bCs w:val="0"/>
                      <w:color w:val="auto"/>
                      <w:szCs w:val="21"/>
                    </w:rPr>
                    <w:t>新建</w:t>
                  </w:r>
                </w:p>
              </w:tc>
            </w:tr>
            <w:tr>
              <w:tblPrEx>
                <w:tblW w:w="4989" w:type="pct"/>
                <w:jc w:val="center"/>
                <w:tblCellMar>
                  <w:top w:w="28" w:type="dxa"/>
                  <w:left w:w="11" w:type="dxa"/>
                  <w:bottom w:w="28" w:type="dxa"/>
                  <w:right w:w="11" w:type="dxa"/>
                </w:tblCellMar>
              </w:tblPrEx>
              <w:trPr>
                <w:cantSplit/>
                <w:jc w:val="center"/>
              </w:trPr>
              <w:tc>
                <w:tcPr>
                  <w:tcW w:w="339" w:type="pct"/>
                  <w:vMerge/>
                  <w:noWrap w:val="0"/>
                  <w:vAlign w:val="center"/>
                </w:tcPr>
                <w:p>
                  <w:pPr>
                    <w:jc w:val="center"/>
                    <w:rPr>
                      <w:b w:val="0"/>
                      <w:bCs w:val="0"/>
                      <w:color w:val="auto"/>
                      <w:szCs w:val="21"/>
                    </w:rPr>
                  </w:pPr>
                </w:p>
              </w:tc>
              <w:tc>
                <w:tcPr>
                  <w:tcW w:w="1317" w:type="pct"/>
                  <w:gridSpan w:val="2"/>
                  <w:noWrap w:val="0"/>
                  <w:vAlign w:val="center"/>
                </w:tcPr>
                <w:p>
                  <w:pPr>
                    <w:jc w:val="center"/>
                    <w:rPr>
                      <w:rFonts w:hint="eastAsia"/>
                      <w:b w:val="0"/>
                      <w:bCs w:val="0"/>
                      <w:color w:val="auto"/>
                      <w:kern w:val="0"/>
                      <w:szCs w:val="21"/>
                    </w:rPr>
                  </w:pPr>
                  <w:r>
                    <w:rPr>
                      <w:rFonts w:hint="eastAsia"/>
                      <w:b w:val="0"/>
                      <w:bCs w:val="0"/>
                      <w:color w:val="auto"/>
                      <w:kern w:val="0"/>
                      <w:szCs w:val="21"/>
                      <w:lang w:val="en-US" w:eastAsia="zh-CN"/>
                    </w:rPr>
                    <w:t>房车宿营区</w:t>
                  </w:r>
                </w:p>
              </w:tc>
              <w:tc>
                <w:tcPr>
                  <w:tcW w:w="3005" w:type="pct"/>
                  <w:noWrap w:val="0"/>
                  <w:vAlign w:val="center"/>
                </w:tcPr>
                <w:p>
                  <w:pPr>
                    <w:jc w:val="center"/>
                    <w:rPr>
                      <w:rFonts w:hint="default"/>
                      <w:b w:val="0"/>
                      <w:bCs w:val="0"/>
                      <w:color w:val="auto"/>
                      <w:szCs w:val="21"/>
                      <w:vertAlign w:val="baseline"/>
                    </w:rPr>
                  </w:pPr>
                  <w:r>
                    <w:rPr>
                      <w:rFonts w:hint="eastAsia"/>
                      <w:b w:val="0"/>
                      <w:bCs w:val="0"/>
                      <w:color w:val="auto"/>
                      <w:szCs w:val="21"/>
                      <w:lang w:val="en-US" w:eastAsia="zh-CN"/>
                    </w:rPr>
                    <w:t>占地面积约7300m</w:t>
                  </w:r>
                  <w:r>
                    <w:rPr>
                      <w:rFonts w:hint="eastAsia"/>
                      <w:b w:val="0"/>
                      <w:bCs w:val="0"/>
                      <w:color w:val="auto"/>
                      <w:szCs w:val="21"/>
                      <w:vertAlign w:val="superscript"/>
                      <w:lang w:val="en-US" w:eastAsia="zh-CN"/>
                    </w:rPr>
                    <w:t>2</w:t>
                  </w:r>
                  <w:r>
                    <w:rPr>
                      <w:rFonts w:hint="eastAsia"/>
                      <w:b w:val="0"/>
                      <w:bCs w:val="0"/>
                      <w:color w:val="auto"/>
                      <w:szCs w:val="21"/>
                      <w:vertAlign w:val="baseline"/>
                      <w:lang w:val="en-US" w:eastAsia="zh-CN"/>
                    </w:rPr>
                    <w:t>，共设置停车位50个。</w:t>
                  </w:r>
                </w:p>
              </w:tc>
              <w:tc>
                <w:tcPr>
                  <w:tcW w:w="338" w:type="pct"/>
                  <w:noWrap w:val="0"/>
                  <w:vAlign w:val="center"/>
                </w:tcPr>
                <w:p>
                  <w:pPr>
                    <w:jc w:val="center"/>
                    <w:rPr>
                      <w:rFonts w:hint="default"/>
                      <w:b w:val="0"/>
                      <w:bCs w:val="0"/>
                      <w:color w:val="auto"/>
                      <w:szCs w:val="21"/>
                    </w:rPr>
                  </w:pPr>
                  <w:r>
                    <w:rPr>
                      <w:rFonts w:hint="eastAsia"/>
                      <w:b w:val="0"/>
                      <w:bCs w:val="0"/>
                      <w:color w:val="auto"/>
                      <w:szCs w:val="21"/>
                      <w:lang w:val="en-US" w:eastAsia="zh-CN"/>
                    </w:rPr>
                    <w:t>新建</w:t>
                  </w:r>
                </w:p>
              </w:tc>
            </w:tr>
            <w:tr>
              <w:tblPrEx>
                <w:tblW w:w="4989" w:type="pct"/>
                <w:jc w:val="center"/>
                <w:tblCellMar>
                  <w:top w:w="28" w:type="dxa"/>
                  <w:left w:w="11" w:type="dxa"/>
                  <w:bottom w:w="28" w:type="dxa"/>
                  <w:right w:w="11" w:type="dxa"/>
                </w:tblCellMar>
              </w:tblPrEx>
              <w:trPr>
                <w:cantSplit/>
                <w:jc w:val="center"/>
              </w:trPr>
              <w:tc>
                <w:tcPr>
                  <w:tcW w:w="339" w:type="pct"/>
                  <w:vMerge/>
                  <w:noWrap w:val="0"/>
                  <w:vAlign w:val="center"/>
                </w:tcPr>
                <w:p>
                  <w:pPr>
                    <w:jc w:val="center"/>
                    <w:rPr>
                      <w:b w:val="0"/>
                      <w:bCs w:val="0"/>
                      <w:color w:val="auto"/>
                      <w:szCs w:val="21"/>
                    </w:rPr>
                  </w:pPr>
                </w:p>
              </w:tc>
              <w:tc>
                <w:tcPr>
                  <w:tcW w:w="1317" w:type="pct"/>
                  <w:gridSpan w:val="2"/>
                  <w:noWrap w:val="0"/>
                  <w:vAlign w:val="center"/>
                </w:tcPr>
                <w:p>
                  <w:pPr>
                    <w:jc w:val="center"/>
                    <w:rPr>
                      <w:rFonts w:hint="eastAsia"/>
                      <w:b w:val="0"/>
                      <w:bCs w:val="0"/>
                      <w:color w:val="auto"/>
                      <w:kern w:val="0"/>
                      <w:szCs w:val="21"/>
                    </w:rPr>
                  </w:pPr>
                  <w:r>
                    <w:rPr>
                      <w:rFonts w:hint="eastAsia"/>
                      <w:b w:val="0"/>
                      <w:bCs w:val="0"/>
                      <w:color w:val="auto"/>
                      <w:kern w:val="0"/>
                      <w:szCs w:val="21"/>
                      <w:lang w:val="en-US" w:eastAsia="zh-CN"/>
                    </w:rPr>
                    <w:t>生活休闲区</w:t>
                  </w:r>
                </w:p>
              </w:tc>
              <w:tc>
                <w:tcPr>
                  <w:tcW w:w="3005" w:type="pct"/>
                  <w:noWrap w:val="0"/>
                  <w:vAlign w:val="center"/>
                </w:tcPr>
                <w:p>
                  <w:pPr>
                    <w:jc w:val="center"/>
                    <w:rPr>
                      <w:rFonts w:hint="default"/>
                      <w:b w:val="0"/>
                      <w:bCs w:val="0"/>
                      <w:color w:val="auto"/>
                      <w:szCs w:val="21"/>
                      <w:vertAlign w:val="baseline"/>
                    </w:rPr>
                  </w:pPr>
                  <w:r>
                    <w:rPr>
                      <w:rFonts w:hint="eastAsia"/>
                      <w:b w:val="0"/>
                      <w:bCs w:val="0"/>
                      <w:color w:val="auto"/>
                      <w:szCs w:val="21"/>
                      <w:lang w:val="en-US" w:eastAsia="zh-CN"/>
                    </w:rPr>
                    <w:t>占地面积约3200m</w:t>
                  </w:r>
                  <w:r>
                    <w:rPr>
                      <w:rFonts w:hint="eastAsia"/>
                      <w:b w:val="0"/>
                      <w:bCs w:val="0"/>
                      <w:color w:val="auto"/>
                      <w:szCs w:val="21"/>
                      <w:vertAlign w:val="superscript"/>
                      <w:lang w:val="en-US" w:eastAsia="zh-CN"/>
                    </w:rPr>
                    <w:t>2</w:t>
                  </w:r>
                  <w:r>
                    <w:rPr>
                      <w:rFonts w:hint="eastAsia"/>
                      <w:b w:val="0"/>
                      <w:bCs w:val="0"/>
                      <w:color w:val="auto"/>
                      <w:szCs w:val="21"/>
                      <w:vertAlign w:val="baseline"/>
                      <w:lang w:val="en-US" w:eastAsia="zh-CN"/>
                    </w:rPr>
                    <w:t>，布设游乐设施</w:t>
                  </w:r>
                </w:p>
              </w:tc>
              <w:tc>
                <w:tcPr>
                  <w:tcW w:w="338" w:type="pct"/>
                  <w:noWrap w:val="0"/>
                  <w:vAlign w:val="center"/>
                </w:tcPr>
                <w:p>
                  <w:pPr>
                    <w:jc w:val="center"/>
                    <w:rPr>
                      <w:rFonts w:hint="eastAsia"/>
                      <w:b w:val="0"/>
                      <w:bCs w:val="0"/>
                      <w:color w:val="auto"/>
                      <w:szCs w:val="21"/>
                    </w:rPr>
                  </w:pPr>
                  <w:r>
                    <w:rPr>
                      <w:rFonts w:hint="eastAsia"/>
                      <w:b w:val="0"/>
                      <w:bCs w:val="0"/>
                      <w:color w:val="auto"/>
                      <w:szCs w:val="21"/>
                      <w:lang w:val="en-US" w:eastAsia="zh-CN"/>
                    </w:rPr>
                    <w:t>新建</w:t>
                  </w:r>
                </w:p>
              </w:tc>
            </w:tr>
            <w:tr>
              <w:tblPrEx>
                <w:tblW w:w="4989" w:type="pct"/>
                <w:jc w:val="center"/>
                <w:tblCellMar>
                  <w:top w:w="28" w:type="dxa"/>
                  <w:left w:w="11" w:type="dxa"/>
                  <w:bottom w:w="28" w:type="dxa"/>
                  <w:right w:w="11" w:type="dxa"/>
                </w:tblCellMar>
              </w:tblPrEx>
              <w:trPr>
                <w:cantSplit/>
                <w:jc w:val="center"/>
              </w:trPr>
              <w:tc>
                <w:tcPr>
                  <w:tcW w:w="339" w:type="pct"/>
                  <w:vMerge w:val="restart"/>
                  <w:noWrap w:val="0"/>
                  <w:vAlign w:val="center"/>
                </w:tcPr>
                <w:p>
                  <w:pPr>
                    <w:jc w:val="center"/>
                    <w:rPr>
                      <w:b w:val="0"/>
                      <w:bCs w:val="0"/>
                      <w:color w:val="auto"/>
                      <w:szCs w:val="21"/>
                    </w:rPr>
                  </w:pPr>
                  <w:r>
                    <w:rPr>
                      <w:b w:val="0"/>
                      <w:bCs w:val="0"/>
                      <w:color w:val="auto"/>
                      <w:szCs w:val="21"/>
                    </w:rPr>
                    <w:t>环保工程</w:t>
                  </w:r>
                </w:p>
              </w:tc>
              <w:tc>
                <w:tcPr>
                  <w:tcW w:w="601" w:type="pct"/>
                  <w:tcBorders>
                    <w:right w:val="single" w:sz="4" w:space="0" w:color="auto"/>
                  </w:tcBorders>
                  <w:noWrap w:val="0"/>
                  <w:vAlign w:val="center"/>
                </w:tcPr>
                <w:p>
                  <w:pPr>
                    <w:jc w:val="center"/>
                    <w:rPr>
                      <w:b w:val="0"/>
                      <w:bCs w:val="0"/>
                      <w:color w:val="auto"/>
                      <w:kern w:val="0"/>
                      <w:szCs w:val="21"/>
                    </w:rPr>
                  </w:pPr>
                  <w:r>
                    <w:rPr>
                      <w:rFonts w:hint="eastAsia"/>
                      <w:b w:val="0"/>
                      <w:bCs w:val="0"/>
                      <w:color w:val="auto"/>
                      <w:kern w:val="0"/>
                      <w:szCs w:val="21"/>
                    </w:rPr>
                    <w:t>废水处理</w:t>
                  </w:r>
                </w:p>
              </w:tc>
              <w:tc>
                <w:tcPr>
                  <w:tcW w:w="716" w:type="pct"/>
                  <w:tcBorders>
                    <w:left w:val="single" w:sz="4" w:space="0" w:color="auto"/>
                  </w:tcBorders>
                  <w:noWrap w:val="0"/>
                  <w:vAlign w:val="center"/>
                </w:tcPr>
                <w:p>
                  <w:pPr>
                    <w:jc w:val="center"/>
                    <w:rPr>
                      <w:rFonts w:hint="default"/>
                      <w:b w:val="0"/>
                      <w:bCs w:val="0"/>
                      <w:color w:val="auto"/>
                      <w:kern w:val="0"/>
                      <w:szCs w:val="21"/>
                    </w:rPr>
                  </w:pPr>
                  <w:r>
                    <w:rPr>
                      <w:rFonts w:hint="eastAsia"/>
                      <w:b w:val="0"/>
                      <w:bCs w:val="0"/>
                      <w:color w:val="auto"/>
                      <w:kern w:val="0"/>
                      <w:szCs w:val="21"/>
                      <w:lang w:val="en-US" w:eastAsia="zh-CN"/>
                    </w:rPr>
                    <w:t>污水处理站</w:t>
                  </w:r>
                </w:p>
              </w:tc>
              <w:tc>
                <w:tcPr>
                  <w:tcW w:w="3005" w:type="pct"/>
                  <w:noWrap w:val="0"/>
                  <w:vAlign w:val="center"/>
                </w:tcPr>
                <w:p>
                  <w:pPr>
                    <w:jc w:val="center"/>
                    <w:rPr>
                      <w:b w:val="0"/>
                      <w:bCs w:val="0"/>
                      <w:color w:val="auto"/>
                      <w:szCs w:val="21"/>
                    </w:rPr>
                  </w:pPr>
                  <w:r>
                    <w:rPr>
                      <w:rFonts w:hint="eastAsia"/>
                      <w:b w:val="0"/>
                      <w:bCs w:val="0"/>
                      <w:color w:val="auto"/>
                      <w:szCs w:val="21"/>
                    </w:rPr>
                    <w:t>生活污水经</w:t>
                  </w:r>
                  <w:r>
                    <w:rPr>
                      <w:rFonts w:hint="eastAsia"/>
                      <w:b w:val="0"/>
                      <w:bCs w:val="0"/>
                      <w:color w:val="auto"/>
                      <w:szCs w:val="21"/>
                      <w:lang w:val="en-US" w:eastAsia="zh-CN"/>
                    </w:rPr>
                    <w:t>大小洞天污水处理站处理后回用于绿化</w:t>
                  </w:r>
                  <w:r>
                    <w:rPr>
                      <w:rFonts w:hint="eastAsia"/>
                      <w:b w:val="0"/>
                      <w:bCs w:val="0"/>
                      <w:color w:val="auto"/>
                      <w:szCs w:val="21"/>
                    </w:rPr>
                    <w:t>。</w:t>
                  </w:r>
                </w:p>
              </w:tc>
              <w:tc>
                <w:tcPr>
                  <w:tcW w:w="338" w:type="pct"/>
                  <w:noWrap w:val="0"/>
                  <w:vAlign w:val="center"/>
                </w:tcPr>
                <w:p>
                  <w:pPr>
                    <w:jc w:val="center"/>
                    <w:rPr>
                      <w:rFonts w:hint="eastAsia"/>
                      <w:b w:val="0"/>
                      <w:bCs w:val="0"/>
                      <w:color w:val="auto"/>
                      <w:szCs w:val="21"/>
                    </w:rPr>
                  </w:pPr>
                  <w:r>
                    <w:rPr>
                      <w:rFonts w:hint="eastAsia"/>
                      <w:b w:val="0"/>
                      <w:bCs w:val="0"/>
                      <w:color w:val="auto"/>
                      <w:szCs w:val="21"/>
                      <w:lang w:val="en-US" w:eastAsia="zh-CN"/>
                    </w:rPr>
                    <w:t>依托</w:t>
                  </w:r>
                </w:p>
              </w:tc>
            </w:tr>
            <w:tr>
              <w:tblPrEx>
                <w:tblW w:w="4989" w:type="pct"/>
                <w:jc w:val="center"/>
                <w:tblCellMar>
                  <w:top w:w="28" w:type="dxa"/>
                  <w:left w:w="11" w:type="dxa"/>
                  <w:bottom w:w="28" w:type="dxa"/>
                  <w:right w:w="11" w:type="dxa"/>
                </w:tblCellMar>
              </w:tblPrEx>
              <w:trPr>
                <w:cantSplit/>
                <w:jc w:val="center"/>
              </w:trPr>
              <w:tc>
                <w:tcPr>
                  <w:tcW w:w="339" w:type="pct"/>
                  <w:vMerge/>
                  <w:noWrap w:val="0"/>
                  <w:vAlign w:val="center"/>
                </w:tcPr>
                <w:p>
                  <w:pPr>
                    <w:jc w:val="center"/>
                    <w:rPr>
                      <w:b w:val="0"/>
                      <w:bCs w:val="0"/>
                      <w:color w:val="auto"/>
                      <w:szCs w:val="21"/>
                    </w:rPr>
                  </w:pPr>
                </w:p>
              </w:tc>
              <w:tc>
                <w:tcPr>
                  <w:tcW w:w="601" w:type="pct"/>
                  <w:tcBorders>
                    <w:right w:val="single" w:sz="4" w:space="0" w:color="auto"/>
                  </w:tcBorders>
                  <w:noWrap w:val="0"/>
                  <w:vAlign w:val="center"/>
                </w:tcPr>
                <w:p>
                  <w:pPr>
                    <w:jc w:val="center"/>
                    <w:rPr>
                      <w:b w:val="0"/>
                      <w:bCs w:val="0"/>
                      <w:color w:val="auto"/>
                      <w:kern w:val="0"/>
                      <w:szCs w:val="21"/>
                    </w:rPr>
                  </w:pPr>
                  <w:r>
                    <w:rPr>
                      <w:rFonts w:hint="eastAsia"/>
                      <w:b w:val="0"/>
                      <w:bCs w:val="0"/>
                      <w:color w:val="auto"/>
                      <w:kern w:val="0"/>
                      <w:szCs w:val="21"/>
                    </w:rPr>
                    <w:t>噪声处理</w:t>
                  </w:r>
                </w:p>
              </w:tc>
              <w:tc>
                <w:tcPr>
                  <w:tcW w:w="716" w:type="pct"/>
                  <w:tcBorders>
                    <w:left w:val="single" w:sz="4" w:space="0" w:color="auto"/>
                  </w:tcBorders>
                  <w:noWrap w:val="0"/>
                  <w:vAlign w:val="center"/>
                </w:tcPr>
                <w:p>
                  <w:pPr>
                    <w:jc w:val="center"/>
                    <w:rPr>
                      <w:b w:val="0"/>
                      <w:bCs w:val="0"/>
                      <w:color w:val="auto"/>
                      <w:kern w:val="0"/>
                      <w:szCs w:val="21"/>
                    </w:rPr>
                  </w:pPr>
                  <w:r>
                    <w:rPr>
                      <w:rFonts w:hint="eastAsia"/>
                      <w:b w:val="0"/>
                      <w:bCs w:val="0"/>
                      <w:color w:val="auto"/>
                      <w:kern w:val="0"/>
                      <w:szCs w:val="21"/>
                    </w:rPr>
                    <w:t>噪声源处</w:t>
                  </w:r>
                </w:p>
              </w:tc>
              <w:tc>
                <w:tcPr>
                  <w:tcW w:w="3005" w:type="pct"/>
                  <w:noWrap w:val="0"/>
                  <w:vAlign w:val="center"/>
                </w:tcPr>
                <w:p>
                  <w:pPr>
                    <w:jc w:val="center"/>
                    <w:rPr>
                      <w:rFonts w:hint="default"/>
                      <w:b w:val="0"/>
                      <w:bCs w:val="0"/>
                      <w:color w:val="auto"/>
                      <w:szCs w:val="21"/>
                    </w:rPr>
                  </w:pPr>
                  <w:r>
                    <w:rPr>
                      <w:rFonts w:hint="eastAsia"/>
                      <w:b w:val="0"/>
                      <w:bCs w:val="0"/>
                      <w:color w:val="auto"/>
                      <w:szCs w:val="21"/>
                      <w:lang w:val="en-US" w:eastAsia="zh-CN"/>
                    </w:rPr>
                    <w:t>周边绿化、减震隔声设备</w:t>
                  </w:r>
                </w:p>
              </w:tc>
              <w:tc>
                <w:tcPr>
                  <w:tcW w:w="338" w:type="pct"/>
                  <w:noWrap w:val="0"/>
                  <w:vAlign w:val="center"/>
                </w:tcPr>
                <w:p>
                  <w:pPr>
                    <w:jc w:val="center"/>
                    <w:rPr>
                      <w:rFonts w:hint="eastAsia"/>
                      <w:b w:val="0"/>
                      <w:bCs w:val="0"/>
                      <w:color w:val="auto"/>
                      <w:szCs w:val="21"/>
                    </w:rPr>
                  </w:pPr>
                  <w:r>
                    <w:rPr>
                      <w:rFonts w:hint="eastAsia"/>
                      <w:b w:val="0"/>
                      <w:bCs w:val="0"/>
                      <w:color w:val="auto"/>
                      <w:szCs w:val="21"/>
                    </w:rPr>
                    <w:t>新建</w:t>
                  </w:r>
                </w:p>
              </w:tc>
            </w:tr>
            <w:tr>
              <w:tblPrEx>
                <w:tblW w:w="4989" w:type="pct"/>
                <w:jc w:val="center"/>
                <w:tblCellMar>
                  <w:top w:w="28" w:type="dxa"/>
                  <w:left w:w="11" w:type="dxa"/>
                  <w:bottom w:w="28" w:type="dxa"/>
                  <w:right w:w="11" w:type="dxa"/>
                </w:tblCellMar>
              </w:tblPrEx>
              <w:trPr>
                <w:cantSplit/>
                <w:jc w:val="center"/>
              </w:trPr>
              <w:tc>
                <w:tcPr>
                  <w:tcW w:w="339" w:type="pct"/>
                  <w:vMerge/>
                  <w:noWrap w:val="0"/>
                  <w:vAlign w:val="center"/>
                </w:tcPr>
                <w:p>
                  <w:pPr>
                    <w:jc w:val="center"/>
                    <w:rPr>
                      <w:b w:val="0"/>
                      <w:bCs w:val="0"/>
                      <w:color w:val="auto"/>
                      <w:szCs w:val="21"/>
                    </w:rPr>
                  </w:pPr>
                </w:p>
              </w:tc>
              <w:tc>
                <w:tcPr>
                  <w:tcW w:w="601" w:type="pct"/>
                  <w:tcBorders>
                    <w:right w:val="single" w:sz="4" w:space="0" w:color="auto"/>
                  </w:tcBorders>
                  <w:noWrap w:val="0"/>
                  <w:vAlign w:val="center"/>
                </w:tcPr>
                <w:p>
                  <w:pPr>
                    <w:jc w:val="center"/>
                    <w:rPr>
                      <w:b w:val="0"/>
                      <w:bCs w:val="0"/>
                      <w:color w:val="auto"/>
                      <w:kern w:val="0"/>
                      <w:szCs w:val="21"/>
                    </w:rPr>
                  </w:pPr>
                  <w:r>
                    <w:rPr>
                      <w:rFonts w:hint="eastAsia"/>
                      <w:b w:val="0"/>
                      <w:bCs w:val="0"/>
                      <w:color w:val="auto"/>
                      <w:kern w:val="0"/>
                      <w:szCs w:val="21"/>
                    </w:rPr>
                    <w:t>固废</w:t>
                  </w:r>
                </w:p>
              </w:tc>
              <w:tc>
                <w:tcPr>
                  <w:tcW w:w="716" w:type="pct"/>
                  <w:tcBorders>
                    <w:left w:val="single" w:sz="4" w:space="0" w:color="auto"/>
                  </w:tcBorders>
                  <w:noWrap w:val="0"/>
                  <w:vAlign w:val="center"/>
                </w:tcPr>
                <w:p>
                  <w:pPr>
                    <w:jc w:val="center"/>
                    <w:rPr>
                      <w:b w:val="0"/>
                      <w:bCs w:val="0"/>
                      <w:color w:val="auto"/>
                      <w:kern w:val="0"/>
                      <w:szCs w:val="21"/>
                    </w:rPr>
                  </w:pPr>
                  <w:r>
                    <w:rPr>
                      <w:rFonts w:hint="eastAsia"/>
                      <w:b w:val="0"/>
                      <w:bCs w:val="0"/>
                      <w:color w:val="auto"/>
                      <w:kern w:val="0"/>
                      <w:szCs w:val="21"/>
                    </w:rPr>
                    <w:t>一般固废</w:t>
                  </w:r>
                </w:p>
              </w:tc>
              <w:tc>
                <w:tcPr>
                  <w:tcW w:w="3005" w:type="pct"/>
                  <w:noWrap w:val="0"/>
                  <w:vAlign w:val="center"/>
                </w:tcPr>
                <w:p>
                  <w:pPr>
                    <w:jc w:val="center"/>
                    <w:rPr>
                      <w:b w:val="0"/>
                      <w:bCs w:val="0"/>
                      <w:color w:val="auto"/>
                      <w:szCs w:val="21"/>
                    </w:rPr>
                  </w:pPr>
                  <w:r>
                    <w:rPr>
                      <w:rFonts w:hint="eastAsia"/>
                      <w:b w:val="0"/>
                      <w:bCs w:val="0"/>
                      <w:color w:val="auto"/>
                      <w:szCs w:val="21"/>
                    </w:rPr>
                    <w:t>生活垃圾、一般固废交由环卫部门处理</w:t>
                  </w:r>
                </w:p>
              </w:tc>
              <w:tc>
                <w:tcPr>
                  <w:tcW w:w="338" w:type="pct"/>
                  <w:noWrap w:val="0"/>
                  <w:vAlign w:val="center"/>
                </w:tcPr>
                <w:p>
                  <w:pPr>
                    <w:jc w:val="center"/>
                    <w:rPr>
                      <w:rFonts w:hint="eastAsia"/>
                      <w:b w:val="0"/>
                      <w:bCs w:val="0"/>
                      <w:color w:val="auto"/>
                      <w:szCs w:val="21"/>
                    </w:rPr>
                  </w:pPr>
                  <w:r>
                    <w:rPr>
                      <w:rFonts w:hint="eastAsia"/>
                      <w:b w:val="0"/>
                      <w:bCs w:val="0"/>
                      <w:color w:val="auto"/>
                      <w:szCs w:val="21"/>
                      <w:lang w:val="en-US" w:eastAsia="zh-CN"/>
                    </w:rPr>
                    <w:t>依托</w:t>
                  </w:r>
                </w:p>
              </w:tc>
            </w:tr>
            <w:tr>
              <w:tblPrEx>
                <w:tblW w:w="4989" w:type="pct"/>
                <w:jc w:val="center"/>
                <w:tblCellMar>
                  <w:top w:w="28" w:type="dxa"/>
                  <w:left w:w="11" w:type="dxa"/>
                  <w:bottom w:w="28" w:type="dxa"/>
                  <w:right w:w="11" w:type="dxa"/>
                </w:tblCellMar>
              </w:tblPrEx>
              <w:trPr>
                <w:cantSplit/>
                <w:jc w:val="center"/>
              </w:trPr>
              <w:tc>
                <w:tcPr>
                  <w:tcW w:w="339" w:type="pct"/>
                  <w:vMerge w:val="restart"/>
                  <w:noWrap w:val="0"/>
                  <w:vAlign w:val="center"/>
                </w:tcPr>
                <w:p>
                  <w:pPr>
                    <w:jc w:val="center"/>
                    <w:rPr>
                      <w:b w:val="0"/>
                      <w:bCs w:val="0"/>
                      <w:color w:val="auto"/>
                      <w:szCs w:val="21"/>
                    </w:rPr>
                  </w:pPr>
                  <w:r>
                    <w:rPr>
                      <w:rFonts w:hint="eastAsia"/>
                      <w:b w:val="0"/>
                      <w:bCs w:val="0"/>
                      <w:color w:val="auto"/>
                      <w:szCs w:val="21"/>
                    </w:rPr>
                    <w:t>依托</w:t>
                  </w:r>
                </w:p>
                <w:p>
                  <w:pPr>
                    <w:jc w:val="center"/>
                    <w:rPr>
                      <w:b w:val="0"/>
                      <w:bCs w:val="0"/>
                      <w:color w:val="auto"/>
                      <w:szCs w:val="21"/>
                    </w:rPr>
                  </w:pPr>
                  <w:r>
                    <w:rPr>
                      <w:b w:val="0"/>
                      <w:bCs w:val="0"/>
                      <w:color w:val="auto"/>
                      <w:szCs w:val="21"/>
                    </w:rPr>
                    <w:t>工程</w:t>
                  </w:r>
                </w:p>
              </w:tc>
              <w:tc>
                <w:tcPr>
                  <w:tcW w:w="1317" w:type="pct"/>
                  <w:gridSpan w:val="2"/>
                  <w:noWrap w:val="0"/>
                  <w:vAlign w:val="center"/>
                </w:tcPr>
                <w:p>
                  <w:pPr>
                    <w:jc w:val="center"/>
                    <w:rPr>
                      <w:rFonts w:hint="eastAsia"/>
                      <w:b w:val="0"/>
                      <w:bCs w:val="0"/>
                      <w:color w:val="auto"/>
                      <w:szCs w:val="21"/>
                    </w:rPr>
                  </w:pPr>
                  <w:r>
                    <w:rPr>
                      <w:rFonts w:hint="eastAsia"/>
                      <w:b w:val="0"/>
                      <w:bCs w:val="0"/>
                      <w:color w:val="auto"/>
                      <w:szCs w:val="21"/>
                    </w:rPr>
                    <w:t>供水</w:t>
                  </w:r>
                </w:p>
              </w:tc>
              <w:tc>
                <w:tcPr>
                  <w:tcW w:w="3005" w:type="pct"/>
                  <w:noWrap w:val="0"/>
                  <w:vAlign w:val="center"/>
                </w:tcPr>
                <w:p>
                  <w:pPr>
                    <w:jc w:val="center"/>
                    <w:rPr>
                      <w:b w:val="0"/>
                      <w:bCs w:val="0"/>
                      <w:color w:val="auto"/>
                      <w:szCs w:val="21"/>
                      <w:u w:val="none" w:color="FFFFFF"/>
                    </w:rPr>
                  </w:pPr>
                  <w:r>
                    <w:rPr>
                      <w:rFonts w:hint="eastAsia"/>
                      <w:b w:val="0"/>
                      <w:bCs w:val="0"/>
                      <w:color w:val="auto"/>
                      <w:szCs w:val="21"/>
                      <w:u w:val="none" w:color="FFFFFF"/>
                    </w:rPr>
                    <w:t>供水由市政供水管网供水</w:t>
                  </w:r>
                </w:p>
              </w:tc>
              <w:tc>
                <w:tcPr>
                  <w:tcW w:w="338" w:type="pct"/>
                  <w:noWrap w:val="0"/>
                  <w:vAlign w:val="center"/>
                </w:tcPr>
                <w:p>
                  <w:pPr>
                    <w:jc w:val="center"/>
                    <w:rPr>
                      <w:b w:val="0"/>
                      <w:bCs w:val="0"/>
                      <w:color w:val="auto"/>
                      <w:szCs w:val="21"/>
                      <w:u w:val="none" w:color="FFFFFF"/>
                    </w:rPr>
                  </w:pPr>
                  <w:r>
                    <w:rPr>
                      <w:rFonts w:hint="eastAsia"/>
                      <w:b w:val="0"/>
                      <w:bCs w:val="0"/>
                      <w:color w:val="auto"/>
                      <w:szCs w:val="21"/>
                      <w:u w:val="none" w:color="FFFFFF"/>
                    </w:rPr>
                    <w:t>依托</w:t>
                  </w:r>
                </w:p>
              </w:tc>
            </w:tr>
            <w:tr>
              <w:tblPrEx>
                <w:tblW w:w="4989" w:type="pct"/>
                <w:jc w:val="center"/>
                <w:tblCellMar>
                  <w:top w:w="28" w:type="dxa"/>
                  <w:left w:w="11" w:type="dxa"/>
                  <w:bottom w:w="28" w:type="dxa"/>
                  <w:right w:w="11" w:type="dxa"/>
                </w:tblCellMar>
              </w:tblPrEx>
              <w:trPr>
                <w:cantSplit/>
                <w:jc w:val="center"/>
              </w:trPr>
              <w:tc>
                <w:tcPr>
                  <w:tcW w:w="339" w:type="pct"/>
                  <w:vMerge/>
                  <w:noWrap w:val="0"/>
                  <w:vAlign w:val="center"/>
                </w:tcPr>
                <w:p>
                  <w:pPr>
                    <w:jc w:val="center"/>
                    <w:rPr>
                      <w:b w:val="0"/>
                      <w:bCs w:val="0"/>
                      <w:color w:val="auto"/>
                      <w:szCs w:val="21"/>
                    </w:rPr>
                  </w:pPr>
                </w:p>
              </w:tc>
              <w:tc>
                <w:tcPr>
                  <w:tcW w:w="1317" w:type="pct"/>
                  <w:gridSpan w:val="2"/>
                  <w:noWrap w:val="0"/>
                  <w:vAlign w:val="center"/>
                </w:tcPr>
                <w:p>
                  <w:pPr>
                    <w:jc w:val="center"/>
                    <w:rPr>
                      <w:rFonts w:hint="eastAsia"/>
                      <w:b w:val="0"/>
                      <w:bCs w:val="0"/>
                      <w:color w:val="auto"/>
                      <w:szCs w:val="21"/>
                    </w:rPr>
                  </w:pPr>
                  <w:r>
                    <w:rPr>
                      <w:rFonts w:hint="eastAsia"/>
                      <w:b w:val="0"/>
                      <w:bCs w:val="0"/>
                      <w:color w:val="auto"/>
                      <w:szCs w:val="21"/>
                    </w:rPr>
                    <w:t>供电</w:t>
                  </w:r>
                </w:p>
              </w:tc>
              <w:tc>
                <w:tcPr>
                  <w:tcW w:w="3005" w:type="pct"/>
                  <w:noWrap w:val="0"/>
                  <w:vAlign w:val="center"/>
                </w:tcPr>
                <w:p>
                  <w:pPr>
                    <w:jc w:val="center"/>
                    <w:rPr>
                      <w:b w:val="0"/>
                      <w:bCs w:val="0"/>
                      <w:color w:val="auto"/>
                      <w:szCs w:val="21"/>
                    </w:rPr>
                  </w:pPr>
                  <w:r>
                    <w:rPr>
                      <w:rFonts w:hint="eastAsia"/>
                      <w:b w:val="0"/>
                      <w:bCs w:val="0"/>
                      <w:color w:val="auto"/>
                      <w:szCs w:val="21"/>
                    </w:rPr>
                    <w:t>供电由市政电网供电</w:t>
                  </w:r>
                </w:p>
              </w:tc>
              <w:tc>
                <w:tcPr>
                  <w:tcW w:w="338" w:type="pct"/>
                  <w:noWrap w:val="0"/>
                  <w:vAlign w:val="center"/>
                </w:tcPr>
                <w:p>
                  <w:pPr>
                    <w:jc w:val="center"/>
                    <w:rPr>
                      <w:b w:val="0"/>
                      <w:bCs w:val="0"/>
                      <w:color w:val="auto"/>
                      <w:szCs w:val="21"/>
                    </w:rPr>
                  </w:pPr>
                  <w:r>
                    <w:rPr>
                      <w:rFonts w:hint="eastAsia"/>
                      <w:b w:val="0"/>
                      <w:bCs w:val="0"/>
                      <w:color w:val="auto"/>
                      <w:szCs w:val="21"/>
                    </w:rPr>
                    <w:t>依托</w:t>
                  </w:r>
                </w:p>
              </w:tc>
            </w:tr>
            <w:tr>
              <w:tblPrEx>
                <w:tblW w:w="4989" w:type="pct"/>
                <w:jc w:val="center"/>
                <w:tblCellMar>
                  <w:top w:w="28" w:type="dxa"/>
                  <w:left w:w="11" w:type="dxa"/>
                  <w:bottom w:w="28" w:type="dxa"/>
                  <w:right w:w="11" w:type="dxa"/>
                </w:tblCellMar>
              </w:tblPrEx>
              <w:trPr>
                <w:cantSplit/>
                <w:jc w:val="center"/>
              </w:trPr>
              <w:tc>
                <w:tcPr>
                  <w:tcW w:w="339" w:type="pct"/>
                  <w:vMerge/>
                  <w:noWrap w:val="0"/>
                  <w:vAlign w:val="center"/>
                </w:tcPr>
                <w:p>
                  <w:pPr>
                    <w:jc w:val="center"/>
                    <w:rPr>
                      <w:b w:val="0"/>
                      <w:bCs w:val="0"/>
                      <w:color w:val="auto"/>
                      <w:szCs w:val="21"/>
                    </w:rPr>
                  </w:pPr>
                </w:p>
              </w:tc>
              <w:tc>
                <w:tcPr>
                  <w:tcW w:w="1317" w:type="pct"/>
                  <w:gridSpan w:val="2"/>
                  <w:noWrap w:val="0"/>
                  <w:vAlign w:val="center"/>
                </w:tcPr>
                <w:p>
                  <w:pPr>
                    <w:jc w:val="center"/>
                    <w:rPr>
                      <w:b w:val="0"/>
                      <w:bCs w:val="0"/>
                      <w:color w:val="auto"/>
                      <w:szCs w:val="21"/>
                    </w:rPr>
                  </w:pPr>
                  <w:r>
                    <w:rPr>
                      <w:rFonts w:hint="eastAsia"/>
                      <w:b w:val="0"/>
                      <w:bCs w:val="0"/>
                      <w:color w:val="auto"/>
                      <w:szCs w:val="21"/>
                    </w:rPr>
                    <w:t>排水</w:t>
                  </w:r>
                </w:p>
              </w:tc>
              <w:tc>
                <w:tcPr>
                  <w:tcW w:w="3005" w:type="pct"/>
                  <w:noWrap w:val="0"/>
                  <w:vAlign w:val="center"/>
                </w:tcPr>
                <w:p>
                  <w:pPr>
                    <w:pStyle w:val="CommentText"/>
                    <w:jc w:val="center"/>
                    <w:rPr>
                      <w:rFonts w:eastAsia="宋体" w:hint="default"/>
                      <w:b w:val="0"/>
                      <w:bCs w:val="0"/>
                      <w:color w:val="auto"/>
                      <w:szCs w:val="21"/>
                      <w:lang w:val="en-US" w:eastAsia="zh-CN"/>
                    </w:rPr>
                  </w:pPr>
                  <w:r>
                    <w:rPr>
                      <w:rFonts w:hint="eastAsia"/>
                      <w:b w:val="0"/>
                      <w:bCs w:val="0"/>
                      <w:color w:val="auto"/>
                      <w:sz w:val="21"/>
                      <w:szCs w:val="28"/>
                    </w:rPr>
                    <w:t>污水</w:t>
                  </w:r>
                  <w:r>
                    <w:rPr>
                      <w:rFonts w:hint="eastAsia"/>
                      <w:b w:val="0"/>
                      <w:bCs w:val="0"/>
                      <w:color w:val="auto"/>
                      <w:sz w:val="21"/>
                      <w:szCs w:val="28"/>
                      <w:lang w:val="en-US" w:eastAsia="zh-CN"/>
                    </w:rPr>
                    <w:t>排水</w:t>
                  </w:r>
                  <w:r>
                    <w:rPr>
                      <w:rFonts w:hint="eastAsia"/>
                      <w:b w:val="0"/>
                      <w:bCs w:val="0"/>
                      <w:color w:val="auto"/>
                      <w:sz w:val="21"/>
                      <w:szCs w:val="28"/>
                    </w:rPr>
                    <w:t>依托</w:t>
                  </w:r>
                  <w:r>
                    <w:rPr>
                      <w:rFonts w:hint="eastAsia"/>
                      <w:b w:val="0"/>
                      <w:bCs w:val="0"/>
                      <w:color w:val="auto"/>
                      <w:sz w:val="21"/>
                      <w:szCs w:val="28"/>
                      <w:lang w:val="en-US" w:eastAsia="zh-CN"/>
                    </w:rPr>
                    <w:t>大小洞天景区的污水管网</w:t>
                  </w:r>
                </w:p>
              </w:tc>
              <w:tc>
                <w:tcPr>
                  <w:tcW w:w="338" w:type="pct"/>
                  <w:noWrap w:val="0"/>
                  <w:vAlign w:val="center"/>
                </w:tcPr>
                <w:p>
                  <w:pPr>
                    <w:jc w:val="center"/>
                    <w:rPr>
                      <w:b w:val="0"/>
                      <w:bCs w:val="0"/>
                      <w:color w:val="auto"/>
                      <w:szCs w:val="21"/>
                    </w:rPr>
                  </w:pPr>
                  <w:r>
                    <w:rPr>
                      <w:rFonts w:hint="eastAsia"/>
                      <w:b w:val="0"/>
                      <w:bCs w:val="0"/>
                      <w:color w:val="auto"/>
                      <w:szCs w:val="21"/>
                    </w:rPr>
                    <w:t>依托</w:t>
                  </w:r>
                </w:p>
              </w:tc>
            </w:tr>
            <w:tr>
              <w:tblPrEx>
                <w:tblW w:w="4989" w:type="pct"/>
                <w:jc w:val="center"/>
                <w:tblCellMar>
                  <w:top w:w="28" w:type="dxa"/>
                  <w:left w:w="11" w:type="dxa"/>
                  <w:bottom w:w="28" w:type="dxa"/>
                  <w:right w:w="11" w:type="dxa"/>
                </w:tblCellMar>
              </w:tblPrEx>
              <w:trPr>
                <w:cantSplit/>
                <w:jc w:val="center"/>
              </w:trPr>
              <w:tc>
                <w:tcPr>
                  <w:tcW w:w="339" w:type="pct"/>
                  <w:vMerge w:val="restart"/>
                  <w:noWrap w:val="0"/>
                  <w:vAlign w:val="center"/>
                </w:tcPr>
                <w:p>
                  <w:pPr>
                    <w:jc w:val="center"/>
                    <w:rPr>
                      <w:b w:val="0"/>
                      <w:bCs w:val="0"/>
                      <w:color w:val="auto"/>
                      <w:szCs w:val="21"/>
                    </w:rPr>
                  </w:pPr>
                  <w:r>
                    <w:rPr>
                      <w:rFonts w:hint="eastAsia"/>
                      <w:b w:val="0"/>
                      <w:bCs w:val="0"/>
                      <w:color w:val="auto"/>
                      <w:szCs w:val="21"/>
                    </w:rPr>
                    <w:t>临时工程</w:t>
                  </w:r>
                </w:p>
              </w:tc>
              <w:tc>
                <w:tcPr>
                  <w:tcW w:w="1317" w:type="pct"/>
                  <w:gridSpan w:val="2"/>
                  <w:noWrap w:val="0"/>
                  <w:vAlign w:val="center"/>
                </w:tcPr>
                <w:p>
                  <w:pPr>
                    <w:jc w:val="center"/>
                    <w:rPr>
                      <w:b w:val="0"/>
                      <w:bCs w:val="0"/>
                      <w:color w:val="auto"/>
                      <w:szCs w:val="21"/>
                    </w:rPr>
                  </w:pPr>
                  <w:r>
                    <w:rPr>
                      <w:rFonts w:hint="eastAsia"/>
                      <w:b w:val="0"/>
                      <w:bCs w:val="0"/>
                      <w:color w:val="auto"/>
                      <w:szCs w:val="21"/>
                    </w:rPr>
                    <w:t>施工营地</w:t>
                  </w:r>
                </w:p>
              </w:tc>
              <w:tc>
                <w:tcPr>
                  <w:tcW w:w="3005" w:type="pct"/>
                  <w:noWrap w:val="0"/>
                  <w:vAlign w:val="center"/>
                </w:tcPr>
                <w:p>
                  <w:pPr>
                    <w:jc w:val="center"/>
                    <w:rPr>
                      <w:rFonts w:hint="default"/>
                      <w:b w:val="0"/>
                      <w:bCs w:val="0"/>
                      <w:color w:val="auto"/>
                      <w:szCs w:val="21"/>
                    </w:rPr>
                  </w:pPr>
                  <w:r>
                    <w:rPr>
                      <w:rFonts w:hint="eastAsia"/>
                      <w:b w:val="0"/>
                      <w:bCs w:val="0"/>
                      <w:color w:val="auto"/>
                      <w:szCs w:val="21"/>
                      <w:lang w:val="en-US" w:eastAsia="zh-CN"/>
                    </w:rPr>
                    <w:t>本项目不设施工营地</w:t>
                  </w:r>
                </w:p>
              </w:tc>
              <w:tc>
                <w:tcPr>
                  <w:tcW w:w="338" w:type="pct"/>
                  <w:noWrap w:val="0"/>
                  <w:vAlign w:val="center"/>
                </w:tcPr>
                <w:p>
                  <w:pPr>
                    <w:jc w:val="center"/>
                    <w:rPr>
                      <w:rFonts w:hint="eastAsia"/>
                      <w:b w:val="0"/>
                      <w:bCs w:val="0"/>
                      <w:color w:val="auto"/>
                      <w:szCs w:val="21"/>
                    </w:rPr>
                  </w:pPr>
                  <w:r>
                    <w:rPr>
                      <w:rFonts w:hint="eastAsia"/>
                      <w:b w:val="0"/>
                      <w:bCs w:val="0"/>
                      <w:color w:val="auto"/>
                      <w:szCs w:val="21"/>
                      <w:lang w:val="en-US" w:eastAsia="zh-CN"/>
                    </w:rPr>
                    <w:t>/</w:t>
                  </w:r>
                </w:p>
              </w:tc>
            </w:tr>
            <w:tr>
              <w:tblPrEx>
                <w:tblW w:w="4989" w:type="pct"/>
                <w:jc w:val="center"/>
                <w:tblCellMar>
                  <w:top w:w="28" w:type="dxa"/>
                  <w:left w:w="11" w:type="dxa"/>
                  <w:bottom w:w="28" w:type="dxa"/>
                  <w:right w:w="11" w:type="dxa"/>
                </w:tblCellMar>
              </w:tblPrEx>
              <w:trPr>
                <w:cantSplit/>
                <w:trHeight w:val="721"/>
                <w:jc w:val="center"/>
              </w:trPr>
              <w:tc>
                <w:tcPr>
                  <w:tcW w:w="339" w:type="pct"/>
                  <w:vMerge/>
                  <w:noWrap w:val="0"/>
                  <w:vAlign w:val="center"/>
                </w:tcPr>
                <w:p>
                  <w:pPr>
                    <w:jc w:val="center"/>
                    <w:rPr>
                      <w:rFonts w:hint="eastAsia"/>
                      <w:b w:val="0"/>
                      <w:bCs w:val="0"/>
                      <w:color w:val="auto"/>
                      <w:szCs w:val="21"/>
                    </w:rPr>
                  </w:pPr>
                </w:p>
              </w:tc>
              <w:tc>
                <w:tcPr>
                  <w:tcW w:w="1317" w:type="pct"/>
                  <w:gridSpan w:val="2"/>
                  <w:noWrap w:val="0"/>
                  <w:vAlign w:val="center"/>
                </w:tcPr>
                <w:p>
                  <w:pPr>
                    <w:jc w:val="center"/>
                    <w:rPr>
                      <w:b w:val="0"/>
                      <w:bCs w:val="0"/>
                      <w:color w:val="auto"/>
                      <w:szCs w:val="21"/>
                    </w:rPr>
                  </w:pPr>
                  <w:r>
                    <w:rPr>
                      <w:rFonts w:hint="eastAsia"/>
                      <w:b w:val="0"/>
                      <w:bCs w:val="0"/>
                      <w:color w:val="auto"/>
                      <w:szCs w:val="21"/>
                    </w:rPr>
                    <w:t>临时堆料场</w:t>
                  </w:r>
                </w:p>
              </w:tc>
              <w:tc>
                <w:tcPr>
                  <w:tcW w:w="3005" w:type="pct"/>
                  <w:noWrap w:val="0"/>
                  <w:vAlign w:val="center"/>
                </w:tcPr>
                <w:p>
                  <w:pPr>
                    <w:jc w:val="center"/>
                    <w:rPr>
                      <w:b w:val="0"/>
                      <w:bCs w:val="0"/>
                      <w:color w:val="auto"/>
                      <w:szCs w:val="21"/>
                    </w:rPr>
                  </w:pPr>
                  <w:r>
                    <w:rPr>
                      <w:rFonts w:hint="eastAsia"/>
                      <w:b w:val="0"/>
                      <w:bCs w:val="0"/>
                      <w:color w:val="auto"/>
                      <w:szCs w:val="21"/>
                    </w:rPr>
                    <w:t>临时堆料场位于</w:t>
                  </w:r>
                  <w:r>
                    <w:rPr>
                      <w:rFonts w:hint="eastAsia"/>
                      <w:b w:val="0"/>
                      <w:bCs w:val="0"/>
                      <w:color w:val="auto"/>
                      <w:szCs w:val="21"/>
                      <w:lang w:val="en-US" w:eastAsia="zh-CN"/>
                    </w:rPr>
                    <w:t>新建办公楼</w:t>
                  </w:r>
                  <w:r>
                    <w:rPr>
                      <w:rFonts w:hint="eastAsia"/>
                      <w:b w:val="0"/>
                      <w:bCs w:val="0"/>
                      <w:color w:val="auto"/>
                      <w:szCs w:val="21"/>
                    </w:rPr>
                    <w:t>的</w:t>
                  </w:r>
                  <w:r>
                    <w:rPr>
                      <w:rFonts w:hint="eastAsia"/>
                      <w:b w:val="0"/>
                      <w:bCs w:val="0"/>
                      <w:color w:val="auto"/>
                      <w:szCs w:val="21"/>
                      <w:lang w:val="en-US" w:eastAsia="zh-CN"/>
                    </w:rPr>
                    <w:t>南</w:t>
                  </w:r>
                  <w:r>
                    <w:rPr>
                      <w:rFonts w:hint="eastAsia"/>
                      <w:b w:val="0"/>
                      <w:bCs w:val="0"/>
                      <w:color w:val="auto"/>
                      <w:szCs w:val="21"/>
                    </w:rPr>
                    <w:t>侧</w:t>
                  </w:r>
                </w:p>
              </w:tc>
              <w:tc>
                <w:tcPr>
                  <w:tcW w:w="338" w:type="pct"/>
                  <w:noWrap w:val="0"/>
                  <w:vAlign w:val="center"/>
                </w:tcPr>
                <w:p>
                  <w:pPr>
                    <w:jc w:val="center"/>
                    <w:rPr>
                      <w:rFonts w:hint="eastAsia"/>
                      <w:b w:val="0"/>
                      <w:bCs w:val="0"/>
                      <w:color w:val="auto"/>
                      <w:szCs w:val="21"/>
                    </w:rPr>
                  </w:pPr>
                  <w:r>
                    <w:rPr>
                      <w:rFonts w:hint="eastAsia"/>
                      <w:b w:val="0"/>
                      <w:bCs w:val="0"/>
                      <w:color w:val="auto"/>
                      <w:kern w:val="0"/>
                      <w:szCs w:val="21"/>
                    </w:rPr>
                    <w:t>新建</w:t>
                  </w:r>
                </w:p>
              </w:tc>
            </w:tr>
          </w:tbl>
          <w:p/>
        </w:tc>
      </w:tr>
    </w:tbl>
    <w:p>
      <w:pPr>
        <w:sectPr>
          <w:footerReference w:type="even" r:id="rId25"/>
          <w:footerReference w:type="default" r:id="rId26"/>
          <w:pgSz w:w="11906" w:h="16838"/>
          <w:pgMar w:top="1440" w:right="1800" w:bottom="1440" w:left="1800" w:header="851" w:footer="1077" w:gutter="0"/>
          <w:pgNumType w:fmt="decimal" w:start="9"/>
          <w:cols w:num="1" w:space="720"/>
          <w:docGrid w:linePitch="312" w:charSpace="0"/>
        </w:sectPr>
      </w:pPr>
    </w:p>
    <w:tbl>
      <w:tblPr>
        <w:tblStyle w:val="TableNormal"/>
        <w:tblW w:w="4999"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2"/>
        <w:gridCol w:w="8070"/>
      </w:tblGrid>
      <w:tr>
        <w:tblPrEx>
          <w:tblW w:w="4999"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0"/>
          <w:jc w:val="center"/>
        </w:trPr>
        <w:tc>
          <w:tcPr>
            <w:tcW w:w="390" w:type="pct"/>
            <w:noWrap w:val="0"/>
            <w:vAlign w:val="center"/>
          </w:tcPr>
          <w:p/>
        </w:tc>
        <w:tc>
          <w:tcPr>
            <w:tcW w:w="4609" w:type="pct"/>
            <w:noWrap w:val="0"/>
            <w:vAlign w:val="center"/>
          </w:tcPr>
          <w:tbl>
            <w:tblPr>
              <w:tblStyle w:val="TableNormal"/>
              <w:tblW w:w="4989"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8" w:type="dxa"/>
                <w:left w:w="11" w:type="dxa"/>
                <w:bottom w:w="28" w:type="dxa"/>
                <w:right w:w="11" w:type="dxa"/>
              </w:tblCellMar>
            </w:tblPr>
            <w:tblGrid>
              <w:gridCol w:w="530"/>
              <w:gridCol w:w="2060"/>
              <w:gridCol w:w="4702"/>
              <w:gridCol w:w="530"/>
            </w:tblGrid>
            <w:tr>
              <w:tblPrEx>
                <w:tblW w:w="4989"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8" w:type="dxa"/>
                  <w:left w:w="11" w:type="dxa"/>
                  <w:bottom w:w="28" w:type="dxa"/>
                  <w:right w:w="11" w:type="dxa"/>
                </w:tblCellMar>
              </w:tblPrEx>
              <w:trPr>
                <w:cantSplit/>
                <w:trHeight w:val="721"/>
                <w:jc w:val="center"/>
              </w:trPr>
              <w:tc>
                <w:tcPr>
                  <w:tcW w:w="339" w:type="pct"/>
                  <w:noWrap w:val="0"/>
                  <w:vAlign w:val="center"/>
                </w:tcPr>
                <w:p>
                  <w:pPr>
                    <w:jc w:val="center"/>
                    <w:rPr>
                      <w:rFonts w:hint="eastAsia"/>
                      <w:b w:val="0"/>
                      <w:bCs w:val="0"/>
                      <w:color w:val="auto"/>
                      <w:szCs w:val="21"/>
                    </w:rPr>
                  </w:pPr>
                </w:p>
              </w:tc>
              <w:tc>
                <w:tcPr>
                  <w:tcW w:w="1317" w:type="pct"/>
                  <w:noWrap w:val="0"/>
                  <w:vAlign w:val="center"/>
                </w:tcPr>
                <w:p>
                  <w:pPr>
                    <w:jc w:val="center"/>
                    <w:rPr>
                      <w:b w:val="0"/>
                      <w:bCs w:val="0"/>
                      <w:color w:val="auto"/>
                      <w:szCs w:val="21"/>
                    </w:rPr>
                  </w:pPr>
                  <w:r>
                    <w:rPr>
                      <w:rFonts w:hint="eastAsia"/>
                      <w:b w:val="0"/>
                      <w:bCs w:val="0"/>
                      <w:color w:val="auto"/>
                      <w:szCs w:val="21"/>
                    </w:rPr>
                    <w:t>临时</w:t>
                  </w:r>
                  <w:r>
                    <w:rPr>
                      <w:rFonts w:hint="eastAsia"/>
                      <w:b w:val="0"/>
                      <w:bCs w:val="0"/>
                      <w:color w:val="auto"/>
                      <w:szCs w:val="21"/>
                      <w:lang w:val="en-US" w:eastAsia="zh-CN"/>
                    </w:rPr>
                    <w:t>堆</w:t>
                  </w:r>
                  <w:r>
                    <w:rPr>
                      <w:rFonts w:hint="eastAsia"/>
                      <w:b w:val="0"/>
                      <w:bCs w:val="0"/>
                      <w:color w:val="auto"/>
                      <w:szCs w:val="21"/>
                    </w:rPr>
                    <w:t>场</w:t>
                  </w:r>
                </w:p>
              </w:tc>
              <w:tc>
                <w:tcPr>
                  <w:tcW w:w="3005" w:type="pct"/>
                  <w:noWrap w:val="0"/>
                  <w:vAlign w:val="center"/>
                </w:tcPr>
                <w:p>
                  <w:pPr>
                    <w:jc w:val="center"/>
                    <w:rPr>
                      <w:b w:val="0"/>
                      <w:bCs w:val="0"/>
                      <w:color w:val="auto"/>
                      <w:szCs w:val="21"/>
                    </w:rPr>
                  </w:pPr>
                  <w:r>
                    <w:rPr>
                      <w:rFonts w:hint="eastAsia"/>
                      <w:b w:val="0"/>
                      <w:bCs w:val="0"/>
                      <w:color w:val="auto"/>
                      <w:szCs w:val="21"/>
                    </w:rPr>
                    <w:t>临时堆料场位于</w:t>
                  </w:r>
                  <w:r>
                    <w:rPr>
                      <w:rFonts w:hint="eastAsia"/>
                      <w:b w:val="0"/>
                      <w:bCs w:val="0"/>
                      <w:color w:val="auto"/>
                      <w:szCs w:val="21"/>
                      <w:lang w:val="en-US" w:eastAsia="zh-CN"/>
                    </w:rPr>
                    <w:t>新建办公楼</w:t>
                  </w:r>
                  <w:r>
                    <w:rPr>
                      <w:rFonts w:hint="eastAsia"/>
                      <w:b w:val="0"/>
                      <w:bCs w:val="0"/>
                      <w:color w:val="auto"/>
                      <w:szCs w:val="21"/>
                    </w:rPr>
                    <w:t>的</w:t>
                  </w:r>
                  <w:r>
                    <w:rPr>
                      <w:rFonts w:hint="eastAsia"/>
                      <w:b w:val="0"/>
                      <w:bCs w:val="0"/>
                      <w:color w:val="auto"/>
                      <w:szCs w:val="21"/>
                      <w:lang w:val="en-US" w:eastAsia="zh-CN"/>
                    </w:rPr>
                    <w:t>南</w:t>
                  </w:r>
                  <w:r>
                    <w:rPr>
                      <w:rFonts w:hint="eastAsia"/>
                      <w:b w:val="0"/>
                      <w:bCs w:val="0"/>
                      <w:color w:val="auto"/>
                      <w:szCs w:val="21"/>
                    </w:rPr>
                    <w:t>侧</w:t>
                  </w:r>
                </w:p>
              </w:tc>
              <w:tc>
                <w:tcPr>
                  <w:tcW w:w="338" w:type="pct"/>
                  <w:noWrap w:val="0"/>
                  <w:vAlign w:val="center"/>
                </w:tcPr>
                <w:p>
                  <w:pPr>
                    <w:jc w:val="center"/>
                    <w:rPr>
                      <w:b w:val="0"/>
                      <w:bCs w:val="0"/>
                      <w:color w:val="auto"/>
                      <w:kern w:val="0"/>
                      <w:szCs w:val="21"/>
                    </w:rPr>
                  </w:pPr>
                  <w:r>
                    <w:rPr>
                      <w:rFonts w:hint="eastAsia"/>
                      <w:b w:val="0"/>
                      <w:bCs w:val="0"/>
                      <w:color w:val="auto"/>
                      <w:kern w:val="0"/>
                      <w:szCs w:val="21"/>
                    </w:rPr>
                    <w:t>新建</w:t>
                  </w:r>
                </w:p>
              </w:tc>
            </w:tr>
          </w:tbl>
          <w:p>
            <w:pPr>
              <w:adjustRightInd w:val="0"/>
              <w:snapToGrid w:val="0"/>
              <w:spacing w:line="360" w:lineRule="auto"/>
              <w:ind w:firstLine="420" w:firstLineChars="200"/>
              <w:jc w:val="center"/>
              <w:rPr>
                <w:rFonts w:ascii="宋体" w:hAnsi="宋体" w:cs="宋体"/>
                <w:color w:val="auto"/>
                <w:kern w:val="0"/>
                <w:szCs w:val="21"/>
              </w:rPr>
            </w:pPr>
          </w:p>
        </w:tc>
      </w:tr>
      <w:tr>
        <w:tblPrEx>
          <w:tblW w:w="4999" w:type="pct"/>
          <w:jc w:val="center"/>
          <w:tblCellMar>
            <w:top w:w="0" w:type="dxa"/>
            <w:left w:w="108" w:type="dxa"/>
            <w:bottom w:w="0" w:type="dxa"/>
            <w:right w:w="108" w:type="dxa"/>
          </w:tblCellMar>
        </w:tblPrEx>
        <w:trPr>
          <w:trHeight w:val="1274"/>
          <w:jc w:val="center"/>
        </w:trPr>
        <w:tc>
          <w:tcPr>
            <w:tcW w:w="390" w:type="pct"/>
            <w:noWrap w:val="0"/>
            <w:vAlign w:val="center"/>
          </w:tcPr>
          <w:p>
            <w:pPr>
              <w:adjustRightInd w:val="0"/>
              <w:snapToGrid w:val="0"/>
              <w:jc w:val="center"/>
              <w:rPr>
                <w:rFonts w:ascii="宋体" w:hAnsi="宋体" w:cs="宋体"/>
                <w:color w:val="auto"/>
                <w:kern w:val="0"/>
                <w:szCs w:val="21"/>
              </w:rPr>
            </w:pPr>
            <w:r>
              <w:rPr>
                <w:rFonts w:ascii="宋体" w:hAnsi="宋体" w:cs="宋体" w:hint="eastAsia"/>
                <w:color w:val="auto"/>
                <w:kern w:val="0"/>
                <w:sz w:val="21"/>
                <w:szCs w:val="21"/>
              </w:rPr>
              <w:t>总平面及现场布置</w:t>
            </w:r>
          </w:p>
        </w:tc>
        <w:tc>
          <w:tcPr>
            <w:tcW w:w="4609" w:type="pct"/>
            <w:noWrap w:val="0"/>
            <w:vAlign w:val="center"/>
          </w:tcPr>
          <w:p>
            <w:pPr>
              <w:adjustRightInd w:val="0"/>
              <w:snapToGrid w:val="0"/>
              <w:spacing w:before="120" w:beforeLines="50" w:line="360" w:lineRule="auto"/>
              <w:ind w:firstLine="420" w:firstLineChars="200"/>
              <w:rPr>
                <w:color w:val="auto"/>
                <w:kern w:val="0"/>
                <w:szCs w:val="21"/>
              </w:rPr>
            </w:pPr>
            <w:r>
              <w:rPr>
                <w:rFonts w:hint="eastAsia"/>
                <w:b/>
                <w:bCs/>
                <w:color w:val="auto"/>
                <w:kern w:val="0"/>
                <w:sz w:val="21"/>
                <w:szCs w:val="21"/>
              </w:rPr>
              <w:t>2</w:t>
            </w:r>
            <w:r>
              <w:rPr>
                <w:rFonts w:hint="eastAsia"/>
                <w:b/>
                <w:bCs/>
                <w:color w:val="auto"/>
                <w:kern w:val="0"/>
                <w:sz w:val="21"/>
                <w:szCs w:val="21"/>
                <w:lang w:eastAsia="zh-CN"/>
              </w:rPr>
              <w:t>、</w:t>
            </w:r>
            <w:r>
              <w:rPr>
                <w:rFonts w:hint="eastAsia"/>
                <w:b/>
                <w:bCs/>
                <w:color w:val="auto"/>
                <w:kern w:val="0"/>
                <w:sz w:val="21"/>
                <w:szCs w:val="21"/>
              </w:rPr>
              <w:t xml:space="preserve"> 工程布局</w:t>
            </w:r>
          </w:p>
          <w:p>
            <w:pPr>
              <w:adjustRightInd w:val="0"/>
              <w:snapToGrid w:val="0"/>
              <w:spacing w:line="360" w:lineRule="auto"/>
              <w:ind w:firstLine="420" w:firstLineChars="200"/>
              <w:rPr>
                <w:rFonts w:hint="default"/>
                <w:color w:val="auto"/>
                <w:kern w:val="0"/>
                <w:szCs w:val="21"/>
              </w:rPr>
            </w:pPr>
            <w:r>
              <w:rPr>
                <w:rFonts w:hint="eastAsia"/>
                <w:color w:val="auto"/>
                <w:kern w:val="0"/>
                <w:sz w:val="21"/>
                <w:szCs w:val="21"/>
                <w:lang w:val="en-US" w:eastAsia="zh-CN"/>
              </w:rPr>
              <w:t>（1）平面布置</w:t>
            </w:r>
          </w:p>
          <w:p>
            <w:pPr>
              <w:adjustRightInd w:val="0"/>
              <w:snapToGrid w:val="0"/>
              <w:spacing w:line="360" w:lineRule="auto"/>
              <w:ind w:firstLine="420" w:firstLineChars="200"/>
              <w:rPr>
                <w:color w:val="auto"/>
                <w:kern w:val="0"/>
                <w:szCs w:val="21"/>
              </w:rPr>
            </w:pPr>
            <w:r>
              <w:rPr>
                <w:rFonts w:hint="eastAsia"/>
                <w:color w:val="auto"/>
                <w:sz w:val="21"/>
                <w:szCs w:val="21"/>
                <w:lang w:val="en-US" w:eastAsia="zh-CN"/>
              </w:rPr>
              <w:t>本项目建设内容为：①管理中心：两层办公楼，占地面积824m</w:t>
            </w:r>
            <w:r>
              <w:rPr>
                <w:rFonts w:hint="eastAsia"/>
                <w:color w:val="auto"/>
                <w:sz w:val="21"/>
                <w:szCs w:val="21"/>
                <w:vertAlign w:val="superscript"/>
                <w:lang w:val="en-US" w:eastAsia="zh-CN"/>
              </w:rPr>
              <w:t>2</w:t>
            </w:r>
            <w:r>
              <w:rPr>
                <w:rFonts w:hint="eastAsia"/>
                <w:color w:val="auto"/>
                <w:sz w:val="21"/>
                <w:szCs w:val="21"/>
                <w:lang w:val="en-US" w:eastAsia="zh-CN"/>
              </w:rPr>
              <w:t>，建筑面积1426m</w:t>
            </w:r>
            <w:r>
              <w:rPr>
                <w:rFonts w:hint="eastAsia"/>
                <w:color w:val="auto"/>
                <w:sz w:val="21"/>
                <w:szCs w:val="21"/>
                <w:vertAlign w:val="superscript"/>
                <w:lang w:val="en-US" w:eastAsia="zh-CN"/>
              </w:rPr>
              <w:t>2</w:t>
            </w:r>
            <w:r>
              <w:rPr>
                <w:rFonts w:hint="eastAsia"/>
                <w:color w:val="auto"/>
                <w:sz w:val="21"/>
                <w:szCs w:val="21"/>
                <w:lang w:val="en-US" w:eastAsia="zh-CN"/>
              </w:rPr>
              <w:t>。办公楼各层布置见下表2-2。②房车宿营区：利用现状停车场设置房车停车位。③生活休闲区：由天然材料如木材和石头建造而成的无动力游乐园。园中布置游乐设施。本项目不设施工营地。临时堆料场位于办公楼的西南侧空地上。临时堆场位于办公楼西南侧的空地上。项目周边空地现状为停车场，并已进行了路面硬化。方便车辆出行。</w:t>
            </w:r>
            <w:r>
              <w:rPr>
                <w:rFonts w:hint="eastAsia"/>
                <w:color w:val="auto"/>
                <w:kern w:val="0"/>
                <w:sz w:val="21"/>
                <w:szCs w:val="21"/>
              </w:rPr>
              <w:t>具体</w:t>
            </w:r>
            <w:r>
              <w:rPr>
                <w:rFonts w:hint="eastAsia"/>
                <w:color w:val="auto"/>
                <w:kern w:val="0"/>
                <w:sz w:val="21"/>
                <w:szCs w:val="21"/>
                <w:highlight w:val="none"/>
              </w:rPr>
              <w:t>平面布置图</w:t>
            </w:r>
            <w:r>
              <w:rPr>
                <w:rFonts w:hint="eastAsia"/>
                <w:color w:val="auto"/>
                <w:kern w:val="0"/>
                <w:sz w:val="21"/>
                <w:szCs w:val="21"/>
              </w:rPr>
              <w:t>见附图2。</w:t>
            </w:r>
          </w:p>
          <w:p>
            <w:pPr>
              <w:adjustRightInd w:val="0"/>
              <w:snapToGrid w:val="0"/>
              <w:spacing w:line="360" w:lineRule="auto"/>
              <w:ind w:firstLine="420" w:firstLineChars="200"/>
              <w:rPr>
                <w:rFonts w:hint="eastAsia"/>
                <w:color w:val="auto"/>
                <w:kern w:val="0"/>
                <w:szCs w:val="21"/>
              </w:rPr>
            </w:pPr>
            <w:r>
              <w:rPr>
                <w:rFonts w:hint="eastAsia"/>
                <w:color w:val="auto"/>
                <w:kern w:val="0"/>
                <w:sz w:val="21"/>
                <w:szCs w:val="21"/>
                <w:lang w:val="en-US" w:eastAsia="zh-CN"/>
              </w:rPr>
              <w:t>（2）平面布置合理性</w:t>
            </w:r>
          </w:p>
          <w:p>
            <w:pPr>
              <w:adjustRightInd w:val="0"/>
              <w:snapToGrid w:val="0"/>
              <w:spacing w:line="360" w:lineRule="auto"/>
              <w:ind w:firstLine="420" w:firstLineChars="200"/>
              <w:rPr>
                <w:rFonts w:hint="default"/>
                <w:color w:val="auto"/>
                <w:kern w:val="0"/>
                <w:szCs w:val="21"/>
              </w:rPr>
            </w:pPr>
            <w:r>
              <w:rPr>
                <w:rFonts w:hint="eastAsia"/>
                <w:color w:val="auto"/>
                <w:kern w:val="0"/>
                <w:sz w:val="21"/>
                <w:szCs w:val="21"/>
                <w:lang w:val="en-US" w:eastAsia="zh-CN"/>
              </w:rPr>
              <w:t>项目位于</w:t>
            </w:r>
            <w:r>
              <w:rPr>
                <w:rFonts w:hint="eastAsia"/>
                <w:color w:val="auto"/>
                <w:sz w:val="21"/>
                <w:szCs w:val="21"/>
              </w:rPr>
              <w:t>大小洞天旅游区</w:t>
            </w:r>
            <w:r>
              <w:rPr>
                <w:rFonts w:hint="eastAsia"/>
                <w:color w:val="auto"/>
                <w:sz w:val="21"/>
                <w:szCs w:val="21"/>
                <w:lang w:val="en-US" w:eastAsia="zh-CN"/>
              </w:rPr>
              <w:t>内，项目施工人员的生活污水可依托大小洞天景区的污水处理设施处理。</w:t>
            </w:r>
            <w:r>
              <w:rPr>
                <w:rFonts w:hint="eastAsia"/>
                <w:color w:val="auto"/>
                <w:kern w:val="0"/>
                <w:sz w:val="21"/>
                <w:szCs w:val="21"/>
                <w:lang w:val="en-US" w:eastAsia="zh-CN"/>
              </w:rPr>
              <w:t>项目所在地道路宽敞，方便通行，绿化率高</w:t>
            </w:r>
            <w:r>
              <w:rPr>
                <w:rFonts w:hint="eastAsia"/>
                <w:color w:val="auto"/>
                <w:kern w:val="0"/>
                <w:sz w:val="21"/>
                <w:szCs w:val="21"/>
                <w:highlight w:val="none"/>
                <w:lang w:val="en-US" w:eastAsia="zh-CN"/>
              </w:rPr>
              <w:t>且</w:t>
            </w:r>
            <w:r>
              <w:rPr>
                <w:rFonts w:hint="eastAsia"/>
                <w:color w:val="auto"/>
                <w:kern w:val="0"/>
                <w:sz w:val="21"/>
                <w:szCs w:val="21"/>
                <w:lang w:val="en-US" w:eastAsia="zh-CN"/>
              </w:rPr>
              <w:t>路面已进行了硬化。能够有效缓解施工时施工车辆运过程中产生的废气。临时堆场、临时堆料场的布置靠近项目施工区域，同时临时堆场、临时堆料场布置在已硬化的路面上，能够有效地缓解对大气的影响。不会造成水土流失。因此本项目的平面布置较为合理。</w:t>
            </w:r>
          </w:p>
          <w:p>
            <w:pPr>
              <w:adjustRightInd w:val="0"/>
              <w:snapToGrid w:val="0"/>
              <w:spacing w:line="360" w:lineRule="auto"/>
              <w:ind w:firstLine="420" w:firstLineChars="200"/>
              <w:rPr>
                <w:color w:val="auto"/>
                <w:kern w:val="0"/>
                <w:szCs w:val="21"/>
              </w:rPr>
            </w:pPr>
            <w:r>
              <w:rPr>
                <w:rFonts w:hint="eastAsia"/>
                <w:b/>
                <w:bCs/>
                <w:color w:val="auto"/>
                <w:kern w:val="0"/>
                <w:sz w:val="21"/>
                <w:szCs w:val="21"/>
                <w:lang w:val="en-US" w:eastAsia="zh-CN"/>
              </w:rPr>
              <w:t>3</w:t>
            </w:r>
            <w:r>
              <w:rPr>
                <w:b/>
                <w:bCs/>
                <w:color w:val="auto"/>
                <w:kern w:val="0"/>
                <w:sz w:val="21"/>
                <w:szCs w:val="21"/>
              </w:rPr>
              <w:t>、施工布置</w:t>
            </w:r>
          </w:p>
          <w:p>
            <w:pPr>
              <w:adjustRightInd w:val="0"/>
              <w:snapToGrid w:val="0"/>
              <w:spacing w:line="360" w:lineRule="auto"/>
              <w:ind w:firstLine="420" w:firstLineChars="200"/>
              <w:rPr>
                <w:color w:val="auto"/>
                <w:kern w:val="0"/>
                <w:szCs w:val="21"/>
              </w:rPr>
            </w:pPr>
            <w:r>
              <w:rPr>
                <w:rFonts w:hint="eastAsia"/>
                <w:color w:val="auto"/>
                <w:kern w:val="0"/>
                <w:sz w:val="21"/>
                <w:szCs w:val="21"/>
                <w:lang w:eastAsia="zh-CN"/>
              </w:rPr>
              <w:t>（</w:t>
            </w:r>
            <w:r>
              <w:rPr>
                <w:color w:val="auto"/>
                <w:kern w:val="0"/>
                <w:sz w:val="21"/>
                <w:szCs w:val="21"/>
              </w:rPr>
              <w:t>1</w:t>
            </w:r>
            <w:r>
              <w:rPr>
                <w:rFonts w:hint="eastAsia"/>
                <w:color w:val="auto"/>
                <w:kern w:val="0"/>
                <w:sz w:val="21"/>
                <w:szCs w:val="21"/>
                <w:lang w:eastAsia="zh-CN"/>
              </w:rPr>
              <w:t>）</w:t>
            </w:r>
            <w:r>
              <w:rPr>
                <w:color w:val="auto"/>
                <w:kern w:val="0"/>
                <w:sz w:val="21"/>
                <w:szCs w:val="21"/>
              </w:rPr>
              <w:t>施工营地</w:t>
            </w:r>
          </w:p>
          <w:p>
            <w:pPr>
              <w:adjustRightInd w:val="0"/>
              <w:snapToGrid w:val="0"/>
              <w:spacing w:line="360" w:lineRule="auto"/>
              <w:ind w:firstLine="420" w:firstLineChars="200"/>
              <w:rPr>
                <w:color w:val="auto"/>
                <w:kern w:val="0"/>
                <w:szCs w:val="21"/>
              </w:rPr>
            </w:pPr>
            <w:r>
              <w:rPr>
                <w:rFonts w:hint="eastAsia"/>
                <w:color w:val="auto"/>
                <w:kern w:val="0"/>
                <w:sz w:val="21"/>
                <w:szCs w:val="21"/>
                <w:lang w:val="en-US" w:eastAsia="zh-CN"/>
              </w:rPr>
              <w:t>本项目不设置施工营地</w:t>
            </w:r>
            <w:r>
              <w:rPr>
                <w:color w:val="auto"/>
                <w:kern w:val="0"/>
                <w:sz w:val="21"/>
                <w:szCs w:val="21"/>
              </w:rPr>
              <w:t>。</w:t>
            </w:r>
          </w:p>
          <w:p>
            <w:pPr>
              <w:adjustRightInd w:val="0"/>
              <w:snapToGrid w:val="0"/>
              <w:spacing w:line="360" w:lineRule="auto"/>
              <w:ind w:firstLine="420" w:firstLineChars="200"/>
              <w:rPr>
                <w:color w:val="auto"/>
                <w:kern w:val="0"/>
                <w:szCs w:val="21"/>
              </w:rPr>
            </w:pPr>
            <w:r>
              <w:rPr>
                <w:rFonts w:hint="eastAsia"/>
                <w:color w:val="auto"/>
                <w:kern w:val="0"/>
                <w:sz w:val="21"/>
                <w:szCs w:val="21"/>
                <w:lang w:eastAsia="zh-CN"/>
              </w:rPr>
              <w:t>（</w:t>
            </w:r>
            <w:r>
              <w:rPr>
                <w:color w:val="auto"/>
                <w:kern w:val="0"/>
                <w:sz w:val="21"/>
                <w:szCs w:val="21"/>
              </w:rPr>
              <w:t>2</w:t>
            </w:r>
            <w:r>
              <w:rPr>
                <w:rFonts w:hint="eastAsia"/>
                <w:color w:val="auto"/>
                <w:kern w:val="0"/>
                <w:sz w:val="21"/>
                <w:szCs w:val="21"/>
                <w:lang w:eastAsia="zh-CN"/>
              </w:rPr>
              <w:t>）</w:t>
            </w:r>
            <w:r>
              <w:rPr>
                <w:color w:val="auto"/>
                <w:kern w:val="0"/>
                <w:sz w:val="21"/>
                <w:szCs w:val="21"/>
              </w:rPr>
              <w:t>采石场、挖砂场、取土场</w:t>
            </w:r>
          </w:p>
          <w:p>
            <w:pPr>
              <w:adjustRightInd w:val="0"/>
              <w:snapToGrid w:val="0"/>
              <w:spacing w:line="360" w:lineRule="auto"/>
              <w:ind w:firstLine="420" w:firstLineChars="200"/>
              <w:rPr>
                <w:rFonts w:hint="default"/>
                <w:color w:val="auto"/>
                <w:kern w:val="0"/>
                <w:szCs w:val="21"/>
              </w:rPr>
            </w:pPr>
            <w:r>
              <w:rPr>
                <w:rFonts w:hint="eastAsia"/>
                <w:color w:val="auto"/>
                <w:kern w:val="0"/>
                <w:sz w:val="21"/>
                <w:szCs w:val="21"/>
                <w:lang w:val="en-US" w:eastAsia="zh-CN"/>
              </w:rPr>
              <w:t>三亚市范围内有多家单位能够提供本项目所需</w:t>
            </w:r>
            <w:r>
              <w:rPr>
                <w:color w:val="auto"/>
                <w:kern w:val="0"/>
                <w:sz w:val="21"/>
                <w:szCs w:val="21"/>
              </w:rPr>
              <w:t>砂砾石料、骨料</w:t>
            </w:r>
            <w:r>
              <w:rPr>
                <w:rFonts w:hint="eastAsia"/>
                <w:color w:val="auto"/>
                <w:kern w:val="0"/>
                <w:sz w:val="21"/>
                <w:szCs w:val="21"/>
                <w:lang w:eastAsia="zh-CN"/>
              </w:rPr>
              <w:t>。</w:t>
            </w:r>
            <w:r>
              <w:rPr>
                <w:color w:val="auto"/>
                <w:kern w:val="0"/>
                <w:sz w:val="21"/>
                <w:szCs w:val="21"/>
              </w:rPr>
              <w:t>本项目所需砂砾石料、骨料全部</w:t>
            </w:r>
            <w:r>
              <w:rPr>
                <w:rFonts w:hint="eastAsia"/>
                <w:color w:val="auto"/>
                <w:kern w:val="0"/>
                <w:sz w:val="21"/>
                <w:szCs w:val="21"/>
              </w:rPr>
              <w:t>可通过在</w:t>
            </w:r>
            <w:r>
              <w:rPr>
                <w:rFonts w:hint="eastAsia"/>
                <w:color w:val="auto"/>
                <w:kern w:val="0"/>
                <w:sz w:val="21"/>
                <w:szCs w:val="21"/>
                <w:lang w:val="en-US" w:eastAsia="zh-CN"/>
              </w:rPr>
              <w:t>三亚</w:t>
            </w:r>
            <w:r>
              <w:rPr>
                <w:rFonts w:hint="eastAsia"/>
                <w:color w:val="auto"/>
                <w:kern w:val="0"/>
                <w:sz w:val="21"/>
                <w:szCs w:val="21"/>
              </w:rPr>
              <w:t>市外购获得</w:t>
            </w:r>
            <w:r>
              <w:rPr>
                <w:color w:val="auto"/>
                <w:kern w:val="0"/>
                <w:sz w:val="21"/>
                <w:szCs w:val="21"/>
              </w:rPr>
              <w:t>，</w:t>
            </w:r>
            <w:r>
              <w:rPr>
                <w:color w:val="auto"/>
                <w:kern w:val="0"/>
                <w:sz w:val="21"/>
                <w:szCs w:val="21"/>
                <w:highlight w:val="none"/>
              </w:rPr>
              <w:t>因此</w:t>
            </w:r>
            <w:r>
              <w:rPr>
                <w:rFonts w:hint="eastAsia"/>
                <w:color w:val="auto"/>
                <w:kern w:val="0"/>
                <w:sz w:val="21"/>
                <w:szCs w:val="21"/>
                <w:highlight w:val="none"/>
                <w:lang w:val="en-US" w:eastAsia="zh-CN"/>
              </w:rPr>
              <w:t>本项目无</w:t>
            </w:r>
            <w:r>
              <w:rPr>
                <w:color w:val="auto"/>
                <w:kern w:val="0"/>
                <w:sz w:val="21"/>
                <w:szCs w:val="21"/>
                <w:highlight w:val="none"/>
              </w:rPr>
              <w:t>采石场和挖砂场，</w:t>
            </w:r>
            <w:r>
              <w:rPr>
                <w:color w:val="auto"/>
                <w:kern w:val="0"/>
                <w:sz w:val="21"/>
                <w:szCs w:val="21"/>
              </w:rPr>
              <w:t>也就不存在此类用地挖压占地问题</w:t>
            </w:r>
            <w:r>
              <w:rPr>
                <w:color w:val="auto"/>
                <w:kern w:val="0"/>
                <w:sz w:val="21"/>
                <w:szCs w:val="21"/>
                <w:highlight w:val="none"/>
              </w:rPr>
              <w:t>。</w:t>
            </w:r>
            <w:r>
              <w:rPr>
                <w:rFonts w:hint="eastAsia"/>
                <w:color w:val="auto"/>
                <w:kern w:val="0"/>
                <w:sz w:val="21"/>
                <w:szCs w:val="21"/>
                <w:highlight w:val="none"/>
                <w:lang w:val="en-US" w:eastAsia="zh-CN"/>
              </w:rPr>
              <w:t>本项目挖方量大于回填量，也不需要取土回填，因此。本项目不设取土场。</w:t>
            </w:r>
          </w:p>
          <w:p>
            <w:pPr>
              <w:adjustRightInd w:val="0"/>
              <w:snapToGrid w:val="0"/>
              <w:spacing w:line="360" w:lineRule="auto"/>
              <w:ind w:firstLine="420" w:firstLineChars="200"/>
              <w:rPr>
                <w:color w:val="auto"/>
                <w:kern w:val="0"/>
                <w:szCs w:val="21"/>
              </w:rPr>
            </w:pPr>
            <w:r>
              <w:rPr>
                <w:rFonts w:hint="eastAsia"/>
                <w:color w:val="auto"/>
                <w:kern w:val="0"/>
                <w:sz w:val="21"/>
                <w:szCs w:val="21"/>
                <w:lang w:eastAsia="zh-CN"/>
              </w:rPr>
              <w:t>（</w:t>
            </w:r>
            <w:r>
              <w:rPr>
                <w:color w:val="auto"/>
                <w:kern w:val="0"/>
                <w:sz w:val="21"/>
                <w:szCs w:val="21"/>
              </w:rPr>
              <w:t>3</w:t>
            </w:r>
            <w:r>
              <w:rPr>
                <w:rFonts w:hint="eastAsia"/>
                <w:color w:val="auto"/>
                <w:kern w:val="0"/>
                <w:sz w:val="21"/>
                <w:szCs w:val="21"/>
                <w:lang w:eastAsia="zh-CN"/>
              </w:rPr>
              <w:t>）</w:t>
            </w:r>
            <w:r>
              <w:rPr>
                <w:color w:val="auto"/>
                <w:kern w:val="0"/>
                <w:sz w:val="21"/>
                <w:szCs w:val="21"/>
              </w:rPr>
              <w:t>弃土场</w:t>
            </w:r>
          </w:p>
          <w:p>
            <w:pPr>
              <w:adjustRightInd w:val="0"/>
              <w:snapToGrid w:val="0"/>
              <w:spacing w:line="360" w:lineRule="auto"/>
              <w:ind w:firstLine="420" w:firstLineChars="200"/>
              <w:rPr>
                <w:color w:val="auto"/>
                <w:kern w:val="0"/>
                <w:szCs w:val="21"/>
              </w:rPr>
            </w:pPr>
            <w:r>
              <w:rPr>
                <w:rFonts w:hint="eastAsia"/>
                <w:color w:val="auto"/>
                <w:kern w:val="0"/>
                <w:sz w:val="21"/>
                <w:szCs w:val="21"/>
                <w:lang w:val="en-US" w:eastAsia="zh-CN"/>
              </w:rPr>
              <w:t>项目办公楼建设在已硬化停车场上，挖方量较小，本项目房车宿营区利用现状停车场进行设置，生活休闲区布设游乐设施，不涉及土方开挖，仅有管理中心涉及少量的土方开挖，管理中心开挖的土方用于回填。不能回填的已经全部外运处理。因此不设弃土场</w:t>
            </w:r>
            <w:r>
              <w:rPr>
                <w:color w:val="auto"/>
                <w:kern w:val="0"/>
                <w:sz w:val="21"/>
                <w:szCs w:val="21"/>
              </w:rPr>
              <w:t>。</w:t>
            </w:r>
          </w:p>
          <w:p>
            <w:pPr>
              <w:adjustRightInd w:val="0"/>
              <w:snapToGrid w:val="0"/>
              <w:spacing w:line="360" w:lineRule="auto"/>
              <w:ind w:firstLine="420" w:firstLineChars="200"/>
              <w:rPr>
                <w:color w:val="auto"/>
                <w:kern w:val="0"/>
                <w:szCs w:val="21"/>
              </w:rPr>
            </w:pPr>
            <w:r>
              <w:rPr>
                <w:rFonts w:hint="eastAsia"/>
                <w:color w:val="auto"/>
                <w:kern w:val="0"/>
                <w:sz w:val="21"/>
                <w:szCs w:val="21"/>
                <w:lang w:eastAsia="zh-CN"/>
              </w:rPr>
              <w:t>（</w:t>
            </w:r>
            <w:r>
              <w:rPr>
                <w:color w:val="auto"/>
                <w:kern w:val="0"/>
                <w:sz w:val="21"/>
                <w:szCs w:val="21"/>
              </w:rPr>
              <w:t>4</w:t>
            </w:r>
            <w:r>
              <w:rPr>
                <w:rFonts w:hint="eastAsia"/>
                <w:color w:val="auto"/>
                <w:kern w:val="0"/>
                <w:sz w:val="21"/>
                <w:szCs w:val="21"/>
                <w:lang w:eastAsia="zh-CN"/>
              </w:rPr>
              <w:t>）</w:t>
            </w:r>
            <w:r>
              <w:rPr>
                <w:color w:val="auto"/>
                <w:kern w:val="0"/>
                <w:sz w:val="21"/>
                <w:szCs w:val="21"/>
              </w:rPr>
              <w:t>临时堆放场地</w:t>
            </w:r>
          </w:p>
          <w:p>
            <w:pPr>
              <w:adjustRightInd w:val="0"/>
              <w:snapToGrid w:val="0"/>
              <w:spacing w:line="360" w:lineRule="auto"/>
              <w:ind w:firstLine="420" w:firstLineChars="200"/>
              <w:rPr>
                <w:color w:val="auto"/>
                <w:kern w:val="0"/>
                <w:szCs w:val="21"/>
              </w:rPr>
            </w:pPr>
            <w:r>
              <w:rPr>
                <w:color w:val="auto"/>
                <w:kern w:val="0"/>
                <w:sz w:val="21"/>
                <w:szCs w:val="21"/>
              </w:rPr>
              <w:t>本项目各物料均外购，筑路材料可通过现有道路，直接运送至项目现场，</w:t>
            </w:r>
            <w:r>
              <w:rPr>
                <w:rFonts w:hint="eastAsia"/>
                <w:color w:val="auto"/>
                <w:kern w:val="0"/>
                <w:sz w:val="21"/>
                <w:szCs w:val="21"/>
                <w:highlight w:val="none"/>
                <w:lang w:eastAsia="zh-CN"/>
              </w:rPr>
              <w:t>无需</w:t>
            </w:r>
            <w:r>
              <w:rPr>
                <w:color w:val="auto"/>
                <w:kern w:val="0"/>
                <w:sz w:val="21"/>
                <w:szCs w:val="21"/>
              </w:rPr>
              <w:t>修筑新的施工便道。</w:t>
            </w:r>
          </w:p>
          <w:p>
            <w:pPr>
              <w:adjustRightInd w:val="0"/>
              <w:snapToGrid w:val="0"/>
              <w:spacing w:after="0" w:line="360" w:lineRule="auto"/>
              <w:ind w:firstLine="420" w:firstLineChars="200"/>
              <w:rPr>
                <w:rFonts w:hint="default"/>
                <w:color w:val="auto"/>
                <w:kern w:val="0"/>
                <w:szCs w:val="21"/>
              </w:rPr>
            </w:pPr>
            <w:r>
              <w:rPr>
                <w:color w:val="auto"/>
                <w:kern w:val="0"/>
                <w:sz w:val="21"/>
                <w:szCs w:val="21"/>
              </w:rPr>
              <w:t>临时堆土场：项目施工前需要进行</w:t>
            </w:r>
            <w:r>
              <w:rPr>
                <w:rFonts w:hint="eastAsia"/>
                <w:color w:val="auto"/>
                <w:kern w:val="0"/>
                <w:sz w:val="21"/>
                <w:szCs w:val="21"/>
                <w:lang w:val="en-US" w:eastAsia="zh-CN"/>
              </w:rPr>
              <w:t>地基的开挖</w:t>
            </w:r>
            <w:r>
              <w:rPr>
                <w:color w:val="auto"/>
                <w:kern w:val="0"/>
                <w:sz w:val="21"/>
                <w:szCs w:val="21"/>
              </w:rPr>
              <w:t>，</w:t>
            </w:r>
            <w:r>
              <w:rPr>
                <w:rFonts w:hint="eastAsia"/>
                <w:color w:val="auto"/>
                <w:kern w:val="0"/>
                <w:sz w:val="21"/>
                <w:szCs w:val="21"/>
                <w:lang w:val="en-US" w:eastAsia="zh-CN"/>
              </w:rPr>
              <w:t>开挖</w:t>
            </w:r>
            <w:r>
              <w:rPr>
                <w:color w:val="auto"/>
                <w:kern w:val="0"/>
                <w:sz w:val="21"/>
                <w:szCs w:val="21"/>
              </w:rPr>
              <w:t>的土方</w:t>
            </w:r>
          </w:p>
        </w:tc>
      </w:tr>
    </w:tbl>
    <w:p>
      <w:pPr>
        <w:sectPr>
          <w:footerReference w:type="even" r:id="rId27"/>
          <w:footerReference w:type="default" r:id="rId28"/>
          <w:type w:val="nextPage"/>
          <w:pgSz w:w="11906" w:h="16838"/>
          <w:pgMar w:top="1440" w:right="1800" w:bottom="1440" w:left="1800" w:header="851" w:footer="1077" w:gutter="0"/>
          <w:pgNumType w:fmt="decimal" w:start="10"/>
          <w:cols w:num="1" w:space="720"/>
          <w:titlePg w:val="0"/>
          <w:docGrid w:linePitch="312" w:charSpace="0"/>
        </w:sectPr>
      </w:pPr>
    </w:p>
    <w:tbl>
      <w:tblPr>
        <w:tblStyle w:val="TableNormal"/>
        <w:tblW w:w="4999"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2"/>
        <w:gridCol w:w="8070"/>
      </w:tblGrid>
      <w:tr>
        <w:tblPrEx>
          <w:tblW w:w="4999"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274"/>
          <w:jc w:val="center"/>
        </w:trPr>
        <w:tc>
          <w:tcPr>
            <w:tcW w:w="390" w:type="pct"/>
            <w:noWrap w:val="0"/>
            <w:vAlign w:val="center"/>
          </w:tcPr>
          <w:p/>
        </w:tc>
        <w:tc>
          <w:tcPr>
            <w:tcW w:w="4609" w:type="pct"/>
            <w:noWrap w:val="0"/>
            <w:vAlign w:val="center"/>
          </w:tcPr>
          <w:p>
            <w:pPr>
              <w:adjustRightInd w:val="0"/>
              <w:snapToGrid w:val="0"/>
              <w:spacing w:before="0" w:line="360" w:lineRule="auto"/>
              <w:ind w:firstLine="420" w:firstLineChars="200"/>
              <w:rPr>
                <w:rFonts w:hint="default"/>
                <w:color w:val="auto"/>
                <w:kern w:val="0"/>
                <w:szCs w:val="21"/>
              </w:rPr>
            </w:pPr>
            <w:r>
              <w:rPr>
                <w:rFonts w:hint="eastAsia"/>
                <w:color w:val="auto"/>
                <w:kern w:val="0"/>
                <w:sz w:val="21"/>
                <w:szCs w:val="21"/>
                <w:lang w:val="en-US" w:eastAsia="zh-CN"/>
              </w:rPr>
              <w:t>在地基开挖完毕后回填处理</w:t>
            </w:r>
            <w:r>
              <w:rPr>
                <w:color w:val="auto"/>
                <w:kern w:val="0"/>
                <w:sz w:val="21"/>
                <w:szCs w:val="21"/>
              </w:rPr>
              <w:t>，需要布设一处临时堆土场，用于土方的临时堆存，根据调查</w:t>
            </w:r>
            <w:r>
              <w:rPr>
                <w:rFonts w:hint="eastAsia"/>
                <w:color w:val="auto"/>
                <w:kern w:val="0"/>
                <w:sz w:val="21"/>
                <w:szCs w:val="21"/>
              </w:rPr>
              <w:t>项目</w:t>
            </w:r>
            <w:r>
              <w:rPr>
                <w:rFonts w:hint="eastAsia"/>
                <w:color w:val="auto"/>
                <w:kern w:val="0"/>
                <w:sz w:val="21"/>
                <w:szCs w:val="21"/>
                <w:lang w:val="en-US" w:eastAsia="zh-CN"/>
              </w:rPr>
              <w:t>区内</w:t>
            </w:r>
            <w:r>
              <w:rPr>
                <w:color w:val="auto"/>
                <w:kern w:val="0"/>
                <w:sz w:val="21"/>
                <w:szCs w:val="21"/>
              </w:rPr>
              <w:t>有足够空地进行安放，临时堆土场设置在</w:t>
            </w:r>
            <w:r>
              <w:rPr>
                <w:rFonts w:hint="eastAsia"/>
                <w:color w:val="auto"/>
                <w:kern w:val="0"/>
                <w:sz w:val="21"/>
                <w:szCs w:val="21"/>
                <w:lang w:val="en-US" w:eastAsia="zh-CN"/>
              </w:rPr>
              <w:t>办公楼</w:t>
            </w:r>
            <w:r>
              <w:rPr>
                <w:rFonts w:hint="eastAsia"/>
                <w:color w:val="auto"/>
                <w:kern w:val="0"/>
                <w:sz w:val="21"/>
                <w:szCs w:val="21"/>
              </w:rPr>
              <w:t>用地</w:t>
            </w:r>
            <w:r>
              <w:rPr>
                <w:rFonts w:hint="eastAsia"/>
                <w:color w:val="auto"/>
                <w:kern w:val="0"/>
                <w:sz w:val="21"/>
                <w:szCs w:val="21"/>
                <w:lang w:val="en-US" w:eastAsia="zh-CN"/>
              </w:rPr>
              <w:t>西南侧</w:t>
            </w:r>
            <w:r>
              <w:rPr>
                <w:color w:val="auto"/>
                <w:kern w:val="0"/>
                <w:sz w:val="21"/>
                <w:szCs w:val="21"/>
              </w:rPr>
              <w:t>空地上</w:t>
            </w:r>
            <w:r>
              <w:rPr>
                <w:rFonts w:hint="eastAsia"/>
                <w:color w:val="auto"/>
                <w:kern w:val="0"/>
                <w:sz w:val="21"/>
                <w:szCs w:val="21"/>
                <w:lang w:eastAsia="zh-CN"/>
              </w:rPr>
              <w:t>（</w:t>
            </w:r>
            <w:r>
              <w:rPr>
                <w:color w:val="auto"/>
                <w:kern w:val="0"/>
                <w:sz w:val="21"/>
                <w:szCs w:val="21"/>
              </w:rPr>
              <w:t>具体见附图</w:t>
            </w:r>
            <w:r>
              <w:rPr>
                <w:rFonts w:hint="eastAsia"/>
                <w:color w:val="auto"/>
                <w:kern w:val="0"/>
                <w:sz w:val="21"/>
                <w:szCs w:val="21"/>
              </w:rPr>
              <w:t>3</w:t>
            </w:r>
            <w:r>
              <w:rPr>
                <w:rFonts w:hint="eastAsia"/>
                <w:color w:val="auto"/>
                <w:kern w:val="0"/>
                <w:sz w:val="21"/>
                <w:szCs w:val="21"/>
                <w:lang w:eastAsia="zh-CN"/>
              </w:rPr>
              <w:t>）</w:t>
            </w:r>
            <w:r>
              <w:rPr>
                <w:color w:val="auto"/>
                <w:kern w:val="0"/>
                <w:sz w:val="21"/>
                <w:szCs w:val="21"/>
              </w:rPr>
              <w:t>。施工方应对临时堆放场地做好防护，防止扬尘产生</w:t>
            </w:r>
            <w:r>
              <w:rPr>
                <w:rFonts w:hint="eastAsia"/>
                <w:color w:val="auto"/>
                <w:kern w:val="0"/>
                <w:sz w:val="21"/>
                <w:szCs w:val="21"/>
                <w:lang w:eastAsia="zh-CN"/>
              </w:rPr>
              <w:t>。</w:t>
            </w:r>
            <w:r>
              <w:rPr>
                <w:rFonts w:hint="eastAsia"/>
                <w:color w:val="auto"/>
                <w:kern w:val="0"/>
                <w:sz w:val="21"/>
                <w:szCs w:val="21"/>
                <w:lang w:val="en-US" w:eastAsia="zh-CN"/>
              </w:rPr>
              <w:t>现场调查时，本项目地基开挖已完成，开挖土方已用作回填用土，不能回填的已外运处理。现场周边无废弃土石方。</w:t>
            </w:r>
          </w:p>
          <w:p>
            <w:pPr>
              <w:adjustRightInd w:val="0"/>
              <w:snapToGrid w:val="0"/>
              <w:spacing w:line="360" w:lineRule="auto"/>
              <w:ind w:firstLine="420" w:firstLineChars="200"/>
              <w:rPr>
                <w:color w:val="auto"/>
                <w:kern w:val="0"/>
                <w:szCs w:val="21"/>
              </w:rPr>
            </w:pPr>
            <w:r>
              <w:rPr>
                <w:color w:val="auto"/>
                <w:kern w:val="0"/>
                <w:sz w:val="21"/>
                <w:szCs w:val="21"/>
              </w:rPr>
              <w:t>堆料场：本项目混凝土采用已经制作好的成品商品混凝土。本项目主要材料包括石料、砂、材料均需到合法采石场购买。堆料场设于</w:t>
            </w:r>
            <w:r>
              <w:rPr>
                <w:rFonts w:hint="eastAsia"/>
                <w:color w:val="auto"/>
                <w:kern w:val="0"/>
                <w:sz w:val="21"/>
                <w:szCs w:val="21"/>
                <w:lang w:val="en-US" w:eastAsia="zh-CN"/>
              </w:rPr>
              <w:t>办公楼西南侧，停车场位置上</w:t>
            </w:r>
            <w:r>
              <w:rPr>
                <w:rFonts w:hint="eastAsia"/>
                <w:color w:val="auto"/>
                <w:kern w:val="0"/>
                <w:sz w:val="21"/>
                <w:szCs w:val="21"/>
              </w:rPr>
              <w:t>。</w:t>
            </w:r>
            <w:r>
              <w:rPr>
                <w:rFonts w:hint="eastAsia"/>
                <w:color w:val="auto"/>
                <w:kern w:val="0"/>
                <w:sz w:val="21"/>
                <w:szCs w:val="21"/>
                <w:lang w:eastAsia="zh-CN"/>
              </w:rPr>
              <w:t>（</w:t>
            </w:r>
            <w:r>
              <w:rPr>
                <w:color w:val="auto"/>
                <w:kern w:val="0"/>
                <w:sz w:val="21"/>
                <w:szCs w:val="21"/>
              </w:rPr>
              <w:t>具体见附图</w:t>
            </w:r>
            <w:r>
              <w:rPr>
                <w:rFonts w:hint="eastAsia"/>
                <w:color w:val="auto"/>
                <w:kern w:val="0"/>
                <w:sz w:val="21"/>
                <w:szCs w:val="21"/>
              </w:rPr>
              <w:t>3</w:t>
            </w:r>
            <w:r>
              <w:rPr>
                <w:rFonts w:hint="eastAsia"/>
                <w:color w:val="auto"/>
                <w:kern w:val="0"/>
                <w:sz w:val="21"/>
                <w:szCs w:val="21"/>
                <w:lang w:eastAsia="zh-CN"/>
              </w:rPr>
              <w:t>）</w:t>
            </w:r>
            <w:r>
              <w:rPr>
                <w:color w:val="auto"/>
                <w:kern w:val="0"/>
                <w:sz w:val="21"/>
                <w:szCs w:val="21"/>
              </w:rPr>
              <w:t>。</w:t>
            </w:r>
          </w:p>
          <w:p>
            <w:pPr>
              <w:adjustRightInd w:val="0"/>
              <w:snapToGrid w:val="0"/>
              <w:spacing w:line="360" w:lineRule="auto"/>
              <w:ind w:firstLine="420" w:firstLineChars="200"/>
              <w:rPr>
                <w:color w:val="auto"/>
                <w:kern w:val="0"/>
                <w:szCs w:val="21"/>
              </w:rPr>
            </w:pPr>
            <w:r>
              <w:rPr>
                <w:rFonts w:hint="eastAsia"/>
                <w:color w:val="auto"/>
                <w:kern w:val="0"/>
                <w:sz w:val="21"/>
                <w:szCs w:val="21"/>
                <w:lang w:eastAsia="zh-CN"/>
              </w:rPr>
              <w:t>（</w:t>
            </w:r>
            <w:r>
              <w:rPr>
                <w:color w:val="auto"/>
                <w:kern w:val="0"/>
                <w:sz w:val="21"/>
                <w:szCs w:val="21"/>
              </w:rPr>
              <w:t>5</w:t>
            </w:r>
            <w:r>
              <w:rPr>
                <w:rFonts w:hint="eastAsia"/>
                <w:color w:val="auto"/>
                <w:kern w:val="0"/>
                <w:sz w:val="21"/>
                <w:szCs w:val="21"/>
                <w:lang w:eastAsia="zh-CN"/>
              </w:rPr>
              <w:t>）</w:t>
            </w:r>
            <w:r>
              <w:rPr>
                <w:rFonts w:hint="eastAsia"/>
                <w:color w:val="auto"/>
                <w:kern w:val="0"/>
                <w:sz w:val="21"/>
                <w:szCs w:val="21"/>
              </w:rPr>
              <w:t>其他</w:t>
            </w:r>
          </w:p>
          <w:p>
            <w:pPr>
              <w:adjustRightInd w:val="0"/>
              <w:snapToGrid w:val="0"/>
              <w:spacing w:line="360" w:lineRule="auto"/>
              <w:ind w:firstLine="420" w:firstLineChars="200"/>
              <w:rPr>
                <w:color w:val="auto"/>
                <w:kern w:val="0"/>
                <w:szCs w:val="21"/>
              </w:rPr>
            </w:pPr>
            <w:r>
              <w:rPr>
                <w:color w:val="auto"/>
                <w:kern w:val="0"/>
                <w:sz w:val="21"/>
                <w:szCs w:val="21"/>
              </w:rPr>
              <w:t>本项目建设过程中需要的各类材料均通过异地加工成形，运至道路施工现场进行组装，不再另设专门的预制场地。</w:t>
            </w:r>
          </w:p>
          <w:p>
            <w:pPr>
              <w:adjustRightInd w:val="0"/>
              <w:snapToGrid w:val="0"/>
              <w:spacing w:line="360" w:lineRule="auto"/>
              <w:ind w:firstLine="420" w:firstLineChars="200"/>
              <w:rPr>
                <w:rFonts w:hint="eastAsia"/>
                <w:color w:val="auto"/>
                <w:kern w:val="0"/>
                <w:szCs w:val="21"/>
              </w:rPr>
            </w:pPr>
            <w:r>
              <w:rPr>
                <w:rFonts w:hint="eastAsia"/>
                <w:color w:val="auto"/>
                <w:kern w:val="0"/>
                <w:sz w:val="21"/>
                <w:szCs w:val="21"/>
                <w:lang w:val="en-US" w:eastAsia="zh-CN"/>
              </w:rPr>
              <w:t>（6）施工营地、临时堆土场等选址的环境合理性</w:t>
            </w:r>
          </w:p>
          <w:p>
            <w:pPr>
              <w:adjustRightInd w:val="0"/>
              <w:snapToGrid w:val="0"/>
              <w:spacing w:line="360" w:lineRule="auto"/>
              <w:ind w:firstLine="420" w:firstLineChars="200"/>
              <w:rPr>
                <w:rFonts w:hint="default"/>
                <w:color w:val="auto"/>
                <w:kern w:val="0"/>
                <w:szCs w:val="21"/>
              </w:rPr>
            </w:pPr>
            <w:r>
              <w:rPr>
                <w:rFonts w:hint="eastAsia"/>
                <w:color w:val="auto"/>
                <w:kern w:val="0"/>
                <w:sz w:val="21"/>
                <w:szCs w:val="21"/>
                <w:lang w:val="en-US" w:eastAsia="zh-CN"/>
              </w:rPr>
              <w:t>1）施工营地合理性分析</w:t>
            </w:r>
          </w:p>
          <w:p>
            <w:pPr>
              <w:adjustRightInd w:val="0"/>
              <w:snapToGrid w:val="0"/>
              <w:spacing w:line="360" w:lineRule="auto"/>
              <w:ind w:firstLine="420" w:firstLineChars="200"/>
              <w:rPr>
                <w:rFonts w:hint="default"/>
                <w:color w:val="auto"/>
                <w:kern w:val="0"/>
                <w:szCs w:val="21"/>
              </w:rPr>
            </w:pPr>
            <w:r>
              <w:rPr>
                <w:color w:val="auto"/>
                <w:kern w:val="0"/>
                <w:sz w:val="21"/>
                <w:szCs w:val="21"/>
              </w:rPr>
              <w:t>本项目</w:t>
            </w:r>
            <w:r>
              <w:rPr>
                <w:rFonts w:hint="eastAsia"/>
                <w:color w:val="auto"/>
                <w:kern w:val="0"/>
                <w:sz w:val="21"/>
                <w:szCs w:val="21"/>
                <w:lang w:val="en-US" w:eastAsia="zh-CN"/>
              </w:rPr>
              <w:t>不设</w:t>
            </w:r>
            <w:r>
              <w:rPr>
                <w:color w:val="auto"/>
                <w:kern w:val="0"/>
                <w:sz w:val="21"/>
                <w:szCs w:val="21"/>
              </w:rPr>
              <w:t>施工营地。</w:t>
            </w:r>
            <w:r>
              <w:rPr>
                <w:rFonts w:hint="eastAsia"/>
                <w:color w:val="auto"/>
                <w:kern w:val="0"/>
                <w:sz w:val="21"/>
                <w:szCs w:val="21"/>
                <w:lang w:val="en-US" w:eastAsia="zh-CN"/>
              </w:rPr>
              <w:t>施工人员在施工过程中产生的生活污水依托大小洞天游客中心污水处理站处理。大小洞天游客中心内有</w:t>
            </w:r>
            <w:r>
              <w:rPr>
                <w:color w:val="auto"/>
                <w:kern w:val="0"/>
                <w:sz w:val="21"/>
                <w:szCs w:val="21"/>
              </w:rPr>
              <w:t>办公区、生活区、食堂</w:t>
            </w:r>
            <w:r>
              <w:rPr>
                <w:rFonts w:hint="eastAsia"/>
                <w:color w:val="auto"/>
                <w:kern w:val="0"/>
                <w:sz w:val="21"/>
                <w:szCs w:val="21"/>
                <w:lang w:eastAsia="zh-CN"/>
              </w:rPr>
              <w:t>、</w:t>
            </w:r>
            <w:r>
              <w:rPr>
                <w:rFonts w:hint="eastAsia"/>
                <w:color w:val="auto"/>
                <w:kern w:val="0"/>
                <w:sz w:val="21"/>
                <w:szCs w:val="21"/>
                <w:lang w:val="en-US" w:eastAsia="zh-CN"/>
              </w:rPr>
              <w:t>污水处理站</w:t>
            </w:r>
            <w:r>
              <w:rPr>
                <w:rFonts w:hint="eastAsia"/>
                <w:color w:val="auto"/>
                <w:kern w:val="0"/>
                <w:sz w:val="21"/>
                <w:szCs w:val="21"/>
              </w:rPr>
              <w:t>等</w:t>
            </w:r>
            <w:r>
              <w:rPr>
                <w:rFonts w:hint="eastAsia"/>
                <w:color w:val="auto"/>
                <w:kern w:val="0"/>
                <w:sz w:val="21"/>
                <w:szCs w:val="21"/>
                <w:lang w:val="en-US" w:eastAsia="zh-CN"/>
              </w:rPr>
              <w:t>基础设施</w:t>
            </w:r>
            <w:r>
              <w:rPr>
                <w:rFonts w:hint="eastAsia"/>
                <w:color w:val="auto"/>
                <w:kern w:val="0"/>
                <w:sz w:val="21"/>
                <w:szCs w:val="21"/>
                <w:lang w:eastAsia="zh-CN"/>
              </w:rPr>
              <w:t>，</w:t>
            </w:r>
            <w:r>
              <w:rPr>
                <w:rFonts w:hint="eastAsia"/>
                <w:color w:val="auto"/>
                <w:kern w:val="0"/>
                <w:sz w:val="21"/>
                <w:szCs w:val="21"/>
                <w:lang w:val="en-US" w:eastAsia="zh-CN"/>
              </w:rPr>
              <w:t>方便项目进行依托</w:t>
            </w:r>
            <w:r>
              <w:rPr>
                <w:color w:val="auto"/>
                <w:kern w:val="0"/>
                <w:sz w:val="21"/>
                <w:szCs w:val="21"/>
              </w:rPr>
              <w:t>。</w:t>
            </w:r>
            <w:r>
              <w:rPr>
                <w:rFonts w:hint="eastAsia"/>
                <w:color w:val="auto"/>
                <w:kern w:val="0"/>
                <w:sz w:val="21"/>
                <w:szCs w:val="21"/>
                <w:lang w:val="en-US" w:eastAsia="zh-CN"/>
              </w:rPr>
              <w:t>因此，对环境影响较小。</w:t>
            </w:r>
          </w:p>
          <w:p>
            <w:pPr>
              <w:adjustRightInd w:val="0"/>
              <w:snapToGrid w:val="0"/>
              <w:spacing w:line="360" w:lineRule="auto"/>
              <w:ind w:firstLine="420" w:firstLineChars="200"/>
              <w:rPr>
                <w:rFonts w:hint="default"/>
                <w:color w:val="auto"/>
                <w:kern w:val="0"/>
                <w:szCs w:val="21"/>
              </w:rPr>
            </w:pPr>
            <w:r>
              <w:rPr>
                <w:rFonts w:hint="eastAsia"/>
                <w:color w:val="auto"/>
                <w:kern w:val="0"/>
                <w:sz w:val="21"/>
                <w:szCs w:val="21"/>
                <w:lang w:val="en-US" w:eastAsia="zh-CN"/>
              </w:rPr>
              <w:t>2）临时堆土场的选址合理性分析</w:t>
            </w:r>
          </w:p>
          <w:p>
            <w:pPr>
              <w:adjustRightInd w:val="0"/>
              <w:snapToGrid w:val="0"/>
              <w:spacing w:line="360" w:lineRule="auto"/>
              <w:ind w:firstLine="420" w:firstLineChars="200"/>
              <w:rPr>
                <w:rFonts w:hint="default"/>
                <w:color w:val="auto"/>
                <w:kern w:val="0"/>
                <w:szCs w:val="21"/>
              </w:rPr>
            </w:pPr>
            <w:r>
              <w:rPr>
                <w:rFonts w:hint="eastAsia"/>
                <w:color w:val="auto"/>
                <w:kern w:val="0"/>
                <w:sz w:val="21"/>
                <w:szCs w:val="21"/>
                <w:lang w:val="en-US" w:eastAsia="zh-CN"/>
              </w:rPr>
              <w:t>本项目仅管理中心</w:t>
            </w:r>
            <w:r>
              <w:rPr>
                <w:rFonts w:hint="default"/>
                <w:color w:val="auto"/>
                <w:kern w:val="0"/>
                <w:sz w:val="21"/>
                <w:szCs w:val="21"/>
                <w:lang w:val="en-US" w:eastAsia="zh-CN"/>
              </w:rPr>
              <w:t>施工前需要</w:t>
            </w:r>
            <w:r>
              <w:rPr>
                <w:rFonts w:hint="eastAsia"/>
                <w:color w:val="auto"/>
                <w:kern w:val="0"/>
                <w:sz w:val="21"/>
                <w:szCs w:val="21"/>
                <w:lang w:val="en-US" w:eastAsia="zh-CN"/>
              </w:rPr>
              <w:t>进行地基的开挖</w:t>
            </w:r>
            <w:r>
              <w:rPr>
                <w:rFonts w:hint="default"/>
                <w:color w:val="auto"/>
                <w:kern w:val="0"/>
                <w:sz w:val="21"/>
                <w:szCs w:val="21"/>
                <w:lang w:val="en-US" w:eastAsia="zh-CN"/>
              </w:rPr>
              <w:t>，</w:t>
            </w:r>
            <w:r>
              <w:rPr>
                <w:rFonts w:hint="eastAsia"/>
                <w:color w:val="auto"/>
                <w:kern w:val="0"/>
                <w:sz w:val="21"/>
                <w:szCs w:val="21"/>
                <w:lang w:val="en-US" w:eastAsia="zh-CN"/>
              </w:rPr>
              <w:t>管理中心仅为2层建筑，占地面积约为824m</w:t>
            </w:r>
            <w:r>
              <w:rPr>
                <w:rFonts w:hint="eastAsia"/>
                <w:color w:val="auto"/>
                <w:kern w:val="0"/>
                <w:sz w:val="21"/>
                <w:szCs w:val="21"/>
                <w:vertAlign w:val="superscript"/>
                <w:lang w:val="en-US" w:eastAsia="zh-CN"/>
              </w:rPr>
              <w:t>2</w:t>
            </w:r>
            <w:r>
              <w:rPr>
                <w:rFonts w:hint="eastAsia"/>
                <w:color w:val="auto"/>
                <w:kern w:val="0"/>
                <w:sz w:val="21"/>
                <w:szCs w:val="21"/>
                <w:vertAlign w:val="baseline"/>
                <w:lang w:val="en-US" w:eastAsia="zh-CN"/>
              </w:rPr>
              <w:t>，地基开挖产生的土方较小。地基开挖产生的土方已及时清运。</w:t>
            </w:r>
            <w:r>
              <w:rPr>
                <w:rFonts w:hint="default"/>
                <w:color w:val="auto"/>
                <w:kern w:val="0"/>
                <w:sz w:val="21"/>
                <w:szCs w:val="21"/>
                <w:lang w:val="en-US" w:eastAsia="zh-CN"/>
              </w:rPr>
              <w:t>临时堆土场设置在</w:t>
            </w:r>
            <w:r>
              <w:rPr>
                <w:rFonts w:hint="eastAsia"/>
                <w:color w:val="auto"/>
                <w:kern w:val="0"/>
                <w:sz w:val="21"/>
                <w:szCs w:val="21"/>
                <w:lang w:val="en-US" w:eastAsia="zh-CN"/>
              </w:rPr>
              <w:t>管理中心西南侧的</w:t>
            </w:r>
            <w:r>
              <w:rPr>
                <w:rFonts w:hint="default"/>
                <w:color w:val="auto"/>
                <w:kern w:val="0"/>
                <w:sz w:val="21"/>
                <w:szCs w:val="21"/>
                <w:lang w:val="en-US" w:eastAsia="zh-CN"/>
              </w:rPr>
              <w:t>空地上</w:t>
            </w:r>
            <w:r>
              <w:rPr>
                <w:rFonts w:hint="eastAsia"/>
                <w:color w:val="auto"/>
                <w:kern w:val="0"/>
                <w:sz w:val="21"/>
                <w:szCs w:val="21"/>
                <w:lang w:val="en-US" w:eastAsia="zh-CN"/>
              </w:rPr>
              <w:t>（</w:t>
            </w:r>
            <w:r>
              <w:rPr>
                <w:rFonts w:hint="default"/>
                <w:color w:val="auto"/>
                <w:kern w:val="0"/>
                <w:sz w:val="21"/>
                <w:szCs w:val="21"/>
                <w:lang w:val="en-US" w:eastAsia="zh-CN"/>
              </w:rPr>
              <w:t>具体见附图3</w:t>
            </w:r>
            <w:r>
              <w:rPr>
                <w:rFonts w:hint="eastAsia"/>
                <w:color w:val="auto"/>
                <w:kern w:val="0"/>
                <w:sz w:val="21"/>
                <w:szCs w:val="21"/>
                <w:lang w:val="en-US" w:eastAsia="zh-CN"/>
              </w:rPr>
              <w:t>）。通过采取覆盖、定期洒水、及时清运的降尘的方式，能够有效地</w:t>
            </w:r>
            <w:r>
              <w:rPr>
                <w:rFonts w:hint="eastAsia"/>
                <w:color w:val="auto"/>
                <w:kern w:val="0"/>
                <w:sz w:val="21"/>
                <w:szCs w:val="21"/>
                <w:highlight w:val="none"/>
                <w:lang w:val="en-US" w:eastAsia="zh-CN"/>
              </w:rPr>
              <w:t>缓解</w:t>
            </w:r>
            <w:r>
              <w:rPr>
                <w:rFonts w:hint="eastAsia"/>
                <w:color w:val="auto"/>
                <w:kern w:val="0"/>
                <w:sz w:val="21"/>
                <w:szCs w:val="21"/>
                <w:lang w:val="en-US" w:eastAsia="zh-CN"/>
              </w:rPr>
              <w:t>粉尘对周边环境的影响。且本项目现场踏勘时，项目地基开挖已经完毕，开挖出来的土方全部进行了回填，不能回填的已外运处理。临时堆场上没有废弃土石方。因此，临时堆土场设置较为合理并且对周边环境影响较小。</w:t>
            </w:r>
          </w:p>
          <w:p>
            <w:pPr>
              <w:adjustRightInd w:val="0"/>
              <w:snapToGrid w:val="0"/>
              <w:spacing w:line="360" w:lineRule="auto"/>
              <w:ind w:firstLine="420" w:firstLineChars="200"/>
              <w:rPr>
                <w:rFonts w:hint="default"/>
                <w:color w:val="auto"/>
                <w:kern w:val="0"/>
                <w:szCs w:val="21"/>
              </w:rPr>
            </w:pPr>
            <w:r>
              <w:rPr>
                <w:rFonts w:hint="eastAsia"/>
                <w:color w:val="auto"/>
                <w:kern w:val="0"/>
                <w:sz w:val="21"/>
                <w:szCs w:val="21"/>
                <w:lang w:val="en-US" w:eastAsia="zh-CN"/>
              </w:rPr>
              <w:t>3）临时堆料场</w:t>
            </w:r>
          </w:p>
          <w:p>
            <w:pPr>
              <w:adjustRightInd w:val="0"/>
              <w:snapToGrid w:val="0"/>
              <w:spacing w:line="360" w:lineRule="auto"/>
              <w:ind w:firstLine="420" w:firstLineChars="200"/>
              <w:rPr>
                <w:rFonts w:ascii="宋体" w:hAnsi="宋体" w:cs="宋体" w:hint="default"/>
                <w:color w:val="auto"/>
                <w:kern w:val="0"/>
                <w:szCs w:val="21"/>
              </w:rPr>
            </w:pPr>
            <w:r>
              <w:rPr>
                <w:rFonts w:hint="eastAsia"/>
                <w:color w:val="auto"/>
                <w:kern w:val="0"/>
                <w:sz w:val="21"/>
                <w:szCs w:val="21"/>
                <w:lang w:val="en-US" w:eastAsia="zh-CN"/>
              </w:rPr>
              <w:t>本项目</w:t>
            </w:r>
            <w:r>
              <w:rPr>
                <w:color w:val="auto"/>
                <w:kern w:val="0"/>
                <w:sz w:val="21"/>
                <w:szCs w:val="21"/>
              </w:rPr>
              <w:t>堆料场拟设于</w:t>
            </w:r>
            <w:r>
              <w:rPr>
                <w:rFonts w:hint="eastAsia"/>
                <w:color w:val="auto"/>
                <w:kern w:val="0"/>
                <w:sz w:val="21"/>
                <w:szCs w:val="21"/>
                <w:lang w:val="en-US" w:eastAsia="zh-CN"/>
              </w:rPr>
              <w:t>办公楼西南侧空地上</w:t>
            </w:r>
            <w:r>
              <w:rPr>
                <w:rFonts w:hint="eastAsia"/>
                <w:color w:val="auto"/>
                <w:kern w:val="0"/>
                <w:sz w:val="21"/>
                <w:szCs w:val="21"/>
              </w:rPr>
              <w:t>。</w:t>
            </w:r>
            <w:r>
              <w:rPr>
                <w:rFonts w:hint="eastAsia"/>
                <w:color w:val="auto"/>
                <w:kern w:val="0"/>
                <w:sz w:val="21"/>
                <w:szCs w:val="21"/>
                <w:lang w:eastAsia="zh-CN"/>
              </w:rPr>
              <w:t>（</w:t>
            </w:r>
            <w:r>
              <w:rPr>
                <w:color w:val="auto"/>
                <w:kern w:val="0"/>
                <w:sz w:val="21"/>
                <w:szCs w:val="21"/>
              </w:rPr>
              <w:t>具体见附图</w:t>
            </w:r>
            <w:r>
              <w:rPr>
                <w:rFonts w:hint="eastAsia"/>
                <w:color w:val="auto"/>
                <w:kern w:val="0"/>
                <w:sz w:val="21"/>
                <w:szCs w:val="21"/>
              </w:rPr>
              <w:t>3</w:t>
            </w:r>
            <w:r>
              <w:rPr>
                <w:rFonts w:hint="eastAsia"/>
                <w:color w:val="auto"/>
                <w:kern w:val="0"/>
                <w:sz w:val="21"/>
                <w:szCs w:val="21"/>
                <w:lang w:eastAsia="zh-CN"/>
              </w:rPr>
              <w:t>），</w:t>
            </w:r>
            <w:r>
              <w:rPr>
                <w:rFonts w:hint="eastAsia"/>
                <w:color w:val="auto"/>
                <w:kern w:val="0"/>
                <w:sz w:val="21"/>
                <w:szCs w:val="21"/>
                <w:lang w:val="en-US" w:eastAsia="zh-CN"/>
              </w:rPr>
              <w:t>堆料场位置靠近施工区且已进行了路面硬化，方便物料的运输以及装卸。能够有效地</w:t>
            </w:r>
            <w:r>
              <w:rPr>
                <w:rFonts w:hint="eastAsia"/>
                <w:color w:val="auto"/>
                <w:kern w:val="0"/>
                <w:sz w:val="21"/>
                <w:szCs w:val="21"/>
                <w:highlight w:val="none"/>
                <w:lang w:val="en-US" w:eastAsia="zh-CN"/>
              </w:rPr>
              <w:t>避免</w:t>
            </w:r>
            <w:r>
              <w:rPr>
                <w:rFonts w:hint="eastAsia"/>
                <w:color w:val="auto"/>
                <w:kern w:val="0"/>
                <w:sz w:val="21"/>
                <w:szCs w:val="21"/>
                <w:lang w:val="en-US" w:eastAsia="zh-CN"/>
              </w:rPr>
              <w:t>装载物料的车辆进入清表过后未硬化的荒地所产生的车辆扬尘。因此。堆料场的设置较为合理。</w:t>
            </w:r>
          </w:p>
        </w:tc>
      </w:tr>
      <w:tr>
        <w:tblPrEx>
          <w:tblW w:w="4999" w:type="pct"/>
          <w:jc w:val="center"/>
          <w:tblCellMar>
            <w:top w:w="0" w:type="dxa"/>
            <w:left w:w="108" w:type="dxa"/>
            <w:bottom w:w="0" w:type="dxa"/>
            <w:right w:w="108" w:type="dxa"/>
          </w:tblCellMar>
        </w:tblPrEx>
        <w:trPr>
          <w:trHeight w:val="90"/>
          <w:jc w:val="center"/>
        </w:trPr>
        <w:tc>
          <w:tcPr>
            <w:tcW w:w="390" w:type="pct"/>
            <w:noWrap w:val="0"/>
            <w:vAlign w:val="center"/>
          </w:tcPr>
          <w:p>
            <w:pPr>
              <w:adjustRightInd w:val="0"/>
              <w:snapToGrid w:val="0"/>
              <w:jc w:val="center"/>
              <w:rPr>
                <w:rFonts w:ascii="宋体" w:hAnsi="宋体" w:cs="宋体"/>
                <w:color w:val="auto"/>
                <w:kern w:val="0"/>
                <w:szCs w:val="21"/>
              </w:rPr>
            </w:pPr>
            <w:r>
              <w:rPr>
                <w:rFonts w:ascii="宋体" w:hAnsi="宋体" w:cs="宋体" w:hint="eastAsia"/>
                <w:color w:val="auto"/>
                <w:kern w:val="0"/>
                <w:sz w:val="21"/>
                <w:szCs w:val="21"/>
              </w:rPr>
              <w:t>施工方案</w:t>
            </w:r>
          </w:p>
        </w:tc>
        <w:tc>
          <w:tcPr>
            <w:tcW w:w="4609" w:type="pct"/>
            <w:noWrap w:val="0"/>
            <w:vAlign w:val="center"/>
          </w:tcPr>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rFonts w:hint="eastAsia"/>
                <w:color w:val="auto"/>
                <w:kern w:val="0"/>
                <w:sz w:val="21"/>
                <w:szCs w:val="21"/>
                <w:lang w:eastAsia="zh-CN" w:bidi="ar"/>
              </w:rPr>
              <w:t>（</w:t>
            </w:r>
            <w:r>
              <w:rPr>
                <w:color w:val="auto"/>
                <w:kern w:val="0"/>
                <w:sz w:val="21"/>
                <w:szCs w:val="21"/>
                <w:lang w:bidi="ar"/>
              </w:rPr>
              <w:t>1</w:t>
            </w:r>
            <w:r>
              <w:rPr>
                <w:rFonts w:hint="eastAsia"/>
                <w:color w:val="auto"/>
                <w:kern w:val="0"/>
                <w:sz w:val="21"/>
                <w:szCs w:val="21"/>
                <w:lang w:eastAsia="zh-CN" w:bidi="ar"/>
              </w:rPr>
              <w:t>）</w:t>
            </w:r>
            <w:r>
              <w:rPr>
                <w:color w:val="auto"/>
                <w:kern w:val="0"/>
                <w:sz w:val="21"/>
                <w:szCs w:val="21"/>
                <w:lang w:bidi="ar"/>
              </w:rPr>
              <w:t>施工时序</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color w:val="auto"/>
                <w:kern w:val="0"/>
                <w:sz w:val="21"/>
                <w:szCs w:val="21"/>
                <w:lang w:bidi="ar"/>
              </w:rPr>
              <w:t>考虑建设项目的施工特点、工艺流程及资源利用、平面布置和空间性要求，本工程施工顺序既要遵循先地下，后地上；先结构，后围护；先主体，后装修；内装饰先天棚墙面，后地面施工，再进行油漆涂料施工；外装饰则由上而下进行的常规施工顺序，符合逻辑关系的原则，又要灵活运用，在各区域的流水上，组织立体交叉施工，充分衔接和搭接，确保总工期的实现。</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rFonts w:hint="eastAsia"/>
                <w:color w:val="auto"/>
                <w:kern w:val="0"/>
                <w:szCs w:val="21"/>
                <w:lang w:bidi="ar"/>
              </w:rPr>
            </w:pPr>
          </w:p>
        </w:tc>
      </w:tr>
    </w:tbl>
    <w:p>
      <w:pPr>
        <w:sectPr>
          <w:footerReference w:type="even" r:id="rId29"/>
          <w:footerReference w:type="default" r:id="rId30"/>
          <w:type w:val="nextPage"/>
          <w:pgSz w:w="11906" w:h="16838"/>
          <w:pgMar w:top="1440" w:right="1800" w:bottom="1440" w:left="1800" w:header="851" w:footer="1077" w:gutter="0"/>
          <w:pgNumType w:fmt="decimal" w:start="11"/>
          <w:cols w:num="1" w:space="720"/>
          <w:titlePg w:val="0"/>
          <w:docGrid w:linePitch="312" w:charSpace="0"/>
        </w:sectPr>
      </w:pPr>
    </w:p>
    <w:tbl>
      <w:tblPr>
        <w:tblStyle w:val="TableNormal"/>
        <w:tblW w:w="4999"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2"/>
        <w:gridCol w:w="8070"/>
      </w:tblGrid>
      <w:tr>
        <w:tblPrEx>
          <w:tblW w:w="4999"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0"/>
          <w:jc w:val="center"/>
        </w:trPr>
        <w:tc>
          <w:tcPr>
            <w:tcW w:w="390" w:type="pct"/>
            <w:noWrap w:val="0"/>
            <w:vAlign w:val="center"/>
          </w:tcPr>
          <w:p/>
        </w:tc>
        <w:tc>
          <w:tcPr>
            <w:tcW w:w="4609" w:type="pct"/>
            <w:noWrap w:val="0"/>
            <w:vAlign w:val="center"/>
          </w:tcPr>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rFonts w:hint="eastAsia"/>
                <w:color w:val="auto"/>
                <w:kern w:val="0"/>
                <w:sz w:val="21"/>
                <w:szCs w:val="21"/>
                <w:lang w:eastAsia="zh-CN" w:bidi="ar"/>
              </w:rPr>
              <w:t>（</w:t>
            </w:r>
            <w:r>
              <w:rPr>
                <w:color w:val="auto"/>
                <w:kern w:val="0"/>
                <w:sz w:val="21"/>
                <w:szCs w:val="21"/>
                <w:lang w:bidi="ar"/>
              </w:rPr>
              <w:t>2</w:t>
            </w:r>
            <w:r>
              <w:rPr>
                <w:rFonts w:hint="eastAsia"/>
                <w:color w:val="auto"/>
                <w:kern w:val="0"/>
                <w:sz w:val="21"/>
                <w:szCs w:val="21"/>
                <w:lang w:eastAsia="zh-CN" w:bidi="ar"/>
              </w:rPr>
              <w:t>）</w:t>
            </w:r>
            <w:r>
              <w:rPr>
                <w:color w:val="auto"/>
                <w:kern w:val="0"/>
                <w:sz w:val="21"/>
                <w:szCs w:val="21"/>
                <w:lang w:bidi="ar"/>
              </w:rPr>
              <w:t>施工工艺</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rFonts w:eastAsia="TimesNewRomanPSMT"/>
                <w:color w:val="auto"/>
                <w:kern w:val="0"/>
                <w:sz w:val="21"/>
                <w:szCs w:val="21"/>
                <w:lang w:bidi="ar"/>
              </w:rPr>
              <w:t>1</w:t>
            </w:r>
            <w:r>
              <w:rPr>
                <w:rFonts w:eastAsia="宋体" w:hint="eastAsia"/>
                <w:color w:val="auto"/>
                <w:kern w:val="0"/>
                <w:sz w:val="21"/>
                <w:szCs w:val="21"/>
                <w:lang w:eastAsia="zh-CN" w:bidi="ar"/>
              </w:rPr>
              <w:t>）</w:t>
            </w:r>
            <w:r>
              <w:rPr>
                <w:color w:val="auto"/>
                <w:kern w:val="0"/>
                <w:sz w:val="21"/>
                <w:szCs w:val="21"/>
                <w:lang w:bidi="ar"/>
              </w:rPr>
              <w:t>基础结构工程的施工顺序</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color w:val="auto"/>
                <w:kern w:val="0"/>
                <w:sz w:val="21"/>
                <w:szCs w:val="21"/>
                <w:lang w:bidi="ar"/>
              </w:rPr>
              <w:t>工程实地位置定位测量放线→桩孔开挖→地基验槽→桩孔钢筋笼安放、混凝土浇筑→小应变检测→挖沟槽→承台、基础梁→土方回填。</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rFonts w:eastAsia="TimesNewRomanPSMT"/>
                <w:color w:val="auto"/>
                <w:kern w:val="0"/>
                <w:sz w:val="21"/>
                <w:szCs w:val="21"/>
                <w:lang w:bidi="ar"/>
              </w:rPr>
              <w:t>2</w:t>
            </w:r>
            <w:r>
              <w:rPr>
                <w:rFonts w:eastAsia="宋体" w:hint="eastAsia"/>
                <w:color w:val="auto"/>
                <w:kern w:val="0"/>
                <w:sz w:val="21"/>
                <w:szCs w:val="21"/>
                <w:lang w:eastAsia="zh-CN" w:bidi="ar"/>
              </w:rPr>
              <w:t>）</w:t>
            </w:r>
            <w:r>
              <w:rPr>
                <w:color w:val="auto"/>
                <w:kern w:val="0"/>
                <w:sz w:val="21"/>
                <w:szCs w:val="21"/>
                <w:lang w:bidi="ar"/>
              </w:rPr>
              <w:t>主体结构工程</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color w:val="auto"/>
                <w:kern w:val="0"/>
                <w:sz w:val="21"/>
                <w:szCs w:val="21"/>
                <w:lang w:bidi="ar"/>
              </w:rPr>
              <w:t>一层框架柱、梁、板、楼梯模板→二层框架柱、梁、板、楼梯钢筋→填充墙工程施工→结构验收。</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rFonts w:eastAsia="TimesNewRomanPSMT"/>
                <w:color w:val="auto"/>
                <w:kern w:val="0"/>
                <w:sz w:val="21"/>
                <w:szCs w:val="21"/>
                <w:lang w:bidi="ar"/>
              </w:rPr>
              <w:t>3</w:t>
            </w:r>
            <w:r>
              <w:rPr>
                <w:rFonts w:eastAsia="宋体" w:hint="eastAsia"/>
                <w:color w:val="auto"/>
                <w:kern w:val="0"/>
                <w:sz w:val="21"/>
                <w:szCs w:val="21"/>
                <w:lang w:eastAsia="zh-CN" w:bidi="ar"/>
              </w:rPr>
              <w:t>）</w:t>
            </w:r>
            <w:r>
              <w:rPr>
                <w:color w:val="auto"/>
                <w:kern w:val="0"/>
                <w:sz w:val="21"/>
                <w:szCs w:val="21"/>
                <w:lang w:bidi="ar"/>
              </w:rPr>
              <w:t>屋面工程</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color w:val="auto"/>
                <w:kern w:val="0"/>
                <w:sz w:val="21"/>
                <w:szCs w:val="21"/>
                <w:lang w:bidi="ar"/>
              </w:rPr>
              <w:t>清理基层→铺设保温层→找平层</w:t>
            </w:r>
            <w:r>
              <w:rPr>
                <w:rFonts w:eastAsia="宋体" w:hint="eastAsia"/>
                <w:color w:val="auto"/>
                <w:kern w:val="0"/>
                <w:sz w:val="21"/>
                <w:szCs w:val="21"/>
                <w:lang w:eastAsia="zh-CN" w:bidi="ar"/>
              </w:rPr>
              <w:t>（</w:t>
            </w:r>
            <w:r>
              <w:rPr>
                <w:color w:val="auto"/>
                <w:kern w:val="0"/>
                <w:sz w:val="21"/>
                <w:szCs w:val="21"/>
                <w:lang w:bidi="ar"/>
              </w:rPr>
              <w:t>细部工程处理</w:t>
            </w:r>
            <w:r>
              <w:rPr>
                <w:rFonts w:hint="eastAsia"/>
                <w:color w:val="auto"/>
                <w:kern w:val="0"/>
                <w:sz w:val="21"/>
                <w:szCs w:val="21"/>
                <w:lang w:eastAsia="zh-CN" w:bidi="ar"/>
              </w:rPr>
              <w:t>）</w:t>
            </w:r>
            <w:r>
              <w:rPr>
                <w:color w:val="auto"/>
                <w:kern w:val="0"/>
                <w:sz w:val="21"/>
                <w:szCs w:val="21"/>
                <w:lang w:bidi="ar"/>
              </w:rPr>
              <w:t>→防水层→细石混凝土保护层。</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rFonts w:eastAsia="TimesNewRomanPSMT"/>
                <w:color w:val="auto"/>
                <w:kern w:val="0"/>
                <w:sz w:val="21"/>
                <w:szCs w:val="21"/>
                <w:lang w:bidi="ar"/>
              </w:rPr>
              <w:t>4</w:t>
            </w:r>
            <w:r>
              <w:rPr>
                <w:rFonts w:eastAsia="宋体" w:hint="eastAsia"/>
                <w:color w:val="auto"/>
                <w:kern w:val="0"/>
                <w:sz w:val="21"/>
                <w:szCs w:val="21"/>
                <w:lang w:eastAsia="zh-CN" w:bidi="ar"/>
              </w:rPr>
              <w:t>）</w:t>
            </w:r>
            <w:r>
              <w:rPr>
                <w:color w:val="auto"/>
                <w:kern w:val="0"/>
                <w:sz w:val="21"/>
                <w:szCs w:val="21"/>
                <w:lang w:bidi="ar"/>
              </w:rPr>
              <w:t>装修、装饰工程：一般施工顺序宜为先室外后室内装饰。</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color w:val="auto"/>
                <w:kern w:val="0"/>
                <w:sz w:val="21"/>
                <w:szCs w:val="21"/>
                <w:lang w:bidi="ar"/>
              </w:rPr>
              <w:t>室内装修：顶棚粉刷→墙面粉刷一楼、地面工程→门、窗安装→涂料</w:t>
            </w:r>
            <w:r>
              <w:rPr>
                <w:rFonts w:hint="eastAsia"/>
                <w:color w:val="auto"/>
                <w:kern w:val="0"/>
                <w:sz w:val="21"/>
                <w:szCs w:val="21"/>
                <w:lang w:eastAsia="zh-CN" w:bidi="ar"/>
              </w:rPr>
              <w:t>（</w:t>
            </w:r>
            <w:r>
              <w:rPr>
                <w:color w:val="auto"/>
                <w:kern w:val="0"/>
                <w:sz w:val="21"/>
                <w:szCs w:val="21"/>
                <w:lang w:bidi="ar"/>
              </w:rPr>
              <w:t>油漆</w:t>
            </w:r>
            <w:r>
              <w:rPr>
                <w:rFonts w:hint="eastAsia"/>
                <w:color w:val="auto"/>
                <w:kern w:val="0"/>
                <w:sz w:val="21"/>
                <w:szCs w:val="21"/>
                <w:lang w:eastAsia="zh-CN" w:bidi="ar"/>
              </w:rPr>
              <w:t>）</w:t>
            </w:r>
            <w:r>
              <w:rPr>
                <w:color w:val="auto"/>
                <w:kern w:val="0"/>
                <w:sz w:val="21"/>
                <w:szCs w:val="21"/>
                <w:lang w:bidi="ar"/>
              </w:rPr>
              <w:t>→玻璃安装。</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rFonts w:eastAsia="TimesNewRomanPSMT"/>
                <w:color w:val="auto"/>
                <w:kern w:val="0"/>
                <w:sz w:val="21"/>
                <w:szCs w:val="21"/>
                <w:lang w:bidi="ar"/>
              </w:rPr>
              <w:t>5</w:t>
            </w:r>
            <w:r>
              <w:rPr>
                <w:rFonts w:eastAsia="宋体" w:hint="eastAsia"/>
                <w:color w:val="auto"/>
                <w:kern w:val="0"/>
                <w:sz w:val="21"/>
                <w:szCs w:val="21"/>
                <w:lang w:eastAsia="zh-CN" w:bidi="ar"/>
              </w:rPr>
              <w:t>）</w:t>
            </w:r>
            <w:r>
              <w:rPr>
                <w:color w:val="auto"/>
                <w:kern w:val="0"/>
                <w:sz w:val="21"/>
                <w:szCs w:val="21"/>
                <w:lang w:bidi="ar"/>
              </w:rPr>
              <w:t>电气安装</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color w:val="auto"/>
                <w:kern w:val="0"/>
                <w:sz w:val="21"/>
                <w:szCs w:val="21"/>
                <w:lang w:bidi="ar"/>
              </w:rPr>
              <w:t>各类电气设施线管铺设</w:t>
            </w:r>
            <w:r>
              <w:rPr>
                <w:rFonts w:hint="eastAsia"/>
                <w:color w:val="auto"/>
                <w:kern w:val="0"/>
                <w:sz w:val="21"/>
                <w:szCs w:val="21"/>
                <w:lang w:eastAsia="zh-CN" w:bidi="ar"/>
              </w:rPr>
              <w:t>（</w:t>
            </w:r>
            <w:r>
              <w:rPr>
                <w:color w:val="auto"/>
                <w:kern w:val="0"/>
                <w:sz w:val="21"/>
                <w:szCs w:val="21"/>
                <w:lang w:bidi="ar"/>
              </w:rPr>
              <w:t>焊接</w:t>
            </w:r>
            <w:r>
              <w:rPr>
                <w:rFonts w:hint="eastAsia"/>
                <w:color w:val="auto"/>
                <w:kern w:val="0"/>
                <w:sz w:val="21"/>
                <w:szCs w:val="21"/>
                <w:lang w:eastAsia="zh-CN" w:bidi="ar"/>
              </w:rPr>
              <w:t>）</w:t>
            </w:r>
            <w:r>
              <w:rPr>
                <w:color w:val="auto"/>
                <w:kern w:val="0"/>
                <w:sz w:val="21"/>
                <w:szCs w:val="21"/>
                <w:lang w:bidi="ar"/>
              </w:rPr>
              <w:t>→避雷下引线焊接→电器开关留置一盒、箱固定→管路敷设→扫管穿带线→电气器具安装</w:t>
            </w:r>
            <w:r>
              <w:rPr>
                <w:rFonts w:hint="eastAsia"/>
                <w:color w:val="auto"/>
                <w:kern w:val="0"/>
                <w:sz w:val="21"/>
                <w:szCs w:val="21"/>
                <w:lang w:eastAsia="zh-CN" w:bidi="ar"/>
              </w:rPr>
              <w:t>（</w:t>
            </w:r>
            <w:r>
              <w:rPr>
                <w:color w:val="auto"/>
                <w:kern w:val="0"/>
                <w:sz w:val="21"/>
                <w:szCs w:val="21"/>
                <w:lang w:bidi="ar"/>
              </w:rPr>
              <w:t>避雷网及接地体设置焊接</w:t>
            </w:r>
            <w:r>
              <w:rPr>
                <w:rFonts w:hint="eastAsia"/>
                <w:color w:val="auto"/>
                <w:kern w:val="0"/>
                <w:sz w:val="21"/>
                <w:szCs w:val="21"/>
                <w:lang w:eastAsia="zh-CN" w:bidi="ar"/>
              </w:rPr>
              <w:t>）</w:t>
            </w:r>
            <w:r>
              <w:rPr>
                <w:color w:val="auto"/>
                <w:kern w:val="0"/>
                <w:sz w:val="21"/>
                <w:szCs w:val="21"/>
                <w:lang w:bidi="ar"/>
              </w:rPr>
              <w:t>→绝缘电阻、绝缘接地电阻测试与设备调试。</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rFonts w:eastAsia="TimesNewRomanPSMT"/>
                <w:color w:val="auto"/>
                <w:kern w:val="0"/>
                <w:sz w:val="21"/>
                <w:szCs w:val="21"/>
                <w:lang w:bidi="ar"/>
              </w:rPr>
              <w:t>6</w:t>
            </w:r>
            <w:r>
              <w:rPr>
                <w:rFonts w:eastAsia="宋体" w:hint="eastAsia"/>
                <w:color w:val="auto"/>
                <w:kern w:val="0"/>
                <w:sz w:val="21"/>
                <w:szCs w:val="21"/>
                <w:lang w:eastAsia="zh-CN" w:bidi="ar"/>
              </w:rPr>
              <w:t>）</w:t>
            </w:r>
            <w:r>
              <w:rPr>
                <w:color w:val="auto"/>
                <w:kern w:val="0"/>
                <w:sz w:val="21"/>
                <w:szCs w:val="21"/>
                <w:lang w:bidi="ar"/>
              </w:rPr>
              <w:t>水管安装</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rFonts w:hint="eastAsia"/>
                <w:color w:val="auto"/>
                <w:kern w:val="0"/>
                <w:sz w:val="21"/>
                <w:szCs w:val="21"/>
                <w:lang w:bidi="ar"/>
              </w:rPr>
              <w:t>预留</w:t>
            </w:r>
            <w:r>
              <w:rPr>
                <w:color w:val="auto"/>
                <w:kern w:val="0"/>
                <w:sz w:val="21"/>
                <w:szCs w:val="21"/>
                <w:lang w:bidi="ar"/>
              </w:rPr>
              <w:t>洞</w:t>
            </w:r>
            <w:r>
              <w:rPr>
                <w:rFonts w:hint="eastAsia"/>
                <w:color w:val="auto"/>
                <w:kern w:val="0"/>
                <w:sz w:val="21"/>
                <w:szCs w:val="21"/>
                <w:lang w:eastAsia="zh-CN" w:bidi="ar"/>
              </w:rPr>
              <w:t>（</w:t>
            </w:r>
            <w:r>
              <w:rPr>
                <w:color w:val="auto"/>
                <w:kern w:val="0"/>
                <w:sz w:val="21"/>
                <w:szCs w:val="21"/>
                <w:lang w:bidi="ar"/>
              </w:rPr>
              <w:t>孔</w:t>
            </w:r>
            <w:r>
              <w:rPr>
                <w:rFonts w:hint="eastAsia"/>
                <w:color w:val="auto"/>
                <w:kern w:val="0"/>
                <w:sz w:val="21"/>
                <w:szCs w:val="21"/>
                <w:lang w:eastAsia="zh-CN" w:bidi="ar"/>
              </w:rPr>
              <w:t>）</w:t>
            </w:r>
            <w:r>
              <w:rPr>
                <w:color w:val="auto"/>
                <w:kern w:val="0"/>
                <w:sz w:val="21"/>
                <w:szCs w:val="21"/>
                <w:lang w:bidi="ar"/>
              </w:rPr>
              <w:t>设置→安装前准备与预制加工→安装→干管安装→立管安装、支管安装→试压→冲洗→防腐→调试。</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color w:val="auto"/>
                <w:kern w:val="0"/>
                <w:sz w:val="21"/>
                <w:szCs w:val="21"/>
                <w:lang w:bidi="ar"/>
              </w:rPr>
              <w:t>7</w:t>
            </w:r>
            <w:r>
              <w:rPr>
                <w:rFonts w:hint="eastAsia"/>
                <w:color w:val="auto"/>
                <w:kern w:val="0"/>
                <w:sz w:val="21"/>
                <w:szCs w:val="21"/>
                <w:lang w:eastAsia="zh-CN" w:bidi="ar"/>
              </w:rPr>
              <w:t>）</w:t>
            </w:r>
            <w:r>
              <w:rPr>
                <w:color w:val="auto"/>
                <w:kern w:val="0"/>
                <w:sz w:val="21"/>
                <w:szCs w:val="21"/>
                <w:lang w:bidi="ar"/>
              </w:rPr>
              <w:t>部署安排</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color w:val="auto"/>
                <w:kern w:val="0"/>
                <w:sz w:val="21"/>
                <w:szCs w:val="21"/>
                <w:lang w:bidi="ar"/>
              </w:rPr>
              <w:t>①施工起点和施工流向</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color w:val="auto"/>
                <w:kern w:val="0"/>
                <w:sz w:val="21"/>
                <w:szCs w:val="21"/>
                <w:lang w:bidi="ar"/>
              </w:rPr>
              <w:t>根据工程实际施工需要，以满足缩短工程工期、保证工程质量等各工程目标的要求，在平面或空间上确定本工程施工部位及流动方向。</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color w:val="auto"/>
                <w:kern w:val="0"/>
                <w:sz w:val="21"/>
                <w:szCs w:val="21"/>
                <w:lang w:bidi="ar"/>
              </w:rPr>
              <w:t>a孔桩开挖采用人工开挖。</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color w:val="auto"/>
                <w:kern w:val="0"/>
                <w:sz w:val="21"/>
                <w:szCs w:val="21"/>
                <w:lang w:bidi="ar"/>
              </w:rPr>
              <w:t>b主体结构工程按照实际施工方便确定施工流水方向。</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color w:val="auto"/>
                <w:kern w:val="0"/>
                <w:sz w:val="21"/>
                <w:szCs w:val="21"/>
                <w:lang w:bidi="ar"/>
              </w:rPr>
              <w:t>c屋面工程采用先高后低的流向。</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color w:val="auto"/>
                <w:kern w:val="0"/>
                <w:sz w:val="21"/>
                <w:szCs w:val="21"/>
                <w:lang w:bidi="ar"/>
              </w:rPr>
              <w:t>d装饰工程采用自上而下的流向进行外墙装饰；内墙装饰根据工程进度适时插入，以自下而上的流向逐层进行</w:t>
            </w:r>
            <w:r>
              <w:rPr>
                <w:color w:val="auto"/>
                <w:kern w:val="0"/>
                <w:sz w:val="21"/>
                <w:szCs w:val="21"/>
                <w:highlight w:val="none"/>
                <w:lang w:bidi="ar"/>
              </w:rPr>
              <w:t>内</w:t>
            </w:r>
            <w:r>
              <w:rPr>
                <w:color w:val="auto"/>
                <w:kern w:val="0"/>
                <w:sz w:val="21"/>
                <w:szCs w:val="21"/>
                <w:lang w:bidi="ar"/>
              </w:rPr>
              <w:t>装饰。</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color w:val="auto"/>
                <w:kern w:val="0"/>
                <w:sz w:val="21"/>
                <w:szCs w:val="21"/>
                <w:lang w:bidi="ar"/>
              </w:rPr>
              <w:t>②划分施工任务</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color w:val="auto"/>
                <w:kern w:val="0"/>
                <w:sz w:val="21"/>
                <w:szCs w:val="21"/>
                <w:lang w:bidi="ar"/>
              </w:rPr>
              <w:t>根据本工程施工蓝图设计内容和技术的要求，按照建筑物</w:t>
            </w:r>
            <w:r>
              <w:rPr>
                <w:color w:val="auto"/>
                <w:kern w:val="0"/>
                <w:sz w:val="21"/>
                <w:szCs w:val="21"/>
                <w:highlight w:val="none"/>
                <w:lang w:bidi="ar"/>
              </w:rPr>
              <w:t>的集中</w:t>
            </w:r>
            <w:r>
              <w:rPr>
                <w:color w:val="auto"/>
                <w:kern w:val="0"/>
                <w:sz w:val="21"/>
                <w:szCs w:val="21"/>
                <w:lang w:bidi="ar"/>
              </w:rPr>
              <w:t>程度和施工便利的因素划分，再按照工种和专业划分为土建、装饰、水电安装三个任务段，项目经理对各个部分任务段工程施工全权指挥和协调，项目技术负责人对工程技术负责并负责施工方案的制定及施工技术措施的制定，项目副经理具体负责各个部分和各任务段的施工任务。</w:t>
            </w:r>
          </w:p>
        </w:tc>
      </w:tr>
    </w:tbl>
    <w:p>
      <w:pPr>
        <w:sectPr>
          <w:footerReference w:type="even" r:id="rId31"/>
          <w:footerReference w:type="default" r:id="rId32"/>
          <w:type w:val="nextPage"/>
          <w:pgSz w:w="11906" w:h="16838"/>
          <w:pgMar w:top="1440" w:right="1800" w:bottom="1440" w:left="1800" w:header="851" w:footer="1077" w:gutter="0"/>
          <w:pgNumType w:fmt="decimal" w:start="12"/>
          <w:cols w:num="1" w:space="720"/>
          <w:titlePg w:val="0"/>
          <w:docGrid w:linePitch="312" w:charSpace="0"/>
        </w:sectPr>
      </w:pPr>
    </w:p>
    <w:tbl>
      <w:tblPr>
        <w:tblStyle w:val="TableNormal"/>
        <w:tblW w:w="4999"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2"/>
        <w:gridCol w:w="8070"/>
      </w:tblGrid>
      <w:tr>
        <w:tblPrEx>
          <w:tblW w:w="4999"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90"/>
          <w:jc w:val="center"/>
        </w:trPr>
        <w:tc>
          <w:tcPr>
            <w:tcW w:w="390" w:type="pct"/>
            <w:noWrap w:val="0"/>
            <w:vAlign w:val="center"/>
          </w:tcPr>
          <w:p/>
        </w:tc>
        <w:tc>
          <w:tcPr>
            <w:tcW w:w="4609" w:type="pct"/>
            <w:noWrap w:val="0"/>
            <w:vAlign w:val="center"/>
          </w:tcPr>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color w:val="auto"/>
                <w:kern w:val="0"/>
                <w:sz w:val="21"/>
                <w:szCs w:val="21"/>
                <w:lang w:bidi="ar"/>
              </w:rPr>
              <w:t>③确定管理模式</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szCs w:val="21"/>
              </w:rPr>
            </w:pPr>
            <w:r>
              <w:rPr>
                <w:color w:val="auto"/>
                <w:kern w:val="0"/>
                <w:sz w:val="21"/>
                <w:szCs w:val="21"/>
                <w:lang w:bidi="ar"/>
              </w:rPr>
              <w:t>按照</w:t>
            </w:r>
            <w:r>
              <w:rPr>
                <w:rFonts w:eastAsia="TimesNewRomanPSMT"/>
                <w:color w:val="auto"/>
                <w:kern w:val="0"/>
                <w:sz w:val="21"/>
                <w:szCs w:val="21"/>
                <w:lang w:bidi="ar"/>
              </w:rPr>
              <w:t>ISO9001</w:t>
            </w:r>
            <w:r>
              <w:rPr>
                <w:color w:val="auto"/>
                <w:kern w:val="0"/>
                <w:sz w:val="21"/>
                <w:szCs w:val="21"/>
                <w:lang w:bidi="ar"/>
              </w:rPr>
              <w:t>质量标准体系四标一体化认证的管理模式进行本工程项目的质量管理，按照项目法施工的要求建立现场施工管理机构——项目部，对整个工程施工的全过程、各个工序、关键部位实行预控和严格的过程控制，在整个工程施工中，做到统一计划协调、统一现场管理、统一组织指挥、统一物资供应、统一对外联络等，确保各项工程目标顺利实现。</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kern w:val="0"/>
                <w:szCs w:val="21"/>
                <w:lang w:bidi="ar"/>
              </w:rPr>
            </w:pPr>
            <w:r>
              <w:rPr>
                <w:color w:val="auto"/>
                <w:kern w:val="0"/>
                <w:sz w:val="21"/>
                <w:szCs w:val="21"/>
                <w:lang w:bidi="ar"/>
              </w:rPr>
              <w:t>本工程总的施工顺序为：基础→主体→屋面→外装饰→其他装饰→水电通→消防→室外工程→清理报验。</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color w:val="auto"/>
                <w:kern w:val="0"/>
                <w:szCs w:val="21"/>
              </w:rPr>
            </w:pPr>
            <w:r>
              <w:rPr>
                <w:rFonts w:hint="eastAsia"/>
                <w:color w:val="auto"/>
                <w:kern w:val="0"/>
                <w:sz w:val="21"/>
                <w:szCs w:val="21"/>
                <w:lang w:eastAsia="zh-CN"/>
              </w:rPr>
              <w:t>（</w:t>
            </w:r>
            <w:r>
              <w:rPr>
                <w:color w:val="auto"/>
                <w:kern w:val="0"/>
                <w:sz w:val="21"/>
                <w:szCs w:val="21"/>
              </w:rPr>
              <w:t>3</w:t>
            </w:r>
            <w:r>
              <w:rPr>
                <w:rFonts w:hint="eastAsia"/>
                <w:color w:val="auto"/>
                <w:kern w:val="0"/>
                <w:sz w:val="21"/>
                <w:szCs w:val="21"/>
                <w:lang w:eastAsia="zh-CN"/>
              </w:rPr>
              <w:t>）</w:t>
            </w:r>
            <w:r>
              <w:rPr>
                <w:color w:val="auto"/>
                <w:kern w:val="0"/>
                <w:sz w:val="21"/>
                <w:szCs w:val="21"/>
              </w:rPr>
              <w:t>建设周期</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rFonts w:ascii="宋体" w:hAnsi="宋体" w:cs="宋体"/>
                <w:color w:val="auto"/>
                <w:kern w:val="0"/>
                <w:szCs w:val="21"/>
              </w:rPr>
            </w:pPr>
            <w:r>
              <w:rPr>
                <w:color w:val="auto"/>
                <w:kern w:val="0"/>
                <w:sz w:val="21"/>
                <w:szCs w:val="21"/>
              </w:rPr>
              <w:t>本项目建设周期为202</w:t>
            </w:r>
            <w:r>
              <w:rPr>
                <w:rFonts w:hint="eastAsia"/>
                <w:color w:val="auto"/>
                <w:kern w:val="0"/>
                <w:sz w:val="21"/>
                <w:szCs w:val="21"/>
                <w:lang w:val="en-US" w:eastAsia="zh-CN"/>
              </w:rPr>
              <w:t>2</w:t>
            </w:r>
            <w:r>
              <w:rPr>
                <w:color w:val="auto"/>
                <w:kern w:val="0"/>
                <w:sz w:val="21"/>
                <w:szCs w:val="21"/>
              </w:rPr>
              <w:t>年</w:t>
            </w:r>
            <w:r>
              <w:rPr>
                <w:rFonts w:hint="eastAsia"/>
                <w:color w:val="auto"/>
                <w:kern w:val="0"/>
                <w:sz w:val="21"/>
                <w:szCs w:val="21"/>
                <w:lang w:val="en-US" w:eastAsia="zh-CN"/>
              </w:rPr>
              <w:t>1</w:t>
            </w:r>
            <w:r>
              <w:rPr>
                <w:color w:val="auto"/>
                <w:kern w:val="0"/>
                <w:sz w:val="21"/>
                <w:szCs w:val="21"/>
              </w:rPr>
              <w:t>月至202</w:t>
            </w:r>
            <w:r>
              <w:rPr>
                <w:rFonts w:hint="eastAsia"/>
                <w:color w:val="auto"/>
                <w:kern w:val="0"/>
                <w:sz w:val="21"/>
                <w:szCs w:val="21"/>
                <w:lang w:val="en-US" w:eastAsia="zh-CN"/>
              </w:rPr>
              <w:t>2</w:t>
            </w:r>
            <w:r>
              <w:rPr>
                <w:color w:val="auto"/>
                <w:kern w:val="0"/>
                <w:sz w:val="21"/>
                <w:szCs w:val="21"/>
              </w:rPr>
              <w:t>年</w:t>
            </w:r>
            <w:r>
              <w:rPr>
                <w:rFonts w:hint="eastAsia"/>
                <w:color w:val="auto"/>
                <w:kern w:val="0"/>
                <w:sz w:val="21"/>
                <w:szCs w:val="21"/>
                <w:lang w:val="en-US" w:eastAsia="zh-CN"/>
              </w:rPr>
              <w:t>12</w:t>
            </w:r>
            <w:r>
              <w:rPr>
                <w:color w:val="auto"/>
                <w:kern w:val="0"/>
                <w:sz w:val="21"/>
                <w:szCs w:val="21"/>
              </w:rPr>
              <w:t>月，共</w:t>
            </w:r>
            <w:r>
              <w:rPr>
                <w:rFonts w:hint="eastAsia"/>
                <w:color w:val="auto"/>
                <w:kern w:val="0"/>
                <w:sz w:val="21"/>
                <w:szCs w:val="21"/>
                <w:lang w:val="en-US" w:eastAsia="zh-CN"/>
              </w:rPr>
              <w:t>12</w:t>
            </w:r>
            <w:r>
              <w:rPr>
                <w:color w:val="auto"/>
                <w:kern w:val="0"/>
                <w:sz w:val="21"/>
                <w:szCs w:val="21"/>
              </w:rPr>
              <w:t>个月。</w:t>
            </w:r>
          </w:p>
        </w:tc>
      </w:tr>
      <w:tr>
        <w:tblPrEx>
          <w:tblW w:w="4999" w:type="pct"/>
          <w:jc w:val="center"/>
          <w:tblCellMar>
            <w:top w:w="0" w:type="dxa"/>
            <w:left w:w="108" w:type="dxa"/>
            <w:bottom w:w="0" w:type="dxa"/>
            <w:right w:w="108" w:type="dxa"/>
          </w:tblCellMar>
        </w:tblPrEx>
        <w:trPr>
          <w:trHeight w:val="1837"/>
          <w:jc w:val="center"/>
        </w:trPr>
        <w:tc>
          <w:tcPr>
            <w:tcW w:w="390" w:type="pct"/>
            <w:noWrap w:val="0"/>
            <w:vAlign w:val="center"/>
          </w:tcPr>
          <w:p>
            <w:pPr>
              <w:adjustRightInd w:val="0"/>
              <w:snapToGrid w:val="0"/>
              <w:jc w:val="center"/>
              <w:rPr>
                <w:rFonts w:ascii="宋体" w:hAnsi="宋体" w:cs="宋体"/>
                <w:color w:val="auto"/>
                <w:kern w:val="0"/>
                <w:szCs w:val="21"/>
              </w:rPr>
            </w:pPr>
            <w:r>
              <w:rPr>
                <w:rFonts w:ascii="宋体" w:hAnsi="宋体" w:cs="宋体" w:hint="eastAsia"/>
                <w:color w:val="auto"/>
                <w:kern w:val="0"/>
                <w:sz w:val="21"/>
                <w:szCs w:val="21"/>
              </w:rPr>
              <w:t>其他</w:t>
            </w:r>
          </w:p>
        </w:tc>
        <w:tc>
          <w:tcPr>
            <w:tcW w:w="460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b w:val="0"/>
                <w:bCs w:val="0"/>
                <w:color w:val="auto"/>
              </w:rPr>
            </w:pPr>
            <w:r>
              <w:rPr>
                <w:rFonts w:hint="eastAsia"/>
                <w:b w:val="0"/>
                <w:bCs w:val="0"/>
                <w:color w:val="auto"/>
                <w:lang w:val="en-US" w:eastAsia="zh-CN"/>
              </w:rPr>
              <w:t>运营期产污环节</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default"/>
                <w:b w:val="0"/>
                <w:bCs w:val="0"/>
                <w:color w:val="auto"/>
              </w:rPr>
            </w:pPr>
            <w:r>
              <w:rPr>
                <w:rFonts w:hint="eastAsia"/>
                <w:b w:val="0"/>
                <w:bCs w:val="0"/>
                <w:color w:val="auto"/>
                <w:lang w:val="en-US" w:eastAsia="zh-CN"/>
              </w:rPr>
              <w:t>项目主要建设内容包括：管理中心、房车宿营区、生活休闲区。其中，管理中心主要功能为为工作人员提供办公场所以及为前来游玩的旅客提供咨询、推介、帮助等相关服务，主要产污环节为工作人员日常上班生活过程中产生的生活垃圾和生活污水。房车宿营区、生活休闲区主要的功能为给房车和自驾车者提供娱乐场所和空间、休息停车场地以及提供房车补水、充电、处理房车的生活污水等全套的供给补给，服务满足现代人休闲时尚的需求。项目运营期主要产污环节见下图2-1。</w:t>
            </w:r>
          </w:p>
          <w:p>
            <w:pPr>
              <w:pStyle w:val="NormalIndent"/>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lang w:val="en-US" w:eastAsia="zh-CN"/>
              </w:rPr>
            </w:pPr>
            <w:r>
              <w:rPr>
                <w:color w:val="auto"/>
              </w:rPr>
              <w:drawing>
                <wp:inline distT="0" distB="0" distL="114300" distR="114300">
                  <wp:extent cx="5051425" cy="2227580"/>
                  <wp:effectExtent l="0" t="0" r="15875" b="127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xmlns:r="http://schemas.openxmlformats.org/officeDocument/2006/relationships" r:embed="rId33"/>
                          <a:stretch>
                            <a:fillRect/>
                          </a:stretch>
                        </pic:blipFill>
                        <pic:spPr>
                          <a:xfrm>
                            <a:off x="0" y="0"/>
                            <a:ext cx="5051425" cy="2227580"/>
                          </a:xfrm>
                          <a:prstGeom prst="rect">
                            <a:avLst/>
                          </a:prstGeom>
                          <a:noFill/>
                          <a:ln>
                            <a:noFill/>
                          </a:ln>
                        </pic:spPr>
                      </pic:pic>
                    </a:graphicData>
                  </a:graphic>
                </wp:inline>
              </w:drawing>
            </w:r>
          </w:p>
          <w:p>
            <w:pPr>
              <w:pStyle w:val="Heading4"/>
              <w:rPr>
                <w:rFonts w:hint="default"/>
                <w:color w:val="auto"/>
                <w:lang w:val="en-US" w:eastAsia="zh-CN"/>
              </w:rPr>
            </w:pPr>
          </w:p>
          <w:p>
            <w:pPr>
              <w:jc w:val="center"/>
              <w:rPr>
                <w:rFonts w:hint="default"/>
                <w:color w:val="auto"/>
              </w:rPr>
            </w:pPr>
            <w:r>
              <w:rPr>
                <w:rFonts w:hint="eastAsia"/>
                <w:b/>
                <w:bCs/>
                <w:color w:val="auto"/>
                <w:lang w:val="en-US" w:eastAsia="zh-CN"/>
              </w:rPr>
              <w:t>图2-1 项目运营期主要产物环节</w:t>
            </w:r>
          </w:p>
        </w:tc>
      </w:tr>
    </w:tbl>
    <w:p>
      <w:pPr>
        <w:sectPr>
          <w:footerReference w:type="even" r:id="rId34"/>
          <w:footerReference w:type="default" r:id="rId35"/>
          <w:type w:val="nextPage"/>
          <w:pgSz w:w="11906" w:h="16838"/>
          <w:pgMar w:top="1440" w:right="1800" w:bottom="1440" w:left="1800" w:header="851" w:footer="1077" w:gutter="0"/>
          <w:pgNumType w:fmt="decimal" w:start="13"/>
          <w:cols w:num="1" w:space="720"/>
          <w:titlePg w:val="0"/>
          <w:docGrid w:linePitch="312" w:charSpace="0"/>
        </w:sectPr>
      </w:pPr>
    </w:p>
    <w:p>
      <w:pPr>
        <w:pStyle w:val="NormalWeb"/>
        <w:jc w:val="center"/>
        <w:outlineLvl w:val="0"/>
        <w:rPr>
          <w:rFonts w:ascii="黑体" w:eastAsia="黑体" w:hAnsi="黑体"/>
          <w:snapToGrid w:val="0"/>
          <w:color w:val="auto"/>
          <w:sz w:val="21"/>
          <w:szCs w:val="21"/>
        </w:rPr>
      </w:pPr>
      <w:r>
        <w:rPr>
          <w:rFonts w:ascii="黑体" w:eastAsia="黑体" w:hAnsi="黑体" w:cs="Times New Roman" w:hint="eastAsia"/>
          <w:snapToGrid w:val="0"/>
          <w:color w:val="auto"/>
          <w:sz w:val="30"/>
          <w:szCs w:val="30"/>
        </w:rPr>
        <w:t>三、生态环境现状、保护目标及评价标准</w:t>
      </w:r>
    </w:p>
    <w:tbl>
      <w:tblPr>
        <w:tblStyle w:val="TableNormal"/>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941"/>
        <w:gridCol w:w="7581"/>
      </w:tblGrid>
      <w:tr>
        <w:tblPrEx>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649"/>
          <w:jc w:val="center"/>
        </w:trPr>
        <w:tc>
          <w:tcPr>
            <w:tcW w:w="552" w:type="pct"/>
            <w:noWrap w:val="0"/>
            <w:vAlign w:val="center"/>
          </w:tcPr>
          <w:p>
            <w:pPr>
              <w:adjustRightInd w:val="0"/>
              <w:snapToGrid w:val="0"/>
              <w:jc w:val="center"/>
              <w:rPr>
                <w:color w:val="auto"/>
                <w:kern w:val="0"/>
                <w:szCs w:val="21"/>
              </w:rPr>
            </w:pPr>
            <w:r>
              <w:rPr>
                <w:color w:val="auto"/>
                <w:kern w:val="0"/>
                <w:sz w:val="21"/>
                <w:szCs w:val="21"/>
              </w:rPr>
              <w:t>生态环境现状</w:t>
            </w:r>
          </w:p>
        </w:tc>
        <w:tc>
          <w:tcPr>
            <w:tcW w:w="4447" w:type="pct"/>
            <w:noWrap w:val="0"/>
            <w:vAlign w:val="center"/>
          </w:tcPr>
          <w:p>
            <w:pPr>
              <w:keepNext w:val="0"/>
              <w:keepLines w:val="0"/>
              <w:pageBreakBefore w:val="0"/>
              <w:widowControl w:val="0"/>
              <w:kinsoku/>
              <w:wordWrap/>
              <w:overflowPunct/>
              <w:topLinePunct w:val="0"/>
              <w:autoSpaceDE/>
              <w:autoSpaceDN/>
              <w:bidi w:val="0"/>
              <w:spacing w:line="336" w:lineRule="auto"/>
              <w:ind w:firstLine="480"/>
              <w:textAlignment w:val="auto"/>
              <w:rPr>
                <w:rFonts w:hint="eastAsia"/>
                <w:b/>
                <w:bCs/>
                <w:color w:val="auto"/>
                <w:szCs w:val="21"/>
              </w:rPr>
            </w:pPr>
            <w:r>
              <w:rPr>
                <w:rFonts w:hint="eastAsia"/>
                <w:b/>
                <w:bCs/>
                <w:color w:val="auto"/>
                <w:sz w:val="21"/>
                <w:szCs w:val="21"/>
                <w:lang w:val="en-US" w:eastAsia="zh-CN"/>
              </w:rPr>
              <w:t>1、项目大气环境质量</w:t>
            </w:r>
          </w:p>
          <w:p>
            <w:pPr>
              <w:keepNext w:val="0"/>
              <w:keepLines w:val="0"/>
              <w:pageBreakBefore w:val="0"/>
              <w:widowControl/>
              <w:suppressLineNumbers w:val="0"/>
              <w:kinsoku/>
              <w:wordWrap/>
              <w:overflowPunct/>
              <w:topLinePunct w:val="0"/>
              <w:autoSpaceDE/>
              <w:autoSpaceDN/>
              <w:bidi w:val="0"/>
              <w:adjustRightInd/>
              <w:snapToGrid/>
              <w:spacing w:line="336" w:lineRule="auto"/>
              <w:ind w:firstLine="420" w:firstLineChars="200"/>
              <w:jc w:val="left"/>
              <w:textAlignment w:val="auto"/>
              <w:rPr>
                <w:rFonts w:hint="default"/>
                <w:color w:val="auto"/>
                <w:szCs w:val="21"/>
              </w:rPr>
            </w:pPr>
            <w:r>
              <w:rPr>
                <w:rFonts w:ascii="Times New Roman" w:eastAsia="宋体" w:hAnsi="Times New Roman" w:cs="Times New Roman" w:hint="default"/>
                <w:color w:val="auto"/>
                <w:kern w:val="0"/>
                <w:sz w:val="21"/>
                <w:szCs w:val="21"/>
                <w:lang w:val="en-US" w:eastAsia="zh-CN" w:bidi="ar"/>
              </w:rPr>
              <w:t>根据2021年2月1日三亚市生态环境局发布的《三亚市2020年环境质量年报》，2020年，三亚市环境空气质量优良率为100%，市区二氧化硫</w:t>
            </w:r>
            <w:r>
              <w:rPr>
                <w:rFonts w:cs="Times New Roman" w:hint="eastAsia"/>
                <w:color w:val="auto"/>
                <w:kern w:val="0"/>
                <w:sz w:val="21"/>
                <w:szCs w:val="21"/>
                <w:lang w:val="en-US" w:eastAsia="zh-CN" w:bidi="ar"/>
              </w:rPr>
              <w:t>（</w:t>
            </w:r>
            <w:r>
              <w:rPr>
                <w:rFonts w:ascii="Times New Roman" w:eastAsia="宋体" w:hAnsi="Times New Roman" w:cs="Times New Roman" w:hint="default"/>
                <w:color w:val="auto"/>
                <w:kern w:val="0"/>
                <w:sz w:val="21"/>
                <w:szCs w:val="21"/>
                <w:lang w:val="en-US" w:eastAsia="zh-CN" w:bidi="ar"/>
              </w:rPr>
              <w:t>SO</w:t>
            </w:r>
            <w:r>
              <w:rPr>
                <w:rFonts w:ascii="Times New Roman" w:eastAsia="宋体" w:hAnsi="Times New Roman" w:cs="Times New Roman" w:hint="default"/>
                <w:color w:val="auto"/>
                <w:kern w:val="0"/>
                <w:sz w:val="21"/>
                <w:szCs w:val="21"/>
                <w:vertAlign w:val="subscript"/>
                <w:lang w:val="en-US" w:eastAsia="zh-CN" w:bidi="ar"/>
              </w:rPr>
              <w:t>2</w:t>
            </w:r>
            <w:r>
              <w:rPr>
                <w:rFonts w:cs="Times New Roman" w:hint="eastAsia"/>
                <w:color w:val="auto"/>
                <w:kern w:val="0"/>
                <w:sz w:val="21"/>
                <w:szCs w:val="21"/>
                <w:lang w:val="en-US" w:eastAsia="zh-CN" w:bidi="ar"/>
              </w:rPr>
              <w:t>）</w:t>
            </w:r>
            <w:r>
              <w:rPr>
                <w:rFonts w:ascii="Times New Roman" w:eastAsia="宋体" w:hAnsi="Times New Roman" w:cs="Times New Roman" w:hint="default"/>
                <w:color w:val="auto"/>
                <w:kern w:val="0"/>
                <w:sz w:val="21"/>
                <w:szCs w:val="21"/>
                <w:lang w:val="en-US" w:eastAsia="zh-CN" w:bidi="ar"/>
              </w:rPr>
              <w:t>日平均浓度范围为1～10微克/立方米，年平均浓度为4微克/立方米；二氧化氮</w:t>
            </w:r>
            <w:r>
              <w:rPr>
                <w:rFonts w:cs="Times New Roman" w:hint="eastAsia"/>
                <w:color w:val="auto"/>
                <w:kern w:val="0"/>
                <w:sz w:val="21"/>
                <w:szCs w:val="21"/>
                <w:lang w:val="en-US" w:eastAsia="zh-CN" w:bidi="ar"/>
              </w:rPr>
              <w:t>（</w:t>
            </w:r>
            <w:r>
              <w:rPr>
                <w:rFonts w:ascii="Times New Roman" w:eastAsia="宋体" w:hAnsi="Times New Roman" w:cs="Times New Roman" w:hint="default"/>
                <w:color w:val="auto"/>
                <w:kern w:val="0"/>
                <w:sz w:val="21"/>
                <w:szCs w:val="21"/>
                <w:lang w:val="en-US" w:eastAsia="zh-CN" w:bidi="ar"/>
              </w:rPr>
              <w:t>NO</w:t>
            </w:r>
            <w:r>
              <w:rPr>
                <w:rFonts w:ascii="Times New Roman" w:eastAsia="宋体" w:hAnsi="Times New Roman" w:cs="Times New Roman" w:hint="default"/>
                <w:color w:val="auto"/>
                <w:kern w:val="0"/>
                <w:sz w:val="21"/>
                <w:szCs w:val="21"/>
                <w:vertAlign w:val="subscript"/>
                <w:lang w:val="en-US" w:eastAsia="zh-CN" w:bidi="ar"/>
              </w:rPr>
              <w:t>2</w:t>
            </w:r>
            <w:r>
              <w:rPr>
                <w:rFonts w:cs="Times New Roman" w:hint="eastAsia"/>
                <w:color w:val="auto"/>
                <w:kern w:val="0"/>
                <w:sz w:val="21"/>
                <w:szCs w:val="21"/>
                <w:lang w:val="en-US" w:eastAsia="zh-CN" w:bidi="ar"/>
              </w:rPr>
              <w:t>）</w:t>
            </w:r>
            <w:r>
              <w:rPr>
                <w:rFonts w:ascii="Times New Roman" w:eastAsia="宋体" w:hAnsi="Times New Roman" w:cs="Times New Roman" w:hint="default"/>
                <w:color w:val="auto"/>
                <w:kern w:val="0"/>
                <w:sz w:val="21"/>
                <w:szCs w:val="21"/>
                <w:lang w:val="en-US" w:eastAsia="zh-CN" w:bidi="ar"/>
              </w:rPr>
              <w:t>日平均浓度范围为2～28微克/立方米，年平均浓度为9微克/立方米；可吸入颗粒物</w:t>
            </w:r>
            <w:r>
              <w:rPr>
                <w:rFonts w:cs="Times New Roman" w:hint="eastAsia"/>
                <w:color w:val="auto"/>
                <w:kern w:val="0"/>
                <w:sz w:val="21"/>
                <w:szCs w:val="21"/>
                <w:lang w:val="en-US" w:eastAsia="zh-CN" w:bidi="ar"/>
              </w:rPr>
              <w:t>（</w:t>
            </w:r>
            <w:r>
              <w:rPr>
                <w:rFonts w:ascii="Times New Roman" w:eastAsia="宋体" w:hAnsi="Times New Roman" w:cs="Times New Roman" w:hint="default"/>
                <w:color w:val="auto"/>
                <w:kern w:val="0"/>
                <w:sz w:val="21"/>
                <w:szCs w:val="21"/>
                <w:lang w:val="en-US" w:eastAsia="zh-CN" w:bidi="ar"/>
              </w:rPr>
              <w:t>PM</w:t>
            </w:r>
            <w:r>
              <w:rPr>
                <w:rFonts w:ascii="Times New Roman" w:eastAsia="宋体" w:hAnsi="Times New Roman" w:cs="Times New Roman" w:hint="default"/>
                <w:color w:val="auto"/>
                <w:kern w:val="0"/>
                <w:sz w:val="21"/>
                <w:szCs w:val="21"/>
                <w:vertAlign w:val="subscript"/>
                <w:lang w:val="en-US" w:eastAsia="zh-CN" w:bidi="ar"/>
              </w:rPr>
              <w:t>10</w:t>
            </w:r>
            <w:r>
              <w:rPr>
                <w:rFonts w:cs="Times New Roman" w:hint="eastAsia"/>
                <w:color w:val="auto"/>
                <w:kern w:val="0"/>
                <w:sz w:val="21"/>
                <w:szCs w:val="21"/>
                <w:lang w:val="en-US" w:eastAsia="zh-CN" w:bidi="ar"/>
              </w:rPr>
              <w:t>）</w:t>
            </w:r>
            <w:r>
              <w:rPr>
                <w:rFonts w:ascii="Times New Roman" w:eastAsia="宋体" w:hAnsi="Times New Roman" w:cs="Times New Roman" w:hint="default"/>
                <w:color w:val="auto"/>
                <w:kern w:val="0"/>
                <w:sz w:val="21"/>
                <w:szCs w:val="21"/>
                <w:lang w:val="en-US" w:eastAsia="zh-CN" w:bidi="ar"/>
              </w:rPr>
              <w:t>日平均浓度范围为4～76微克/立方米，年平均浓度为23微克/立方米；细颗粒物</w:t>
            </w:r>
            <w:r>
              <w:rPr>
                <w:rFonts w:cs="Times New Roman" w:hint="eastAsia"/>
                <w:color w:val="auto"/>
                <w:kern w:val="0"/>
                <w:sz w:val="21"/>
                <w:szCs w:val="21"/>
                <w:lang w:val="en-US" w:eastAsia="zh-CN" w:bidi="ar"/>
              </w:rPr>
              <w:t>（</w:t>
            </w:r>
            <w:r>
              <w:rPr>
                <w:rFonts w:ascii="Times New Roman" w:eastAsia="宋体" w:hAnsi="Times New Roman" w:cs="Times New Roman" w:hint="default"/>
                <w:color w:val="auto"/>
                <w:kern w:val="0"/>
                <w:sz w:val="21"/>
                <w:szCs w:val="21"/>
                <w:lang w:val="en-US" w:eastAsia="zh-CN" w:bidi="ar"/>
              </w:rPr>
              <w:t>PM</w:t>
            </w:r>
            <w:r>
              <w:rPr>
                <w:rFonts w:ascii="Times New Roman" w:eastAsia="宋体" w:hAnsi="Times New Roman" w:cs="Times New Roman" w:hint="default"/>
                <w:color w:val="auto"/>
                <w:kern w:val="0"/>
                <w:sz w:val="21"/>
                <w:szCs w:val="21"/>
                <w:vertAlign w:val="subscript"/>
                <w:lang w:val="en-US" w:eastAsia="zh-CN" w:bidi="ar"/>
              </w:rPr>
              <w:t>2.5</w:t>
            </w:r>
            <w:r>
              <w:rPr>
                <w:rFonts w:cs="Times New Roman" w:hint="eastAsia"/>
                <w:color w:val="auto"/>
                <w:kern w:val="0"/>
                <w:sz w:val="21"/>
                <w:szCs w:val="21"/>
                <w:lang w:val="en-US" w:eastAsia="zh-CN" w:bidi="ar"/>
              </w:rPr>
              <w:t>）</w:t>
            </w:r>
            <w:r>
              <w:rPr>
                <w:rFonts w:ascii="Times New Roman" w:eastAsia="宋体" w:hAnsi="Times New Roman" w:cs="Times New Roman" w:hint="default"/>
                <w:color w:val="auto"/>
                <w:kern w:val="0"/>
                <w:sz w:val="21"/>
                <w:szCs w:val="21"/>
                <w:lang w:val="en-US" w:eastAsia="zh-CN" w:bidi="ar"/>
              </w:rPr>
              <w:t>日平均浓度范围为2～50微克/立方米，年平均浓度为11微克/立方米；一氧化碳</w:t>
            </w:r>
            <w:r>
              <w:rPr>
                <w:rFonts w:cs="Times New Roman" w:hint="eastAsia"/>
                <w:color w:val="auto"/>
                <w:kern w:val="0"/>
                <w:sz w:val="21"/>
                <w:szCs w:val="21"/>
                <w:lang w:val="en-US" w:eastAsia="zh-CN" w:bidi="ar"/>
              </w:rPr>
              <w:t>（</w:t>
            </w:r>
            <w:r>
              <w:rPr>
                <w:rFonts w:ascii="Times New Roman" w:eastAsia="宋体" w:hAnsi="Times New Roman" w:cs="Times New Roman" w:hint="default"/>
                <w:color w:val="auto"/>
                <w:kern w:val="0"/>
                <w:sz w:val="21"/>
                <w:szCs w:val="21"/>
                <w:lang w:val="en-US" w:eastAsia="zh-CN" w:bidi="ar"/>
              </w:rPr>
              <w:t>CO</w:t>
            </w:r>
            <w:r>
              <w:rPr>
                <w:rFonts w:cs="Times New Roman" w:hint="eastAsia"/>
                <w:color w:val="auto"/>
                <w:kern w:val="0"/>
                <w:sz w:val="21"/>
                <w:szCs w:val="21"/>
                <w:lang w:val="en-US" w:eastAsia="zh-CN" w:bidi="ar"/>
              </w:rPr>
              <w:t>）</w:t>
            </w:r>
            <w:r>
              <w:rPr>
                <w:rFonts w:ascii="Times New Roman" w:eastAsia="宋体" w:hAnsi="Times New Roman" w:cs="Times New Roman" w:hint="default"/>
                <w:color w:val="auto"/>
                <w:kern w:val="0"/>
                <w:sz w:val="21"/>
                <w:szCs w:val="21"/>
                <w:lang w:val="en-US" w:eastAsia="zh-CN" w:bidi="ar"/>
              </w:rPr>
              <w:t>日平均浓度范围为0.2～0.8毫克/立方米，日平均浓度第95百分位数为0.6毫克/立方米；臭氧</w:t>
            </w:r>
            <w:r>
              <w:rPr>
                <w:rFonts w:cs="Times New Roman" w:hint="eastAsia"/>
                <w:color w:val="auto"/>
                <w:kern w:val="0"/>
                <w:sz w:val="21"/>
                <w:szCs w:val="21"/>
                <w:lang w:val="en-US" w:eastAsia="zh-CN" w:bidi="ar"/>
              </w:rPr>
              <w:t>（</w:t>
            </w:r>
            <w:r>
              <w:rPr>
                <w:rFonts w:ascii="Times New Roman" w:eastAsia="宋体" w:hAnsi="Times New Roman" w:cs="Times New Roman" w:hint="default"/>
                <w:color w:val="auto"/>
                <w:kern w:val="0"/>
                <w:sz w:val="21"/>
                <w:szCs w:val="21"/>
                <w:lang w:val="en-US" w:eastAsia="zh-CN" w:bidi="ar"/>
              </w:rPr>
              <w:t>O</w:t>
            </w:r>
            <w:r>
              <w:rPr>
                <w:rFonts w:ascii="Times New Roman" w:eastAsia="宋体" w:hAnsi="Times New Roman" w:cs="Times New Roman" w:hint="default"/>
                <w:color w:val="auto"/>
                <w:kern w:val="0"/>
                <w:sz w:val="21"/>
                <w:szCs w:val="21"/>
                <w:vertAlign w:val="subscript"/>
                <w:lang w:val="en-US" w:eastAsia="zh-CN" w:bidi="ar"/>
              </w:rPr>
              <w:t>3</w:t>
            </w:r>
            <w:r>
              <w:rPr>
                <w:rFonts w:cs="Times New Roman" w:hint="eastAsia"/>
                <w:color w:val="auto"/>
                <w:kern w:val="0"/>
                <w:sz w:val="21"/>
                <w:szCs w:val="21"/>
                <w:lang w:val="en-US" w:eastAsia="zh-CN" w:bidi="ar"/>
              </w:rPr>
              <w:t>）</w:t>
            </w:r>
            <w:r>
              <w:rPr>
                <w:rFonts w:ascii="Times New Roman" w:eastAsia="宋体" w:hAnsi="Times New Roman" w:cs="Times New Roman" w:hint="default"/>
                <w:color w:val="auto"/>
                <w:kern w:val="0"/>
                <w:sz w:val="21"/>
                <w:szCs w:val="21"/>
                <w:lang w:val="en-US" w:eastAsia="zh-CN" w:bidi="ar"/>
              </w:rPr>
              <w:t>日最大8小时平均浓度范围为16～145微克/立方米，日最大8小时平均浓度第90百分位数为99微克/立方米。各污染物平均浓度均优于《环境空气质量标准》</w:t>
            </w:r>
            <w:r>
              <w:rPr>
                <w:rFonts w:cs="Times New Roman" w:hint="eastAsia"/>
                <w:color w:val="auto"/>
                <w:kern w:val="0"/>
                <w:sz w:val="21"/>
                <w:szCs w:val="21"/>
                <w:lang w:val="en-US" w:eastAsia="zh-CN" w:bidi="ar"/>
              </w:rPr>
              <w:t>（</w:t>
            </w:r>
            <w:r>
              <w:rPr>
                <w:rFonts w:ascii="Times New Roman" w:eastAsia="宋体" w:hAnsi="Times New Roman" w:cs="Times New Roman" w:hint="default"/>
                <w:color w:val="auto"/>
                <w:kern w:val="0"/>
                <w:sz w:val="21"/>
                <w:szCs w:val="21"/>
                <w:lang w:val="en-US" w:eastAsia="zh-CN" w:bidi="ar"/>
              </w:rPr>
              <w:t>GB3095-2012</w:t>
            </w:r>
            <w:r>
              <w:rPr>
                <w:rFonts w:cs="Times New Roman" w:hint="eastAsia"/>
                <w:color w:val="auto"/>
                <w:kern w:val="0"/>
                <w:sz w:val="21"/>
                <w:szCs w:val="21"/>
                <w:lang w:val="en-US" w:eastAsia="zh-CN" w:bidi="ar"/>
              </w:rPr>
              <w:t>）</w:t>
            </w:r>
            <w:r>
              <w:rPr>
                <w:rFonts w:ascii="Times New Roman" w:eastAsia="宋体" w:hAnsi="Times New Roman" w:cs="Times New Roman" w:hint="default"/>
                <w:color w:val="auto"/>
                <w:kern w:val="0"/>
                <w:sz w:val="21"/>
                <w:szCs w:val="21"/>
                <w:lang w:val="en-US" w:eastAsia="zh-CN" w:bidi="ar"/>
              </w:rPr>
              <w:t>及其修改单中</w:t>
            </w:r>
            <w:r>
              <w:rPr>
                <w:rFonts w:cs="Times New Roman" w:hint="eastAsia"/>
                <w:color w:val="auto"/>
                <w:kern w:val="0"/>
                <w:sz w:val="21"/>
                <w:szCs w:val="21"/>
                <w:lang w:val="en-US" w:eastAsia="zh-CN" w:bidi="ar"/>
              </w:rPr>
              <w:t>一</w:t>
            </w:r>
            <w:r>
              <w:rPr>
                <w:rFonts w:ascii="Times New Roman" w:eastAsia="宋体" w:hAnsi="Times New Roman" w:cs="Times New Roman" w:hint="default"/>
                <w:color w:val="auto"/>
                <w:kern w:val="0"/>
                <w:sz w:val="21"/>
                <w:szCs w:val="21"/>
                <w:lang w:val="en-US" w:eastAsia="zh-CN" w:bidi="ar"/>
              </w:rPr>
              <w:t>级标准限值。</w:t>
            </w:r>
            <w:r>
              <w:rPr>
                <w:rFonts w:cs="Times New Roman" w:hint="eastAsia"/>
                <w:color w:val="auto"/>
                <w:kern w:val="0"/>
                <w:sz w:val="21"/>
                <w:szCs w:val="21"/>
                <w:lang w:val="en-US" w:eastAsia="zh-CN" w:bidi="ar"/>
              </w:rPr>
              <w:t>因此，项目所在区域为达标区。</w:t>
            </w:r>
            <w:r>
              <w:rPr>
                <w:rFonts w:ascii="Times New Roman" w:eastAsia="宋体" w:hAnsi="Times New Roman" w:cs="Times New Roman" w:hint="default"/>
                <w:color w:val="auto"/>
                <w:kern w:val="0"/>
                <w:sz w:val="21"/>
                <w:szCs w:val="21"/>
                <w:lang w:val="en-US" w:eastAsia="zh-CN" w:bidi="ar"/>
              </w:rPr>
              <w:t>项目所在区域空气质量现状评价表详见表3-1</w:t>
            </w:r>
            <w:r>
              <w:rPr>
                <w:rFonts w:ascii="Times New Roman" w:eastAsia="宋体" w:hAnsi="Times New Roman" w:cs="Times New Roman" w:hint="eastAsia"/>
                <w:color w:val="auto"/>
                <w:kern w:val="0"/>
                <w:sz w:val="21"/>
                <w:szCs w:val="21"/>
                <w:lang w:val="en-US" w:eastAsia="zh-CN" w:bidi="ar"/>
              </w:rPr>
              <w:t>。</w:t>
            </w:r>
          </w:p>
          <w:p>
            <w:pPr>
              <w:pStyle w:val="NormalIndent"/>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jc w:val="center"/>
              <w:textAlignment w:val="auto"/>
              <w:rPr>
                <w:color w:val="auto"/>
                <w:sz w:val="21"/>
                <w:szCs w:val="21"/>
                <w:lang w:val="en-US" w:eastAsia="zh-CN"/>
              </w:rPr>
            </w:pPr>
            <w:r>
              <w:rPr>
                <w:rFonts w:ascii="Times New Roman" w:eastAsia="宋体" w:hAnsi="Times New Roman" w:cs="Times New Roman"/>
                <w:b/>
                <w:color w:val="auto"/>
                <w:sz w:val="21"/>
                <w:szCs w:val="21"/>
              </w:rPr>
              <w:t>表</w:t>
            </w:r>
            <w:r>
              <w:rPr>
                <w:rFonts w:ascii="Times New Roman" w:eastAsia="宋体" w:hAnsi="Times New Roman" w:cs="Times New Roman" w:hint="eastAsia"/>
                <w:b/>
                <w:color w:val="auto"/>
                <w:sz w:val="21"/>
                <w:szCs w:val="21"/>
              </w:rPr>
              <w:t>3-1</w:t>
            </w:r>
            <w:r>
              <w:rPr>
                <w:rFonts w:ascii="Times New Roman" w:eastAsia="宋体" w:hAnsi="Times New Roman" w:cs="Times New Roman"/>
                <w:b/>
                <w:color w:val="auto"/>
                <w:sz w:val="21"/>
                <w:szCs w:val="21"/>
              </w:rPr>
              <w:t xml:space="preserve">  项目区域空气质量现状评价表</w:t>
            </w:r>
          </w:p>
          <w:tbl>
            <w:tblPr>
              <w:tblStyle w:val="TableNormal"/>
              <w:tblW w:w="7364"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755"/>
              <w:gridCol w:w="2076"/>
              <w:gridCol w:w="1179"/>
              <w:gridCol w:w="1561"/>
              <w:gridCol w:w="1107"/>
              <w:gridCol w:w="686"/>
            </w:tblGrid>
            <w:tr>
              <w:tblPrEx>
                <w:tblW w:w="7364"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924"/>
              </w:trPr>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b/>
                      <w:bCs/>
                      <w:color w:val="auto"/>
                      <w:szCs w:val="21"/>
                    </w:rPr>
                  </w:pPr>
                  <w:r>
                    <w:rPr>
                      <w:rFonts w:ascii="Times New Roman" w:eastAsia="宋体" w:hAnsi="Times New Roman" w:cs="Times New Roman" w:hint="default"/>
                      <w:b/>
                      <w:bCs/>
                      <w:color w:val="auto"/>
                      <w:sz w:val="21"/>
                      <w:szCs w:val="21"/>
                    </w:rPr>
                    <w:t>污染物</w:t>
                  </w:r>
                </w:p>
              </w:tc>
              <w:tc>
                <w:tcPr>
                  <w:tcW w:w="2076"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b/>
                      <w:bCs/>
                      <w:color w:val="auto"/>
                      <w:szCs w:val="21"/>
                    </w:rPr>
                  </w:pPr>
                  <w:r>
                    <w:rPr>
                      <w:rFonts w:ascii="Times New Roman" w:eastAsia="宋体" w:hAnsi="Times New Roman" w:cs="Times New Roman" w:hint="default"/>
                      <w:b/>
                      <w:bCs/>
                      <w:color w:val="auto"/>
                      <w:sz w:val="21"/>
                      <w:szCs w:val="21"/>
                    </w:rPr>
                    <w:t>年评价指标</w:t>
                  </w:r>
                </w:p>
              </w:tc>
              <w:tc>
                <w:tcPr>
                  <w:tcW w:w="1179"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b/>
                      <w:bCs/>
                      <w:color w:val="auto"/>
                      <w:szCs w:val="21"/>
                    </w:rPr>
                  </w:pPr>
                  <w:r>
                    <w:rPr>
                      <w:rFonts w:ascii="Times New Roman" w:eastAsia="宋体" w:hAnsi="Times New Roman" w:cs="Times New Roman" w:hint="default"/>
                      <w:b/>
                      <w:bCs/>
                      <w:color w:val="auto"/>
                      <w:sz w:val="21"/>
                      <w:szCs w:val="21"/>
                    </w:rPr>
                    <w:t>现状浓度</w:t>
                  </w:r>
                </w:p>
                <w:p>
                  <w:pPr>
                    <w:spacing w:line="300" w:lineRule="exact"/>
                    <w:jc w:val="center"/>
                    <w:rPr>
                      <w:rFonts w:hint="eastAsia"/>
                      <w:b/>
                      <w:bCs/>
                      <w:color w:val="auto"/>
                      <w:szCs w:val="21"/>
                    </w:rPr>
                  </w:pPr>
                  <w:r>
                    <w:rPr>
                      <w:rFonts w:cs="Times New Roman" w:hint="eastAsia"/>
                      <w:b/>
                      <w:bCs/>
                      <w:color w:val="auto"/>
                      <w:sz w:val="21"/>
                      <w:szCs w:val="21"/>
                      <w:lang w:eastAsia="zh-CN"/>
                    </w:rPr>
                    <w:t>（</w:t>
                  </w:r>
                  <w:r>
                    <w:rPr>
                      <w:rFonts w:ascii="Times New Roman" w:eastAsia="宋体" w:hAnsi="Times New Roman" w:cs="Times New Roman" w:hint="default"/>
                      <w:b/>
                      <w:bCs/>
                      <w:color w:val="auto"/>
                      <w:sz w:val="21"/>
                      <w:szCs w:val="21"/>
                    </w:rPr>
                    <w:t>μg/m</w:t>
                  </w:r>
                  <w:r>
                    <w:rPr>
                      <w:rFonts w:ascii="Times New Roman" w:eastAsia="宋体" w:hAnsi="Times New Roman" w:cs="Times New Roman" w:hint="default"/>
                      <w:b/>
                      <w:bCs/>
                      <w:color w:val="auto"/>
                      <w:sz w:val="21"/>
                      <w:szCs w:val="21"/>
                      <w:vertAlign w:val="superscript"/>
                    </w:rPr>
                    <w:t>3</w:t>
                  </w:r>
                  <w:r>
                    <w:rPr>
                      <w:rFonts w:cs="Times New Roman" w:hint="eastAsia"/>
                      <w:b/>
                      <w:bCs/>
                      <w:color w:val="auto"/>
                      <w:sz w:val="21"/>
                      <w:szCs w:val="21"/>
                      <w:lang w:eastAsia="zh-CN"/>
                    </w:rPr>
                    <w:t>）</w:t>
                  </w:r>
                </w:p>
              </w:tc>
              <w:tc>
                <w:tcPr>
                  <w:tcW w:w="1561"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b/>
                      <w:bCs/>
                      <w:color w:val="auto"/>
                      <w:szCs w:val="21"/>
                    </w:rPr>
                  </w:pPr>
                  <w:r>
                    <w:rPr>
                      <w:rFonts w:cs="Times New Roman" w:hint="eastAsia"/>
                      <w:b/>
                      <w:bCs/>
                      <w:color w:val="auto"/>
                      <w:sz w:val="21"/>
                      <w:szCs w:val="21"/>
                      <w:lang w:val="en-US" w:eastAsia="zh-CN"/>
                    </w:rPr>
                    <w:t>一</w:t>
                  </w:r>
                  <w:r>
                    <w:rPr>
                      <w:rFonts w:ascii="Times New Roman" w:eastAsia="宋体" w:hAnsi="Times New Roman" w:cs="Times New Roman" w:hint="default"/>
                      <w:b/>
                      <w:bCs/>
                      <w:color w:val="auto"/>
                      <w:sz w:val="21"/>
                      <w:szCs w:val="21"/>
                    </w:rPr>
                    <w:t>级标准限值</w:t>
                  </w:r>
                </w:p>
                <w:p>
                  <w:pPr>
                    <w:spacing w:line="300" w:lineRule="exact"/>
                    <w:jc w:val="center"/>
                    <w:rPr>
                      <w:rFonts w:hint="eastAsia"/>
                      <w:b/>
                      <w:bCs/>
                      <w:color w:val="auto"/>
                      <w:szCs w:val="21"/>
                    </w:rPr>
                  </w:pPr>
                  <w:r>
                    <w:rPr>
                      <w:rFonts w:cs="Times New Roman" w:hint="eastAsia"/>
                      <w:b/>
                      <w:bCs/>
                      <w:color w:val="auto"/>
                      <w:sz w:val="21"/>
                      <w:szCs w:val="21"/>
                      <w:lang w:eastAsia="zh-CN"/>
                    </w:rPr>
                    <w:t>（</w:t>
                  </w:r>
                  <w:r>
                    <w:rPr>
                      <w:rFonts w:ascii="Times New Roman" w:eastAsia="宋体" w:hAnsi="Times New Roman" w:cs="Times New Roman" w:hint="default"/>
                      <w:b/>
                      <w:bCs/>
                      <w:color w:val="auto"/>
                      <w:sz w:val="21"/>
                      <w:szCs w:val="21"/>
                    </w:rPr>
                    <w:t>μg/m</w:t>
                  </w:r>
                  <w:r>
                    <w:rPr>
                      <w:rFonts w:ascii="Times New Roman" w:eastAsia="宋体" w:hAnsi="Times New Roman" w:cs="Times New Roman" w:hint="default"/>
                      <w:b/>
                      <w:bCs/>
                      <w:color w:val="auto"/>
                      <w:sz w:val="21"/>
                      <w:szCs w:val="21"/>
                      <w:vertAlign w:val="superscript"/>
                    </w:rPr>
                    <w:t>3</w:t>
                  </w:r>
                  <w:r>
                    <w:rPr>
                      <w:rFonts w:cs="Times New Roman" w:hint="eastAsia"/>
                      <w:b/>
                      <w:bCs/>
                      <w:color w:val="auto"/>
                      <w:sz w:val="21"/>
                      <w:szCs w:val="21"/>
                      <w:lang w:eastAsia="zh-CN"/>
                    </w:rPr>
                    <w:t>）</w:t>
                  </w:r>
                </w:p>
              </w:tc>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eastAsia"/>
                      <w:b/>
                      <w:bCs/>
                      <w:color w:val="auto"/>
                      <w:szCs w:val="21"/>
                    </w:rPr>
                  </w:pPr>
                  <w:r>
                    <w:rPr>
                      <w:rFonts w:ascii="Times New Roman" w:eastAsia="宋体" w:hAnsi="Times New Roman" w:cs="Times New Roman" w:hint="default"/>
                      <w:b/>
                      <w:bCs/>
                      <w:color w:val="auto"/>
                      <w:sz w:val="21"/>
                      <w:szCs w:val="21"/>
                    </w:rPr>
                    <w:t>占标率</w:t>
                  </w:r>
                  <w:r>
                    <w:rPr>
                      <w:rFonts w:cs="Times New Roman" w:hint="eastAsia"/>
                      <w:b/>
                      <w:bCs/>
                      <w:color w:val="auto"/>
                      <w:sz w:val="21"/>
                      <w:szCs w:val="21"/>
                      <w:lang w:eastAsia="zh-CN"/>
                    </w:rPr>
                    <w:t>（</w:t>
                  </w:r>
                  <w:r>
                    <w:rPr>
                      <w:rFonts w:ascii="Times New Roman" w:eastAsia="宋体" w:hAnsi="Times New Roman" w:cs="Times New Roman" w:hint="default"/>
                      <w:b/>
                      <w:bCs/>
                      <w:color w:val="auto"/>
                      <w:sz w:val="21"/>
                      <w:szCs w:val="21"/>
                    </w:rPr>
                    <w:t>%</w:t>
                  </w:r>
                  <w:r>
                    <w:rPr>
                      <w:rFonts w:cs="Times New Roman" w:hint="eastAsia"/>
                      <w:b/>
                      <w:bCs/>
                      <w:color w:val="auto"/>
                      <w:sz w:val="21"/>
                      <w:szCs w:val="21"/>
                      <w:lang w:eastAsia="zh-CN"/>
                    </w:rPr>
                    <w:t>）</w:t>
                  </w:r>
                </w:p>
              </w:tc>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b/>
                      <w:bCs/>
                      <w:color w:val="auto"/>
                      <w:szCs w:val="21"/>
                    </w:rPr>
                  </w:pPr>
                  <w:r>
                    <w:rPr>
                      <w:rFonts w:ascii="Times New Roman" w:eastAsia="宋体" w:hAnsi="Times New Roman" w:cs="Times New Roman" w:hint="default"/>
                      <w:b/>
                      <w:bCs/>
                      <w:color w:val="auto"/>
                      <w:sz w:val="21"/>
                      <w:szCs w:val="21"/>
                    </w:rPr>
                    <w:t>达标情况</w:t>
                  </w:r>
                </w:p>
              </w:tc>
            </w:tr>
            <w:tr>
              <w:tblPrEx>
                <w:tblW w:w="7364" w:type="dxa"/>
                <w:tblCellMar>
                  <w:top w:w="0" w:type="dxa"/>
                  <w:left w:w="108" w:type="dxa"/>
                  <w:bottom w:w="0" w:type="dxa"/>
                  <w:right w:w="108" w:type="dxa"/>
                </w:tblCellMar>
              </w:tblPrEx>
              <w:trPr>
                <w:trHeight w:val="321"/>
              </w:trPr>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SO</w:t>
                  </w:r>
                  <w:r>
                    <w:rPr>
                      <w:rFonts w:ascii="Times New Roman" w:eastAsia="宋体" w:hAnsi="Times New Roman" w:cs="Times New Roman" w:hint="default"/>
                      <w:color w:val="auto"/>
                      <w:sz w:val="21"/>
                      <w:szCs w:val="21"/>
                      <w:vertAlign w:val="subscript"/>
                    </w:rPr>
                    <w:t>2</w:t>
                  </w:r>
                </w:p>
              </w:tc>
              <w:tc>
                <w:tcPr>
                  <w:tcW w:w="2076"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年平均浓度</w:t>
                  </w:r>
                </w:p>
              </w:tc>
              <w:tc>
                <w:tcPr>
                  <w:tcW w:w="1179"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4</w:t>
                  </w:r>
                </w:p>
              </w:tc>
              <w:tc>
                <w:tcPr>
                  <w:tcW w:w="1561"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cs="Times New Roman" w:hint="eastAsia"/>
                      <w:color w:val="auto"/>
                      <w:sz w:val="21"/>
                      <w:szCs w:val="21"/>
                      <w:lang w:val="en-US" w:eastAsia="zh-CN"/>
                    </w:rPr>
                    <w:t>20</w:t>
                  </w:r>
                </w:p>
              </w:tc>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cs="Times New Roman" w:hint="eastAsia"/>
                      <w:color w:val="auto"/>
                      <w:sz w:val="21"/>
                      <w:szCs w:val="21"/>
                      <w:lang w:val="en-US" w:eastAsia="zh-CN"/>
                    </w:rPr>
                    <w:t>20</w:t>
                  </w:r>
                </w:p>
              </w:tc>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达标</w:t>
                  </w:r>
                </w:p>
              </w:tc>
            </w:tr>
            <w:tr>
              <w:tblPrEx>
                <w:tblW w:w="7364" w:type="dxa"/>
                <w:tblCellMar>
                  <w:top w:w="0" w:type="dxa"/>
                  <w:left w:w="108" w:type="dxa"/>
                  <w:bottom w:w="0" w:type="dxa"/>
                  <w:right w:w="108" w:type="dxa"/>
                </w:tblCellMar>
              </w:tblPrEx>
              <w:trPr>
                <w:trHeight w:val="321"/>
              </w:trPr>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NO</w:t>
                  </w:r>
                  <w:r>
                    <w:rPr>
                      <w:rFonts w:ascii="Times New Roman" w:eastAsia="宋体" w:hAnsi="Times New Roman" w:cs="Times New Roman" w:hint="default"/>
                      <w:color w:val="auto"/>
                      <w:sz w:val="21"/>
                      <w:szCs w:val="21"/>
                      <w:vertAlign w:val="subscript"/>
                    </w:rPr>
                    <w:t>2</w:t>
                  </w:r>
                </w:p>
              </w:tc>
              <w:tc>
                <w:tcPr>
                  <w:tcW w:w="2076"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年平均浓度</w:t>
                  </w:r>
                </w:p>
              </w:tc>
              <w:tc>
                <w:tcPr>
                  <w:tcW w:w="1179"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9</w:t>
                  </w:r>
                </w:p>
              </w:tc>
              <w:tc>
                <w:tcPr>
                  <w:tcW w:w="1561"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40</w:t>
                  </w:r>
                </w:p>
              </w:tc>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cs="Times New Roman" w:hint="eastAsia"/>
                      <w:color w:val="auto"/>
                      <w:sz w:val="21"/>
                      <w:szCs w:val="21"/>
                      <w:lang w:val="en-US" w:eastAsia="zh-CN"/>
                    </w:rPr>
                    <w:t>23</w:t>
                  </w:r>
                </w:p>
              </w:tc>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达标</w:t>
                  </w:r>
                </w:p>
              </w:tc>
            </w:tr>
            <w:tr>
              <w:tblPrEx>
                <w:tblW w:w="7364" w:type="dxa"/>
                <w:tblCellMar>
                  <w:top w:w="0" w:type="dxa"/>
                  <w:left w:w="108" w:type="dxa"/>
                  <w:bottom w:w="0" w:type="dxa"/>
                  <w:right w:w="108" w:type="dxa"/>
                </w:tblCellMar>
              </w:tblPrEx>
              <w:trPr>
                <w:trHeight w:val="633"/>
              </w:trPr>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CO</w:t>
                  </w:r>
                </w:p>
              </w:tc>
              <w:tc>
                <w:tcPr>
                  <w:tcW w:w="2076"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24小时平均第95百分位</w:t>
                  </w:r>
                </w:p>
              </w:tc>
              <w:tc>
                <w:tcPr>
                  <w:tcW w:w="1179"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0.6mg/m</w:t>
                  </w:r>
                  <w:r>
                    <w:rPr>
                      <w:rFonts w:ascii="Times New Roman" w:eastAsia="宋体" w:hAnsi="Times New Roman" w:cs="Times New Roman" w:hint="default"/>
                      <w:color w:val="auto"/>
                      <w:sz w:val="21"/>
                      <w:szCs w:val="21"/>
                      <w:vertAlign w:val="superscript"/>
                    </w:rPr>
                    <w:t>3</w:t>
                  </w:r>
                </w:p>
              </w:tc>
              <w:tc>
                <w:tcPr>
                  <w:tcW w:w="1561"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4mg/m</w:t>
                  </w:r>
                  <w:r>
                    <w:rPr>
                      <w:rFonts w:ascii="Times New Roman" w:eastAsia="宋体" w:hAnsi="Times New Roman" w:cs="Times New Roman" w:hint="default"/>
                      <w:color w:val="auto"/>
                      <w:sz w:val="21"/>
                      <w:szCs w:val="21"/>
                      <w:vertAlign w:val="superscript"/>
                    </w:rPr>
                    <w:t>3</w:t>
                  </w:r>
                </w:p>
              </w:tc>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15</w:t>
                  </w:r>
                </w:p>
              </w:tc>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达标</w:t>
                  </w:r>
                </w:p>
              </w:tc>
            </w:tr>
            <w:tr>
              <w:tblPrEx>
                <w:tblW w:w="7364" w:type="dxa"/>
                <w:tblCellMar>
                  <w:top w:w="0" w:type="dxa"/>
                  <w:left w:w="108" w:type="dxa"/>
                  <w:bottom w:w="0" w:type="dxa"/>
                  <w:right w:w="108" w:type="dxa"/>
                </w:tblCellMar>
              </w:tblPrEx>
              <w:trPr>
                <w:trHeight w:val="356"/>
              </w:trPr>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O</w:t>
                  </w:r>
                  <w:r>
                    <w:rPr>
                      <w:rFonts w:ascii="Times New Roman" w:eastAsia="宋体" w:hAnsi="Times New Roman" w:cs="Times New Roman" w:hint="default"/>
                      <w:color w:val="auto"/>
                      <w:sz w:val="21"/>
                      <w:szCs w:val="21"/>
                      <w:vertAlign w:val="subscript"/>
                    </w:rPr>
                    <w:t>3</w:t>
                  </w:r>
                </w:p>
              </w:tc>
              <w:tc>
                <w:tcPr>
                  <w:tcW w:w="2076"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日平均8小时滑动平均值第90百分位数</w:t>
                  </w:r>
                </w:p>
              </w:tc>
              <w:tc>
                <w:tcPr>
                  <w:tcW w:w="1179"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99</w:t>
                  </w:r>
                </w:p>
              </w:tc>
              <w:tc>
                <w:tcPr>
                  <w:tcW w:w="1561"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cs="Times New Roman" w:hint="eastAsia"/>
                      <w:color w:val="auto"/>
                      <w:sz w:val="21"/>
                      <w:szCs w:val="21"/>
                      <w:lang w:val="en-US" w:eastAsia="zh-CN"/>
                    </w:rPr>
                    <w:t>100</w:t>
                  </w:r>
                </w:p>
              </w:tc>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cs="Times New Roman" w:hint="eastAsia"/>
                      <w:color w:val="auto"/>
                      <w:sz w:val="21"/>
                      <w:szCs w:val="21"/>
                      <w:lang w:val="en-US" w:eastAsia="zh-CN"/>
                    </w:rPr>
                    <w:t>99</w:t>
                  </w:r>
                </w:p>
              </w:tc>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达标</w:t>
                  </w:r>
                </w:p>
              </w:tc>
            </w:tr>
            <w:tr>
              <w:tblPrEx>
                <w:tblW w:w="7364" w:type="dxa"/>
                <w:tblCellMar>
                  <w:top w:w="0" w:type="dxa"/>
                  <w:left w:w="108" w:type="dxa"/>
                  <w:bottom w:w="0" w:type="dxa"/>
                  <w:right w:w="108" w:type="dxa"/>
                </w:tblCellMar>
              </w:tblPrEx>
              <w:trPr>
                <w:trHeight w:val="321"/>
              </w:trPr>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PM</w:t>
                  </w:r>
                  <w:r>
                    <w:rPr>
                      <w:rFonts w:ascii="Times New Roman" w:eastAsia="宋体" w:hAnsi="Times New Roman" w:cs="Times New Roman" w:hint="default"/>
                      <w:color w:val="auto"/>
                      <w:sz w:val="21"/>
                      <w:szCs w:val="21"/>
                      <w:vertAlign w:val="subscript"/>
                    </w:rPr>
                    <w:t>2.5</w:t>
                  </w:r>
                </w:p>
              </w:tc>
              <w:tc>
                <w:tcPr>
                  <w:tcW w:w="2076"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年平均浓度</w:t>
                  </w:r>
                </w:p>
              </w:tc>
              <w:tc>
                <w:tcPr>
                  <w:tcW w:w="1179"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11</w:t>
                  </w:r>
                </w:p>
              </w:tc>
              <w:tc>
                <w:tcPr>
                  <w:tcW w:w="1561"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cs="Times New Roman" w:hint="eastAsia"/>
                      <w:color w:val="auto"/>
                      <w:sz w:val="21"/>
                      <w:szCs w:val="21"/>
                      <w:lang w:val="en-US" w:eastAsia="zh-CN"/>
                    </w:rPr>
                    <w:t>15</w:t>
                  </w:r>
                </w:p>
              </w:tc>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cs="Times New Roman" w:hint="eastAsia"/>
                      <w:color w:val="auto"/>
                      <w:sz w:val="21"/>
                      <w:szCs w:val="21"/>
                      <w:lang w:val="en-US" w:eastAsia="zh-CN"/>
                    </w:rPr>
                    <w:t>73</w:t>
                  </w:r>
                </w:p>
              </w:tc>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达标</w:t>
                  </w:r>
                </w:p>
              </w:tc>
            </w:tr>
            <w:tr>
              <w:tblPrEx>
                <w:tblW w:w="7364" w:type="dxa"/>
                <w:tblCellMar>
                  <w:top w:w="0" w:type="dxa"/>
                  <w:left w:w="108" w:type="dxa"/>
                  <w:bottom w:w="0" w:type="dxa"/>
                  <w:right w:w="108" w:type="dxa"/>
                </w:tblCellMar>
              </w:tblPrEx>
              <w:trPr>
                <w:trHeight w:val="332"/>
              </w:trPr>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PM</w:t>
                  </w:r>
                  <w:r>
                    <w:rPr>
                      <w:rFonts w:ascii="Times New Roman" w:eastAsia="宋体" w:hAnsi="Times New Roman" w:cs="Times New Roman" w:hint="default"/>
                      <w:color w:val="auto"/>
                      <w:sz w:val="21"/>
                      <w:szCs w:val="21"/>
                      <w:vertAlign w:val="subscript"/>
                    </w:rPr>
                    <w:t>10</w:t>
                  </w:r>
                </w:p>
              </w:tc>
              <w:tc>
                <w:tcPr>
                  <w:tcW w:w="2076"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年平均浓度</w:t>
                  </w:r>
                </w:p>
              </w:tc>
              <w:tc>
                <w:tcPr>
                  <w:tcW w:w="1179"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23</w:t>
                  </w:r>
                </w:p>
              </w:tc>
              <w:tc>
                <w:tcPr>
                  <w:tcW w:w="1561" w:type="dxa"/>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cs="Times New Roman" w:hint="eastAsia"/>
                      <w:color w:val="auto"/>
                      <w:sz w:val="21"/>
                      <w:szCs w:val="21"/>
                      <w:lang w:val="en-US" w:eastAsia="zh-CN"/>
                    </w:rPr>
                    <w:t>40</w:t>
                  </w:r>
                </w:p>
              </w:tc>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cs="Times New Roman" w:hint="eastAsia"/>
                      <w:color w:val="auto"/>
                      <w:sz w:val="21"/>
                      <w:szCs w:val="21"/>
                      <w:lang w:val="en-US" w:eastAsia="zh-CN"/>
                    </w:rPr>
                    <w:t>58</w:t>
                  </w:r>
                </w:p>
              </w:tc>
              <w:tc>
                <w:tcPr>
                  <w:tcW w:w="0" w:type="auto"/>
                  <w:tcBorders>
                    <w:top w:val="single" w:sz="8" w:space="0" w:color="000000"/>
                    <w:left w:val="single" w:sz="8" w:space="0" w:color="000000"/>
                    <w:bottom w:val="single" w:sz="8" w:space="0" w:color="000000"/>
                    <w:right w:val="single" w:sz="8" w:space="0" w:color="000000"/>
                    <w:tl2br w:val="nil"/>
                    <w:tr2bl w:val="nil"/>
                  </w:tcBorders>
                  <w:shd w:val="clear" w:color="auto" w:fill="FFFFFF"/>
                  <w:noWrap w:val="0"/>
                  <w:vAlign w:val="center"/>
                </w:tcPr>
                <w:p>
                  <w:pPr>
                    <w:spacing w:line="300" w:lineRule="exact"/>
                    <w:jc w:val="center"/>
                    <w:rPr>
                      <w:rFonts w:hint="default"/>
                      <w:color w:val="auto"/>
                      <w:szCs w:val="21"/>
                    </w:rPr>
                  </w:pPr>
                  <w:r>
                    <w:rPr>
                      <w:rFonts w:ascii="Times New Roman" w:eastAsia="宋体" w:hAnsi="Times New Roman" w:cs="Times New Roman" w:hint="default"/>
                      <w:color w:val="auto"/>
                      <w:sz w:val="21"/>
                      <w:szCs w:val="21"/>
                    </w:rPr>
                    <w:t>达标</w:t>
                  </w:r>
                </w:p>
              </w:tc>
            </w:tr>
          </w:tbl>
          <w:p>
            <w:pPr>
              <w:keepNext w:val="0"/>
              <w:keepLines w:val="0"/>
              <w:pageBreakBefore w:val="0"/>
              <w:widowControl w:val="0"/>
              <w:kinsoku/>
              <w:wordWrap/>
              <w:overflowPunct/>
              <w:topLinePunct w:val="0"/>
              <w:autoSpaceDE/>
              <w:autoSpaceDN/>
              <w:bidi w:val="0"/>
              <w:spacing w:line="336" w:lineRule="auto"/>
              <w:ind w:firstLine="480"/>
              <w:textAlignment w:val="auto"/>
              <w:rPr>
                <w:rFonts w:hint="eastAsia"/>
                <w:b/>
                <w:bCs/>
                <w:color w:val="auto"/>
                <w:szCs w:val="21"/>
              </w:rPr>
            </w:pPr>
            <w:r>
              <w:rPr>
                <w:rFonts w:eastAsia="宋体" w:hint="eastAsia"/>
                <w:b/>
                <w:bCs/>
                <w:color w:val="auto"/>
                <w:sz w:val="21"/>
                <w:szCs w:val="21"/>
                <w:lang w:val="en-US" w:eastAsia="zh-CN"/>
              </w:rPr>
              <w:t>2、声环境现状</w:t>
            </w:r>
          </w:p>
          <w:p>
            <w:pPr>
              <w:keepNext w:val="0"/>
              <w:keepLines w:val="0"/>
              <w:pageBreakBefore w:val="0"/>
              <w:widowControl w:val="0"/>
              <w:kinsoku/>
              <w:wordWrap/>
              <w:overflowPunct/>
              <w:topLinePunct w:val="0"/>
              <w:autoSpaceDE/>
              <w:autoSpaceDN/>
              <w:bidi w:val="0"/>
              <w:spacing w:line="336" w:lineRule="auto"/>
              <w:ind w:firstLine="480"/>
              <w:textAlignment w:val="auto"/>
              <w:rPr>
                <w:rFonts w:hint="default"/>
                <w:b w:val="0"/>
                <w:bCs w:val="0"/>
                <w:color w:val="auto"/>
                <w:szCs w:val="21"/>
              </w:rPr>
            </w:pPr>
            <w:r>
              <w:rPr>
                <w:rFonts w:cs="Times New Roman" w:hint="eastAsia"/>
                <w:b w:val="0"/>
                <w:bCs w:val="0"/>
                <w:color w:val="auto"/>
                <w:sz w:val="21"/>
                <w:szCs w:val="21"/>
                <w:lang w:val="en-US" w:eastAsia="zh-CN"/>
              </w:rPr>
              <w:t>本项目周边50米内无敏感点。因此不需要进行声环境质量监测。</w:t>
            </w:r>
          </w:p>
          <w:p>
            <w:pPr>
              <w:keepNext w:val="0"/>
              <w:keepLines w:val="0"/>
              <w:pageBreakBefore w:val="0"/>
              <w:widowControl w:val="0"/>
              <w:kinsoku/>
              <w:wordWrap/>
              <w:overflowPunct/>
              <w:topLinePunct w:val="0"/>
              <w:autoSpaceDE/>
              <w:autoSpaceDN/>
              <w:bidi w:val="0"/>
              <w:spacing w:line="336" w:lineRule="auto"/>
              <w:ind w:firstLine="480"/>
              <w:textAlignment w:val="auto"/>
              <w:rPr>
                <w:rFonts w:hint="default"/>
                <w:b/>
                <w:bCs/>
                <w:color w:val="auto"/>
                <w:szCs w:val="21"/>
              </w:rPr>
            </w:pPr>
            <w:r>
              <w:rPr>
                <w:rFonts w:hint="eastAsia"/>
                <w:b/>
                <w:bCs/>
                <w:color w:val="auto"/>
                <w:sz w:val="21"/>
                <w:szCs w:val="21"/>
                <w:lang w:val="en-US" w:eastAsia="zh-CN"/>
              </w:rPr>
              <w:t>3、海洋环境</w:t>
            </w:r>
          </w:p>
          <w:p>
            <w:pPr>
              <w:keepNext w:val="0"/>
              <w:keepLines w:val="0"/>
              <w:pageBreakBefore w:val="0"/>
              <w:widowControl w:val="0"/>
              <w:kinsoku/>
              <w:wordWrap/>
              <w:overflowPunct/>
              <w:topLinePunct w:val="0"/>
              <w:autoSpaceDE/>
              <w:autoSpaceDN/>
              <w:bidi w:val="0"/>
              <w:spacing w:line="336" w:lineRule="auto"/>
              <w:ind w:firstLine="480"/>
              <w:textAlignment w:val="auto"/>
              <w:rPr>
                <w:rFonts w:hint="eastAsia"/>
                <w:b w:val="0"/>
                <w:bCs w:val="0"/>
                <w:color w:val="auto"/>
                <w:szCs w:val="21"/>
              </w:rPr>
            </w:pPr>
            <w:r>
              <w:rPr>
                <w:rFonts w:hint="eastAsia"/>
                <w:b w:val="0"/>
                <w:bCs w:val="0"/>
                <w:color w:val="auto"/>
                <w:sz w:val="21"/>
                <w:szCs w:val="21"/>
                <w:lang w:val="en-US" w:eastAsia="zh-CN"/>
              </w:rPr>
              <w:t>项目南侧960m处为崖州湾，根据海南省生态环境监测中心发布的海南省重点港湾近岸海域环境质量状况（2021年下半年）可知，崖州湾各个测点海水水质均达标。</w:t>
            </w:r>
          </w:p>
          <w:p>
            <w:pPr>
              <w:pStyle w:val="NormalIndent"/>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lang w:val="en-US" w:eastAsia="zh-CN"/>
              </w:rPr>
            </w:pPr>
            <w:r>
              <w:rPr>
                <w:rFonts w:hint="eastAsia"/>
                <w:b/>
                <w:bCs/>
                <w:color w:val="auto"/>
                <w:sz w:val="21"/>
                <w:szCs w:val="21"/>
                <w:lang w:val="en-US" w:eastAsia="zh-CN"/>
              </w:rPr>
              <w:t>表3-2 项目崖州湾各海水测点水质情况</w:t>
            </w:r>
          </w:p>
          <w:tbl>
            <w:tblPr>
              <w:tblStyle w:val="TableGrid4"/>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25"/>
              <w:gridCol w:w="1225"/>
              <w:gridCol w:w="1225"/>
              <w:gridCol w:w="1225"/>
              <w:gridCol w:w="1227"/>
              <w:gridCol w:w="122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2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港湾名称</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测点代码</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所在市县</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水质目标</w:t>
                  </w:r>
                </w:p>
              </w:tc>
              <w:tc>
                <w:tcPr>
                  <w:tcW w:w="122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水质类别</w:t>
                  </w:r>
                </w:p>
              </w:tc>
              <w:tc>
                <w:tcPr>
                  <w:tcW w:w="122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达标情况</w:t>
                  </w:r>
                </w:p>
              </w:tc>
            </w:tr>
            <w:tr>
              <w:tblPrEx>
                <w:tblW w:w="0" w:type="auto"/>
                <w:tblInd w:w="0" w:type="dxa"/>
                <w:tblCellMar>
                  <w:top w:w="0" w:type="dxa"/>
                  <w:left w:w="108" w:type="dxa"/>
                  <w:bottom w:w="0" w:type="dxa"/>
                  <w:right w:w="108" w:type="dxa"/>
                </w:tblCellMar>
              </w:tblPrEx>
              <w:tc>
                <w:tcPr>
                  <w:tcW w:w="1225"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崖州湾</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YZW01</w:t>
                  </w:r>
                </w:p>
              </w:tc>
              <w:tc>
                <w:tcPr>
                  <w:tcW w:w="1225"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三亚市</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三类</w:t>
                  </w:r>
                </w:p>
              </w:tc>
              <w:tc>
                <w:tcPr>
                  <w:tcW w:w="122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一类</w:t>
                  </w:r>
                </w:p>
              </w:tc>
              <w:tc>
                <w:tcPr>
                  <w:tcW w:w="122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达标</w:t>
                  </w:r>
                </w:p>
              </w:tc>
            </w:tr>
            <w:tr>
              <w:tblPrEx>
                <w:tblW w:w="0" w:type="auto"/>
                <w:tblInd w:w="0" w:type="dxa"/>
                <w:tblCellMar>
                  <w:top w:w="0" w:type="dxa"/>
                  <w:left w:w="108" w:type="dxa"/>
                  <w:bottom w:w="0" w:type="dxa"/>
                  <w:right w:w="108" w:type="dxa"/>
                </w:tblCellMar>
              </w:tblPrEx>
              <w:tc>
                <w:tcPr>
                  <w:tcW w:w="1225" w:type="dxa"/>
                  <w:vMerg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val="0"/>
                      <w:bCs w:val="0"/>
                      <w:color w:val="auto"/>
                      <w:szCs w:val="21"/>
                      <w:vertAlign w:val="baseline"/>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YZW02</w:t>
                  </w:r>
                </w:p>
              </w:tc>
              <w:tc>
                <w:tcPr>
                  <w:tcW w:w="1225" w:type="dxa"/>
                  <w:vMerg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val="0"/>
                      <w:bCs w:val="0"/>
                      <w:color w:val="auto"/>
                      <w:szCs w:val="21"/>
                      <w:vertAlign w:val="baseline"/>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二类</w:t>
                  </w:r>
                </w:p>
              </w:tc>
              <w:tc>
                <w:tcPr>
                  <w:tcW w:w="122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一类</w:t>
                  </w:r>
                </w:p>
              </w:tc>
              <w:tc>
                <w:tcPr>
                  <w:tcW w:w="122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达标</w:t>
                  </w:r>
                </w:p>
              </w:tc>
            </w:tr>
            <w:tr>
              <w:tblPrEx>
                <w:tblW w:w="0" w:type="auto"/>
                <w:tblInd w:w="0" w:type="dxa"/>
                <w:tblCellMar>
                  <w:top w:w="0" w:type="dxa"/>
                  <w:left w:w="108" w:type="dxa"/>
                  <w:bottom w:w="0" w:type="dxa"/>
                  <w:right w:w="108" w:type="dxa"/>
                </w:tblCellMar>
              </w:tblPrEx>
              <w:tc>
                <w:tcPr>
                  <w:tcW w:w="1225" w:type="dxa"/>
                  <w:vMerg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val="0"/>
                      <w:bCs w:val="0"/>
                      <w:color w:val="auto"/>
                      <w:szCs w:val="21"/>
                      <w:vertAlign w:val="baseline"/>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YZW03</w:t>
                  </w:r>
                </w:p>
              </w:tc>
              <w:tc>
                <w:tcPr>
                  <w:tcW w:w="1225" w:type="dxa"/>
                  <w:vMerg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val="0"/>
                      <w:bCs w:val="0"/>
                      <w:color w:val="auto"/>
                      <w:szCs w:val="21"/>
                      <w:vertAlign w:val="baseline"/>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三类</w:t>
                  </w:r>
                </w:p>
              </w:tc>
              <w:tc>
                <w:tcPr>
                  <w:tcW w:w="122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二类</w:t>
                  </w:r>
                </w:p>
              </w:tc>
              <w:tc>
                <w:tcPr>
                  <w:tcW w:w="122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达标</w:t>
                  </w:r>
                </w:p>
              </w:tc>
            </w:tr>
          </w:tbl>
          <w:p/>
        </w:tc>
      </w:tr>
    </w:tbl>
    <w:p>
      <w:pPr>
        <w:sectPr>
          <w:footerReference w:type="even" r:id="rId36"/>
          <w:footerReference w:type="default" r:id="rId37"/>
          <w:type w:val="nextPage"/>
          <w:pgSz w:w="11906" w:h="16838"/>
          <w:pgMar w:top="1440" w:right="1800" w:bottom="1440" w:left="1800" w:header="851" w:footer="1077" w:gutter="0"/>
          <w:pgNumType w:fmt="decimal" w:start="14"/>
          <w:cols w:num="1" w:space="720"/>
          <w:titlePg w:val="0"/>
          <w:docGrid w:linePitch="312" w:charSpace="0"/>
        </w:sectPr>
      </w:pPr>
    </w:p>
    <w:tbl>
      <w:tblPr>
        <w:tblStyle w:val="TableNormal"/>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941"/>
        <w:gridCol w:w="7581"/>
      </w:tblGrid>
      <w:tr>
        <w:tblPrEx>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649"/>
          <w:jc w:val="center"/>
        </w:trPr>
        <w:tc>
          <w:tcPr>
            <w:tcW w:w="552" w:type="pct"/>
            <w:noWrap w:val="0"/>
            <w:vAlign w:val="center"/>
          </w:tcPr>
          <w:p/>
        </w:tc>
        <w:tc>
          <w:tcPr>
            <w:tcW w:w="4447" w:type="pct"/>
            <w:noWrap w:val="0"/>
            <w:vAlign w:val="center"/>
          </w:tcPr>
          <w:tbl>
            <w:tblPr>
              <w:tblStyle w:val="TableGrid5"/>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25"/>
              <w:gridCol w:w="1225"/>
              <w:gridCol w:w="1225"/>
              <w:gridCol w:w="1225"/>
              <w:gridCol w:w="1227"/>
              <w:gridCol w:w="122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2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val="0"/>
                      <w:bCs w:val="0"/>
                      <w:color w:val="auto"/>
                      <w:szCs w:val="21"/>
                      <w:vertAlign w:val="baseline"/>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YZW04</w:t>
                  </w:r>
                </w:p>
              </w:tc>
              <w:tc>
                <w:tcPr>
                  <w:tcW w:w="12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val="0"/>
                      <w:bCs w:val="0"/>
                      <w:color w:val="auto"/>
                      <w:szCs w:val="21"/>
                      <w:vertAlign w:val="baseline"/>
                    </w:rPr>
                  </w:pPr>
                </w:p>
              </w:tc>
              <w:tc>
                <w:tcPr>
                  <w:tcW w:w="12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二类</w:t>
                  </w:r>
                </w:p>
              </w:tc>
              <w:tc>
                <w:tcPr>
                  <w:tcW w:w="122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一类</w:t>
                  </w:r>
                </w:p>
              </w:tc>
              <w:tc>
                <w:tcPr>
                  <w:tcW w:w="122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val="0"/>
                      <w:bCs w:val="0"/>
                      <w:color w:val="auto"/>
                      <w:szCs w:val="21"/>
                      <w:vertAlign w:val="baseline"/>
                    </w:rPr>
                  </w:pPr>
                  <w:r>
                    <w:rPr>
                      <w:rFonts w:hint="eastAsia"/>
                      <w:b w:val="0"/>
                      <w:bCs w:val="0"/>
                      <w:color w:val="auto"/>
                      <w:sz w:val="21"/>
                      <w:szCs w:val="21"/>
                      <w:vertAlign w:val="baseline"/>
                      <w:lang w:val="en-US" w:eastAsia="zh-CN"/>
                    </w:rPr>
                    <w:t>达标</w:t>
                  </w:r>
                </w:p>
              </w:tc>
            </w:tr>
          </w:tbl>
          <w:p>
            <w:pPr>
              <w:keepNext w:val="0"/>
              <w:keepLines w:val="0"/>
              <w:pageBreakBefore w:val="0"/>
              <w:widowControl w:val="0"/>
              <w:kinsoku/>
              <w:wordWrap/>
              <w:overflowPunct/>
              <w:topLinePunct w:val="0"/>
              <w:autoSpaceDE/>
              <w:autoSpaceDN/>
              <w:bidi w:val="0"/>
              <w:spacing w:line="336" w:lineRule="auto"/>
              <w:ind w:firstLine="480"/>
              <w:textAlignment w:val="auto"/>
              <w:rPr>
                <w:rFonts w:hint="default"/>
                <w:b/>
                <w:bCs/>
                <w:color w:val="auto"/>
                <w:szCs w:val="21"/>
              </w:rPr>
            </w:pPr>
            <w:r>
              <w:rPr>
                <w:rFonts w:hint="eastAsia"/>
                <w:b/>
                <w:bCs/>
                <w:color w:val="auto"/>
                <w:sz w:val="21"/>
                <w:szCs w:val="21"/>
                <w:lang w:val="en-US" w:eastAsia="zh-CN"/>
              </w:rPr>
              <w:t>4、生态环境现状</w:t>
            </w:r>
          </w:p>
          <w:p>
            <w:pPr>
              <w:keepNext w:val="0"/>
              <w:keepLines w:val="0"/>
              <w:pageBreakBefore w:val="0"/>
              <w:widowControl w:val="0"/>
              <w:kinsoku/>
              <w:wordWrap/>
              <w:overflowPunct/>
              <w:topLinePunct w:val="0"/>
              <w:autoSpaceDE/>
              <w:autoSpaceDN/>
              <w:bidi w:val="0"/>
              <w:spacing w:line="336" w:lineRule="auto"/>
              <w:ind w:firstLine="480"/>
              <w:textAlignment w:val="auto"/>
              <w:rPr>
                <w:rFonts w:hint="eastAsia"/>
                <w:color w:val="auto"/>
                <w:kern w:val="0"/>
                <w:szCs w:val="21"/>
              </w:rPr>
            </w:pPr>
            <w:r>
              <w:rPr>
                <w:rFonts w:hint="eastAsia"/>
                <w:b w:val="0"/>
                <w:bCs w:val="0"/>
                <w:color w:val="auto"/>
                <w:kern w:val="0"/>
                <w:sz w:val="21"/>
                <w:szCs w:val="21"/>
                <w:lang w:val="en-US" w:eastAsia="zh-CN"/>
              </w:rPr>
              <w:t>根据海南省主体功能区划分，本项目位于南部海蚀海积岸生态亚区。根据海南省生态功能区划，本项目位于三亚旅游与城镇发展生态功能区。项目</w:t>
            </w:r>
            <w:r>
              <w:rPr>
                <w:rFonts w:hint="eastAsia"/>
                <w:color w:val="auto"/>
                <w:kern w:val="0"/>
                <w:sz w:val="21"/>
                <w:szCs w:val="21"/>
                <w:lang w:val="en-US" w:eastAsia="zh-CN"/>
              </w:rPr>
              <w:t>现状为硬化停车场，土地利用类型为旅游点建设用地；项目周边土地利用类型为风景保护用地。周边200米</w:t>
            </w:r>
            <w:r>
              <w:rPr>
                <w:rFonts w:eastAsia="宋体" w:hint="eastAsia"/>
                <w:color w:val="auto"/>
                <w:kern w:val="0"/>
                <w:sz w:val="21"/>
                <w:szCs w:val="21"/>
                <w:lang w:val="en-US" w:eastAsia="zh-CN"/>
              </w:rPr>
              <w:t>内植被可分为人工植被和自然植被，其中人工植被主要为大小洞天景区内栽培的景观植被、小叶榄仁+椰子混交林和景区周边山坡上的桉树林，自然植被为项目东南侧山地上的厚皮树+山黄麻+细基丸群落。项目占地范围内生态系统结构简单，生态环境敏感性较为简单，占地范围内未发现国家和省级保护动植物</w:t>
            </w:r>
            <w:r>
              <w:rPr>
                <w:rFonts w:hint="eastAsia"/>
                <w:color w:val="auto"/>
                <w:kern w:val="0"/>
                <w:sz w:val="21"/>
                <w:szCs w:val="21"/>
                <w:lang w:val="en-US" w:eastAsia="zh-CN"/>
              </w:rPr>
              <w:t>。</w:t>
            </w:r>
          </w:p>
          <w:p>
            <w:pPr>
              <w:keepNext w:val="0"/>
              <w:keepLines w:val="0"/>
              <w:pageBreakBefore w:val="0"/>
              <w:widowControl w:val="0"/>
              <w:kinsoku/>
              <w:wordWrap/>
              <w:overflowPunct/>
              <w:topLinePunct w:val="0"/>
              <w:autoSpaceDE/>
              <w:autoSpaceDN/>
              <w:bidi w:val="0"/>
              <w:spacing w:line="336" w:lineRule="auto"/>
              <w:ind w:firstLine="480"/>
              <w:textAlignment w:val="auto"/>
              <w:rPr>
                <w:rFonts w:hint="default"/>
                <w:color w:val="auto"/>
                <w:kern w:val="0"/>
                <w:szCs w:val="21"/>
              </w:rPr>
            </w:pPr>
            <w:r>
              <w:rPr>
                <w:rFonts w:hint="eastAsia"/>
                <w:color w:val="auto"/>
                <w:kern w:val="0"/>
                <w:sz w:val="21"/>
                <w:szCs w:val="21"/>
                <w:lang w:val="en-US" w:eastAsia="zh-CN"/>
              </w:rPr>
              <w:t>项目建成后排放的污染物主要为生活污水，已进入大小洞天污水处理站处理，不外排。不会对周边生态环境造成影响。</w:t>
            </w:r>
          </w:p>
        </w:tc>
      </w:tr>
      <w:tr>
        <w:tblPrEx>
          <w:tblW w:w="5000" w:type="pct"/>
          <w:jc w:val="center"/>
          <w:tblCellMar>
            <w:top w:w="0" w:type="dxa"/>
            <w:left w:w="108" w:type="dxa"/>
            <w:bottom w:w="0" w:type="dxa"/>
            <w:right w:w="108" w:type="dxa"/>
          </w:tblCellMar>
        </w:tblPrEx>
        <w:trPr>
          <w:trHeight w:val="1617"/>
          <w:jc w:val="center"/>
        </w:trPr>
        <w:tc>
          <w:tcPr>
            <w:tcW w:w="552" w:type="pct"/>
            <w:noWrap w:val="0"/>
            <w:vAlign w:val="center"/>
          </w:tcPr>
          <w:p>
            <w:pPr>
              <w:adjustRightInd w:val="0"/>
              <w:snapToGrid w:val="0"/>
              <w:jc w:val="center"/>
              <w:rPr>
                <w:color w:val="auto"/>
                <w:kern w:val="0"/>
                <w:szCs w:val="21"/>
              </w:rPr>
            </w:pPr>
            <w:r>
              <w:rPr>
                <w:bCs/>
                <w:color w:val="auto"/>
                <w:sz w:val="21"/>
                <w:szCs w:val="21"/>
              </w:rPr>
              <w:t>与项目有关的原有环境污染和生态破坏问题</w:t>
            </w:r>
          </w:p>
        </w:tc>
        <w:tc>
          <w:tcPr>
            <w:tcW w:w="4447" w:type="pct"/>
            <w:noWrap w:val="0"/>
            <w:vAlign w:val="center"/>
          </w:tcPr>
          <w:p>
            <w:pPr>
              <w:adjustRightInd w:val="0"/>
              <w:snapToGrid w:val="0"/>
              <w:spacing w:line="360" w:lineRule="auto"/>
              <w:ind w:firstLine="420" w:firstLineChars="200"/>
              <w:rPr>
                <w:rFonts w:hint="eastAsia"/>
                <w:color w:val="auto"/>
                <w:kern w:val="0"/>
                <w:szCs w:val="21"/>
              </w:rPr>
            </w:pPr>
            <w:r>
              <w:rPr>
                <w:color w:val="auto"/>
                <w:kern w:val="0"/>
                <w:sz w:val="21"/>
                <w:szCs w:val="21"/>
              </w:rPr>
              <w:t>本项目为新建项目，不存在与项目有关的原有环境污染和生态破坏问题</w:t>
            </w:r>
            <w:r>
              <w:rPr>
                <w:rFonts w:hint="eastAsia"/>
                <w:color w:val="auto"/>
                <w:kern w:val="0"/>
                <w:sz w:val="21"/>
                <w:szCs w:val="21"/>
                <w:lang w:eastAsia="zh-CN"/>
              </w:rPr>
              <w:t>。</w:t>
            </w:r>
          </w:p>
          <w:p>
            <w:pPr>
              <w:adjustRightInd w:val="0"/>
              <w:snapToGrid w:val="0"/>
              <w:spacing w:line="360" w:lineRule="auto"/>
              <w:ind w:firstLine="420" w:firstLineChars="200"/>
              <w:rPr>
                <w:rFonts w:hint="default"/>
                <w:color w:val="auto"/>
                <w:kern w:val="0"/>
                <w:szCs w:val="21"/>
              </w:rPr>
            </w:pPr>
            <w:r>
              <w:rPr>
                <w:rFonts w:hint="eastAsia"/>
                <w:b w:val="0"/>
                <w:bCs w:val="0"/>
                <w:color w:val="auto"/>
                <w:kern w:val="0"/>
                <w:sz w:val="21"/>
                <w:szCs w:val="21"/>
                <w:lang w:val="en-US" w:eastAsia="zh-CN"/>
              </w:rPr>
              <w:t>现场踏勘时，项目办公楼已经开始开工建设，办公楼地基开挖已经结束，办公楼主体工程已经基本建设完毕。地基开挖时的产生的弃土已经全部处理完毕。现场并未发现弃土。临时弃土场已经清理完毕。本项目停车场现状为已硬化地面。几乎无任何环境污染问题。项目施工过程中产生的施工废水设置了临时沉淀池，经过沉淀后回用于洒水降尘。项目在办公楼四周设置了截流沟，有效地防止了施工废水排放到施工范围之外。项目还在四周设置了围挡等设施，有效地缓解了施工扬尘对周边环境的影响。本项目办公楼施工期较短，目前已经施工完毕，停车场及休闲娱乐区施工时，会对旅游活动造成一定的影响。但项目范围内空地较多，停车场施工不会给项目带来停车方面的压力。因此本项目施工对旅游活动的影响较小。具体环保措施见附图9和10。</w:t>
            </w:r>
          </w:p>
        </w:tc>
      </w:tr>
      <w:tr>
        <w:tblPrEx>
          <w:tblW w:w="5000" w:type="pct"/>
          <w:jc w:val="center"/>
          <w:tblCellMar>
            <w:top w:w="0" w:type="dxa"/>
            <w:left w:w="108" w:type="dxa"/>
            <w:bottom w:w="0" w:type="dxa"/>
            <w:right w:w="108" w:type="dxa"/>
          </w:tblCellMar>
        </w:tblPrEx>
        <w:trPr>
          <w:trHeight w:val="670"/>
          <w:jc w:val="center"/>
        </w:trPr>
        <w:tc>
          <w:tcPr>
            <w:tcW w:w="552" w:type="pct"/>
            <w:noWrap w:val="0"/>
            <w:vAlign w:val="center"/>
          </w:tcPr>
          <w:p>
            <w:pPr>
              <w:adjustRightInd w:val="0"/>
              <w:snapToGrid w:val="0"/>
              <w:jc w:val="center"/>
              <w:rPr>
                <w:color w:val="auto"/>
                <w:kern w:val="0"/>
                <w:szCs w:val="21"/>
              </w:rPr>
            </w:pPr>
            <w:r>
              <w:rPr>
                <w:color w:val="auto"/>
                <w:kern w:val="0"/>
                <w:sz w:val="21"/>
                <w:szCs w:val="21"/>
              </w:rPr>
              <w:t>生态环境保护目标</w:t>
            </w:r>
          </w:p>
        </w:tc>
        <w:tc>
          <w:tcPr>
            <w:tcW w:w="4447" w:type="pct"/>
            <w:noWrap w:val="0"/>
            <w:vAlign w:val="center"/>
          </w:tcPr>
          <w:p>
            <w:pPr>
              <w:adjustRightInd w:val="0"/>
              <w:snapToGrid w:val="0"/>
              <w:spacing w:line="360" w:lineRule="auto"/>
              <w:ind w:firstLine="420" w:firstLineChars="200"/>
              <w:jc w:val="left"/>
              <w:rPr>
                <w:color w:val="auto"/>
                <w:kern w:val="0"/>
                <w:szCs w:val="21"/>
              </w:rPr>
            </w:pPr>
            <w:r>
              <w:rPr>
                <w:rFonts w:hint="eastAsia"/>
                <w:color w:val="auto"/>
                <w:kern w:val="0"/>
                <w:sz w:val="21"/>
                <w:szCs w:val="21"/>
              </w:rPr>
              <w:t>本项目位于</w:t>
            </w:r>
            <w:r>
              <w:rPr>
                <w:rFonts w:hint="eastAsia"/>
                <w:color w:val="auto"/>
                <w:kern w:val="0"/>
                <w:sz w:val="21"/>
                <w:szCs w:val="21"/>
                <w:lang w:eastAsia="zh-CN"/>
              </w:rPr>
              <w:t>“</w:t>
            </w:r>
            <w:r>
              <w:rPr>
                <w:rFonts w:hint="eastAsia"/>
                <w:color w:val="auto"/>
                <w:kern w:val="0"/>
                <w:sz w:val="21"/>
                <w:szCs w:val="21"/>
              </w:rPr>
              <w:t>三亚热带海滨风景名胜区 大小洞天景区</w:t>
            </w:r>
            <w:r>
              <w:rPr>
                <w:rFonts w:hint="eastAsia"/>
                <w:color w:val="auto"/>
                <w:kern w:val="0"/>
                <w:sz w:val="21"/>
                <w:szCs w:val="21"/>
                <w:lang w:eastAsia="zh-CN"/>
              </w:rPr>
              <w:t>”</w:t>
            </w:r>
            <w:r>
              <w:rPr>
                <w:rFonts w:hint="eastAsia"/>
                <w:color w:val="auto"/>
                <w:kern w:val="0"/>
                <w:sz w:val="21"/>
                <w:szCs w:val="21"/>
              </w:rPr>
              <w:t>。项目生态环境保护目标见表</w:t>
            </w:r>
            <w:r>
              <w:rPr>
                <w:rFonts w:hint="eastAsia"/>
                <w:color w:val="auto"/>
                <w:kern w:val="0"/>
                <w:sz w:val="21"/>
                <w:szCs w:val="21"/>
                <w:lang w:val="en-US" w:eastAsia="zh-CN"/>
              </w:rPr>
              <w:t>3-3</w:t>
            </w:r>
            <w:r>
              <w:rPr>
                <w:rFonts w:hint="eastAsia"/>
                <w:color w:val="auto"/>
                <w:kern w:val="0"/>
                <w:sz w:val="21"/>
                <w:szCs w:val="21"/>
              </w:rPr>
              <w:t>。</w:t>
            </w:r>
          </w:p>
          <w:p>
            <w:pPr>
              <w:adjustRightInd w:val="0"/>
              <w:snapToGrid w:val="0"/>
              <w:jc w:val="center"/>
              <w:rPr>
                <w:b/>
                <w:bCs/>
                <w:color w:val="auto"/>
                <w:kern w:val="0"/>
                <w:szCs w:val="21"/>
              </w:rPr>
            </w:pPr>
            <w:r>
              <w:rPr>
                <w:b/>
                <w:bCs/>
                <w:color w:val="auto"/>
                <w:kern w:val="0"/>
                <w:sz w:val="21"/>
                <w:szCs w:val="21"/>
              </w:rPr>
              <w:t>表</w:t>
            </w:r>
            <w:r>
              <w:rPr>
                <w:rFonts w:hint="eastAsia"/>
                <w:b/>
                <w:bCs/>
                <w:color w:val="auto"/>
                <w:kern w:val="0"/>
                <w:sz w:val="21"/>
                <w:szCs w:val="21"/>
                <w:lang w:val="en-US" w:eastAsia="zh-CN"/>
              </w:rPr>
              <w:t>3-3</w:t>
            </w:r>
            <w:r>
              <w:rPr>
                <w:b/>
                <w:bCs/>
                <w:color w:val="auto"/>
                <w:kern w:val="0"/>
                <w:sz w:val="21"/>
                <w:szCs w:val="21"/>
              </w:rPr>
              <w:t>生态环境保护目标</w:t>
            </w:r>
          </w:p>
          <w:tbl>
            <w:tblPr>
              <w:tblStyle w:val="TableNormal"/>
              <w:tblpPr w:leftFromText="180" w:rightFromText="180" w:vertAnchor="text" w:horzAnchor="page" w:tblpXSpec="center" w:tblpY="47"/>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1121"/>
              <w:gridCol w:w="1155"/>
              <w:gridCol w:w="733"/>
              <w:gridCol w:w="1068"/>
              <w:gridCol w:w="745"/>
              <w:gridCol w:w="896"/>
              <w:gridCol w:w="1633"/>
            </w:tblGrid>
            <w:tr>
              <w:tblPrEx>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rPr>
                <w:cantSplit/>
                <w:trHeight w:hRule="auto" w:val="0"/>
                <w:tblHeader/>
                <w:jc w:val="center"/>
              </w:trPr>
              <w:tc>
                <w:tcPr>
                  <w:tcW w:w="779" w:type="pct"/>
                  <w:noWrap w:val="0"/>
                  <w:vAlign w:val="center"/>
                </w:tcPr>
                <w:p>
                  <w:pPr>
                    <w:adjustRightInd w:val="0"/>
                    <w:jc w:val="center"/>
                    <w:rPr>
                      <w:rFonts w:hint="default"/>
                      <w:b/>
                      <w:color w:val="auto"/>
                      <w:kern w:val="0"/>
                      <w:szCs w:val="21"/>
                    </w:rPr>
                  </w:pPr>
                  <w:r>
                    <w:rPr>
                      <w:rFonts w:ascii="Times New Roman" w:hAnsi="Times New Roman" w:cs="Times New Roman" w:hint="default"/>
                      <w:b/>
                      <w:color w:val="auto"/>
                      <w:kern w:val="0"/>
                      <w:sz w:val="21"/>
                      <w:szCs w:val="21"/>
                    </w:rPr>
                    <w:t>环境保护目标名称</w:t>
                  </w:r>
                </w:p>
              </w:tc>
              <w:tc>
                <w:tcPr>
                  <w:tcW w:w="802" w:type="pct"/>
                  <w:noWrap w:val="0"/>
                  <w:vAlign w:val="center"/>
                </w:tcPr>
                <w:p>
                  <w:pPr>
                    <w:adjustRightInd w:val="0"/>
                    <w:jc w:val="center"/>
                    <w:rPr>
                      <w:rFonts w:hint="default"/>
                      <w:b/>
                      <w:color w:val="auto"/>
                      <w:kern w:val="0"/>
                      <w:szCs w:val="21"/>
                    </w:rPr>
                  </w:pPr>
                  <w:r>
                    <w:rPr>
                      <w:rFonts w:ascii="Times New Roman" w:hAnsi="Times New Roman" w:cs="Times New Roman" w:hint="default"/>
                      <w:b/>
                      <w:color w:val="auto"/>
                      <w:kern w:val="0"/>
                      <w:sz w:val="21"/>
                      <w:szCs w:val="21"/>
                    </w:rPr>
                    <w:t>与项目的位置关系</w:t>
                  </w:r>
                </w:p>
              </w:tc>
              <w:tc>
                <w:tcPr>
                  <w:tcW w:w="515" w:type="pct"/>
                  <w:noWrap w:val="0"/>
                  <w:vAlign w:val="center"/>
                </w:tcPr>
                <w:p>
                  <w:pPr>
                    <w:adjustRightInd w:val="0"/>
                    <w:jc w:val="center"/>
                    <w:rPr>
                      <w:rFonts w:hint="default"/>
                      <w:b/>
                      <w:color w:val="auto"/>
                      <w:kern w:val="0"/>
                      <w:szCs w:val="21"/>
                    </w:rPr>
                  </w:pPr>
                  <w:r>
                    <w:rPr>
                      <w:rFonts w:ascii="Times New Roman" w:hAnsi="Times New Roman" w:cs="Times New Roman" w:hint="default"/>
                      <w:b/>
                      <w:color w:val="auto"/>
                      <w:kern w:val="0"/>
                      <w:sz w:val="21"/>
                      <w:szCs w:val="21"/>
                    </w:rPr>
                    <w:t>规模</w:t>
                  </w:r>
                </w:p>
              </w:tc>
              <w:tc>
                <w:tcPr>
                  <w:tcW w:w="743" w:type="pct"/>
                  <w:noWrap w:val="0"/>
                  <w:vAlign w:val="center"/>
                </w:tcPr>
                <w:p>
                  <w:pPr>
                    <w:adjustRightInd w:val="0"/>
                    <w:jc w:val="center"/>
                    <w:rPr>
                      <w:rFonts w:hint="default"/>
                      <w:b/>
                      <w:color w:val="auto"/>
                      <w:kern w:val="0"/>
                      <w:szCs w:val="21"/>
                    </w:rPr>
                  </w:pPr>
                  <w:r>
                    <w:rPr>
                      <w:rFonts w:ascii="Times New Roman" w:hAnsi="Times New Roman" w:cs="Times New Roman" w:hint="default"/>
                      <w:b/>
                      <w:color w:val="auto"/>
                      <w:kern w:val="0"/>
                      <w:sz w:val="21"/>
                      <w:szCs w:val="21"/>
                    </w:rPr>
                    <w:t>主要保护对象</w:t>
                  </w:r>
                </w:p>
              </w:tc>
              <w:tc>
                <w:tcPr>
                  <w:tcW w:w="523" w:type="pct"/>
                  <w:noWrap w:val="0"/>
                  <w:vAlign w:val="center"/>
                </w:tcPr>
                <w:p>
                  <w:pPr>
                    <w:adjustRightInd w:val="0"/>
                    <w:jc w:val="center"/>
                    <w:rPr>
                      <w:rFonts w:hint="eastAsia"/>
                      <w:b/>
                      <w:color w:val="auto"/>
                      <w:kern w:val="0"/>
                      <w:szCs w:val="21"/>
                    </w:rPr>
                  </w:pPr>
                  <w:r>
                    <w:rPr>
                      <w:rFonts w:ascii="Times New Roman" w:hAnsi="Times New Roman" w:cs="Times New Roman" w:hint="default"/>
                      <w:b/>
                      <w:color w:val="auto"/>
                      <w:kern w:val="0"/>
                      <w:sz w:val="21"/>
                      <w:szCs w:val="21"/>
                    </w:rPr>
                    <w:t>距离</w:t>
                  </w:r>
                  <w:r>
                    <w:rPr>
                      <w:rFonts w:cs="Times New Roman" w:hint="eastAsia"/>
                      <w:b/>
                      <w:color w:val="auto"/>
                      <w:kern w:val="0"/>
                      <w:sz w:val="21"/>
                      <w:szCs w:val="21"/>
                      <w:lang w:eastAsia="zh-CN"/>
                    </w:rPr>
                    <w:t>（</w:t>
                  </w:r>
                  <w:r>
                    <w:rPr>
                      <w:rFonts w:ascii="Times New Roman" w:hAnsi="Times New Roman" w:cs="Times New Roman" w:hint="default"/>
                      <w:b/>
                      <w:color w:val="auto"/>
                      <w:kern w:val="0"/>
                      <w:sz w:val="21"/>
                      <w:szCs w:val="21"/>
                    </w:rPr>
                    <w:t>m</w:t>
                  </w:r>
                  <w:r>
                    <w:rPr>
                      <w:rFonts w:cs="Times New Roman" w:hint="eastAsia"/>
                      <w:b/>
                      <w:color w:val="auto"/>
                      <w:kern w:val="0"/>
                      <w:sz w:val="21"/>
                      <w:szCs w:val="21"/>
                      <w:lang w:eastAsia="zh-CN"/>
                    </w:rPr>
                    <w:t>）</w:t>
                  </w:r>
                </w:p>
              </w:tc>
              <w:tc>
                <w:tcPr>
                  <w:tcW w:w="625" w:type="pct"/>
                  <w:noWrap w:val="0"/>
                  <w:vAlign w:val="center"/>
                </w:tcPr>
                <w:p>
                  <w:pPr>
                    <w:adjustRightInd w:val="0"/>
                    <w:jc w:val="center"/>
                    <w:rPr>
                      <w:rFonts w:hint="default"/>
                      <w:b/>
                      <w:color w:val="auto"/>
                      <w:kern w:val="0"/>
                      <w:szCs w:val="21"/>
                    </w:rPr>
                  </w:pPr>
                  <w:r>
                    <w:rPr>
                      <w:rFonts w:ascii="Times New Roman" w:hAnsi="Times New Roman" w:cs="Times New Roman" w:hint="default"/>
                      <w:b/>
                      <w:color w:val="auto"/>
                      <w:kern w:val="0"/>
                      <w:sz w:val="21"/>
                      <w:szCs w:val="21"/>
                    </w:rPr>
                    <w:t>涉及的功能分区</w:t>
                  </w:r>
                </w:p>
              </w:tc>
              <w:tc>
                <w:tcPr>
                  <w:tcW w:w="1009" w:type="pct"/>
                  <w:noWrap w:val="0"/>
                  <w:vAlign w:val="center"/>
                </w:tcPr>
                <w:p>
                  <w:pPr>
                    <w:adjustRightInd w:val="0"/>
                    <w:jc w:val="center"/>
                    <w:rPr>
                      <w:rFonts w:hint="default"/>
                      <w:b/>
                      <w:color w:val="auto"/>
                      <w:kern w:val="0"/>
                      <w:szCs w:val="21"/>
                    </w:rPr>
                  </w:pPr>
                  <w:r>
                    <w:rPr>
                      <w:rFonts w:ascii="Times New Roman" w:hAnsi="Times New Roman" w:cs="Times New Roman" w:hint="default"/>
                      <w:b/>
                      <w:color w:val="auto"/>
                      <w:kern w:val="0"/>
                      <w:sz w:val="21"/>
                      <w:szCs w:val="21"/>
                    </w:rPr>
                    <w:t>保护目标</w:t>
                  </w:r>
                </w:p>
              </w:tc>
            </w:tr>
            <w:tr>
              <w:tblPrEx>
                <w:tblW w:w="4997" w:type="pct"/>
                <w:jc w:val="center"/>
                <w:tblCellMar>
                  <w:top w:w="0" w:type="dxa"/>
                  <w:left w:w="0" w:type="dxa"/>
                  <w:bottom w:w="0" w:type="dxa"/>
                  <w:right w:w="0" w:type="dxa"/>
                </w:tblCellMar>
              </w:tblPrEx>
              <w:trPr>
                <w:trHeight w:hRule="auto" w:val="0"/>
                <w:jc w:val="center"/>
              </w:trPr>
              <w:tc>
                <w:tcPr>
                  <w:tcW w:w="779" w:type="pct"/>
                  <w:noWrap w:val="0"/>
                  <w:vAlign w:val="center"/>
                </w:tcPr>
                <w:p>
                  <w:pPr>
                    <w:pStyle w:val="NormalIndent"/>
                    <w:spacing w:line="240" w:lineRule="auto"/>
                    <w:ind w:firstLine="0" w:firstLineChars="0"/>
                    <w:jc w:val="center"/>
                    <w:rPr>
                      <w:rFonts w:cs="Times New Roman" w:hint="default"/>
                      <w:color w:val="auto"/>
                      <w:sz w:val="21"/>
                      <w:szCs w:val="21"/>
                    </w:rPr>
                  </w:pPr>
                  <w:r>
                    <w:rPr>
                      <w:rFonts w:ascii="Times New Roman" w:hAnsi="Times New Roman" w:cs="Times New Roman" w:hint="default"/>
                      <w:color w:val="auto"/>
                      <w:sz w:val="21"/>
                      <w:szCs w:val="21"/>
                    </w:rPr>
                    <w:t>三亚热带海滨风景名胜区 大小洞天景区</w:t>
                  </w:r>
                </w:p>
              </w:tc>
              <w:tc>
                <w:tcPr>
                  <w:tcW w:w="802" w:type="pct"/>
                  <w:noWrap w:val="0"/>
                  <w:vAlign w:val="center"/>
                </w:tcPr>
                <w:p>
                  <w:pPr>
                    <w:adjustRightInd w:val="0"/>
                    <w:jc w:val="center"/>
                    <w:rPr>
                      <w:rFonts w:hint="default"/>
                      <w:color w:val="auto"/>
                      <w:kern w:val="0"/>
                      <w:szCs w:val="21"/>
                    </w:rPr>
                  </w:pPr>
                  <w:r>
                    <w:rPr>
                      <w:rFonts w:ascii="Times New Roman" w:hAnsi="Times New Roman" w:cs="Times New Roman" w:hint="default"/>
                      <w:color w:val="auto"/>
                      <w:kern w:val="0"/>
                      <w:sz w:val="21"/>
                      <w:szCs w:val="21"/>
                    </w:rPr>
                    <w:t>本项目位于风景名胜区内</w:t>
                  </w:r>
                </w:p>
              </w:tc>
              <w:tc>
                <w:tcPr>
                  <w:tcW w:w="515" w:type="pct"/>
                  <w:noWrap w:val="0"/>
                  <w:vAlign w:val="center"/>
                </w:tcPr>
                <w:p>
                  <w:pPr>
                    <w:jc w:val="center"/>
                    <w:rPr>
                      <w:rFonts w:hint="default"/>
                      <w:color w:val="auto"/>
                      <w:szCs w:val="21"/>
                    </w:rPr>
                  </w:pPr>
                  <w:r>
                    <w:rPr>
                      <w:rFonts w:ascii="Times New Roman" w:hAnsi="Times New Roman" w:cs="Times New Roman" w:hint="default"/>
                      <w:color w:val="auto"/>
                      <w:sz w:val="21"/>
                      <w:szCs w:val="21"/>
                    </w:rPr>
                    <w:t>74822</w:t>
                  </w:r>
                  <w:r>
                    <w:rPr>
                      <w:rFonts w:cs="Times New Roman" w:hint="eastAsia"/>
                      <w:color w:val="auto"/>
                      <w:sz w:val="21"/>
                      <w:szCs w:val="21"/>
                      <w:lang w:val="en-US" w:eastAsia="zh-CN"/>
                    </w:rPr>
                    <w:t>平方千米</w:t>
                  </w:r>
                </w:p>
              </w:tc>
              <w:tc>
                <w:tcPr>
                  <w:tcW w:w="743" w:type="pct"/>
                  <w:noWrap w:val="0"/>
                  <w:vAlign w:val="center"/>
                </w:tcPr>
                <w:p>
                  <w:pPr>
                    <w:adjustRightInd w:val="0"/>
                    <w:jc w:val="center"/>
                    <w:rPr>
                      <w:rFonts w:hint="default"/>
                      <w:color w:val="auto"/>
                      <w:kern w:val="0"/>
                      <w:szCs w:val="21"/>
                    </w:rPr>
                  </w:pPr>
                  <w:r>
                    <w:rPr>
                      <w:rFonts w:ascii="Times New Roman" w:hAnsi="Times New Roman" w:cs="Times New Roman" w:hint="default"/>
                      <w:color w:val="auto"/>
                      <w:kern w:val="0"/>
                      <w:sz w:val="21"/>
                      <w:szCs w:val="21"/>
                    </w:rPr>
                    <w:t>风景名胜区</w:t>
                  </w:r>
                </w:p>
              </w:tc>
              <w:tc>
                <w:tcPr>
                  <w:tcW w:w="523" w:type="pct"/>
                  <w:noWrap w:val="0"/>
                  <w:vAlign w:val="center"/>
                </w:tcPr>
                <w:p>
                  <w:pPr>
                    <w:adjustRightInd w:val="0"/>
                    <w:jc w:val="center"/>
                    <w:rPr>
                      <w:rFonts w:hint="default"/>
                      <w:color w:val="auto"/>
                      <w:kern w:val="0"/>
                      <w:szCs w:val="21"/>
                    </w:rPr>
                  </w:pPr>
                  <w:r>
                    <w:rPr>
                      <w:rFonts w:ascii="Times New Roman" w:hAnsi="Times New Roman" w:cs="Times New Roman" w:hint="default"/>
                      <w:color w:val="auto"/>
                      <w:kern w:val="0"/>
                      <w:sz w:val="21"/>
                      <w:szCs w:val="21"/>
                    </w:rPr>
                    <w:t>0</w:t>
                  </w:r>
                </w:p>
              </w:tc>
              <w:tc>
                <w:tcPr>
                  <w:tcW w:w="625" w:type="pct"/>
                  <w:noWrap w:val="0"/>
                  <w:vAlign w:val="center"/>
                </w:tcPr>
                <w:p>
                  <w:pPr>
                    <w:adjustRightInd w:val="0"/>
                    <w:jc w:val="center"/>
                    <w:rPr>
                      <w:rFonts w:hint="default"/>
                      <w:color w:val="auto"/>
                      <w:kern w:val="0"/>
                      <w:szCs w:val="21"/>
                    </w:rPr>
                  </w:pPr>
                  <w:r>
                    <w:rPr>
                      <w:rFonts w:ascii="Times New Roman" w:hAnsi="Times New Roman" w:cs="Times New Roman" w:hint="default"/>
                      <w:color w:val="auto"/>
                      <w:kern w:val="0"/>
                      <w:sz w:val="21"/>
                      <w:szCs w:val="21"/>
                    </w:rPr>
                    <w:t>风景名胜区</w:t>
                  </w:r>
                </w:p>
              </w:tc>
              <w:tc>
                <w:tcPr>
                  <w:tcW w:w="1009" w:type="pct"/>
                  <w:noWrap w:val="0"/>
                  <w:vAlign w:val="center"/>
                </w:tcPr>
                <w:p>
                  <w:pPr>
                    <w:adjustRightInd w:val="0"/>
                    <w:jc w:val="center"/>
                    <w:rPr>
                      <w:rFonts w:hint="default"/>
                      <w:color w:val="auto"/>
                      <w:szCs w:val="21"/>
                    </w:rPr>
                  </w:pPr>
                  <w:r>
                    <w:rPr>
                      <w:rFonts w:ascii="Times New Roman" w:hAnsi="Times New Roman" w:cs="Times New Roman" w:hint="default"/>
                      <w:color w:val="auto"/>
                      <w:sz w:val="21"/>
                      <w:szCs w:val="21"/>
                      <w:highlight w:val="none"/>
                    </w:rPr>
                    <w:t>按照风景名胜区要求进行管理</w:t>
                  </w:r>
                </w:p>
              </w:tc>
            </w:tr>
            <w:tr>
              <w:tblPrEx>
                <w:tblW w:w="4997" w:type="pct"/>
                <w:jc w:val="center"/>
                <w:tblCellMar>
                  <w:top w:w="0" w:type="dxa"/>
                  <w:left w:w="0" w:type="dxa"/>
                  <w:bottom w:w="0" w:type="dxa"/>
                  <w:right w:w="0" w:type="dxa"/>
                </w:tblCellMar>
              </w:tblPrEx>
              <w:trPr>
                <w:trHeight w:hRule="auto" w:val="0"/>
                <w:jc w:val="center"/>
              </w:trPr>
              <w:tc>
                <w:tcPr>
                  <w:tcW w:w="779" w:type="pct"/>
                  <w:noWrap w:val="0"/>
                  <w:vAlign w:val="center"/>
                </w:tcPr>
                <w:p>
                  <w:pPr>
                    <w:pStyle w:val="NormalIndent"/>
                    <w:spacing w:line="240" w:lineRule="auto"/>
                    <w:ind w:firstLine="0" w:firstLineChars="0"/>
                    <w:jc w:val="center"/>
                    <w:rPr>
                      <w:rFonts w:cs="Times New Roman" w:hint="default"/>
                      <w:color w:val="auto"/>
                      <w:sz w:val="21"/>
                      <w:szCs w:val="21"/>
                      <w:lang w:val="en-US" w:eastAsia="zh-CN"/>
                    </w:rPr>
                  </w:pPr>
                  <w:r>
                    <w:rPr>
                      <w:rFonts w:cs="Times New Roman" w:hint="eastAsia"/>
                      <w:color w:val="auto"/>
                      <w:sz w:val="21"/>
                      <w:szCs w:val="21"/>
                      <w:lang w:val="en-US" w:eastAsia="zh-CN"/>
                    </w:rPr>
                    <w:t>三亚自然博物馆</w:t>
                  </w:r>
                </w:p>
              </w:tc>
              <w:tc>
                <w:tcPr>
                  <w:tcW w:w="802" w:type="pct"/>
                  <w:noWrap w:val="0"/>
                  <w:vAlign w:val="center"/>
                </w:tcPr>
                <w:p>
                  <w:pPr>
                    <w:adjustRightInd w:val="0"/>
                    <w:jc w:val="center"/>
                    <w:rPr>
                      <w:rFonts w:hint="default"/>
                      <w:color w:val="auto"/>
                      <w:kern w:val="0"/>
                      <w:szCs w:val="21"/>
                    </w:rPr>
                  </w:pPr>
                  <w:r>
                    <w:rPr>
                      <w:rFonts w:cs="Times New Roman" w:hint="eastAsia"/>
                      <w:color w:val="auto"/>
                      <w:kern w:val="0"/>
                      <w:sz w:val="21"/>
                      <w:szCs w:val="21"/>
                      <w:lang w:val="en-US" w:eastAsia="zh-CN"/>
                    </w:rPr>
                    <w:t>西侧</w:t>
                  </w:r>
                </w:p>
              </w:tc>
              <w:tc>
                <w:tcPr>
                  <w:tcW w:w="515" w:type="pct"/>
                  <w:noWrap w:val="0"/>
                  <w:vAlign w:val="center"/>
                </w:tcPr>
                <w:p>
                  <w:pPr>
                    <w:jc w:val="center"/>
                    <w:rPr>
                      <w:rFonts w:hint="eastAsia"/>
                      <w:color w:val="auto"/>
                      <w:szCs w:val="21"/>
                    </w:rPr>
                  </w:pPr>
                  <w:r>
                    <w:rPr>
                      <w:rFonts w:cs="Times New Roman" w:hint="eastAsia"/>
                      <w:color w:val="auto"/>
                      <w:sz w:val="21"/>
                      <w:szCs w:val="21"/>
                      <w:lang w:val="en-US" w:eastAsia="zh-CN"/>
                    </w:rPr>
                    <w:t>/</w:t>
                  </w:r>
                </w:p>
              </w:tc>
              <w:tc>
                <w:tcPr>
                  <w:tcW w:w="743" w:type="pct"/>
                  <w:noWrap w:val="0"/>
                  <w:vAlign w:val="center"/>
                </w:tcPr>
                <w:p>
                  <w:pPr>
                    <w:adjustRightInd w:val="0"/>
                    <w:jc w:val="center"/>
                    <w:rPr>
                      <w:rFonts w:hint="default"/>
                      <w:color w:val="auto"/>
                      <w:kern w:val="0"/>
                      <w:szCs w:val="21"/>
                    </w:rPr>
                  </w:pPr>
                  <w:r>
                    <w:rPr>
                      <w:rFonts w:cs="Times New Roman" w:hint="eastAsia"/>
                      <w:color w:val="auto"/>
                      <w:kern w:val="0"/>
                      <w:sz w:val="21"/>
                      <w:szCs w:val="21"/>
                      <w:lang w:val="en-US" w:eastAsia="zh-CN"/>
                    </w:rPr>
                    <w:t>机构</w:t>
                  </w:r>
                </w:p>
              </w:tc>
              <w:tc>
                <w:tcPr>
                  <w:tcW w:w="523" w:type="pct"/>
                  <w:noWrap w:val="0"/>
                  <w:vAlign w:val="center"/>
                </w:tcPr>
                <w:p>
                  <w:pPr>
                    <w:adjustRightInd w:val="0"/>
                    <w:jc w:val="center"/>
                    <w:rPr>
                      <w:rFonts w:hint="default"/>
                      <w:color w:val="auto"/>
                      <w:kern w:val="0"/>
                      <w:szCs w:val="21"/>
                    </w:rPr>
                  </w:pPr>
                  <w:r>
                    <w:rPr>
                      <w:rFonts w:cs="Times New Roman" w:hint="eastAsia"/>
                      <w:color w:val="auto"/>
                      <w:kern w:val="0"/>
                      <w:sz w:val="21"/>
                      <w:szCs w:val="21"/>
                      <w:lang w:val="en-US" w:eastAsia="zh-CN"/>
                    </w:rPr>
                    <w:t>150</w:t>
                  </w:r>
                </w:p>
              </w:tc>
              <w:tc>
                <w:tcPr>
                  <w:tcW w:w="625" w:type="pct"/>
                  <w:noWrap w:val="0"/>
                  <w:vAlign w:val="center"/>
                </w:tcPr>
                <w:p>
                  <w:pPr>
                    <w:adjustRightInd w:val="0"/>
                    <w:jc w:val="center"/>
                    <w:rPr>
                      <w:rFonts w:hint="default"/>
                      <w:color w:val="auto"/>
                      <w:kern w:val="0"/>
                      <w:szCs w:val="21"/>
                    </w:rPr>
                  </w:pPr>
                  <w:r>
                    <w:rPr>
                      <w:rFonts w:cs="Times New Roman" w:hint="eastAsia"/>
                      <w:color w:val="auto"/>
                      <w:kern w:val="0"/>
                      <w:sz w:val="21"/>
                      <w:szCs w:val="21"/>
                      <w:lang w:val="en-US" w:eastAsia="zh-CN"/>
                    </w:rPr>
                    <w:t>/</w:t>
                  </w:r>
                </w:p>
              </w:tc>
              <w:tc>
                <w:tcPr>
                  <w:tcW w:w="1009" w:type="pct"/>
                  <w:noWrap w:val="0"/>
                  <w:vAlign w:val="center"/>
                </w:tcPr>
                <w:p>
                  <w:pPr>
                    <w:adjustRightInd w:val="0"/>
                    <w:jc w:val="center"/>
                    <w:rPr>
                      <w:rFonts w:hint="default"/>
                      <w:color w:val="auto"/>
                      <w:szCs w:val="21"/>
                      <w:highlight w:val="none"/>
                    </w:rPr>
                  </w:pPr>
                  <w:r>
                    <w:rPr>
                      <w:rFonts w:ascii="Times New Roman" w:eastAsia="宋体" w:hAnsi="Times New Roman" w:cs="Times New Roman" w:hint="default"/>
                      <w:color w:val="auto"/>
                      <w:sz w:val="21"/>
                      <w:szCs w:val="21"/>
                      <w:highlight w:val="none"/>
                      <w:lang w:val="en-US" w:eastAsia="zh-CN"/>
                    </w:rPr>
                    <w:t>《环境空气质量标准》（GB3095-2012）及2018年修改单中的一级标准</w:t>
                  </w:r>
                </w:p>
              </w:tc>
            </w:tr>
            <w:tr>
              <w:tblPrEx>
                <w:tblW w:w="4997" w:type="pct"/>
                <w:jc w:val="center"/>
                <w:tblCellMar>
                  <w:top w:w="0" w:type="dxa"/>
                  <w:left w:w="0" w:type="dxa"/>
                  <w:bottom w:w="0" w:type="dxa"/>
                  <w:right w:w="0" w:type="dxa"/>
                </w:tblCellMar>
              </w:tblPrEx>
              <w:trPr>
                <w:trHeight w:hRule="auto" w:val="0"/>
                <w:jc w:val="center"/>
              </w:trPr>
              <w:tc>
                <w:tcPr>
                  <w:tcW w:w="779" w:type="pct"/>
                  <w:noWrap w:val="0"/>
                  <w:vAlign w:val="center"/>
                </w:tcPr>
                <w:p>
                  <w:pPr>
                    <w:adjustRightInd w:val="0"/>
                    <w:jc w:val="center"/>
                    <w:rPr>
                      <w:rFonts w:hint="default"/>
                      <w:color w:val="auto"/>
                      <w:szCs w:val="21"/>
                    </w:rPr>
                  </w:pPr>
                  <w:r>
                    <w:rPr>
                      <w:rFonts w:cs="Times New Roman" w:hint="eastAsia"/>
                      <w:color w:val="auto"/>
                      <w:sz w:val="21"/>
                      <w:szCs w:val="21"/>
                      <w:lang w:val="en-US" w:eastAsia="zh-CN"/>
                    </w:rPr>
                    <w:t>南海</w:t>
                  </w:r>
                </w:p>
              </w:tc>
              <w:tc>
                <w:tcPr>
                  <w:tcW w:w="802" w:type="pct"/>
                  <w:noWrap w:val="0"/>
                  <w:vAlign w:val="center"/>
                </w:tcPr>
                <w:p>
                  <w:pPr>
                    <w:adjustRightInd w:val="0"/>
                    <w:jc w:val="center"/>
                    <w:rPr>
                      <w:rFonts w:hint="default"/>
                      <w:color w:val="auto"/>
                      <w:kern w:val="0"/>
                      <w:szCs w:val="21"/>
                    </w:rPr>
                  </w:pPr>
                  <w:r>
                    <w:rPr>
                      <w:rFonts w:cs="Times New Roman" w:hint="eastAsia"/>
                      <w:color w:val="auto"/>
                      <w:kern w:val="0"/>
                      <w:sz w:val="21"/>
                      <w:szCs w:val="21"/>
                      <w:lang w:val="en-US" w:eastAsia="zh-CN"/>
                    </w:rPr>
                    <w:t>位于项目东侧</w:t>
                  </w:r>
                </w:p>
              </w:tc>
              <w:tc>
                <w:tcPr>
                  <w:tcW w:w="515" w:type="pct"/>
                  <w:noWrap w:val="0"/>
                  <w:vAlign w:val="center"/>
                </w:tcPr>
                <w:p>
                  <w:pPr>
                    <w:adjustRightInd w:val="0"/>
                    <w:jc w:val="center"/>
                    <w:rPr>
                      <w:rFonts w:hint="eastAsia"/>
                      <w:color w:val="auto"/>
                      <w:kern w:val="0"/>
                      <w:szCs w:val="21"/>
                    </w:rPr>
                  </w:pPr>
                  <w:r>
                    <w:rPr>
                      <w:rFonts w:cs="Times New Roman" w:hint="eastAsia"/>
                      <w:color w:val="auto"/>
                      <w:kern w:val="0"/>
                      <w:sz w:val="21"/>
                      <w:szCs w:val="21"/>
                      <w:lang w:val="en-US" w:eastAsia="zh-CN"/>
                    </w:rPr>
                    <w:t>/</w:t>
                  </w:r>
                </w:p>
              </w:tc>
              <w:tc>
                <w:tcPr>
                  <w:tcW w:w="743" w:type="pct"/>
                  <w:noWrap w:val="0"/>
                  <w:vAlign w:val="center"/>
                </w:tcPr>
                <w:p>
                  <w:pPr>
                    <w:adjustRightInd w:val="0"/>
                    <w:jc w:val="center"/>
                    <w:rPr>
                      <w:rFonts w:hint="default"/>
                      <w:color w:val="auto"/>
                      <w:kern w:val="0"/>
                      <w:szCs w:val="21"/>
                    </w:rPr>
                  </w:pPr>
                  <w:r>
                    <w:rPr>
                      <w:rFonts w:cs="Times New Roman" w:hint="eastAsia"/>
                      <w:color w:val="auto"/>
                      <w:kern w:val="0"/>
                      <w:sz w:val="21"/>
                      <w:szCs w:val="21"/>
                      <w:lang w:val="en-US" w:eastAsia="zh-CN"/>
                    </w:rPr>
                    <w:t>海洋</w:t>
                  </w:r>
                </w:p>
              </w:tc>
              <w:tc>
                <w:tcPr>
                  <w:tcW w:w="523" w:type="pct"/>
                  <w:noWrap w:val="0"/>
                  <w:vAlign w:val="center"/>
                </w:tcPr>
                <w:p>
                  <w:pPr>
                    <w:adjustRightInd w:val="0"/>
                    <w:jc w:val="center"/>
                    <w:rPr>
                      <w:rFonts w:hint="default"/>
                      <w:color w:val="auto"/>
                      <w:kern w:val="0"/>
                      <w:szCs w:val="21"/>
                    </w:rPr>
                  </w:pPr>
                  <w:r>
                    <w:rPr>
                      <w:rFonts w:cs="Times New Roman" w:hint="eastAsia"/>
                      <w:color w:val="auto"/>
                      <w:kern w:val="0"/>
                      <w:sz w:val="21"/>
                      <w:szCs w:val="21"/>
                      <w:lang w:val="en-US" w:eastAsia="zh-CN"/>
                    </w:rPr>
                    <w:t>500</w:t>
                  </w:r>
                </w:p>
              </w:tc>
              <w:tc>
                <w:tcPr>
                  <w:tcW w:w="625" w:type="pct"/>
                  <w:noWrap w:val="0"/>
                  <w:vAlign w:val="center"/>
                </w:tcPr>
                <w:p>
                  <w:pPr>
                    <w:adjustRightInd w:val="0"/>
                    <w:spacing w:after="0"/>
                    <w:jc w:val="center"/>
                    <w:rPr>
                      <w:rFonts w:hint="default"/>
                      <w:color w:val="auto"/>
                      <w:kern w:val="0"/>
                      <w:szCs w:val="21"/>
                    </w:rPr>
                  </w:pPr>
                </w:p>
              </w:tc>
              <w:tc>
                <w:tcPr>
                  <w:tcW w:w="1009" w:type="pct"/>
                  <w:noWrap w:val="0"/>
                  <w:vAlign w:val="center"/>
                </w:tcPr>
                <w:p>
                  <w:pPr>
                    <w:adjustRightInd w:val="0"/>
                    <w:jc w:val="center"/>
                    <w:rPr>
                      <w:rFonts w:hint="default"/>
                      <w:color w:val="auto"/>
                      <w:szCs w:val="21"/>
                    </w:rPr>
                  </w:pPr>
                  <w:r>
                    <w:rPr>
                      <w:rFonts w:ascii="Times New Roman" w:hAnsi="Times New Roman" w:cs="Times New Roman" w:hint="default"/>
                      <w:color w:val="auto"/>
                      <w:sz w:val="21"/>
                      <w:szCs w:val="21"/>
                    </w:rPr>
                    <w:t>执行二类海水水质标准</w:t>
                  </w:r>
                </w:p>
              </w:tc>
            </w:tr>
          </w:tbl>
          <w:p/>
        </w:tc>
      </w:tr>
    </w:tbl>
    <w:p>
      <w:pPr>
        <w:sectPr>
          <w:footerReference w:type="even" r:id="rId38"/>
          <w:footerReference w:type="default" r:id="rId39"/>
          <w:type w:val="nextPage"/>
          <w:pgSz w:w="11906" w:h="16838"/>
          <w:pgMar w:top="1440" w:right="1800" w:bottom="1440" w:left="1800" w:header="851" w:footer="1077" w:gutter="0"/>
          <w:pgNumType w:fmt="decimal" w:start="15"/>
          <w:cols w:num="1" w:space="720"/>
          <w:titlePg w:val="0"/>
          <w:docGrid w:linePitch="312" w:charSpace="0"/>
        </w:sectPr>
      </w:pPr>
    </w:p>
    <w:tbl>
      <w:tblPr>
        <w:tblStyle w:val="TableNormal"/>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941"/>
        <w:gridCol w:w="7581"/>
      </w:tblGrid>
      <w:tr>
        <w:tblPrEx>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670"/>
          <w:jc w:val="center"/>
        </w:trPr>
        <w:tc>
          <w:tcPr>
            <w:tcW w:w="552" w:type="pct"/>
            <w:noWrap w:val="0"/>
            <w:vAlign w:val="center"/>
          </w:tcPr>
          <w:p/>
        </w:tc>
        <w:tc>
          <w:tcPr>
            <w:tcW w:w="4447" w:type="pct"/>
            <w:noWrap w:val="0"/>
            <w:vAlign w:val="center"/>
          </w:tcPr>
          <w:tbl>
            <w:tblPr>
              <w:tblStyle w:val="TableNormal"/>
              <w:tblpPr w:leftFromText="180" w:rightFromText="180" w:vertAnchor="text" w:horzAnchor="page" w:tblpXSpec="center" w:tblpY="47"/>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1121"/>
              <w:gridCol w:w="1155"/>
              <w:gridCol w:w="733"/>
              <w:gridCol w:w="1068"/>
              <w:gridCol w:w="745"/>
              <w:gridCol w:w="896"/>
              <w:gridCol w:w="1633"/>
            </w:tblGrid>
            <w:tr>
              <w:tblPrEx>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rPr>
                <w:trHeight w:hRule="auto" w:val="0"/>
                <w:jc w:val="center"/>
              </w:trPr>
              <w:tc>
                <w:tcPr>
                  <w:tcW w:w="779" w:type="pct"/>
                  <w:noWrap w:val="0"/>
                  <w:vAlign w:val="center"/>
                </w:tcPr>
                <w:p/>
              </w:tc>
              <w:tc>
                <w:tcPr>
                  <w:tcW w:w="802" w:type="pct"/>
                  <w:noWrap w:val="0"/>
                  <w:vAlign w:val="center"/>
                </w:tcPr>
                <w:p/>
              </w:tc>
              <w:tc>
                <w:tcPr>
                  <w:tcW w:w="515" w:type="pct"/>
                  <w:noWrap w:val="0"/>
                  <w:vAlign w:val="center"/>
                </w:tcPr>
                <w:p/>
              </w:tc>
              <w:tc>
                <w:tcPr>
                  <w:tcW w:w="743" w:type="pct"/>
                  <w:noWrap w:val="0"/>
                  <w:vAlign w:val="center"/>
                </w:tcPr>
                <w:p/>
              </w:tc>
              <w:tc>
                <w:tcPr>
                  <w:tcW w:w="523" w:type="pct"/>
                  <w:noWrap w:val="0"/>
                  <w:vAlign w:val="center"/>
                </w:tcPr>
                <w:p/>
              </w:tc>
              <w:tc>
                <w:tcPr>
                  <w:tcW w:w="625" w:type="pct"/>
                  <w:noWrap w:val="0"/>
                  <w:vAlign w:val="center"/>
                </w:tcPr>
                <w:p>
                  <w:pPr>
                    <w:adjustRightInd w:val="0"/>
                    <w:spacing w:before="0"/>
                    <w:jc w:val="center"/>
                    <w:rPr>
                      <w:rFonts w:hint="default"/>
                      <w:color w:val="auto"/>
                      <w:kern w:val="0"/>
                      <w:szCs w:val="21"/>
                    </w:rPr>
                  </w:pPr>
                  <w:r>
                    <w:rPr>
                      <w:rFonts w:cs="Times New Roman" w:hint="eastAsia"/>
                      <w:color w:val="auto"/>
                      <w:kern w:val="0"/>
                      <w:sz w:val="21"/>
                      <w:szCs w:val="21"/>
                      <w:lang w:val="en-US" w:eastAsia="zh-CN"/>
                    </w:rPr>
                    <w:t>南山旅游休闲娱乐区</w:t>
                  </w:r>
                  <w:r>
                    <w:rPr>
                      <w:rFonts w:cs="Times New Roman" w:hint="eastAsia"/>
                      <w:color w:val="auto"/>
                      <w:kern w:val="0"/>
                      <w:sz w:val="21"/>
                      <w:szCs w:val="21"/>
                      <w:lang w:val="en-US" w:eastAsia="zh-CN"/>
                    </w:rPr>
                    <w:t xml:space="preserve"> </w:t>
                  </w:r>
                </w:p>
              </w:tc>
              <w:tc>
                <w:tcPr>
                  <w:tcW w:w="1009" w:type="pct"/>
                  <w:noWrap w:val="0"/>
                  <w:vAlign w:val="center"/>
                </w:tcPr>
                <w:p/>
              </w:tc>
            </w:tr>
            <w:tr>
              <w:tblPrEx>
                <w:tblW w:w="4997" w:type="pct"/>
                <w:jc w:val="center"/>
                <w:tblCellMar>
                  <w:top w:w="0" w:type="dxa"/>
                  <w:left w:w="0" w:type="dxa"/>
                  <w:bottom w:w="0" w:type="dxa"/>
                  <w:right w:w="0" w:type="dxa"/>
                </w:tblCellMar>
              </w:tblPrEx>
              <w:trPr>
                <w:trHeight w:hRule="auto" w:val="0"/>
                <w:jc w:val="center"/>
              </w:trPr>
              <w:tc>
                <w:tcPr>
                  <w:tcW w:w="779" w:type="pct"/>
                  <w:noWrap w:val="0"/>
                  <w:vAlign w:val="center"/>
                </w:tcPr>
                <w:p>
                  <w:pPr>
                    <w:adjustRightInd w:val="0"/>
                    <w:jc w:val="center"/>
                    <w:rPr>
                      <w:rFonts w:hint="default"/>
                      <w:b/>
                      <w:bCs/>
                      <w:color w:val="auto"/>
                      <w:szCs w:val="21"/>
                    </w:rPr>
                  </w:pPr>
                  <w:r>
                    <w:rPr>
                      <w:rFonts w:cs="Times New Roman" w:hint="eastAsia"/>
                      <w:b/>
                      <w:bCs/>
                      <w:color w:val="auto"/>
                      <w:sz w:val="21"/>
                      <w:szCs w:val="21"/>
                      <w:lang w:val="en-US" w:eastAsia="zh-CN"/>
                    </w:rPr>
                    <w:t>生态保护红线</w:t>
                  </w:r>
                </w:p>
              </w:tc>
              <w:tc>
                <w:tcPr>
                  <w:tcW w:w="802" w:type="pct"/>
                  <w:noWrap w:val="0"/>
                  <w:vAlign w:val="center"/>
                </w:tcPr>
                <w:p>
                  <w:pPr>
                    <w:adjustRightInd w:val="0"/>
                    <w:jc w:val="center"/>
                    <w:rPr>
                      <w:rFonts w:hint="default"/>
                      <w:b/>
                      <w:bCs/>
                      <w:color w:val="auto"/>
                      <w:kern w:val="0"/>
                      <w:szCs w:val="21"/>
                    </w:rPr>
                  </w:pPr>
                  <w:r>
                    <w:rPr>
                      <w:rFonts w:cs="Times New Roman" w:hint="eastAsia"/>
                      <w:b/>
                      <w:bCs/>
                      <w:color w:val="auto"/>
                      <w:kern w:val="0"/>
                      <w:sz w:val="21"/>
                      <w:szCs w:val="21"/>
                      <w:lang w:val="en-US" w:eastAsia="zh-CN"/>
                    </w:rPr>
                    <w:t>项目东侧</w:t>
                  </w:r>
                </w:p>
              </w:tc>
              <w:tc>
                <w:tcPr>
                  <w:tcW w:w="515" w:type="pct"/>
                  <w:noWrap w:val="0"/>
                  <w:vAlign w:val="center"/>
                </w:tcPr>
                <w:p>
                  <w:pPr>
                    <w:adjustRightInd w:val="0"/>
                    <w:jc w:val="center"/>
                    <w:rPr>
                      <w:rFonts w:hint="default"/>
                      <w:b/>
                      <w:bCs/>
                      <w:color w:val="auto"/>
                      <w:kern w:val="0"/>
                      <w:szCs w:val="21"/>
                    </w:rPr>
                  </w:pPr>
                  <w:r>
                    <w:rPr>
                      <w:rFonts w:cs="Times New Roman" w:hint="eastAsia"/>
                      <w:b/>
                      <w:bCs/>
                      <w:color w:val="auto"/>
                      <w:kern w:val="0"/>
                      <w:sz w:val="21"/>
                      <w:szCs w:val="21"/>
                      <w:lang w:val="en-US" w:eastAsia="zh-CN"/>
                    </w:rPr>
                    <w:t>/</w:t>
                  </w:r>
                </w:p>
              </w:tc>
              <w:tc>
                <w:tcPr>
                  <w:tcW w:w="743" w:type="pct"/>
                  <w:noWrap w:val="0"/>
                  <w:vAlign w:val="center"/>
                </w:tcPr>
                <w:p>
                  <w:pPr>
                    <w:adjustRightInd w:val="0"/>
                    <w:jc w:val="center"/>
                    <w:rPr>
                      <w:rFonts w:hint="default"/>
                      <w:b/>
                      <w:bCs/>
                      <w:color w:val="auto"/>
                      <w:kern w:val="0"/>
                      <w:szCs w:val="21"/>
                    </w:rPr>
                  </w:pPr>
                  <w:r>
                    <w:rPr>
                      <w:rFonts w:cs="Times New Roman" w:hint="eastAsia"/>
                      <w:b/>
                      <w:bCs/>
                      <w:color w:val="auto"/>
                      <w:kern w:val="0"/>
                      <w:sz w:val="21"/>
                      <w:szCs w:val="21"/>
                      <w:lang w:val="en-US" w:eastAsia="zh-CN"/>
                    </w:rPr>
                    <w:t>生态红线</w:t>
                  </w:r>
                </w:p>
              </w:tc>
              <w:tc>
                <w:tcPr>
                  <w:tcW w:w="523" w:type="pct"/>
                  <w:noWrap w:val="0"/>
                  <w:vAlign w:val="center"/>
                </w:tcPr>
                <w:p>
                  <w:pPr>
                    <w:adjustRightInd w:val="0"/>
                    <w:jc w:val="center"/>
                    <w:rPr>
                      <w:rFonts w:hint="default"/>
                      <w:b/>
                      <w:bCs/>
                      <w:color w:val="auto"/>
                      <w:kern w:val="0"/>
                      <w:szCs w:val="21"/>
                    </w:rPr>
                  </w:pPr>
                  <w:r>
                    <w:rPr>
                      <w:rFonts w:cs="Times New Roman" w:hint="eastAsia"/>
                      <w:b/>
                      <w:bCs/>
                      <w:color w:val="auto"/>
                      <w:kern w:val="0"/>
                      <w:sz w:val="21"/>
                      <w:szCs w:val="21"/>
                      <w:lang w:val="en-US" w:eastAsia="zh-CN"/>
                    </w:rPr>
                    <w:t>20</w:t>
                  </w:r>
                </w:p>
              </w:tc>
              <w:tc>
                <w:tcPr>
                  <w:tcW w:w="625" w:type="pct"/>
                  <w:noWrap w:val="0"/>
                  <w:vAlign w:val="center"/>
                </w:tcPr>
                <w:p>
                  <w:pPr>
                    <w:adjustRightInd w:val="0"/>
                    <w:jc w:val="center"/>
                    <w:rPr>
                      <w:rFonts w:hint="default"/>
                      <w:b/>
                      <w:bCs/>
                      <w:color w:val="auto"/>
                      <w:kern w:val="0"/>
                      <w:szCs w:val="21"/>
                    </w:rPr>
                  </w:pPr>
                  <w:r>
                    <w:rPr>
                      <w:rFonts w:cs="Times New Roman" w:hint="eastAsia"/>
                      <w:b/>
                      <w:bCs/>
                      <w:color w:val="auto"/>
                      <w:kern w:val="0"/>
                      <w:sz w:val="21"/>
                      <w:szCs w:val="21"/>
                      <w:lang w:val="en-US" w:eastAsia="zh-CN"/>
                    </w:rPr>
                    <w:t>一般控制区</w:t>
                  </w:r>
                </w:p>
              </w:tc>
              <w:tc>
                <w:tcPr>
                  <w:tcW w:w="1009" w:type="pct"/>
                  <w:noWrap w:val="0"/>
                  <w:vAlign w:val="center"/>
                </w:tcPr>
                <w:p>
                  <w:pPr>
                    <w:adjustRightInd w:val="0"/>
                    <w:jc w:val="center"/>
                    <w:rPr>
                      <w:rFonts w:hint="default"/>
                      <w:b/>
                      <w:bCs/>
                      <w:color w:val="auto"/>
                      <w:szCs w:val="21"/>
                    </w:rPr>
                  </w:pPr>
                  <w:r>
                    <w:rPr>
                      <w:rFonts w:cs="Times New Roman" w:hint="eastAsia"/>
                      <w:b/>
                      <w:bCs/>
                      <w:color w:val="auto"/>
                      <w:sz w:val="21"/>
                      <w:szCs w:val="21"/>
                      <w:lang w:val="en-US" w:eastAsia="zh-CN"/>
                    </w:rPr>
                    <w:t>按照生态保护红线相关要求</w:t>
                  </w:r>
                </w:p>
              </w:tc>
            </w:tr>
          </w:tbl>
          <w:p>
            <w:pPr>
              <w:adjustRightInd w:val="0"/>
              <w:snapToGrid w:val="0"/>
              <w:rPr>
                <w:color w:val="auto"/>
                <w:kern w:val="0"/>
                <w:szCs w:val="21"/>
              </w:rPr>
            </w:pPr>
          </w:p>
        </w:tc>
      </w:tr>
      <w:tr>
        <w:tblPrEx>
          <w:tblW w:w="5000" w:type="pct"/>
          <w:jc w:val="center"/>
          <w:tblCellMar>
            <w:top w:w="0" w:type="dxa"/>
            <w:left w:w="108" w:type="dxa"/>
            <w:bottom w:w="0" w:type="dxa"/>
            <w:right w:w="108" w:type="dxa"/>
          </w:tblCellMar>
        </w:tblPrEx>
        <w:trPr>
          <w:trHeight w:val="1064"/>
          <w:jc w:val="center"/>
        </w:trPr>
        <w:tc>
          <w:tcPr>
            <w:tcW w:w="552" w:type="pct"/>
            <w:noWrap w:val="0"/>
            <w:vAlign w:val="center"/>
          </w:tcPr>
          <w:p>
            <w:pPr>
              <w:adjustRightInd w:val="0"/>
              <w:snapToGrid w:val="0"/>
              <w:jc w:val="center"/>
              <w:rPr>
                <w:color w:val="auto"/>
                <w:kern w:val="0"/>
                <w:szCs w:val="21"/>
              </w:rPr>
            </w:pPr>
            <w:r>
              <w:rPr>
                <w:color w:val="auto"/>
                <w:kern w:val="0"/>
                <w:sz w:val="21"/>
                <w:szCs w:val="21"/>
              </w:rPr>
              <w:t>评价</w:t>
            </w:r>
          </w:p>
          <w:p>
            <w:pPr>
              <w:adjustRightInd w:val="0"/>
              <w:snapToGrid w:val="0"/>
              <w:jc w:val="center"/>
              <w:rPr>
                <w:color w:val="auto"/>
                <w:kern w:val="0"/>
                <w:szCs w:val="21"/>
              </w:rPr>
            </w:pPr>
            <w:r>
              <w:rPr>
                <w:color w:val="auto"/>
                <w:kern w:val="0"/>
                <w:sz w:val="21"/>
                <w:szCs w:val="21"/>
              </w:rPr>
              <w:t>标准</w:t>
            </w:r>
          </w:p>
        </w:tc>
        <w:tc>
          <w:tcPr>
            <w:tcW w:w="4447" w:type="pct"/>
            <w:noWrap w:val="0"/>
            <w:vAlign w:val="center"/>
          </w:tcPr>
          <w:p>
            <w:pPr>
              <w:spacing w:before="120" w:beforeLines="50" w:line="360" w:lineRule="auto"/>
              <w:rPr>
                <w:b/>
                <w:bCs/>
                <w:color w:val="auto"/>
                <w:szCs w:val="21"/>
              </w:rPr>
            </w:pPr>
            <w:r>
              <w:rPr>
                <w:b/>
                <w:bCs/>
                <w:color w:val="auto"/>
                <w:sz w:val="21"/>
                <w:szCs w:val="21"/>
              </w:rPr>
              <w:t>4、环境质量标准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color w:val="auto"/>
                <w:szCs w:val="21"/>
              </w:rPr>
            </w:pPr>
            <w:r>
              <w:rPr>
                <w:rFonts w:hint="eastAsia"/>
                <w:color w:val="auto"/>
                <w:sz w:val="21"/>
                <w:szCs w:val="21"/>
                <w:lang w:eastAsia="zh-CN"/>
              </w:rPr>
              <w:t>（</w:t>
            </w:r>
            <w:r>
              <w:rPr>
                <w:color w:val="auto"/>
                <w:sz w:val="21"/>
                <w:szCs w:val="21"/>
              </w:rPr>
              <w:t>1</w:t>
            </w:r>
            <w:r>
              <w:rPr>
                <w:rFonts w:hint="eastAsia"/>
                <w:color w:val="auto"/>
                <w:sz w:val="21"/>
                <w:szCs w:val="21"/>
                <w:lang w:eastAsia="zh-CN"/>
              </w:rPr>
              <w:t>）</w:t>
            </w:r>
            <w:r>
              <w:rPr>
                <w:color w:val="auto"/>
                <w:sz w:val="21"/>
                <w:szCs w:val="21"/>
              </w:rPr>
              <w:t>大气环境</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color w:val="auto"/>
                <w:szCs w:val="21"/>
              </w:rPr>
            </w:pPr>
            <w:r>
              <w:rPr>
                <w:color w:val="auto"/>
                <w:sz w:val="21"/>
                <w:szCs w:val="21"/>
              </w:rPr>
              <w:t>本项目位于</w:t>
            </w:r>
            <w:r>
              <w:rPr>
                <w:rFonts w:hint="eastAsia"/>
                <w:color w:val="auto"/>
                <w:sz w:val="21"/>
                <w:szCs w:val="21"/>
                <w:lang w:val="en-US" w:eastAsia="zh-CN"/>
              </w:rPr>
              <w:t>“三亚热带海滨风景名胜区 大小洞天景区”</w:t>
            </w:r>
            <w:r>
              <w:rPr>
                <w:color w:val="auto"/>
                <w:sz w:val="21"/>
                <w:szCs w:val="21"/>
              </w:rPr>
              <w:t>内，区域环境空气质量执行《环境空气质量标准》</w:t>
            </w:r>
            <w:r>
              <w:rPr>
                <w:rFonts w:hint="eastAsia"/>
                <w:color w:val="auto"/>
                <w:sz w:val="21"/>
                <w:szCs w:val="21"/>
                <w:lang w:eastAsia="zh-CN"/>
              </w:rPr>
              <w:t>（</w:t>
            </w:r>
            <w:r>
              <w:rPr>
                <w:color w:val="auto"/>
                <w:sz w:val="21"/>
                <w:szCs w:val="21"/>
              </w:rPr>
              <w:t>GB3095-2012</w:t>
            </w:r>
            <w:r>
              <w:rPr>
                <w:rFonts w:hint="eastAsia"/>
                <w:color w:val="auto"/>
                <w:sz w:val="21"/>
                <w:szCs w:val="21"/>
                <w:lang w:eastAsia="zh-CN"/>
              </w:rPr>
              <w:t>）</w:t>
            </w:r>
            <w:r>
              <w:rPr>
                <w:color w:val="auto"/>
                <w:sz w:val="21"/>
                <w:szCs w:val="21"/>
              </w:rPr>
              <w:t>及2018年修改单中的一级标准，标准值见下表</w:t>
            </w:r>
            <w:r>
              <w:rPr>
                <w:rFonts w:hint="eastAsia"/>
                <w:color w:val="auto"/>
                <w:sz w:val="21"/>
                <w:szCs w:val="21"/>
                <w:lang w:val="en-US" w:eastAsia="zh-CN"/>
              </w:rPr>
              <w:t>3-4</w:t>
            </w:r>
            <w:r>
              <w:rPr>
                <w:color w:val="auto"/>
                <w:sz w:val="21"/>
                <w:szCs w:val="21"/>
              </w:rPr>
              <w:t xml:space="preserve">。 </w:t>
            </w:r>
          </w:p>
          <w:p>
            <w:pPr>
              <w:ind w:firstLine="420" w:firstLineChars="200"/>
              <w:jc w:val="center"/>
              <w:rPr>
                <w:rFonts w:hint="eastAsia"/>
                <w:b/>
                <w:bCs/>
                <w:color w:val="auto"/>
                <w:szCs w:val="21"/>
              </w:rPr>
            </w:pPr>
            <w:r>
              <w:rPr>
                <w:b/>
                <w:bCs/>
                <w:color w:val="auto"/>
                <w:sz w:val="21"/>
                <w:szCs w:val="21"/>
              </w:rPr>
              <w:t>表</w:t>
            </w:r>
            <w:r>
              <w:rPr>
                <w:rFonts w:hint="eastAsia"/>
                <w:b/>
                <w:bCs/>
                <w:color w:val="auto"/>
                <w:sz w:val="21"/>
                <w:szCs w:val="21"/>
                <w:lang w:val="en-US" w:eastAsia="zh-CN"/>
              </w:rPr>
              <w:t>3-4</w:t>
            </w:r>
            <w:r>
              <w:rPr>
                <w:b/>
                <w:bCs/>
                <w:color w:val="auto"/>
                <w:sz w:val="21"/>
                <w:szCs w:val="21"/>
              </w:rPr>
              <w:t xml:space="preserve"> </w:t>
            </w:r>
            <w:r>
              <w:rPr>
                <w:rFonts w:hint="eastAsia"/>
                <w:b/>
                <w:bCs/>
                <w:color w:val="auto"/>
                <w:sz w:val="21"/>
                <w:szCs w:val="21"/>
              </w:rPr>
              <w:t>《环境空气质量标准》（GB3095-2012）及其修改单</w:t>
            </w:r>
          </w:p>
          <w:tbl>
            <w:tblPr>
              <w:tblStyle w:val="TableNormal"/>
              <w:tblW w:w="4997"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219"/>
              <w:gridCol w:w="875"/>
              <w:gridCol w:w="1902"/>
              <w:gridCol w:w="987"/>
              <w:gridCol w:w="700"/>
              <w:gridCol w:w="668"/>
            </w:tblGrid>
            <w:tr>
              <w:tblPrEx>
                <w:tblW w:w="4997"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trHeight w:val="23"/>
                <w:tblHeader/>
              </w:trPr>
              <w:tc>
                <w:tcPr>
                  <w:tcW w:w="1509" w:type="pct"/>
                  <w:vMerge w:val="restart"/>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标准名称及级</w:t>
                  </w:r>
                  <w:r>
                    <w:rPr>
                      <w:rFonts w:cs="Times New Roman" w:hint="eastAsia"/>
                      <w:b/>
                      <w:bCs/>
                      <w:color w:val="auto"/>
                      <w:sz w:val="21"/>
                      <w:szCs w:val="21"/>
                      <w:lang w:eastAsia="zh-CN"/>
                    </w:rPr>
                    <w:t>（</w:t>
                  </w:r>
                  <w:r>
                    <w:rPr>
                      <w:rFonts w:ascii="Times New Roman" w:hAnsi="Times New Roman" w:cs="Times New Roman" w:hint="default"/>
                      <w:b/>
                      <w:bCs/>
                      <w:color w:val="auto"/>
                      <w:sz w:val="21"/>
                      <w:szCs w:val="21"/>
                    </w:rPr>
                    <w:t>类</w:t>
                  </w:r>
                  <w:r>
                    <w:rPr>
                      <w:rFonts w:cs="Times New Roman" w:hint="eastAsia"/>
                      <w:b/>
                      <w:bCs/>
                      <w:color w:val="auto"/>
                      <w:sz w:val="21"/>
                      <w:szCs w:val="21"/>
                      <w:lang w:eastAsia="zh-CN"/>
                    </w:rPr>
                    <w:t>）</w:t>
                  </w:r>
                  <w:r>
                    <w:rPr>
                      <w:rFonts w:ascii="Times New Roman" w:hAnsi="Times New Roman" w:cs="Times New Roman" w:hint="default"/>
                      <w:b/>
                      <w:bCs/>
                      <w:color w:val="auto"/>
                      <w:sz w:val="21"/>
                      <w:szCs w:val="21"/>
                    </w:rPr>
                    <w:t>别</w:t>
                  </w:r>
                </w:p>
              </w:tc>
              <w:tc>
                <w:tcPr>
                  <w:tcW w:w="1888" w:type="pct"/>
                  <w:gridSpan w:val="2"/>
                  <w:vMerge w:val="restart"/>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项目</w:t>
                  </w:r>
                </w:p>
              </w:tc>
              <w:tc>
                <w:tcPr>
                  <w:tcW w:w="671" w:type="pct"/>
                  <w:vMerge w:val="restart"/>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单位</w:t>
                  </w:r>
                </w:p>
              </w:tc>
              <w:tc>
                <w:tcPr>
                  <w:tcW w:w="930" w:type="pct"/>
                  <w:gridSpan w:val="2"/>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标准值</w:t>
                  </w:r>
                </w:p>
              </w:tc>
            </w:tr>
            <w:tr>
              <w:tblPrEx>
                <w:tblW w:w="4997" w:type="pct"/>
                <w:tblInd w:w="0" w:type="dxa"/>
                <w:tblCellMar>
                  <w:top w:w="0" w:type="dxa"/>
                  <w:left w:w="108" w:type="dxa"/>
                  <w:bottom w:w="0" w:type="dxa"/>
                  <w:right w:w="108" w:type="dxa"/>
                </w:tblCellMar>
              </w:tblPrEx>
              <w:trPr>
                <w:cantSplit/>
                <w:trHeight w:val="23"/>
                <w:tblHeader/>
              </w:trPr>
              <w:tc>
                <w:tcPr>
                  <w:tcW w:w="1509" w:type="pct"/>
                  <w:vMerge/>
                  <w:noWrap w:val="0"/>
                  <w:vAlign w:val="center"/>
                </w:tcPr>
                <w:p>
                  <w:pPr>
                    <w:snapToGrid w:val="0"/>
                    <w:jc w:val="center"/>
                    <w:rPr>
                      <w:rFonts w:hint="default"/>
                      <w:b/>
                      <w:bCs/>
                      <w:color w:val="auto"/>
                      <w:szCs w:val="21"/>
                    </w:rPr>
                  </w:pPr>
                </w:p>
              </w:tc>
              <w:tc>
                <w:tcPr>
                  <w:tcW w:w="1888" w:type="pct"/>
                  <w:gridSpan w:val="2"/>
                  <w:vMerge/>
                  <w:noWrap w:val="0"/>
                  <w:vAlign w:val="center"/>
                </w:tcPr>
                <w:p>
                  <w:pPr>
                    <w:snapToGrid w:val="0"/>
                    <w:jc w:val="center"/>
                    <w:rPr>
                      <w:rFonts w:hint="default"/>
                      <w:b/>
                      <w:bCs/>
                      <w:color w:val="auto"/>
                      <w:szCs w:val="21"/>
                    </w:rPr>
                  </w:pPr>
                </w:p>
              </w:tc>
              <w:tc>
                <w:tcPr>
                  <w:tcW w:w="671" w:type="pct"/>
                  <w:vMerge/>
                  <w:noWrap w:val="0"/>
                  <w:vAlign w:val="center"/>
                </w:tcPr>
                <w:p>
                  <w:pPr>
                    <w:snapToGrid w:val="0"/>
                    <w:jc w:val="center"/>
                    <w:rPr>
                      <w:rFonts w:hint="default"/>
                      <w:b/>
                      <w:bCs/>
                      <w:color w:val="auto"/>
                      <w:szCs w:val="21"/>
                    </w:rPr>
                  </w:pPr>
                </w:p>
              </w:tc>
              <w:tc>
                <w:tcPr>
                  <w:tcW w:w="476" w:type="pct"/>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一级</w:t>
                  </w:r>
                </w:p>
              </w:tc>
              <w:tc>
                <w:tcPr>
                  <w:tcW w:w="453"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二级</w:t>
                  </w:r>
                </w:p>
              </w:tc>
            </w:tr>
            <w:tr>
              <w:tblPrEx>
                <w:tblW w:w="4997" w:type="pct"/>
                <w:tblInd w:w="0" w:type="dxa"/>
                <w:tblCellMar>
                  <w:top w:w="0" w:type="dxa"/>
                  <w:left w:w="108" w:type="dxa"/>
                  <w:bottom w:w="0" w:type="dxa"/>
                  <w:right w:w="108" w:type="dxa"/>
                </w:tblCellMar>
              </w:tblPrEx>
              <w:trPr>
                <w:cantSplit/>
                <w:trHeight w:val="23"/>
              </w:trPr>
              <w:tc>
                <w:tcPr>
                  <w:tcW w:w="1509" w:type="pct"/>
                  <w:vMerge w:val="restar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《环境空气质量标准》</w:t>
                  </w:r>
                  <w:r>
                    <w:rPr>
                      <w:rFonts w:cs="Times New Roman" w:hint="eastAsia"/>
                      <w:color w:val="auto"/>
                      <w:sz w:val="21"/>
                      <w:szCs w:val="21"/>
                      <w:lang w:eastAsia="zh-CN"/>
                    </w:rPr>
                    <w:t>（</w:t>
                  </w:r>
                  <w:r>
                    <w:rPr>
                      <w:rFonts w:ascii="Times New Roman" w:hAnsi="Times New Roman" w:cs="Times New Roman" w:hint="default"/>
                      <w:color w:val="auto"/>
                      <w:sz w:val="21"/>
                      <w:szCs w:val="21"/>
                    </w:rPr>
                    <w:t>GB3095-2012</w:t>
                  </w:r>
                  <w:r>
                    <w:rPr>
                      <w:rFonts w:cs="Times New Roman" w:hint="eastAsia"/>
                      <w:color w:val="auto"/>
                      <w:sz w:val="21"/>
                      <w:szCs w:val="21"/>
                      <w:lang w:eastAsia="zh-CN"/>
                    </w:rPr>
                    <w:t>）</w:t>
                  </w:r>
                  <w:r>
                    <w:rPr>
                      <w:rFonts w:ascii="Times New Roman" w:hAnsi="Times New Roman" w:cs="Times New Roman" w:hint="default"/>
                      <w:color w:val="auto"/>
                      <w:sz w:val="21"/>
                      <w:szCs w:val="21"/>
                    </w:rPr>
                    <w:t>及其修改单</w:t>
                  </w:r>
                </w:p>
              </w:tc>
              <w:tc>
                <w:tcPr>
                  <w:tcW w:w="595" w:type="pct"/>
                  <w:vMerge w:val="restar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PM</w:t>
                  </w:r>
                  <w:r>
                    <w:rPr>
                      <w:rFonts w:ascii="Times New Roman" w:hAnsi="Times New Roman" w:cs="Times New Roman" w:hint="default"/>
                      <w:color w:val="auto"/>
                      <w:sz w:val="21"/>
                      <w:szCs w:val="21"/>
                      <w:vertAlign w:val="subscript"/>
                    </w:rPr>
                    <w:t>10</w:t>
                  </w:r>
                </w:p>
              </w:tc>
              <w:tc>
                <w:tcPr>
                  <w:tcW w:w="1292"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年平均</w:t>
                  </w:r>
                </w:p>
              </w:tc>
              <w:tc>
                <w:tcPr>
                  <w:tcW w:w="671"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μg/Nm</w:t>
                  </w:r>
                  <w:r>
                    <w:rPr>
                      <w:rFonts w:ascii="Times New Roman" w:hAnsi="Times New Roman" w:cs="Times New Roman" w:hint="default"/>
                      <w:color w:val="auto"/>
                      <w:sz w:val="21"/>
                      <w:szCs w:val="21"/>
                      <w:vertAlign w:val="superscript"/>
                    </w:rPr>
                    <w:t>3</w:t>
                  </w:r>
                </w:p>
              </w:tc>
              <w:tc>
                <w:tcPr>
                  <w:tcW w:w="476" w:type="pct"/>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40</w:t>
                  </w:r>
                </w:p>
              </w:tc>
              <w:tc>
                <w:tcPr>
                  <w:tcW w:w="453"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70</w:t>
                  </w:r>
                </w:p>
              </w:tc>
            </w:tr>
            <w:tr>
              <w:tblPrEx>
                <w:tblW w:w="4997" w:type="pct"/>
                <w:tblInd w:w="0" w:type="dxa"/>
                <w:tblCellMar>
                  <w:top w:w="0" w:type="dxa"/>
                  <w:left w:w="108" w:type="dxa"/>
                  <w:bottom w:w="0" w:type="dxa"/>
                  <w:right w:w="108" w:type="dxa"/>
                </w:tblCellMar>
              </w:tblPrEx>
              <w:trPr>
                <w:cantSplit/>
                <w:trHeight w:val="23"/>
              </w:trPr>
              <w:tc>
                <w:tcPr>
                  <w:tcW w:w="1509" w:type="pct"/>
                  <w:vMerge/>
                  <w:noWrap w:val="0"/>
                  <w:vAlign w:val="center"/>
                </w:tcPr>
                <w:p>
                  <w:pPr>
                    <w:snapToGrid w:val="0"/>
                    <w:jc w:val="center"/>
                    <w:rPr>
                      <w:rFonts w:hint="default"/>
                      <w:color w:val="auto"/>
                      <w:szCs w:val="21"/>
                    </w:rPr>
                  </w:pPr>
                </w:p>
              </w:tc>
              <w:tc>
                <w:tcPr>
                  <w:tcW w:w="595" w:type="pct"/>
                  <w:vMerge/>
                  <w:noWrap w:val="0"/>
                  <w:vAlign w:val="center"/>
                </w:tcPr>
                <w:p>
                  <w:pPr>
                    <w:snapToGrid w:val="0"/>
                    <w:jc w:val="center"/>
                    <w:rPr>
                      <w:rFonts w:hint="default"/>
                      <w:color w:val="auto"/>
                      <w:szCs w:val="21"/>
                    </w:rPr>
                  </w:pPr>
                </w:p>
              </w:tc>
              <w:tc>
                <w:tcPr>
                  <w:tcW w:w="1292"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日平均</w:t>
                  </w:r>
                </w:p>
              </w:tc>
              <w:tc>
                <w:tcPr>
                  <w:tcW w:w="671"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μg/Nm</w:t>
                  </w:r>
                  <w:r>
                    <w:rPr>
                      <w:rFonts w:ascii="Times New Roman" w:hAnsi="Times New Roman" w:cs="Times New Roman" w:hint="default"/>
                      <w:color w:val="auto"/>
                      <w:sz w:val="21"/>
                      <w:szCs w:val="21"/>
                      <w:vertAlign w:val="superscript"/>
                    </w:rPr>
                    <w:t>3</w:t>
                  </w:r>
                </w:p>
              </w:tc>
              <w:tc>
                <w:tcPr>
                  <w:tcW w:w="476" w:type="pct"/>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50</w:t>
                  </w:r>
                </w:p>
              </w:tc>
              <w:tc>
                <w:tcPr>
                  <w:tcW w:w="453"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150</w:t>
                  </w:r>
                </w:p>
              </w:tc>
            </w:tr>
            <w:tr>
              <w:tblPrEx>
                <w:tblW w:w="4997" w:type="pct"/>
                <w:tblInd w:w="0" w:type="dxa"/>
                <w:tblCellMar>
                  <w:top w:w="0" w:type="dxa"/>
                  <w:left w:w="108" w:type="dxa"/>
                  <w:bottom w:w="0" w:type="dxa"/>
                  <w:right w:w="108" w:type="dxa"/>
                </w:tblCellMar>
              </w:tblPrEx>
              <w:trPr>
                <w:cantSplit/>
                <w:trHeight w:val="23"/>
              </w:trPr>
              <w:tc>
                <w:tcPr>
                  <w:tcW w:w="1509" w:type="pct"/>
                  <w:vMerge/>
                  <w:noWrap w:val="0"/>
                  <w:vAlign w:val="center"/>
                </w:tcPr>
                <w:p>
                  <w:pPr>
                    <w:snapToGrid w:val="0"/>
                    <w:jc w:val="center"/>
                    <w:rPr>
                      <w:rFonts w:hint="default"/>
                      <w:color w:val="auto"/>
                      <w:szCs w:val="21"/>
                    </w:rPr>
                  </w:pPr>
                </w:p>
              </w:tc>
              <w:tc>
                <w:tcPr>
                  <w:tcW w:w="595" w:type="pct"/>
                  <w:vMerge w:val="restar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PM</w:t>
                  </w:r>
                  <w:r>
                    <w:rPr>
                      <w:rFonts w:ascii="Times New Roman" w:hAnsi="Times New Roman" w:cs="Times New Roman" w:hint="default"/>
                      <w:color w:val="auto"/>
                      <w:sz w:val="21"/>
                      <w:szCs w:val="21"/>
                      <w:vertAlign w:val="subscript"/>
                    </w:rPr>
                    <w:t>2.5</w:t>
                  </w:r>
                </w:p>
              </w:tc>
              <w:tc>
                <w:tcPr>
                  <w:tcW w:w="1292"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年平均</w:t>
                  </w:r>
                </w:p>
              </w:tc>
              <w:tc>
                <w:tcPr>
                  <w:tcW w:w="671"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μg/Nm</w:t>
                  </w:r>
                  <w:r>
                    <w:rPr>
                      <w:rFonts w:ascii="Times New Roman" w:hAnsi="Times New Roman" w:cs="Times New Roman" w:hint="default"/>
                      <w:color w:val="auto"/>
                      <w:sz w:val="21"/>
                      <w:szCs w:val="21"/>
                      <w:vertAlign w:val="superscript"/>
                    </w:rPr>
                    <w:t>3</w:t>
                  </w:r>
                </w:p>
              </w:tc>
              <w:tc>
                <w:tcPr>
                  <w:tcW w:w="476" w:type="pct"/>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15</w:t>
                  </w:r>
                </w:p>
              </w:tc>
              <w:tc>
                <w:tcPr>
                  <w:tcW w:w="453"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35</w:t>
                  </w:r>
                </w:p>
              </w:tc>
            </w:tr>
            <w:tr>
              <w:tblPrEx>
                <w:tblW w:w="4997" w:type="pct"/>
                <w:tblInd w:w="0" w:type="dxa"/>
                <w:tblCellMar>
                  <w:top w:w="0" w:type="dxa"/>
                  <w:left w:w="108" w:type="dxa"/>
                  <w:bottom w:w="0" w:type="dxa"/>
                  <w:right w:w="108" w:type="dxa"/>
                </w:tblCellMar>
              </w:tblPrEx>
              <w:trPr>
                <w:cantSplit/>
                <w:trHeight w:val="23"/>
              </w:trPr>
              <w:tc>
                <w:tcPr>
                  <w:tcW w:w="1509" w:type="pct"/>
                  <w:vMerge/>
                  <w:noWrap w:val="0"/>
                  <w:vAlign w:val="center"/>
                </w:tcPr>
                <w:p>
                  <w:pPr>
                    <w:snapToGrid w:val="0"/>
                    <w:jc w:val="center"/>
                    <w:rPr>
                      <w:rFonts w:hint="default"/>
                      <w:color w:val="auto"/>
                      <w:szCs w:val="21"/>
                    </w:rPr>
                  </w:pPr>
                </w:p>
              </w:tc>
              <w:tc>
                <w:tcPr>
                  <w:tcW w:w="595" w:type="pct"/>
                  <w:vMerge/>
                  <w:noWrap w:val="0"/>
                  <w:vAlign w:val="center"/>
                </w:tcPr>
                <w:p>
                  <w:pPr>
                    <w:snapToGrid w:val="0"/>
                    <w:jc w:val="center"/>
                    <w:rPr>
                      <w:rFonts w:hint="default"/>
                      <w:color w:val="auto"/>
                      <w:szCs w:val="21"/>
                    </w:rPr>
                  </w:pPr>
                </w:p>
              </w:tc>
              <w:tc>
                <w:tcPr>
                  <w:tcW w:w="1292"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日平均</w:t>
                  </w:r>
                </w:p>
              </w:tc>
              <w:tc>
                <w:tcPr>
                  <w:tcW w:w="671"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μg/Nm</w:t>
                  </w:r>
                  <w:r>
                    <w:rPr>
                      <w:rFonts w:ascii="Times New Roman" w:hAnsi="Times New Roman" w:cs="Times New Roman" w:hint="default"/>
                      <w:color w:val="auto"/>
                      <w:sz w:val="21"/>
                      <w:szCs w:val="21"/>
                      <w:vertAlign w:val="superscript"/>
                    </w:rPr>
                    <w:t>3</w:t>
                  </w:r>
                </w:p>
              </w:tc>
              <w:tc>
                <w:tcPr>
                  <w:tcW w:w="476" w:type="pct"/>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35</w:t>
                  </w:r>
                </w:p>
              </w:tc>
              <w:tc>
                <w:tcPr>
                  <w:tcW w:w="453"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75</w:t>
                  </w:r>
                </w:p>
              </w:tc>
            </w:tr>
            <w:tr>
              <w:tblPrEx>
                <w:tblW w:w="4997" w:type="pct"/>
                <w:tblInd w:w="0" w:type="dxa"/>
                <w:tblCellMar>
                  <w:top w:w="0" w:type="dxa"/>
                  <w:left w:w="108" w:type="dxa"/>
                  <w:bottom w:w="0" w:type="dxa"/>
                  <w:right w:w="108" w:type="dxa"/>
                </w:tblCellMar>
              </w:tblPrEx>
              <w:trPr>
                <w:cantSplit/>
                <w:trHeight w:val="23"/>
              </w:trPr>
              <w:tc>
                <w:tcPr>
                  <w:tcW w:w="1509" w:type="pct"/>
                  <w:vMerge/>
                  <w:noWrap w:val="0"/>
                  <w:vAlign w:val="center"/>
                </w:tcPr>
                <w:p>
                  <w:pPr>
                    <w:snapToGrid w:val="0"/>
                    <w:jc w:val="center"/>
                    <w:rPr>
                      <w:rFonts w:hint="default"/>
                      <w:color w:val="auto"/>
                      <w:szCs w:val="21"/>
                    </w:rPr>
                  </w:pPr>
                </w:p>
              </w:tc>
              <w:tc>
                <w:tcPr>
                  <w:tcW w:w="595" w:type="pct"/>
                  <w:vMerge w:val="restar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TSP</w:t>
                  </w:r>
                </w:p>
              </w:tc>
              <w:tc>
                <w:tcPr>
                  <w:tcW w:w="1292"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年平均</w:t>
                  </w:r>
                </w:p>
              </w:tc>
              <w:tc>
                <w:tcPr>
                  <w:tcW w:w="671"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μg/Nm</w:t>
                  </w:r>
                  <w:r>
                    <w:rPr>
                      <w:rFonts w:ascii="Times New Roman" w:hAnsi="Times New Roman" w:cs="Times New Roman" w:hint="default"/>
                      <w:color w:val="auto"/>
                      <w:sz w:val="21"/>
                      <w:szCs w:val="21"/>
                      <w:vertAlign w:val="superscript"/>
                    </w:rPr>
                    <w:t>3</w:t>
                  </w:r>
                </w:p>
              </w:tc>
              <w:tc>
                <w:tcPr>
                  <w:tcW w:w="476" w:type="pct"/>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80</w:t>
                  </w:r>
                </w:p>
              </w:tc>
              <w:tc>
                <w:tcPr>
                  <w:tcW w:w="453"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200</w:t>
                  </w:r>
                </w:p>
              </w:tc>
            </w:tr>
            <w:tr>
              <w:tblPrEx>
                <w:tblW w:w="4997" w:type="pct"/>
                <w:tblInd w:w="0" w:type="dxa"/>
                <w:tblCellMar>
                  <w:top w:w="0" w:type="dxa"/>
                  <w:left w:w="108" w:type="dxa"/>
                  <w:bottom w:w="0" w:type="dxa"/>
                  <w:right w:w="108" w:type="dxa"/>
                </w:tblCellMar>
              </w:tblPrEx>
              <w:trPr>
                <w:cantSplit/>
                <w:trHeight w:val="23"/>
              </w:trPr>
              <w:tc>
                <w:tcPr>
                  <w:tcW w:w="1509" w:type="pct"/>
                  <w:vMerge/>
                  <w:noWrap w:val="0"/>
                  <w:vAlign w:val="center"/>
                </w:tcPr>
                <w:p>
                  <w:pPr>
                    <w:snapToGrid w:val="0"/>
                    <w:jc w:val="center"/>
                    <w:rPr>
                      <w:rFonts w:hint="default"/>
                      <w:color w:val="auto"/>
                      <w:szCs w:val="21"/>
                    </w:rPr>
                  </w:pPr>
                </w:p>
              </w:tc>
              <w:tc>
                <w:tcPr>
                  <w:tcW w:w="595" w:type="pct"/>
                  <w:vMerge/>
                  <w:noWrap w:val="0"/>
                  <w:vAlign w:val="center"/>
                </w:tcPr>
                <w:p>
                  <w:pPr>
                    <w:snapToGrid w:val="0"/>
                    <w:jc w:val="center"/>
                    <w:rPr>
                      <w:rFonts w:hint="default"/>
                      <w:color w:val="auto"/>
                      <w:szCs w:val="21"/>
                    </w:rPr>
                  </w:pPr>
                </w:p>
              </w:tc>
              <w:tc>
                <w:tcPr>
                  <w:tcW w:w="1292"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日平均</w:t>
                  </w:r>
                </w:p>
              </w:tc>
              <w:tc>
                <w:tcPr>
                  <w:tcW w:w="671"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μg/Nm</w:t>
                  </w:r>
                  <w:r>
                    <w:rPr>
                      <w:rFonts w:ascii="Times New Roman" w:hAnsi="Times New Roman" w:cs="Times New Roman" w:hint="default"/>
                      <w:color w:val="auto"/>
                      <w:sz w:val="21"/>
                      <w:szCs w:val="21"/>
                      <w:vertAlign w:val="superscript"/>
                    </w:rPr>
                    <w:t>3</w:t>
                  </w:r>
                </w:p>
              </w:tc>
              <w:tc>
                <w:tcPr>
                  <w:tcW w:w="476" w:type="pct"/>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120</w:t>
                  </w:r>
                </w:p>
              </w:tc>
              <w:tc>
                <w:tcPr>
                  <w:tcW w:w="453"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300</w:t>
                  </w:r>
                </w:p>
              </w:tc>
            </w:tr>
            <w:tr>
              <w:tblPrEx>
                <w:tblW w:w="4997" w:type="pct"/>
                <w:tblInd w:w="0" w:type="dxa"/>
                <w:tblCellMar>
                  <w:top w:w="0" w:type="dxa"/>
                  <w:left w:w="108" w:type="dxa"/>
                  <w:bottom w:w="0" w:type="dxa"/>
                  <w:right w:w="108" w:type="dxa"/>
                </w:tblCellMar>
              </w:tblPrEx>
              <w:trPr>
                <w:cantSplit/>
                <w:trHeight w:val="23"/>
              </w:trPr>
              <w:tc>
                <w:tcPr>
                  <w:tcW w:w="1509" w:type="pct"/>
                  <w:vMerge/>
                  <w:noWrap w:val="0"/>
                  <w:vAlign w:val="center"/>
                </w:tcPr>
                <w:p>
                  <w:pPr>
                    <w:snapToGrid w:val="0"/>
                    <w:jc w:val="center"/>
                    <w:rPr>
                      <w:rFonts w:hint="default"/>
                      <w:color w:val="auto"/>
                      <w:szCs w:val="21"/>
                    </w:rPr>
                  </w:pPr>
                </w:p>
              </w:tc>
              <w:tc>
                <w:tcPr>
                  <w:tcW w:w="595" w:type="pct"/>
                  <w:vMerge w:val="restar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SO</w:t>
                  </w:r>
                  <w:r>
                    <w:rPr>
                      <w:rFonts w:ascii="Times New Roman" w:hAnsi="Times New Roman" w:cs="Times New Roman" w:hint="default"/>
                      <w:color w:val="auto"/>
                      <w:sz w:val="21"/>
                      <w:szCs w:val="21"/>
                      <w:vertAlign w:val="subscript"/>
                    </w:rPr>
                    <w:t>2</w:t>
                  </w:r>
                </w:p>
              </w:tc>
              <w:tc>
                <w:tcPr>
                  <w:tcW w:w="1292"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年平均</w:t>
                  </w:r>
                </w:p>
              </w:tc>
              <w:tc>
                <w:tcPr>
                  <w:tcW w:w="671"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μg/Nm</w:t>
                  </w:r>
                  <w:r>
                    <w:rPr>
                      <w:rFonts w:ascii="Times New Roman" w:hAnsi="Times New Roman" w:cs="Times New Roman" w:hint="default"/>
                      <w:color w:val="auto"/>
                      <w:sz w:val="21"/>
                      <w:szCs w:val="21"/>
                      <w:vertAlign w:val="superscript"/>
                    </w:rPr>
                    <w:t>3</w:t>
                  </w:r>
                </w:p>
              </w:tc>
              <w:tc>
                <w:tcPr>
                  <w:tcW w:w="476" w:type="pct"/>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20</w:t>
                  </w:r>
                </w:p>
              </w:tc>
              <w:tc>
                <w:tcPr>
                  <w:tcW w:w="453"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60</w:t>
                  </w:r>
                </w:p>
              </w:tc>
            </w:tr>
            <w:tr>
              <w:tblPrEx>
                <w:tblW w:w="4997" w:type="pct"/>
                <w:tblInd w:w="0" w:type="dxa"/>
                <w:tblCellMar>
                  <w:top w:w="0" w:type="dxa"/>
                  <w:left w:w="108" w:type="dxa"/>
                  <w:bottom w:w="0" w:type="dxa"/>
                  <w:right w:w="108" w:type="dxa"/>
                </w:tblCellMar>
              </w:tblPrEx>
              <w:trPr>
                <w:cantSplit/>
                <w:trHeight w:val="23"/>
              </w:trPr>
              <w:tc>
                <w:tcPr>
                  <w:tcW w:w="1509" w:type="pct"/>
                  <w:vMerge/>
                  <w:noWrap w:val="0"/>
                  <w:vAlign w:val="center"/>
                </w:tcPr>
                <w:p>
                  <w:pPr>
                    <w:snapToGrid w:val="0"/>
                    <w:jc w:val="center"/>
                    <w:rPr>
                      <w:rFonts w:hint="default"/>
                      <w:color w:val="auto"/>
                      <w:szCs w:val="21"/>
                    </w:rPr>
                  </w:pPr>
                </w:p>
              </w:tc>
              <w:tc>
                <w:tcPr>
                  <w:tcW w:w="595" w:type="pct"/>
                  <w:vMerge/>
                  <w:noWrap w:val="0"/>
                  <w:vAlign w:val="center"/>
                </w:tcPr>
                <w:p>
                  <w:pPr>
                    <w:snapToGrid w:val="0"/>
                    <w:jc w:val="center"/>
                    <w:rPr>
                      <w:rFonts w:hint="default"/>
                      <w:color w:val="auto"/>
                      <w:szCs w:val="21"/>
                    </w:rPr>
                  </w:pPr>
                </w:p>
              </w:tc>
              <w:tc>
                <w:tcPr>
                  <w:tcW w:w="1292"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日平均</w:t>
                  </w:r>
                </w:p>
              </w:tc>
              <w:tc>
                <w:tcPr>
                  <w:tcW w:w="671"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μg/Nm</w:t>
                  </w:r>
                  <w:r>
                    <w:rPr>
                      <w:rFonts w:ascii="Times New Roman" w:hAnsi="Times New Roman" w:cs="Times New Roman" w:hint="default"/>
                      <w:color w:val="auto"/>
                      <w:sz w:val="21"/>
                      <w:szCs w:val="21"/>
                      <w:vertAlign w:val="superscript"/>
                    </w:rPr>
                    <w:t>3</w:t>
                  </w:r>
                </w:p>
              </w:tc>
              <w:tc>
                <w:tcPr>
                  <w:tcW w:w="476" w:type="pct"/>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50</w:t>
                  </w:r>
                </w:p>
              </w:tc>
              <w:tc>
                <w:tcPr>
                  <w:tcW w:w="453"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150</w:t>
                  </w:r>
                </w:p>
              </w:tc>
            </w:tr>
            <w:tr>
              <w:tblPrEx>
                <w:tblW w:w="4997" w:type="pct"/>
                <w:tblInd w:w="0" w:type="dxa"/>
                <w:tblCellMar>
                  <w:top w:w="0" w:type="dxa"/>
                  <w:left w:w="108" w:type="dxa"/>
                  <w:bottom w:w="0" w:type="dxa"/>
                  <w:right w:w="108" w:type="dxa"/>
                </w:tblCellMar>
              </w:tblPrEx>
              <w:trPr>
                <w:cantSplit/>
                <w:trHeight w:val="23"/>
              </w:trPr>
              <w:tc>
                <w:tcPr>
                  <w:tcW w:w="1509" w:type="pct"/>
                  <w:vMerge/>
                  <w:noWrap w:val="0"/>
                  <w:vAlign w:val="center"/>
                </w:tcPr>
                <w:p>
                  <w:pPr>
                    <w:snapToGrid w:val="0"/>
                    <w:jc w:val="center"/>
                    <w:rPr>
                      <w:rFonts w:hint="default"/>
                      <w:color w:val="auto"/>
                      <w:szCs w:val="21"/>
                    </w:rPr>
                  </w:pPr>
                </w:p>
              </w:tc>
              <w:tc>
                <w:tcPr>
                  <w:tcW w:w="595" w:type="pct"/>
                  <w:vMerge/>
                  <w:noWrap w:val="0"/>
                  <w:vAlign w:val="center"/>
                </w:tcPr>
                <w:p>
                  <w:pPr>
                    <w:snapToGrid w:val="0"/>
                    <w:jc w:val="center"/>
                    <w:rPr>
                      <w:rFonts w:hint="default"/>
                      <w:color w:val="auto"/>
                      <w:szCs w:val="21"/>
                    </w:rPr>
                  </w:pPr>
                </w:p>
              </w:tc>
              <w:tc>
                <w:tcPr>
                  <w:tcW w:w="1292"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小时平均</w:t>
                  </w:r>
                </w:p>
              </w:tc>
              <w:tc>
                <w:tcPr>
                  <w:tcW w:w="671"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μg/Nm</w:t>
                  </w:r>
                  <w:r>
                    <w:rPr>
                      <w:rFonts w:ascii="Times New Roman" w:hAnsi="Times New Roman" w:cs="Times New Roman" w:hint="default"/>
                      <w:color w:val="auto"/>
                      <w:sz w:val="21"/>
                      <w:szCs w:val="21"/>
                      <w:vertAlign w:val="superscript"/>
                    </w:rPr>
                    <w:t>3</w:t>
                  </w:r>
                </w:p>
              </w:tc>
              <w:tc>
                <w:tcPr>
                  <w:tcW w:w="476" w:type="pct"/>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150</w:t>
                  </w:r>
                </w:p>
              </w:tc>
              <w:tc>
                <w:tcPr>
                  <w:tcW w:w="453"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500</w:t>
                  </w:r>
                </w:p>
              </w:tc>
            </w:tr>
            <w:tr>
              <w:tblPrEx>
                <w:tblW w:w="4997" w:type="pct"/>
                <w:tblInd w:w="0" w:type="dxa"/>
                <w:tblCellMar>
                  <w:top w:w="0" w:type="dxa"/>
                  <w:left w:w="108" w:type="dxa"/>
                  <w:bottom w:w="0" w:type="dxa"/>
                  <w:right w:w="108" w:type="dxa"/>
                </w:tblCellMar>
              </w:tblPrEx>
              <w:trPr>
                <w:cantSplit/>
                <w:trHeight w:val="23"/>
              </w:trPr>
              <w:tc>
                <w:tcPr>
                  <w:tcW w:w="1509" w:type="pct"/>
                  <w:vMerge/>
                  <w:noWrap w:val="0"/>
                  <w:vAlign w:val="center"/>
                </w:tcPr>
                <w:p>
                  <w:pPr>
                    <w:snapToGrid w:val="0"/>
                    <w:jc w:val="center"/>
                    <w:rPr>
                      <w:rFonts w:hint="default"/>
                      <w:color w:val="auto"/>
                      <w:szCs w:val="21"/>
                    </w:rPr>
                  </w:pPr>
                </w:p>
              </w:tc>
              <w:tc>
                <w:tcPr>
                  <w:tcW w:w="595" w:type="pct"/>
                  <w:vMerge w:val="restar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NO</w:t>
                  </w:r>
                  <w:r>
                    <w:rPr>
                      <w:rFonts w:ascii="Times New Roman" w:hAnsi="Times New Roman" w:cs="Times New Roman" w:hint="default"/>
                      <w:color w:val="auto"/>
                      <w:sz w:val="21"/>
                      <w:szCs w:val="21"/>
                      <w:vertAlign w:val="subscript"/>
                    </w:rPr>
                    <w:t>2</w:t>
                  </w:r>
                </w:p>
              </w:tc>
              <w:tc>
                <w:tcPr>
                  <w:tcW w:w="1292"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年平均</w:t>
                  </w:r>
                </w:p>
              </w:tc>
              <w:tc>
                <w:tcPr>
                  <w:tcW w:w="671"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μg/Nm</w:t>
                  </w:r>
                  <w:r>
                    <w:rPr>
                      <w:rFonts w:ascii="Times New Roman" w:hAnsi="Times New Roman" w:cs="Times New Roman" w:hint="default"/>
                      <w:color w:val="auto"/>
                      <w:sz w:val="21"/>
                      <w:szCs w:val="21"/>
                      <w:vertAlign w:val="superscript"/>
                    </w:rPr>
                    <w:t>3</w:t>
                  </w:r>
                </w:p>
              </w:tc>
              <w:tc>
                <w:tcPr>
                  <w:tcW w:w="476" w:type="pct"/>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40</w:t>
                  </w:r>
                </w:p>
              </w:tc>
              <w:tc>
                <w:tcPr>
                  <w:tcW w:w="453"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40</w:t>
                  </w:r>
                </w:p>
              </w:tc>
            </w:tr>
            <w:tr>
              <w:tblPrEx>
                <w:tblW w:w="4997" w:type="pct"/>
                <w:tblInd w:w="0" w:type="dxa"/>
                <w:tblCellMar>
                  <w:top w:w="0" w:type="dxa"/>
                  <w:left w:w="108" w:type="dxa"/>
                  <w:bottom w:w="0" w:type="dxa"/>
                  <w:right w:w="108" w:type="dxa"/>
                </w:tblCellMar>
              </w:tblPrEx>
              <w:trPr>
                <w:cantSplit/>
                <w:trHeight w:val="23"/>
              </w:trPr>
              <w:tc>
                <w:tcPr>
                  <w:tcW w:w="1509" w:type="pct"/>
                  <w:vMerge/>
                  <w:noWrap w:val="0"/>
                  <w:vAlign w:val="center"/>
                </w:tcPr>
                <w:p>
                  <w:pPr>
                    <w:snapToGrid w:val="0"/>
                    <w:jc w:val="center"/>
                    <w:rPr>
                      <w:rFonts w:hint="default"/>
                      <w:color w:val="auto"/>
                      <w:szCs w:val="21"/>
                    </w:rPr>
                  </w:pPr>
                </w:p>
              </w:tc>
              <w:tc>
                <w:tcPr>
                  <w:tcW w:w="595" w:type="pct"/>
                  <w:vMerge/>
                  <w:noWrap w:val="0"/>
                  <w:vAlign w:val="center"/>
                </w:tcPr>
                <w:p>
                  <w:pPr>
                    <w:snapToGrid w:val="0"/>
                    <w:jc w:val="center"/>
                    <w:rPr>
                      <w:rFonts w:hint="default"/>
                      <w:color w:val="auto"/>
                      <w:szCs w:val="21"/>
                    </w:rPr>
                  </w:pPr>
                </w:p>
              </w:tc>
              <w:tc>
                <w:tcPr>
                  <w:tcW w:w="1292"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日平均</w:t>
                  </w:r>
                </w:p>
              </w:tc>
              <w:tc>
                <w:tcPr>
                  <w:tcW w:w="671"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μg/Nm</w:t>
                  </w:r>
                  <w:r>
                    <w:rPr>
                      <w:rFonts w:ascii="Times New Roman" w:hAnsi="Times New Roman" w:cs="Times New Roman" w:hint="default"/>
                      <w:color w:val="auto"/>
                      <w:sz w:val="21"/>
                      <w:szCs w:val="21"/>
                      <w:vertAlign w:val="superscript"/>
                    </w:rPr>
                    <w:t>3</w:t>
                  </w:r>
                </w:p>
              </w:tc>
              <w:tc>
                <w:tcPr>
                  <w:tcW w:w="476" w:type="pct"/>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80</w:t>
                  </w:r>
                </w:p>
              </w:tc>
              <w:tc>
                <w:tcPr>
                  <w:tcW w:w="453"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80</w:t>
                  </w:r>
                </w:p>
              </w:tc>
            </w:tr>
            <w:tr>
              <w:tblPrEx>
                <w:tblW w:w="4997" w:type="pct"/>
                <w:tblInd w:w="0" w:type="dxa"/>
                <w:tblCellMar>
                  <w:top w:w="0" w:type="dxa"/>
                  <w:left w:w="108" w:type="dxa"/>
                  <w:bottom w:w="0" w:type="dxa"/>
                  <w:right w:w="108" w:type="dxa"/>
                </w:tblCellMar>
              </w:tblPrEx>
              <w:trPr>
                <w:cantSplit/>
                <w:trHeight w:val="23"/>
              </w:trPr>
              <w:tc>
                <w:tcPr>
                  <w:tcW w:w="1509" w:type="pct"/>
                  <w:vMerge/>
                  <w:noWrap w:val="0"/>
                  <w:vAlign w:val="center"/>
                </w:tcPr>
                <w:p>
                  <w:pPr>
                    <w:snapToGrid w:val="0"/>
                    <w:jc w:val="center"/>
                    <w:rPr>
                      <w:rFonts w:hint="default"/>
                      <w:color w:val="auto"/>
                      <w:szCs w:val="21"/>
                    </w:rPr>
                  </w:pPr>
                </w:p>
              </w:tc>
              <w:tc>
                <w:tcPr>
                  <w:tcW w:w="595" w:type="pct"/>
                  <w:vMerge/>
                  <w:noWrap w:val="0"/>
                  <w:vAlign w:val="center"/>
                </w:tcPr>
                <w:p>
                  <w:pPr>
                    <w:snapToGrid w:val="0"/>
                    <w:jc w:val="center"/>
                    <w:rPr>
                      <w:rFonts w:hint="default"/>
                      <w:color w:val="auto"/>
                      <w:szCs w:val="21"/>
                    </w:rPr>
                  </w:pPr>
                </w:p>
              </w:tc>
              <w:tc>
                <w:tcPr>
                  <w:tcW w:w="1292"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小时平均</w:t>
                  </w:r>
                </w:p>
              </w:tc>
              <w:tc>
                <w:tcPr>
                  <w:tcW w:w="671"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μg/Nm</w:t>
                  </w:r>
                  <w:r>
                    <w:rPr>
                      <w:rFonts w:ascii="Times New Roman" w:hAnsi="Times New Roman" w:cs="Times New Roman" w:hint="default"/>
                      <w:color w:val="auto"/>
                      <w:sz w:val="21"/>
                      <w:szCs w:val="21"/>
                      <w:vertAlign w:val="superscript"/>
                    </w:rPr>
                    <w:t>3</w:t>
                  </w:r>
                </w:p>
              </w:tc>
              <w:tc>
                <w:tcPr>
                  <w:tcW w:w="476" w:type="pct"/>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200</w:t>
                  </w:r>
                </w:p>
              </w:tc>
              <w:tc>
                <w:tcPr>
                  <w:tcW w:w="453"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200</w:t>
                  </w:r>
                </w:p>
              </w:tc>
            </w:tr>
            <w:tr>
              <w:tblPrEx>
                <w:tblW w:w="4997" w:type="pct"/>
                <w:tblInd w:w="0" w:type="dxa"/>
                <w:tblCellMar>
                  <w:top w:w="0" w:type="dxa"/>
                  <w:left w:w="108" w:type="dxa"/>
                  <w:bottom w:w="0" w:type="dxa"/>
                  <w:right w:w="108" w:type="dxa"/>
                </w:tblCellMar>
              </w:tblPrEx>
              <w:trPr>
                <w:cantSplit/>
                <w:trHeight w:val="23"/>
              </w:trPr>
              <w:tc>
                <w:tcPr>
                  <w:tcW w:w="1509" w:type="pct"/>
                  <w:vMerge/>
                  <w:noWrap w:val="0"/>
                  <w:vAlign w:val="center"/>
                </w:tcPr>
                <w:p>
                  <w:pPr>
                    <w:snapToGrid w:val="0"/>
                    <w:jc w:val="center"/>
                    <w:rPr>
                      <w:rFonts w:hint="default"/>
                      <w:color w:val="auto"/>
                      <w:szCs w:val="21"/>
                    </w:rPr>
                  </w:pPr>
                </w:p>
              </w:tc>
              <w:tc>
                <w:tcPr>
                  <w:tcW w:w="595" w:type="pct"/>
                  <w:vMerge w:val="restar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O</w:t>
                  </w:r>
                  <w:r>
                    <w:rPr>
                      <w:rFonts w:ascii="Times New Roman" w:hAnsi="Times New Roman" w:cs="Times New Roman" w:hint="default"/>
                      <w:color w:val="auto"/>
                      <w:sz w:val="21"/>
                      <w:szCs w:val="21"/>
                      <w:vertAlign w:val="subscript"/>
                    </w:rPr>
                    <w:t>3</w:t>
                  </w:r>
                </w:p>
              </w:tc>
              <w:tc>
                <w:tcPr>
                  <w:tcW w:w="1292"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日最大8小时平均</w:t>
                  </w:r>
                </w:p>
              </w:tc>
              <w:tc>
                <w:tcPr>
                  <w:tcW w:w="671"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μg/Nm</w:t>
                  </w:r>
                  <w:r>
                    <w:rPr>
                      <w:rFonts w:ascii="Times New Roman" w:hAnsi="Times New Roman" w:cs="Times New Roman" w:hint="default"/>
                      <w:color w:val="auto"/>
                      <w:sz w:val="21"/>
                      <w:szCs w:val="21"/>
                      <w:vertAlign w:val="superscript"/>
                    </w:rPr>
                    <w:t>3</w:t>
                  </w:r>
                </w:p>
              </w:tc>
              <w:tc>
                <w:tcPr>
                  <w:tcW w:w="476" w:type="pct"/>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100</w:t>
                  </w:r>
                </w:p>
              </w:tc>
              <w:tc>
                <w:tcPr>
                  <w:tcW w:w="453"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160</w:t>
                  </w:r>
                </w:p>
              </w:tc>
            </w:tr>
            <w:tr>
              <w:tblPrEx>
                <w:tblW w:w="4997" w:type="pct"/>
                <w:tblInd w:w="0" w:type="dxa"/>
                <w:tblCellMar>
                  <w:top w:w="0" w:type="dxa"/>
                  <w:left w:w="108" w:type="dxa"/>
                  <w:bottom w:w="0" w:type="dxa"/>
                  <w:right w:w="108" w:type="dxa"/>
                </w:tblCellMar>
              </w:tblPrEx>
              <w:trPr>
                <w:cantSplit/>
                <w:trHeight w:val="90"/>
              </w:trPr>
              <w:tc>
                <w:tcPr>
                  <w:tcW w:w="1509" w:type="pct"/>
                  <w:vMerge/>
                  <w:noWrap w:val="0"/>
                  <w:vAlign w:val="center"/>
                </w:tcPr>
                <w:p>
                  <w:pPr>
                    <w:snapToGrid w:val="0"/>
                    <w:jc w:val="center"/>
                    <w:rPr>
                      <w:rFonts w:hint="default"/>
                      <w:color w:val="auto"/>
                      <w:szCs w:val="21"/>
                    </w:rPr>
                  </w:pPr>
                </w:p>
              </w:tc>
              <w:tc>
                <w:tcPr>
                  <w:tcW w:w="595" w:type="pct"/>
                  <w:vMerge/>
                  <w:noWrap w:val="0"/>
                  <w:vAlign w:val="center"/>
                </w:tcPr>
                <w:p>
                  <w:pPr>
                    <w:snapToGrid w:val="0"/>
                    <w:jc w:val="center"/>
                    <w:rPr>
                      <w:rFonts w:hint="default"/>
                      <w:color w:val="auto"/>
                      <w:szCs w:val="21"/>
                    </w:rPr>
                  </w:pPr>
                </w:p>
              </w:tc>
              <w:tc>
                <w:tcPr>
                  <w:tcW w:w="1292"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1小时平均</w:t>
                  </w:r>
                </w:p>
              </w:tc>
              <w:tc>
                <w:tcPr>
                  <w:tcW w:w="671"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μg/Nm</w:t>
                  </w:r>
                  <w:r>
                    <w:rPr>
                      <w:rFonts w:ascii="Times New Roman" w:hAnsi="Times New Roman" w:cs="Times New Roman" w:hint="default"/>
                      <w:color w:val="auto"/>
                      <w:sz w:val="21"/>
                      <w:szCs w:val="21"/>
                      <w:vertAlign w:val="superscript"/>
                    </w:rPr>
                    <w:t>3</w:t>
                  </w:r>
                </w:p>
              </w:tc>
              <w:tc>
                <w:tcPr>
                  <w:tcW w:w="476" w:type="pct"/>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160</w:t>
                  </w:r>
                </w:p>
              </w:tc>
              <w:tc>
                <w:tcPr>
                  <w:tcW w:w="453"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200</w:t>
                  </w:r>
                </w:p>
              </w:tc>
            </w:tr>
            <w:tr>
              <w:tblPrEx>
                <w:tblW w:w="4997" w:type="pct"/>
                <w:tblInd w:w="0" w:type="dxa"/>
                <w:tblCellMar>
                  <w:top w:w="0" w:type="dxa"/>
                  <w:left w:w="108" w:type="dxa"/>
                  <w:bottom w:w="0" w:type="dxa"/>
                  <w:right w:w="108" w:type="dxa"/>
                </w:tblCellMar>
              </w:tblPrEx>
              <w:trPr>
                <w:cantSplit/>
                <w:trHeight w:val="23"/>
              </w:trPr>
              <w:tc>
                <w:tcPr>
                  <w:tcW w:w="1509" w:type="pct"/>
                  <w:vMerge/>
                  <w:noWrap w:val="0"/>
                  <w:vAlign w:val="center"/>
                </w:tcPr>
                <w:p>
                  <w:pPr>
                    <w:snapToGrid w:val="0"/>
                    <w:jc w:val="center"/>
                    <w:rPr>
                      <w:rFonts w:hint="default"/>
                      <w:color w:val="auto"/>
                      <w:szCs w:val="21"/>
                    </w:rPr>
                  </w:pPr>
                </w:p>
              </w:tc>
              <w:tc>
                <w:tcPr>
                  <w:tcW w:w="595" w:type="pct"/>
                  <w:vMerge w:val="restar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CO</w:t>
                  </w:r>
                </w:p>
              </w:tc>
              <w:tc>
                <w:tcPr>
                  <w:tcW w:w="1292"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24小时</w:t>
                  </w:r>
                </w:p>
              </w:tc>
              <w:tc>
                <w:tcPr>
                  <w:tcW w:w="671"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mg/Nm</w:t>
                  </w:r>
                  <w:r>
                    <w:rPr>
                      <w:rFonts w:ascii="Times New Roman" w:hAnsi="Times New Roman" w:cs="Times New Roman" w:hint="default"/>
                      <w:color w:val="auto"/>
                      <w:sz w:val="21"/>
                      <w:szCs w:val="21"/>
                      <w:vertAlign w:val="superscript"/>
                    </w:rPr>
                    <w:t>3</w:t>
                  </w:r>
                </w:p>
              </w:tc>
              <w:tc>
                <w:tcPr>
                  <w:tcW w:w="476" w:type="pct"/>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4</w:t>
                  </w:r>
                </w:p>
              </w:tc>
              <w:tc>
                <w:tcPr>
                  <w:tcW w:w="453"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4</w:t>
                  </w:r>
                </w:p>
              </w:tc>
            </w:tr>
            <w:tr>
              <w:tblPrEx>
                <w:tblW w:w="4997" w:type="pct"/>
                <w:tblInd w:w="0" w:type="dxa"/>
                <w:tblCellMar>
                  <w:top w:w="0" w:type="dxa"/>
                  <w:left w:w="108" w:type="dxa"/>
                  <w:bottom w:w="0" w:type="dxa"/>
                  <w:right w:w="108" w:type="dxa"/>
                </w:tblCellMar>
              </w:tblPrEx>
              <w:trPr>
                <w:cantSplit/>
                <w:trHeight w:val="23"/>
              </w:trPr>
              <w:tc>
                <w:tcPr>
                  <w:tcW w:w="1509" w:type="pct"/>
                  <w:vMerge/>
                  <w:noWrap w:val="0"/>
                  <w:vAlign w:val="center"/>
                </w:tcPr>
                <w:p>
                  <w:pPr>
                    <w:snapToGrid w:val="0"/>
                    <w:jc w:val="center"/>
                    <w:rPr>
                      <w:rFonts w:hint="default"/>
                      <w:color w:val="auto"/>
                      <w:szCs w:val="21"/>
                    </w:rPr>
                  </w:pPr>
                </w:p>
              </w:tc>
              <w:tc>
                <w:tcPr>
                  <w:tcW w:w="595" w:type="pct"/>
                  <w:vMerge/>
                  <w:noWrap w:val="0"/>
                  <w:vAlign w:val="center"/>
                </w:tcPr>
                <w:p>
                  <w:pPr>
                    <w:snapToGrid w:val="0"/>
                    <w:jc w:val="center"/>
                    <w:rPr>
                      <w:rFonts w:hint="default"/>
                      <w:color w:val="auto"/>
                      <w:szCs w:val="21"/>
                    </w:rPr>
                  </w:pPr>
                </w:p>
              </w:tc>
              <w:tc>
                <w:tcPr>
                  <w:tcW w:w="1292"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1小时平均</w:t>
                  </w:r>
                </w:p>
              </w:tc>
              <w:tc>
                <w:tcPr>
                  <w:tcW w:w="671"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mg/Nm</w:t>
                  </w:r>
                  <w:r>
                    <w:rPr>
                      <w:rFonts w:ascii="Times New Roman" w:hAnsi="Times New Roman" w:cs="Times New Roman" w:hint="default"/>
                      <w:color w:val="auto"/>
                      <w:sz w:val="21"/>
                      <w:szCs w:val="21"/>
                      <w:vertAlign w:val="superscript"/>
                    </w:rPr>
                    <w:t>3</w:t>
                  </w:r>
                </w:p>
              </w:tc>
              <w:tc>
                <w:tcPr>
                  <w:tcW w:w="476" w:type="pct"/>
                  <w:noWrap w:val="0"/>
                  <w:vAlign w:val="center"/>
                </w:tcPr>
                <w:p>
                  <w:pPr>
                    <w:snapToGrid w:val="0"/>
                    <w:jc w:val="center"/>
                    <w:rPr>
                      <w:rFonts w:hint="default"/>
                      <w:b/>
                      <w:bCs/>
                      <w:color w:val="auto"/>
                      <w:szCs w:val="21"/>
                    </w:rPr>
                  </w:pPr>
                  <w:r>
                    <w:rPr>
                      <w:rFonts w:ascii="Times New Roman" w:hAnsi="Times New Roman" w:cs="Times New Roman" w:hint="default"/>
                      <w:b/>
                      <w:bCs/>
                      <w:color w:val="auto"/>
                      <w:sz w:val="21"/>
                      <w:szCs w:val="21"/>
                    </w:rPr>
                    <w:t>10</w:t>
                  </w:r>
                </w:p>
              </w:tc>
              <w:tc>
                <w:tcPr>
                  <w:tcW w:w="453" w:type="pct"/>
                  <w:noWrap w:val="0"/>
                  <w:vAlign w:val="center"/>
                </w:tcPr>
                <w:p>
                  <w:pPr>
                    <w:snapToGrid w:val="0"/>
                    <w:jc w:val="center"/>
                    <w:rPr>
                      <w:rFonts w:hint="default"/>
                      <w:color w:val="auto"/>
                      <w:szCs w:val="21"/>
                    </w:rPr>
                  </w:pPr>
                  <w:r>
                    <w:rPr>
                      <w:rFonts w:ascii="Times New Roman" w:hAnsi="Times New Roman" w:cs="Times New Roman" w:hint="default"/>
                      <w:color w:val="auto"/>
                      <w:sz w:val="21"/>
                      <w:szCs w:val="21"/>
                    </w:rPr>
                    <w:t>10</w:t>
                  </w:r>
                </w:p>
              </w:tc>
            </w:tr>
          </w:tbl>
          <w:p>
            <w:pPr>
              <w:spacing w:before="120" w:beforeLines="50" w:line="360" w:lineRule="auto"/>
              <w:ind w:firstLine="420" w:firstLineChars="200"/>
              <w:rPr>
                <w:b/>
                <w:bCs/>
                <w:color w:val="auto"/>
                <w:szCs w:val="21"/>
              </w:rPr>
            </w:pPr>
            <w:r>
              <w:rPr>
                <w:rFonts w:hint="eastAsia"/>
                <w:b/>
                <w:bCs/>
                <w:color w:val="auto"/>
                <w:sz w:val="21"/>
                <w:szCs w:val="21"/>
                <w:lang w:eastAsia="zh-CN"/>
              </w:rPr>
              <w:t>（</w:t>
            </w:r>
            <w:r>
              <w:rPr>
                <w:b/>
                <w:bCs/>
                <w:color w:val="auto"/>
                <w:sz w:val="21"/>
                <w:szCs w:val="21"/>
              </w:rPr>
              <w:t>2</w:t>
            </w:r>
            <w:r>
              <w:rPr>
                <w:rFonts w:hint="eastAsia"/>
                <w:b/>
                <w:bCs/>
                <w:color w:val="auto"/>
                <w:sz w:val="21"/>
                <w:szCs w:val="21"/>
                <w:lang w:eastAsia="zh-CN"/>
              </w:rPr>
              <w:t>）</w:t>
            </w:r>
            <w:r>
              <w:rPr>
                <w:b/>
                <w:bCs/>
                <w:color w:val="auto"/>
                <w:sz w:val="21"/>
                <w:szCs w:val="21"/>
              </w:rPr>
              <w:t>声环境</w:t>
            </w:r>
          </w:p>
          <w:p>
            <w:pPr>
              <w:spacing w:line="360" w:lineRule="auto"/>
              <w:ind w:firstLine="420" w:firstLineChars="200"/>
              <w:rPr>
                <w:rFonts w:hint="default"/>
                <w:color w:val="auto"/>
                <w:szCs w:val="21"/>
              </w:rPr>
            </w:pPr>
            <w:r>
              <w:rPr>
                <w:color w:val="auto"/>
                <w:sz w:val="21"/>
                <w:szCs w:val="21"/>
              </w:rPr>
              <w:t>根据《声环境质量标准》</w:t>
            </w:r>
            <w:r>
              <w:rPr>
                <w:rFonts w:hint="eastAsia"/>
                <w:color w:val="auto"/>
                <w:sz w:val="21"/>
                <w:szCs w:val="21"/>
                <w:lang w:eastAsia="zh-CN"/>
              </w:rPr>
              <w:t>（</w:t>
            </w:r>
            <w:r>
              <w:rPr>
                <w:color w:val="auto"/>
                <w:sz w:val="21"/>
                <w:szCs w:val="21"/>
              </w:rPr>
              <w:t>GB3096 -2008</w:t>
            </w:r>
            <w:r>
              <w:rPr>
                <w:rFonts w:hint="eastAsia"/>
                <w:color w:val="auto"/>
                <w:sz w:val="21"/>
                <w:szCs w:val="21"/>
                <w:lang w:eastAsia="zh-CN"/>
              </w:rPr>
              <w:t>）</w:t>
            </w:r>
            <w:r>
              <w:rPr>
                <w:color w:val="auto"/>
                <w:sz w:val="21"/>
                <w:szCs w:val="21"/>
              </w:rPr>
              <w:t>。</w:t>
            </w:r>
            <w:r>
              <w:rPr>
                <w:rFonts w:hint="eastAsia"/>
                <w:color w:val="auto"/>
                <w:sz w:val="21"/>
                <w:szCs w:val="21"/>
              </w:rPr>
              <w:t>本项目四周</w:t>
            </w:r>
            <w:r>
              <w:rPr>
                <w:color w:val="auto"/>
                <w:sz w:val="21"/>
                <w:szCs w:val="21"/>
              </w:rPr>
              <w:t>执行《声环境质量标准》</w:t>
            </w:r>
            <w:r>
              <w:rPr>
                <w:rFonts w:hint="eastAsia"/>
                <w:color w:val="auto"/>
                <w:sz w:val="21"/>
                <w:szCs w:val="21"/>
                <w:lang w:eastAsia="zh-CN"/>
              </w:rPr>
              <w:t>（</w:t>
            </w:r>
            <w:r>
              <w:rPr>
                <w:color w:val="auto"/>
                <w:sz w:val="21"/>
                <w:szCs w:val="21"/>
              </w:rPr>
              <w:t>GB3096-2008</w:t>
            </w:r>
            <w:r>
              <w:rPr>
                <w:rFonts w:hint="eastAsia"/>
                <w:color w:val="auto"/>
                <w:sz w:val="21"/>
                <w:szCs w:val="21"/>
                <w:lang w:eastAsia="zh-CN"/>
              </w:rPr>
              <w:t>）</w:t>
            </w:r>
            <w:r>
              <w:rPr>
                <w:rFonts w:hint="eastAsia"/>
                <w:color w:val="auto"/>
                <w:sz w:val="21"/>
                <w:szCs w:val="21"/>
              </w:rPr>
              <w:t>中的</w:t>
            </w:r>
            <w:r>
              <w:rPr>
                <w:color w:val="auto"/>
                <w:sz w:val="21"/>
                <w:szCs w:val="21"/>
              </w:rPr>
              <w:t>2类标准。</w:t>
            </w:r>
            <w:r>
              <w:rPr>
                <w:rFonts w:hint="eastAsia"/>
                <w:color w:val="auto"/>
                <w:sz w:val="21"/>
                <w:szCs w:val="21"/>
                <w:lang w:val="en-US" w:eastAsia="zh-CN"/>
              </w:rPr>
              <w:t>具体标准见表3-5。</w:t>
            </w:r>
          </w:p>
          <w:p>
            <w:pPr>
              <w:ind w:firstLine="420" w:firstLineChars="200"/>
              <w:jc w:val="center"/>
              <w:rPr>
                <w:rFonts w:hint="eastAsia"/>
                <w:b/>
                <w:bCs/>
                <w:color w:val="auto"/>
                <w:szCs w:val="21"/>
              </w:rPr>
            </w:pPr>
            <w:r>
              <w:rPr>
                <w:b/>
                <w:bCs/>
                <w:color w:val="auto"/>
                <w:sz w:val="21"/>
                <w:szCs w:val="21"/>
              </w:rPr>
              <w:t>表</w:t>
            </w:r>
            <w:r>
              <w:rPr>
                <w:rFonts w:hint="eastAsia"/>
                <w:b/>
                <w:bCs/>
                <w:color w:val="auto"/>
                <w:sz w:val="21"/>
                <w:szCs w:val="21"/>
                <w:lang w:val="en-US" w:eastAsia="zh-CN"/>
              </w:rPr>
              <w:t>3-5</w:t>
            </w:r>
            <w:r>
              <w:rPr>
                <w:b/>
                <w:bCs/>
                <w:color w:val="auto"/>
                <w:sz w:val="21"/>
                <w:szCs w:val="21"/>
              </w:rPr>
              <w:t xml:space="preserve"> 《声环境质量标准》</w:t>
            </w:r>
            <w:r>
              <w:rPr>
                <w:rFonts w:hint="eastAsia"/>
                <w:b/>
                <w:bCs/>
                <w:color w:val="auto"/>
                <w:sz w:val="21"/>
                <w:szCs w:val="21"/>
                <w:lang w:eastAsia="zh-CN"/>
              </w:rPr>
              <w:t>（</w:t>
            </w:r>
            <w:r>
              <w:rPr>
                <w:b/>
                <w:bCs/>
                <w:color w:val="auto"/>
                <w:sz w:val="21"/>
                <w:szCs w:val="21"/>
              </w:rPr>
              <w:t>GB3096-2008</w:t>
            </w:r>
            <w:r>
              <w:rPr>
                <w:rFonts w:hint="eastAsia"/>
                <w:b/>
                <w:bCs/>
                <w:color w:val="auto"/>
                <w:sz w:val="21"/>
                <w:szCs w:val="21"/>
                <w:lang w:eastAsia="zh-CN"/>
              </w:rPr>
              <w:t>）（</w:t>
            </w:r>
            <w:r>
              <w:rPr>
                <w:b/>
                <w:bCs/>
                <w:color w:val="auto"/>
                <w:sz w:val="21"/>
                <w:szCs w:val="21"/>
              </w:rPr>
              <w:t>摘录</w:t>
            </w:r>
            <w:r>
              <w:rPr>
                <w:rFonts w:hint="eastAsia"/>
                <w:b/>
                <w:bCs/>
                <w:color w:val="auto"/>
                <w:sz w:val="21"/>
                <w:szCs w:val="21"/>
                <w:lang w:eastAsia="zh-CN"/>
              </w:rPr>
              <w:t>）</w:t>
            </w:r>
          </w:p>
          <w:tbl>
            <w:tblPr>
              <w:tblStyle w:val="TableNormal"/>
              <w:tblW w:w="4997" w:type="pct"/>
              <w:jc w:val="center"/>
              <w:tblBorders>
                <w:top w:val="single" w:sz="6" w:space="0" w:color="000000"/>
                <w:left w:val="none" w:sz="0" w:space="0" w:color="auto"/>
                <w:bottom w:val="single" w:sz="6" w:space="0" w:color="000000"/>
                <w:right w:val="none" w:sz="0" w:space="0" w:color="auto"/>
                <w:insideH w:val="single" w:sz="6" w:space="0" w:color="000000"/>
                <w:insideV w:val="single" w:sz="6" w:space="0" w:color="000000"/>
              </w:tblBorders>
              <w:tblCellMar>
                <w:top w:w="0" w:type="dxa"/>
                <w:left w:w="108" w:type="dxa"/>
                <w:bottom w:w="0" w:type="dxa"/>
                <w:right w:w="108" w:type="dxa"/>
              </w:tblCellMar>
            </w:tblPr>
            <w:tblGrid>
              <w:gridCol w:w="2833"/>
              <w:gridCol w:w="2263"/>
              <w:gridCol w:w="2265"/>
            </w:tblGrid>
            <w:tr>
              <w:tblPrEx>
                <w:tblW w:w="4997" w:type="pct"/>
                <w:jc w:val="center"/>
                <w:tblBorders>
                  <w:top w:val="single" w:sz="6" w:space="0" w:color="000000"/>
                  <w:left w:val="none" w:sz="0" w:space="0" w:color="auto"/>
                  <w:bottom w:val="single" w:sz="6" w:space="0" w:color="000000"/>
                  <w:right w:val="none" w:sz="0" w:space="0" w:color="auto"/>
                  <w:insideH w:val="single" w:sz="6" w:space="0" w:color="000000"/>
                  <w:insideV w:val="single" w:sz="6" w:space="0" w:color="000000"/>
                </w:tblBorders>
                <w:tblCellMar>
                  <w:top w:w="0" w:type="dxa"/>
                  <w:left w:w="108" w:type="dxa"/>
                  <w:bottom w:w="0" w:type="dxa"/>
                  <w:right w:w="108" w:type="dxa"/>
                </w:tblCellMar>
              </w:tblPrEx>
              <w:trPr>
                <w:trHeight w:val="23"/>
                <w:jc w:val="center"/>
              </w:trPr>
              <w:tc>
                <w:tcPr>
                  <w:tcW w:w="1924" w:type="pct"/>
                  <w:tcBorders>
                    <w:left w:val="single" w:sz="0" w:space="0" w:color="auto"/>
                  </w:tcBorders>
                  <w:noWrap w:val="0"/>
                  <w:vAlign w:val="center"/>
                </w:tcPr>
                <w:p>
                  <w:pPr>
                    <w:adjustRightInd w:val="0"/>
                    <w:snapToGrid w:val="0"/>
                    <w:jc w:val="center"/>
                    <w:rPr>
                      <w:b/>
                      <w:bCs/>
                      <w:color w:val="auto"/>
                      <w:szCs w:val="21"/>
                    </w:rPr>
                  </w:pPr>
                  <w:r>
                    <w:rPr>
                      <w:b/>
                      <w:bCs/>
                      <w:color w:val="auto"/>
                      <w:sz w:val="21"/>
                      <w:szCs w:val="21"/>
                    </w:rPr>
                    <w:t>声环境功能区类别</w:t>
                  </w:r>
                </w:p>
              </w:tc>
              <w:tc>
                <w:tcPr>
                  <w:tcW w:w="1537" w:type="pct"/>
                  <w:noWrap w:val="0"/>
                  <w:vAlign w:val="center"/>
                </w:tcPr>
                <w:p>
                  <w:pPr>
                    <w:adjustRightInd w:val="0"/>
                    <w:snapToGrid w:val="0"/>
                    <w:jc w:val="center"/>
                    <w:rPr>
                      <w:rFonts w:hint="eastAsia"/>
                      <w:b/>
                      <w:bCs/>
                      <w:color w:val="auto"/>
                      <w:szCs w:val="21"/>
                    </w:rPr>
                  </w:pPr>
                  <w:r>
                    <w:rPr>
                      <w:b/>
                      <w:bCs/>
                      <w:color w:val="auto"/>
                      <w:sz w:val="21"/>
                      <w:szCs w:val="21"/>
                    </w:rPr>
                    <w:t>昼间dB</w:t>
                  </w:r>
                  <w:r>
                    <w:rPr>
                      <w:rFonts w:hint="eastAsia"/>
                      <w:b/>
                      <w:bCs/>
                      <w:color w:val="auto"/>
                      <w:sz w:val="21"/>
                      <w:szCs w:val="21"/>
                      <w:lang w:eastAsia="zh-CN"/>
                    </w:rPr>
                    <w:t>（</w:t>
                  </w:r>
                  <w:r>
                    <w:rPr>
                      <w:b/>
                      <w:bCs/>
                      <w:color w:val="auto"/>
                      <w:sz w:val="21"/>
                      <w:szCs w:val="21"/>
                    </w:rPr>
                    <w:t>A</w:t>
                  </w:r>
                  <w:r>
                    <w:rPr>
                      <w:rFonts w:hint="eastAsia"/>
                      <w:b/>
                      <w:bCs/>
                      <w:color w:val="auto"/>
                      <w:sz w:val="21"/>
                      <w:szCs w:val="21"/>
                      <w:lang w:eastAsia="zh-CN"/>
                    </w:rPr>
                    <w:t>）</w:t>
                  </w:r>
                </w:p>
              </w:tc>
              <w:tc>
                <w:tcPr>
                  <w:tcW w:w="1538" w:type="pct"/>
                  <w:tcBorders>
                    <w:right w:val="single" w:sz="6" w:space="0" w:color="000000"/>
                  </w:tcBorders>
                  <w:noWrap w:val="0"/>
                  <w:vAlign w:val="center"/>
                </w:tcPr>
                <w:p>
                  <w:pPr>
                    <w:adjustRightInd w:val="0"/>
                    <w:snapToGrid w:val="0"/>
                    <w:jc w:val="center"/>
                    <w:rPr>
                      <w:rFonts w:hint="eastAsia"/>
                      <w:b/>
                      <w:bCs/>
                      <w:color w:val="auto"/>
                      <w:szCs w:val="21"/>
                    </w:rPr>
                  </w:pPr>
                  <w:r>
                    <w:rPr>
                      <w:b/>
                      <w:bCs/>
                      <w:color w:val="auto"/>
                      <w:sz w:val="21"/>
                      <w:szCs w:val="21"/>
                    </w:rPr>
                    <w:t>夜间dB</w:t>
                  </w:r>
                  <w:r>
                    <w:rPr>
                      <w:rFonts w:hint="eastAsia"/>
                      <w:b/>
                      <w:bCs/>
                      <w:color w:val="auto"/>
                      <w:sz w:val="21"/>
                      <w:szCs w:val="21"/>
                      <w:lang w:eastAsia="zh-CN"/>
                    </w:rPr>
                    <w:t>（</w:t>
                  </w:r>
                  <w:r>
                    <w:rPr>
                      <w:b/>
                      <w:bCs/>
                      <w:color w:val="auto"/>
                      <w:sz w:val="21"/>
                      <w:szCs w:val="21"/>
                    </w:rPr>
                    <w:t>A</w:t>
                  </w:r>
                  <w:r>
                    <w:rPr>
                      <w:rFonts w:hint="eastAsia"/>
                      <w:b/>
                      <w:bCs/>
                      <w:color w:val="auto"/>
                      <w:sz w:val="21"/>
                      <w:szCs w:val="21"/>
                      <w:lang w:eastAsia="zh-CN"/>
                    </w:rPr>
                    <w:t>）</w:t>
                  </w:r>
                </w:p>
              </w:tc>
            </w:tr>
            <w:tr>
              <w:tblPrEx>
                <w:tblW w:w="4997" w:type="pct"/>
                <w:jc w:val="center"/>
                <w:tblCellMar>
                  <w:top w:w="0" w:type="dxa"/>
                  <w:left w:w="108" w:type="dxa"/>
                  <w:bottom w:w="0" w:type="dxa"/>
                  <w:right w:w="108" w:type="dxa"/>
                </w:tblCellMar>
              </w:tblPrEx>
              <w:trPr>
                <w:trHeight w:val="23"/>
                <w:jc w:val="center"/>
              </w:trPr>
              <w:tc>
                <w:tcPr>
                  <w:tcW w:w="1924" w:type="pct"/>
                  <w:tcBorders>
                    <w:left w:val="single" w:sz="4" w:space="0" w:color="000000"/>
                  </w:tcBorders>
                  <w:noWrap w:val="0"/>
                  <w:vAlign w:val="center"/>
                </w:tcPr>
                <w:p>
                  <w:pPr>
                    <w:adjustRightInd w:val="0"/>
                    <w:snapToGrid w:val="0"/>
                    <w:jc w:val="center"/>
                    <w:rPr>
                      <w:color w:val="auto"/>
                      <w:szCs w:val="21"/>
                    </w:rPr>
                  </w:pPr>
                  <w:r>
                    <w:rPr>
                      <w:color w:val="auto"/>
                      <w:sz w:val="21"/>
                      <w:szCs w:val="21"/>
                    </w:rPr>
                    <w:t>2类</w:t>
                  </w:r>
                </w:p>
              </w:tc>
              <w:tc>
                <w:tcPr>
                  <w:tcW w:w="1537" w:type="pct"/>
                  <w:noWrap w:val="0"/>
                  <w:vAlign w:val="center"/>
                </w:tcPr>
                <w:p>
                  <w:pPr>
                    <w:adjustRightInd w:val="0"/>
                    <w:snapToGrid w:val="0"/>
                    <w:jc w:val="center"/>
                    <w:rPr>
                      <w:color w:val="auto"/>
                      <w:szCs w:val="21"/>
                    </w:rPr>
                  </w:pPr>
                  <w:r>
                    <w:rPr>
                      <w:color w:val="auto"/>
                      <w:sz w:val="21"/>
                      <w:szCs w:val="21"/>
                    </w:rPr>
                    <w:t>60</w:t>
                  </w:r>
                </w:p>
              </w:tc>
              <w:tc>
                <w:tcPr>
                  <w:tcW w:w="1538" w:type="pct"/>
                  <w:tcBorders>
                    <w:right w:val="single" w:sz="6" w:space="0" w:color="000000"/>
                  </w:tcBorders>
                  <w:noWrap w:val="0"/>
                  <w:vAlign w:val="center"/>
                </w:tcPr>
                <w:p>
                  <w:pPr>
                    <w:adjustRightInd w:val="0"/>
                    <w:snapToGrid w:val="0"/>
                    <w:jc w:val="center"/>
                    <w:rPr>
                      <w:color w:val="auto"/>
                      <w:szCs w:val="21"/>
                    </w:rPr>
                  </w:pPr>
                  <w:r>
                    <w:rPr>
                      <w:color w:val="auto"/>
                      <w:sz w:val="21"/>
                      <w:szCs w:val="21"/>
                    </w:rPr>
                    <w:t>50</w:t>
                  </w:r>
                </w:p>
              </w:tc>
            </w:tr>
          </w:tbl>
          <w:p>
            <w:pPr>
              <w:adjustRightInd w:val="0"/>
              <w:spacing w:line="360" w:lineRule="auto"/>
              <w:ind w:firstLine="420" w:firstLineChars="200"/>
              <w:jc w:val="left"/>
              <w:rPr>
                <w:rFonts w:hint="default"/>
                <w:b/>
                <w:color w:val="auto"/>
                <w:szCs w:val="21"/>
              </w:rPr>
            </w:pPr>
            <w:r>
              <w:rPr>
                <w:rFonts w:hint="eastAsia"/>
                <w:b/>
                <w:color w:val="auto"/>
                <w:sz w:val="21"/>
                <w:szCs w:val="21"/>
                <w:lang w:eastAsia="zh-CN"/>
              </w:rPr>
              <w:t>（</w:t>
            </w:r>
            <w:r>
              <w:rPr>
                <w:rFonts w:hint="eastAsia"/>
                <w:b/>
                <w:color w:val="auto"/>
                <w:sz w:val="21"/>
                <w:szCs w:val="21"/>
                <w:lang w:val="en-US" w:eastAsia="zh-CN"/>
              </w:rPr>
              <w:t>3</w:t>
            </w:r>
            <w:r>
              <w:rPr>
                <w:rFonts w:hint="eastAsia"/>
                <w:b/>
                <w:color w:val="auto"/>
                <w:sz w:val="21"/>
                <w:szCs w:val="21"/>
                <w:lang w:eastAsia="zh-CN"/>
              </w:rPr>
              <w:t>）</w:t>
            </w:r>
            <w:r>
              <w:rPr>
                <w:rFonts w:hint="eastAsia"/>
                <w:b/>
                <w:color w:val="auto"/>
                <w:sz w:val="21"/>
                <w:szCs w:val="21"/>
                <w:lang w:val="en-US" w:eastAsia="zh-CN"/>
              </w:rPr>
              <w:t>海水</w:t>
            </w:r>
          </w:p>
          <w:p>
            <w:pPr>
              <w:adjustRightInd w:val="0"/>
              <w:spacing w:line="360" w:lineRule="auto"/>
              <w:ind w:firstLine="420" w:firstLineChars="200"/>
              <w:jc w:val="left"/>
              <w:rPr>
                <w:b w:val="0"/>
                <w:bCs/>
                <w:color w:val="auto"/>
                <w:szCs w:val="21"/>
              </w:rPr>
            </w:pPr>
            <w:r>
              <w:rPr>
                <w:rFonts w:hint="eastAsia"/>
                <w:b w:val="0"/>
                <w:bCs/>
                <w:color w:val="auto"/>
                <w:sz w:val="21"/>
                <w:szCs w:val="21"/>
              </w:rPr>
              <w:t>根据《海南省海洋功能区划</w:t>
            </w:r>
            <w:r>
              <w:rPr>
                <w:rFonts w:hint="eastAsia"/>
                <w:b w:val="0"/>
                <w:bCs/>
                <w:color w:val="auto"/>
                <w:sz w:val="21"/>
                <w:szCs w:val="21"/>
                <w:highlight w:val="none"/>
                <w:lang w:eastAsia="zh-CN"/>
              </w:rPr>
              <w:t>（</w:t>
            </w:r>
            <w:r>
              <w:rPr>
                <w:rFonts w:hint="eastAsia"/>
                <w:b w:val="0"/>
                <w:bCs/>
                <w:color w:val="auto"/>
                <w:sz w:val="21"/>
                <w:szCs w:val="21"/>
              </w:rPr>
              <w:t>2011-2020 年</w:t>
            </w:r>
            <w:r>
              <w:rPr>
                <w:rFonts w:hint="eastAsia"/>
                <w:b w:val="0"/>
                <w:bCs/>
                <w:color w:val="auto"/>
                <w:sz w:val="21"/>
                <w:szCs w:val="21"/>
                <w:highlight w:val="none"/>
                <w:lang w:eastAsia="zh-CN"/>
              </w:rPr>
              <w:t>）</w:t>
            </w:r>
            <w:r>
              <w:rPr>
                <w:rFonts w:hint="eastAsia"/>
                <w:b w:val="0"/>
                <w:bCs/>
                <w:color w:val="auto"/>
                <w:sz w:val="21"/>
                <w:szCs w:val="21"/>
              </w:rPr>
              <w:t xml:space="preserve">》，项目周边海域的海洋功能区为南山旅游休闲娱乐区 </w:t>
            </w:r>
            <w:r>
              <w:rPr>
                <w:rFonts w:hint="eastAsia"/>
                <w:b w:val="0"/>
                <w:bCs/>
                <w:color w:val="auto"/>
                <w:sz w:val="21"/>
                <w:szCs w:val="21"/>
                <w:highlight w:val="none"/>
                <w:lang w:eastAsia="zh-CN"/>
              </w:rPr>
              <w:t>（</w:t>
            </w:r>
            <w:r>
              <w:rPr>
                <w:rFonts w:hint="eastAsia"/>
                <w:b w:val="0"/>
                <w:bCs/>
                <w:color w:val="auto"/>
                <w:sz w:val="21"/>
                <w:szCs w:val="21"/>
              </w:rPr>
              <w:t>代码：A5-33</w:t>
            </w:r>
            <w:r>
              <w:rPr>
                <w:rFonts w:hint="eastAsia"/>
                <w:b w:val="0"/>
                <w:bCs/>
                <w:color w:val="auto"/>
                <w:sz w:val="21"/>
                <w:szCs w:val="21"/>
                <w:highlight w:val="none"/>
                <w:lang w:eastAsia="zh-CN"/>
              </w:rPr>
              <w:t>）</w:t>
            </w:r>
            <w:r>
              <w:rPr>
                <w:rFonts w:hint="eastAsia"/>
                <w:b w:val="0"/>
                <w:bCs/>
                <w:color w:val="auto"/>
                <w:sz w:val="21"/>
                <w:szCs w:val="21"/>
              </w:rPr>
              <w:t>，主导用海类型为旅游娱乐用海。根据《海南省海洋功能区划</w:t>
            </w:r>
            <w:r>
              <w:rPr>
                <w:rFonts w:hint="eastAsia"/>
                <w:b w:val="0"/>
                <w:bCs/>
                <w:color w:val="auto"/>
                <w:sz w:val="21"/>
                <w:szCs w:val="21"/>
                <w:highlight w:val="none"/>
                <w:lang w:eastAsia="zh-CN"/>
              </w:rPr>
              <w:t>（</w:t>
            </w:r>
            <w:r>
              <w:rPr>
                <w:rFonts w:hint="eastAsia"/>
                <w:b w:val="0"/>
                <w:bCs/>
                <w:color w:val="auto"/>
                <w:sz w:val="21"/>
                <w:szCs w:val="21"/>
              </w:rPr>
              <w:t>2011-2020年</w:t>
            </w:r>
            <w:r>
              <w:rPr>
                <w:rFonts w:hint="eastAsia"/>
                <w:b w:val="0"/>
                <w:bCs/>
                <w:color w:val="auto"/>
                <w:sz w:val="21"/>
                <w:szCs w:val="21"/>
                <w:highlight w:val="none"/>
                <w:lang w:eastAsia="zh-CN"/>
              </w:rPr>
              <w:t>）</w:t>
            </w:r>
            <w:r>
              <w:rPr>
                <w:rFonts w:hint="eastAsia"/>
                <w:b w:val="0"/>
                <w:bCs/>
                <w:color w:val="auto"/>
                <w:sz w:val="21"/>
                <w:szCs w:val="21"/>
              </w:rPr>
              <w:t>》，南山旅游休闲娱乐区环境保护要求为执行二类海水水质标准。</w:t>
            </w:r>
          </w:p>
          <w:p>
            <w:pPr>
              <w:pStyle w:val="CharCha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s="Times New Roman" w:hint="eastAsia"/>
                <w:b/>
                <w:color w:val="auto"/>
                <w:kern w:val="2"/>
                <w:sz w:val="21"/>
                <w:szCs w:val="21"/>
                <w:lang w:eastAsia="zh-CN"/>
              </w:rPr>
            </w:pPr>
            <w:r>
              <w:rPr>
                <w:rFonts w:ascii="Times New Roman" w:eastAsia="宋体" w:hAnsi="Times New Roman" w:cs="Times New Roman"/>
                <w:b/>
                <w:color w:val="auto"/>
                <w:kern w:val="2"/>
                <w:sz w:val="21"/>
                <w:szCs w:val="21"/>
              </w:rPr>
              <w:t>表</w:t>
            </w:r>
            <w:r>
              <w:rPr>
                <w:rFonts w:cs="Times New Roman" w:hint="eastAsia"/>
                <w:b/>
                <w:color w:val="auto"/>
                <w:kern w:val="2"/>
                <w:sz w:val="21"/>
                <w:szCs w:val="21"/>
                <w:lang w:val="en-US" w:eastAsia="zh-CN"/>
              </w:rPr>
              <w:t>3</w:t>
            </w:r>
            <w:r>
              <w:rPr>
                <w:rFonts w:ascii="Times New Roman" w:eastAsia="宋体" w:hAnsi="Times New Roman" w:cs="Times New Roman"/>
                <w:b/>
                <w:color w:val="auto"/>
                <w:kern w:val="2"/>
                <w:sz w:val="21"/>
                <w:szCs w:val="21"/>
              </w:rPr>
              <w:t>-</w:t>
            </w:r>
            <w:r>
              <w:rPr>
                <w:rFonts w:cs="Times New Roman" w:hint="eastAsia"/>
                <w:b/>
                <w:color w:val="auto"/>
                <w:kern w:val="2"/>
                <w:sz w:val="21"/>
                <w:szCs w:val="21"/>
                <w:lang w:val="en-US" w:eastAsia="zh-CN"/>
              </w:rPr>
              <w:t>6</w:t>
            </w:r>
            <w:r>
              <w:rPr>
                <w:rFonts w:ascii="Times New Roman" w:eastAsia="宋体" w:hAnsi="Times New Roman" w:cs="Times New Roman"/>
                <w:b/>
                <w:color w:val="auto"/>
                <w:kern w:val="2"/>
                <w:sz w:val="21"/>
                <w:szCs w:val="21"/>
              </w:rPr>
              <w:t xml:space="preserve"> 《海水水质标准》</w:t>
            </w:r>
            <w:r>
              <w:rPr>
                <w:rFonts w:cs="Times New Roman" w:hint="eastAsia"/>
                <w:b/>
                <w:color w:val="auto"/>
                <w:kern w:val="2"/>
                <w:sz w:val="21"/>
                <w:szCs w:val="21"/>
                <w:lang w:eastAsia="zh-CN"/>
              </w:rPr>
              <w:t>（</w:t>
            </w:r>
            <w:r>
              <w:rPr>
                <w:rFonts w:ascii="Times New Roman" w:eastAsia="宋体" w:hAnsi="Times New Roman" w:cs="Times New Roman"/>
                <w:b/>
                <w:color w:val="auto"/>
                <w:kern w:val="2"/>
                <w:sz w:val="21"/>
                <w:szCs w:val="21"/>
              </w:rPr>
              <w:t>GB3097-1997</w:t>
            </w:r>
            <w:r>
              <w:rPr>
                <w:rFonts w:cs="Times New Roman" w:hint="eastAsia"/>
                <w:b/>
                <w:color w:val="auto"/>
                <w:kern w:val="2"/>
                <w:sz w:val="21"/>
                <w:szCs w:val="21"/>
                <w:lang w:eastAsia="zh-CN"/>
              </w:rPr>
              <w:t>）</w:t>
            </w:r>
            <w:r>
              <w:rPr>
                <w:rFonts w:ascii="Times New Roman" w:eastAsia="宋体" w:hAnsi="Times New Roman" w:cs="Times New Roman"/>
                <w:b/>
                <w:color w:val="auto"/>
                <w:kern w:val="2"/>
                <w:sz w:val="21"/>
                <w:szCs w:val="21"/>
              </w:rPr>
              <w:t xml:space="preserve">单位：mg/L </w:t>
            </w:r>
            <w:r>
              <w:rPr>
                <w:rFonts w:cs="Times New Roman" w:hint="eastAsia"/>
                <w:b/>
                <w:color w:val="auto"/>
                <w:kern w:val="2"/>
                <w:sz w:val="21"/>
                <w:szCs w:val="21"/>
                <w:highlight w:val="none"/>
                <w:lang w:eastAsia="zh-CN"/>
              </w:rPr>
              <w:t>（</w:t>
            </w:r>
            <w:r>
              <w:rPr>
                <w:rFonts w:ascii="Times New Roman" w:eastAsia="宋体" w:hAnsi="Times New Roman" w:cs="Times New Roman"/>
                <w:b/>
                <w:color w:val="auto"/>
                <w:kern w:val="2"/>
                <w:sz w:val="21"/>
                <w:szCs w:val="21"/>
              </w:rPr>
              <w:t>pH值除外</w:t>
            </w:r>
            <w:r>
              <w:rPr>
                <w:rFonts w:cs="Times New Roman" w:hint="eastAsia"/>
                <w:b/>
                <w:color w:val="auto"/>
                <w:kern w:val="2"/>
                <w:sz w:val="21"/>
                <w:szCs w:val="21"/>
                <w:highlight w:val="none"/>
                <w:lang w:eastAsia="zh-CN"/>
              </w:rPr>
              <w:t>）</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7"/>
              <w:gridCol w:w="1460"/>
              <w:gridCol w:w="1387"/>
              <w:gridCol w:w="1080"/>
              <w:gridCol w:w="999"/>
              <w:gridCol w:w="2002"/>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70"/>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bCs/>
                      <w:color w:val="auto"/>
                      <w:kern w:val="0"/>
                      <w:szCs w:val="21"/>
                    </w:rPr>
                  </w:pPr>
                  <w:r>
                    <w:rPr>
                      <w:rFonts w:ascii="Times New Roman" w:eastAsia="宋体" w:hAnsi="Times New Roman" w:cs="Times New Roman" w:hint="default"/>
                      <w:b/>
                      <w:bCs/>
                      <w:color w:val="auto"/>
                      <w:kern w:val="0"/>
                      <w:sz w:val="21"/>
                      <w:szCs w:val="21"/>
                    </w:rPr>
                    <w:t>序号</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bCs/>
                      <w:color w:val="auto"/>
                      <w:kern w:val="0"/>
                      <w:szCs w:val="21"/>
                    </w:rPr>
                  </w:pPr>
                  <w:r>
                    <w:rPr>
                      <w:rFonts w:ascii="Times New Roman" w:eastAsia="宋体" w:hAnsi="Times New Roman" w:cs="Times New Roman" w:hint="default"/>
                      <w:b/>
                      <w:bCs/>
                      <w:color w:val="auto"/>
                      <w:kern w:val="0"/>
                      <w:sz w:val="21"/>
                      <w:szCs w:val="21"/>
                    </w:rPr>
                    <w:t>项目</w:t>
                  </w:r>
                </w:p>
              </w:tc>
              <w:tc>
                <w:tcPr>
                  <w:tcW w:w="94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bCs/>
                      <w:color w:val="auto"/>
                      <w:kern w:val="0"/>
                      <w:szCs w:val="21"/>
                    </w:rPr>
                  </w:pPr>
                  <w:r>
                    <w:rPr>
                      <w:rFonts w:ascii="Times New Roman" w:eastAsia="宋体" w:hAnsi="Times New Roman" w:cs="Times New Roman" w:hint="default"/>
                      <w:b/>
                      <w:bCs/>
                      <w:color w:val="auto"/>
                      <w:kern w:val="0"/>
                      <w:sz w:val="21"/>
                      <w:szCs w:val="21"/>
                    </w:rPr>
                    <w:t>第一类</w:t>
                  </w:r>
                </w:p>
              </w:tc>
              <w:tc>
                <w:tcPr>
                  <w:tcW w:w="73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bCs/>
                      <w:color w:val="auto"/>
                      <w:kern w:val="0"/>
                      <w:szCs w:val="21"/>
                    </w:rPr>
                  </w:pPr>
                  <w:r>
                    <w:rPr>
                      <w:rFonts w:ascii="Times New Roman" w:eastAsia="宋体" w:hAnsi="Times New Roman" w:cs="Times New Roman" w:hint="default"/>
                      <w:b/>
                      <w:bCs/>
                      <w:color w:val="auto"/>
                      <w:kern w:val="0"/>
                      <w:sz w:val="21"/>
                      <w:szCs w:val="21"/>
                    </w:rPr>
                    <w:t>第二类</w:t>
                  </w:r>
                </w:p>
              </w:tc>
              <w:tc>
                <w:tcPr>
                  <w:tcW w:w="67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bCs/>
                      <w:color w:val="auto"/>
                      <w:kern w:val="0"/>
                      <w:szCs w:val="21"/>
                    </w:rPr>
                  </w:pPr>
                  <w:r>
                    <w:rPr>
                      <w:rFonts w:ascii="Times New Roman" w:eastAsia="宋体" w:hAnsi="Times New Roman" w:cs="Times New Roman" w:hint="default"/>
                      <w:b/>
                      <w:bCs/>
                      <w:color w:val="auto"/>
                      <w:kern w:val="0"/>
                      <w:sz w:val="21"/>
                      <w:szCs w:val="21"/>
                    </w:rPr>
                    <w:t>第三类</w:t>
                  </w:r>
                </w:p>
              </w:tc>
              <w:tc>
                <w:tcPr>
                  <w:tcW w:w="13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bCs/>
                      <w:color w:val="auto"/>
                      <w:kern w:val="0"/>
                      <w:szCs w:val="21"/>
                    </w:rPr>
                  </w:pPr>
                  <w:r>
                    <w:rPr>
                      <w:rFonts w:ascii="Times New Roman" w:eastAsia="宋体" w:hAnsi="Times New Roman" w:cs="Times New Roman" w:hint="default"/>
                      <w:b/>
                      <w:bCs/>
                      <w:color w:val="auto"/>
                      <w:kern w:val="0"/>
                      <w:sz w:val="21"/>
                      <w:szCs w:val="21"/>
                    </w:rPr>
                    <w:t>第四类</w:t>
                  </w:r>
                </w:p>
              </w:tc>
            </w:tr>
            <w:tr>
              <w:tblPrEx>
                <w:tblW w:w="5000" w:type="pct"/>
                <w:jc w:val="center"/>
                <w:tblCellMar>
                  <w:top w:w="0" w:type="dxa"/>
                  <w:left w:w="108" w:type="dxa"/>
                  <w:bottom w:w="0" w:type="dxa"/>
                  <w:right w:w="108" w:type="dxa"/>
                </w:tblCellMar>
              </w:tblPrEx>
              <w:trPr>
                <w:trHeight w:val="299"/>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1</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漂浮物质</w:t>
                  </w:r>
                </w:p>
              </w:tc>
              <w:tc>
                <w:tcPr>
                  <w:tcW w:w="2356" w:type="pct"/>
                  <w:gridSpan w:val="3"/>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b w:val="0"/>
                      <w:bCs/>
                      <w:color w:val="auto"/>
                      <w:kern w:val="0"/>
                      <w:szCs w:val="21"/>
                    </w:rPr>
                  </w:pPr>
                </w:p>
              </w:tc>
              <w:tc>
                <w:tcPr>
                  <w:tcW w:w="1360"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color w:val="auto"/>
                      <w:kern w:val="0"/>
                      <w:szCs w:val="21"/>
                    </w:rPr>
                  </w:pPr>
                </w:p>
              </w:tc>
            </w:tr>
          </w:tbl>
          <w:p/>
        </w:tc>
      </w:tr>
    </w:tbl>
    <w:p>
      <w:pPr>
        <w:sectPr>
          <w:footerReference w:type="even" r:id="rId40"/>
          <w:footerReference w:type="default" r:id="rId41"/>
          <w:type w:val="nextPage"/>
          <w:pgSz w:w="11906" w:h="16838"/>
          <w:pgMar w:top="1440" w:right="1800" w:bottom="1440" w:left="1800" w:header="851" w:footer="1077" w:gutter="0"/>
          <w:pgNumType w:fmt="decimal" w:start="16"/>
          <w:cols w:num="1" w:space="720"/>
          <w:titlePg w:val="0"/>
          <w:docGrid w:linePitch="312" w:charSpace="0"/>
        </w:sectPr>
      </w:pPr>
    </w:p>
    <w:tbl>
      <w:tblPr>
        <w:tblStyle w:val="TableNormal"/>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941"/>
        <w:gridCol w:w="7581"/>
      </w:tblGrid>
      <w:tr>
        <w:tblPrEx>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64"/>
          <w:jc w:val="center"/>
        </w:trPr>
        <w:tc>
          <w:tcPr>
            <w:tcW w:w="552" w:type="pct"/>
            <w:noWrap w:val="0"/>
            <w:vAlign w:val="center"/>
          </w:tcPr>
          <w:p/>
        </w:tc>
        <w:tc>
          <w:tcPr>
            <w:tcW w:w="4447" w:type="pct"/>
            <w:noWrap w:val="0"/>
            <w:vAlign w:val="center"/>
          </w:tcPr>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7"/>
              <w:gridCol w:w="1460"/>
              <w:gridCol w:w="1387"/>
              <w:gridCol w:w="1080"/>
              <w:gridCol w:w="999"/>
              <w:gridCol w:w="2002"/>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99"/>
                <w:jc w:val="center"/>
              </w:trPr>
              <w:tc>
                <w:tcPr>
                  <w:tcW w:w="289" w:type="pct"/>
                  <w:noWrap w:val="0"/>
                  <w:vAlign w:val="center"/>
                </w:tcPr>
                <w:p/>
              </w:tc>
              <w:tc>
                <w:tcPr>
                  <w:tcW w:w="993" w:type="pct"/>
                  <w:noWrap w:val="0"/>
                  <w:vAlign w:val="center"/>
                </w:tcPr>
                <w:p/>
              </w:tc>
              <w:tc>
                <w:tcPr>
                  <w:tcW w:w="2356" w:type="pct"/>
                  <w:gridSpan w:val="3"/>
                  <w:noWrap w:val="0"/>
                  <w:vAlign w:val="center"/>
                </w:tcPr>
                <w:p>
                  <w:pPr>
                    <w:keepNext w:val="0"/>
                    <w:keepLines w:val="0"/>
                    <w:pageBreakBefore w:val="0"/>
                    <w:widowControl/>
                    <w:kinsoku/>
                    <w:wordWrap/>
                    <w:overflowPunct/>
                    <w:topLinePunct w:val="0"/>
                    <w:autoSpaceDE/>
                    <w:autoSpaceDN/>
                    <w:bidi w:val="0"/>
                    <w:adjustRightInd/>
                    <w:snapToGrid/>
                    <w:spacing w:before="0" w:line="240" w:lineRule="auto"/>
                    <w:jc w:val="left"/>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海面不得出现膜、浮沫和其他漂浮物质</w:t>
                  </w:r>
                </w:p>
              </w:tc>
              <w:tc>
                <w:tcPr>
                  <w:tcW w:w="1360" w:type="pct"/>
                  <w:noWrap w:val="0"/>
                  <w:vAlign w:val="center"/>
                </w:tcPr>
                <w:p>
                  <w:pPr>
                    <w:keepNext w:val="0"/>
                    <w:keepLines w:val="0"/>
                    <w:pageBreakBefore w:val="0"/>
                    <w:widowControl/>
                    <w:kinsoku/>
                    <w:wordWrap/>
                    <w:overflowPunct/>
                    <w:topLinePunct w:val="0"/>
                    <w:autoSpaceDE/>
                    <w:autoSpaceDN/>
                    <w:bidi w:val="0"/>
                    <w:adjustRightInd/>
                    <w:snapToGrid/>
                    <w:spacing w:before="0" w:line="240" w:lineRule="auto"/>
                    <w:jc w:val="left"/>
                    <w:textAlignment w:val="auto"/>
                    <w:rPr>
                      <w:rFonts w:hint="default"/>
                      <w:color w:val="auto"/>
                      <w:kern w:val="0"/>
                      <w:szCs w:val="21"/>
                    </w:rPr>
                  </w:pPr>
                  <w:r>
                    <w:rPr>
                      <w:rFonts w:ascii="Times New Roman" w:eastAsia="宋体" w:hAnsi="Times New Roman" w:cs="Times New Roman" w:hint="default"/>
                      <w:color w:val="auto"/>
                      <w:kern w:val="0"/>
                      <w:sz w:val="21"/>
                      <w:szCs w:val="21"/>
                    </w:rPr>
                    <w:t>海面无明显油膜、浮沫和其他漂浮物质</w:t>
                  </w:r>
                </w:p>
              </w:tc>
            </w:tr>
            <w:tr>
              <w:tblPrEx>
                <w:tblW w:w="5000" w:type="pct"/>
                <w:jc w:val="center"/>
                <w:tblCellMar>
                  <w:top w:w="0" w:type="dxa"/>
                  <w:left w:w="108" w:type="dxa"/>
                  <w:bottom w:w="0" w:type="dxa"/>
                  <w:right w:w="108" w:type="dxa"/>
                </w:tblCellMar>
              </w:tblPrEx>
              <w:trPr>
                <w:trHeight w:val="533"/>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2</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色、臭、味</w:t>
                  </w:r>
                </w:p>
              </w:tc>
              <w:tc>
                <w:tcPr>
                  <w:tcW w:w="2356" w:type="pct"/>
                  <w:gridSpan w:val="3"/>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海水不得有异色、异臭、异味</w:t>
                  </w:r>
                </w:p>
              </w:tc>
              <w:tc>
                <w:tcPr>
                  <w:tcW w:w="13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color w:val="auto"/>
                      <w:kern w:val="0"/>
                      <w:szCs w:val="21"/>
                    </w:rPr>
                  </w:pPr>
                  <w:r>
                    <w:rPr>
                      <w:rFonts w:ascii="Times New Roman" w:eastAsia="宋体" w:hAnsi="Times New Roman" w:cs="Times New Roman" w:hint="default"/>
                      <w:color w:val="auto"/>
                      <w:kern w:val="0"/>
                      <w:sz w:val="21"/>
                      <w:szCs w:val="21"/>
                    </w:rPr>
                    <w:t>海水不得有令人厌恶和感到不快的色、臭、味。</w:t>
                  </w:r>
                </w:p>
              </w:tc>
            </w:tr>
            <w:tr>
              <w:tblPrEx>
                <w:tblW w:w="5000" w:type="pct"/>
                <w:jc w:val="center"/>
                <w:tblCellMar>
                  <w:top w:w="0" w:type="dxa"/>
                  <w:left w:w="108" w:type="dxa"/>
                  <w:bottom w:w="0" w:type="dxa"/>
                  <w:right w:w="108" w:type="dxa"/>
                </w:tblCellMar>
              </w:tblPrEx>
              <w:trPr>
                <w:trHeight w:val="480"/>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3</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悬浮物质</w:t>
                  </w:r>
                </w:p>
              </w:tc>
              <w:tc>
                <w:tcPr>
                  <w:tcW w:w="1677"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人为增加的量≤10</w:t>
                  </w:r>
                </w:p>
              </w:tc>
              <w:tc>
                <w:tcPr>
                  <w:tcW w:w="67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color w:val="auto"/>
                      <w:kern w:val="0"/>
                      <w:szCs w:val="21"/>
                    </w:rPr>
                  </w:pPr>
                  <w:r>
                    <w:rPr>
                      <w:rFonts w:ascii="Times New Roman" w:eastAsia="宋体" w:hAnsi="Times New Roman" w:cs="Times New Roman" w:hint="default"/>
                      <w:color w:val="auto"/>
                      <w:kern w:val="0"/>
                      <w:sz w:val="21"/>
                      <w:szCs w:val="21"/>
                    </w:rPr>
                    <w:t>人为增加的量≤100</w:t>
                  </w:r>
                </w:p>
              </w:tc>
              <w:tc>
                <w:tcPr>
                  <w:tcW w:w="13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color w:val="auto"/>
                      <w:kern w:val="0"/>
                      <w:szCs w:val="21"/>
                    </w:rPr>
                  </w:pPr>
                  <w:r>
                    <w:rPr>
                      <w:rFonts w:ascii="Times New Roman" w:eastAsia="宋体" w:hAnsi="Times New Roman" w:cs="Times New Roman" w:hint="default"/>
                      <w:color w:val="auto"/>
                      <w:kern w:val="0"/>
                      <w:sz w:val="21"/>
                      <w:szCs w:val="21"/>
                    </w:rPr>
                    <w:t>人为增加的≤150</w:t>
                  </w:r>
                </w:p>
              </w:tc>
            </w:tr>
            <w:tr>
              <w:tblPrEx>
                <w:tblW w:w="5000" w:type="pct"/>
                <w:jc w:val="center"/>
                <w:tblCellMar>
                  <w:top w:w="0" w:type="dxa"/>
                  <w:left w:w="108" w:type="dxa"/>
                  <w:bottom w:w="0" w:type="dxa"/>
                  <w:right w:w="108" w:type="dxa"/>
                </w:tblCellMar>
              </w:tblPrEx>
              <w:trPr>
                <w:trHeight w:val="480"/>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4</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color w:val="auto"/>
                      <w:kern w:val="0"/>
                      <w:szCs w:val="21"/>
                    </w:rPr>
                  </w:pPr>
                  <w:r>
                    <w:rPr>
                      <w:rFonts w:ascii="Times New Roman" w:eastAsia="宋体" w:hAnsi="Times New Roman" w:cs="Times New Roman" w:hint="default"/>
                      <w:color w:val="auto"/>
                      <w:kern w:val="0"/>
                      <w:sz w:val="21"/>
                      <w:szCs w:val="21"/>
                    </w:rPr>
                    <w:t>水温</w:t>
                  </w:r>
                  <w:r>
                    <w:rPr>
                      <w:rFonts w:ascii="Times New Roman" w:hAnsi="Times New Roman" w:cs="Times New Roman" w:hint="eastAsia"/>
                      <w:color w:val="auto"/>
                      <w:kern w:val="0"/>
                      <w:sz w:val="21"/>
                      <w:szCs w:val="21"/>
                      <w:lang w:eastAsia="zh-CN"/>
                    </w:rPr>
                    <w:t>（</w:t>
                  </w:r>
                  <w:r>
                    <w:rPr>
                      <w:rFonts w:ascii="Times New Roman" w:eastAsia="宋体" w:hAnsi="Times New Roman" w:cs="Times New Roman" w:hint="default"/>
                      <w:color w:val="auto"/>
                      <w:kern w:val="0"/>
                      <w:sz w:val="21"/>
                      <w:szCs w:val="21"/>
                    </w:rPr>
                    <w:t>℃</w:t>
                  </w:r>
                  <w:r>
                    <w:rPr>
                      <w:rFonts w:ascii="Times New Roman" w:hAnsi="Times New Roman" w:cs="Times New Roman" w:hint="eastAsia"/>
                      <w:color w:val="auto"/>
                      <w:kern w:val="0"/>
                      <w:sz w:val="21"/>
                      <w:szCs w:val="21"/>
                      <w:lang w:eastAsia="zh-CN"/>
                    </w:rPr>
                    <w:t>）</w:t>
                  </w:r>
                </w:p>
              </w:tc>
              <w:tc>
                <w:tcPr>
                  <w:tcW w:w="1677"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人为造成的海水温</w:t>
                  </w:r>
                  <w:r>
                    <w:rPr>
                      <w:rFonts w:ascii="Times New Roman" w:eastAsia="宋体" w:hAnsi="Times New Roman" w:cs="Times New Roman" w:hint="default"/>
                      <w:b w:val="0"/>
                      <w:bCs/>
                      <w:color w:val="auto"/>
                      <w:kern w:val="0"/>
                      <w:sz w:val="21"/>
                      <w:szCs w:val="21"/>
                      <w:highlight w:val="none"/>
                    </w:rPr>
                    <w:t>升</w:t>
                  </w:r>
                  <w:r>
                    <w:rPr>
                      <w:rFonts w:ascii="Times New Roman" w:eastAsia="宋体" w:hAnsi="Times New Roman" w:cs="Times New Roman" w:hint="default"/>
                      <w:b w:val="0"/>
                      <w:bCs/>
                      <w:color w:val="auto"/>
                      <w:kern w:val="0"/>
                      <w:sz w:val="21"/>
                      <w:szCs w:val="21"/>
                    </w:rPr>
                    <w:t>夏季不超过当时当地1℃，其它季节不超过2℃</w:t>
                  </w:r>
                </w:p>
              </w:tc>
              <w:tc>
                <w:tcPr>
                  <w:tcW w:w="2039"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color w:val="auto"/>
                      <w:kern w:val="0"/>
                      <w:szCs w:val="21"/>
                    </w:rPr>
                  </w:pPr>
                  <w:r>
                    <w:rPr>
                      <w:rFonts w:ascii="Times New Roman" w:eastAsia="宋体" w:hAnsi="Times New Roman" w:cs="Times New Roman" w:hint="default"/>
                      <w:color w:val="auto"/>
                      <w:kern w:val="0"/>
                      <w:sz w:val="21"/>
                      <w:szCs w:val="21"/>
                    </w:rPr>
                    <w:t>人为造成的海水温升不超过当时当地4℃</w:t>
                  </w:r>
                </w:p>
              </w:tc>
            </w:tr>
            <w:tr>
              <w:tblPrEx>
                <w:tblW w:w="5000" w:type="pct"/>
                <w:jc w:val="center"/>
                <w:tblCellMar>
                  <w:top w:w="0" w:type="dxa"/>
                  <w:left w:w="108" w:type="dxa"/>
                  <w:bottom w:w="0" w:type="dxa"/>
                  <w:right w:w="108" w:type="dxa"/>
                </w:tblCellMar>
              </w:tblPrEx>
              <w:trPr>
                <w:trHeight w:val="270"/>
                <w:jc w:val="center"/>
              </w:trPr>
              <w:tc>
                <w:tcPr>
                  <w:tcW w:w="289"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5</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p>
              </w:tc>
              <w:tc>
                <w:tcPr>
                  <w:tcW w:w="993"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pH</w:t>
                  </w:r>
                </w:p>
              </w:tc>
              <w:tc>
                <w:tcPr>
                  <w:tcW w:w="1677"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7.8∽8.5</w:t>
                  </w:r>
                </w:p>
              </w:tc>
              <w:tc>
                <w:tcPr>
                  <w:tcW w:w="2039"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6.8∽08.8</w:t>
                  </w:r>
                </w:p>
              </w:tc>
            </w:tr>
            <w:tr>
              <w:tblPrEx>
                <w:tblW w:w="5000" w:type="pct"/>
                <w:jc w:val="center"/>
                <w:tblCellMar>
                  <w:top w:w="0" w:type="dxa"/>
                  <w:left w:w="108" w:type="dxa"/>
                  <w:bottom w:w="0" w:type="dxa"/>
                  <w:right w:w="108" w:type="dxa"/>
                </w:tblCellMar>
              </w:tblPrEx>
              <w:trPr>
                <w:trHeight w:val="480"/>
                <w:jc w:val="center"/>
              </w:trPr>
              <w:tc>
                <w:tcPr>
                  <w:tcW w:w="289" w:type="pct"/>
                  <w:vMerge/>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color w:val="auto"/>
                      <w:kern w:val="0"/>
                      <w:szCs w:val="21"/>
                    </w:rPr>
                  </w:pPr>
                </w:p>
              </w:tc>
              <w:tc>
                <w:tcPr>
                  <w:tcW w:w="993" w:type="pct"/>
                  <w:vMerge/>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color w:val="auto"/>
                      <w:kern w:val="0"/>
                      <w:szCs w:val="21"/>
                    </w:rPr>
                  </w:pPr>
                </w:p>
              </w:tc>
              <w:tc>
                <w:tcPr>
                  <w:tcW w:w="1677"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同时不超现出该海域正常变动范围的0.2 pH单位</w:t>
                  </w:r>
                </w:p>
              </w:tc>
              <w:tc>
                <w:tcPr>
                  <w:tcW w:w="2039"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color w:val="auto"/>
                      <w:kern w:val="0"/>
                      <w:szCs w:val="21"/>
                    </w:rPr>
                  </w:pPr>
                  <w:r>
                    <w:rPr>
                      <w:rFonts w:ascii="Times New Roman" w:eastAsia="宋体" w:hAnsi="Times New Roman" w:cs="Times New Roman" w:hint="default"/>
                      <w:color w:val="auto"/>
                      <w:kern w:val="0"/>
                      <w:sz w:val="21"/>
                      <w:szCs w:val="21"/>
                    </w:rPr>
                    <w:t>同时不超出该海域正常变动范围的0.5 pH单位</w:t>
                  </w:r>
                </w:p>
              </w:tc>
            </w:tr>
            <w:tr>
              <w:tblPrEx>
                <w:tblW w:w="5000" w:type="pct"/>
                <w:jc w:val="center"/>
                <w:tblCellMar>
                  <w:top w:w="0" w:type="dxa"/>
                  <w:left w:w="108" w:type="dxa"/>
                  <w:bottom w:w="0" w:type="dxa"/>
                  <w:right w:w="108" w:type="dxa"/>
                </w:tblCellMar>
              </w:tblPrEx>
              <w:trPr>
                <w:trHeight w:val="270"/>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6</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溶解氧＞</w:t>
                  </w:r>
                </w:p>
              </w:tc>
              <w:tc>
                <w:tcPr>
                  <w:tcW w:w="94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6</w:t>
                  </w:r>
                </w:p>
              </w:tc>
              <w:tc>
                <w:tcPr>
                  <w:tcW w:w="73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5</w:t>
                  </w:r>
                </w:p>
              </w:tc>
              <w:tc>
                <w:tcPr>
                  <w:tcW w:w="67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4</w:t>
                  </w:r>
                </w:p>
              </w:tc>
              <w:tc>
                <w:tcPr>
                  <w:tcW w:w="13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3</w:t>
                  </w:r>
                </w:p>
              </w:tc>
            </w:tr>
            <w:tr>
              <w:tblPrEx>
                <w:tblW w:w="5000" w:type="pct"/>
                <w:jc w:val="center"/>
                <w:tblCellMar>
                  <w:top w:w="0" w:type="dxa"/>
                  <w:left w:w="108" w:type="dxa"/>
                  <w:bottom w:w="0" w:type="dxa"/>
                  <w:right w:w="108" w:type="dxa"/>
                </w:tblCellMar>
              </w:tblPrEx>
              <w:trPr>
                <w:trHeight w:val="270"/>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7</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color w:val="auto"/>
                      <w:kern w:val="0"/>
                      <w:szCs w:val="21"/>
                    </w:rPr>
                  </w:pPr>
                  <w:r>
                    <w:rPr>
                      <w:rFonts w:ascii="Times New Roman" w:eastAsia="宋体" w:hAnsi="Times New Roman" w:cs="Times New Roman" w:hint="default"/>
                      <w:color w:val="auto"/>
                      <w:kern w:val="0"/>
                      <w:sz w:val="21"/>
                      <w:szCs w:val="21"/>
                    </w:rPr>
                    <w:t>化学需氧量≤</w:t>
                  </w:r>
                  <w:r>
                    <w:rPr>
                      <w:rFonts w:ascii="Times New Roman" w:hAnsi="Times New Roman" w:cs="Times New Roman" w:hint="eastAsia"/>
                      <w:color w:val="auto"/>
                      <w:kern w:val="0"/>
                      <w:sz w:val="21"/>
                      <w:szCs w:val="21"/>
                      <w:lang w:eastAsia="zh-CN"/>
                    </w:rPr>
                    <w:t>（</w:t>
                  </w:r>
                  <w:r>
                    <w:rPr>
                      <w:rFonts w:ascii="Times New Roman" w:eastAsia="宋体" w:hAnsi="Times New Roman" w:cs="Times New Roman" w:hint="default"/>
                      <w:color w:val="auto"/>
                      <w:kern w:val="0"/>
                      <w:sz w:val="21"/>
                      <w:szCs w:val="21"/>
                    </w:rPr>
                    <w:t>COD</w:t>
                  </w:r>
                  <w:r>
                    <w:rPr>
                      <w:rFonts w:ascii="Times New Roman" w:hAnsi="Times New Roman" w:cs="Times New Roman" w:hint="eastAsia"/>
                      <w:color w:val="auto"/>
                      <w:kern w:val="0"/>
                      <w:sz w:val="21"/>
                      <w:szCs w:val="21"/>
                      <w:lang w:eastAsia="zh-CN"/>
                    </w:rPr>
                    <w:t>）</w:t>
                  </w:r>
                </w:p>
              </w:tc>
              <w:tc>
                <w:tcPr>
                  <w:tcW w:w="94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2</w:t>
                  </w:r>
                </w:p>
              </w:tc>
              <w:tc>
                <w:tcPr>
                  <w:tcW w:w="73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3</w:t>
                  </w:r>
                </w:p>
              </w:tc>
              <w:tc>
                <w:tcPr>
                  <w:tcW w:w="67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4</w:t>
                  </w:r>
                </w:p>
              </w:tc>
              <w:tc>
                <w:tcPr>
                  <w:tcW w:w="13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5</w:t>
                  </w:r>
                </w:p>
              </w:tc>
            </w:tr>
            <w:tr>
              <w:tblPrEx>
                <w:tblW w:w="5000" w:type="pct"/>
                <w:jc w:val="center"/>
                <w:tblCellMar>
                  <w:top w:w="0" w:type="dxa"/>
                  <w:left w:w="108" w:type="dxa"/>
                  <w:bottom w:w="0" w:type="dxa"/>
                  <w:right w:w="108" w:type="dxa"/>
                </w:tblCellMar>
              </w:tblPrEx>
              <w:trPr>
                <w:trHeight w:val="270"/>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8</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color w:val="auto"/>
                      <w:kern w:val="0"/>
                      <w:szCs w:val="21"/>
                    </w:rPr>
                  </w:pPr>
                  <w:r>
                    <w:rPr>
                      <w:rFonts w:ascii="Times New Roman" w:eastAsia="宋体" w:hAnsi="Times New Roman" w:cs="Times New Roman" w:hint="default"/>
                      <w:color w:val="auto"/>
                      <w:kern w:val="0"/>
                      <w:sz w:val="21"/>
                      <w:szCs w:val="21"/>
                    </w:rPr>
                    <w:t>生化需氧量≤</w:t>
                  </w:r>
                  <w:r>
                    <w:rPr>
                      <w:rFonts w:ascii="Times New Roman" w:hAnsi="Times New Roman" w:cs="Times New Roman" w:hint="eastAsia"/>
                      <w:color w:val="auto"/>
                      <w:kern w:val="0"/>
                      <w:sz w:val="21"/>
                      <w:szCs w:val="21"/>
                      <w:lang w:eastAsia="zh-CN"/>
                    </w:rPr>
                    <w:t>（</w:t>
                  </w:r>
                  <w:r>
                    <w:rPr>
                      <w:rFonts w:ascii="Times New Roman" w:eastAsia="宋体" w:hAnsi="Times New Roman" w:cs="Times New Roman" w:hint="default"/>
                      <w:color w:val="auto"/>
                      <w:kern w:val="0"/>
                      <w:sz w:val="21"/>
                      <w:szCs w:val="21"/>
                    </w:rPr>
                    <w:t>BOD</w:t>
                  </w:r>
                  <w:r>
                    <w:rPr>
                      <w:rFonts w:ascii="Times New Roman" w:eastAsia="宋体" w:hAnsi="Times New Roman" w:cs="Times New Roman" w:hint="default"/>
                      <w:color w:val="auto"/>
                      <w:kern w:val="0"/>
                      <w:sz w:val="21"/>
                      <w:szCs w:val="21"/>
                      <w:vertAlign w:val="subscript"/>
                    </w:rPr>
                    <w:t>5</w:t>
                  </w:r>
                  <w:r>
                    <w:rPr>
                      <w:rFonts w:ascii="Times New Roman" w:hAnsi="Times New Roman" w:cs="Times New Roman" w:hint="eastAsia"/>
                      <w:color w:val="auto"/>
                      <w:kern w:val="0"/>
                      <w:sz w:val="21"/>
                      <w:szCs w:val="21"/>
                      <w:lang w:eastAsia="zh-CN"/>
                    </w:rPr>
                    <w:t>）</w:t>
                  </w:r>
                </w:p>
              </w:tc>
              <w:tc>
                <w:tcPr>
                  <w:tcW w:w="94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1</w:t>
                  </w:r>
                </w:p>
              </w:tc>
              <w:tc>
                <w:tcPr>
                  <w:tcW w:w="73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3</w:t>
                  </w:r>
                </w:p>
              </w:tc>
              <w:tc>
                <w:tcPr>
                  <w:tcW w:w="67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4</w:t>
                  </w:r>
                </w:p>
              </w:tc>
              <w:tc>
                <w:tcPr>
                  <w:tcW w:w="13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5</w:t>
                  </w:r>
                </w:p>
              </w:tc>
            </w:tr>
            <w:tr>
              <w:tblPrEx>
                <w:tblW w:w="5000" w:type="pct"/>
                <w:jc w:val="center"/>
                <w:tblCellMar>
                  <w:top w:w="0" w:type="dxa"/>
                  <w:left w:w="108" w:type="dxa"/>
                  <w:bottom w:w="0" w:type="dxa"/>
                  <w:right w:w="108" w:type="dxa"/>
                </w:tblCellMar>
              </w:tblPrEx>
              <w:trPr>
                <w:trHeight w:val="270"/>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9</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color w:val="auto"/>
                      <w:kern w:val="0"/>
                      <w:szCs w:val="21"/>
                    </w:rPr>
                  </w:pPr>
                  <w:r>
                    <w:rPr>
                      <w:rFonts w:ascii="Times New Roman" w:eastAsia="宋体" w:hAnsi="Times New Roman" w:cs="Times New Roman" w:hint="default"/>
                      <w:color w:val="auto"/>
                      <w:kern w:val="0"/>
                      <w:sz w:val="21"/>
                      <w:szCs w:val="21"/>
                    </w:rPr>
                    <w:t>无机氮≤</w:t>
                  </w:r>
                  <w:r>
                    <w:rPr>
                      <w:rFonts w:ascii="Times New Roman" w:hAnsi="Times New Roman" w:cs="Times New Roman" w:hint="eastAsia"/>
                      <w:color w:val="auto"/>
                      <w:kern w:val="0"/>
                      <w:sz w:val="21"/>
                      <w:szCs w:val="21"/>
                      <w:lang w:eastAsia="zh-CN"/>
                    </w:rPr>
                    <w:t>（</w:t>
                  </w:r>
                  <w:r>
                    <w:rPr>
                      <w:rFonts w:ascii="Times New Roman" w:eastAsia="宋体" w:hAnsi="Times New Roman" w:cs="Times New Roman" w:hint="default"/>
                      <w:color w:val="auto"/>
                      <w:kern w:val="0"/>
                      <w:sz w:val="21"/>
                      <w:szCs w:val="21"/>
                    </w:rPr>
                    <w:t>以N计</w:t>
                  </w:r>
                  <w:r>
                    <w:rPr>
                      <w:rFonts w:ascii="Times New Roman" w:hAnsi="Times New Roman" w:cs="Times New Roman" w:hint="eastAsia"/>
                      <w:color w:val="auto"/>
                      <w:kern w:val="0"/>
                      <w:sz w:val="21"/>
                      <w:szCs w:val="21"/>
                      <w:lang w:eastAsia="zh-CN"/>
                    </w:rPr>
                    <w:t>）</w:t>
                  </w:r>
                </w:p>
              </w:tc>
              <w:tc>
                <w:tcPr>
                  <w:tcW w:w="94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0.2</w:t>
                  </w:r>
                </w:p>
              </w:tc>
              <w:tc>
                <w:tcPr>
                  <w:tcW w:w="73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0.3</w:t>
                  </w:r>
                </w:p>
              </w:tc>
              <w:tc>
                <w:tcPr>
                  <w:tcW w:w="67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0.4</w:t>
                  </w:r>
                </w:p>
              </w:tc>
              <w:tc>
                <w:tcPr>
                  <w:tcW w:w="13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0.5</w:t>
                  </w:r>
                </w:p>
              </w:tc>
            </w:tr>
            <w:tr>
              <w:tblPrEx>
                <w:tblW w:w="5000" w:type="pct"/>
                <w:jc w:val="center"/>
                <w:tblCellMar>
                  <w:top w:w="0" w:type="dxa"/>
                  <w:left w:w="108" w:type="dxa"/>
                  <w:bottom w:w="0" w:type="dxa"/>
                  <w:right w:w="108" w:type="dxa"/>
                </w:tblCellMar>
              </w:tblPrEx>
              <w:trPr>
                <w:trHeight w:val="270"/>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10</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color w:val="auto"/>
                      <w:kern w:val="0"/>
                      <w:szCs w:val="21"/>
                    </w:rPr>
                  </w:pPr>
                  <w:r>
                    <w:rPr>
                      <w:rFonts w:ascii="Times New Roman" w:eastAsia="宋体" w:hAnsi="Times New Roman" w:cs="Times New Roman" w:hint="default"/>
                      <w:color w:val="auto"/>
                      <w:kern w:val="0"/>
                      <w:sz w:val="21"/>
                      <w:szCs w:val="21"/>
                    </w:rPr>
                    <w:t>非离子氨≤</w:t>
                  </w:r>
                  <w:r>
                    <w:rPr>
                      <w:rFonts w:ascii="Times New Roman" w:hAnsi="Times New Roman" w:cs="Times New Roman" w:hint="eastAsia"/>
                      <w:color w:val="auto"/>
                      <w:kern w:val="0"/>
                      <w:sz w:val="21"/>
                      <w:szCs w:val="21"/>
                      <w:lang w:eastAsia="zh-CN"/>
                    </w:rPr>
                    <w:t>（</w:t>
                  </w:r>
                  <w:r>
                    <w:rPr>
                      <w:rFonts w:ascii="Times New Roman" w:eastAsia="宋体" w:hAnsi="Times New Roman" w:cs="Times New Roman" w:hint="default"/>
                      <w:color w:val="auto"/>
                      <w:kern w:val="0"/>
                      <w:sz w:val="21"/>
                      <w:szCs w:val="21"/>
                    </w:rPr>
                    <w:t>以N计</w:t>
                  </w:r>
                  <w:r>
                    <w:rPr>
                      <w:rFonts w:ascii="Times New Roman" w:hAnsi="Times New Roman" w:cs="Times New Roman" w:hint="eastAsia"/>
                      <w:color w:val="auto"/>
                      <w:kern w:val="0"/>
                      <w:sz w:val="21"/>
                      <w:szCs w:val="21"/>
                      <w:lang w:eastAsia="zh-CN"/>
                    </w:rPr>
                    <w:t>）</w:t>
                  </w:r>
                </w:p>
              </w:tc>
              <w:tc>
                <w:tcPr>
                  <w:tcW w:w="3717" w:type="pct"/>
                  <w:gridSpan w:val="4"/>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0.02</w:t>
                  </w:r>
                </w:p>
              </w:tc>
            </w:tr>
            <w:tr>
              <w:tblPrEx>
                <w:tblW w:w="5000" w:type="pct"/>
                <w:jc w:val="center"/>
                <w:tblCellMar>
                  <w:top w:w="0" w:type="dxa"/>
                  <w:left w:w="108" w:type="dxa"/>
                  <w:bottom w:w="0" w:type="dxa"/>
                  <w:right w:w="108" w:type="dxa"/>
                </w:tblCellMar>
              </w:tblPrEx>
              <w:trPr>
                <w:trHeight w:val="270"/>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11</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color w:val="auto"/>
                      <w:kern w:val="0"/>
                      <w:szCs w:val="21"/>
                    </w:rPr>
                  </w:pPr>
                  <w:r>
                    <w:rPr>
                      <w:rFonts w:ascii="Times New Roman" w:eastAsia="宋体" w:hAnsi="Times New Roman" w:cs="Times New Roman" w:hint="default"/>
                      <w:color w:val="auto"/>
                      <w:kern w:val="0"/>
                      <w:sz w:val="21"/>
                      <w:szCs w:val="21"/>
                    </w:rPr>
                    <w:t>活性磷酸盐≤</w:t>
                  </w:r>
                  <w:r>
                    <w:rPr>
                      <w:rFonts w:ascii="Times New Roman" w:hAnsi="Times New Roman" w:cs="Times New Roman" w:hint="eastAsia"/>
                      <w:color w:val="auto"/>
                      <w:kern w:val="0"/>
                      <w:sz w:val="21"/>
                      <w:szCs w:val="21"/>
                      <w:lang w:eastAsia="zh-CN"/>
                    </w:rPr>
                    <w:t>（</w:t>
                  </w:r>
                  <w:r>
                    <w:rPr>
                      <w:rFonts w:ascii="Times New Roman" w:eastAsia="宋体" w:hAnsi="Times New Roman" w:cs="Times New Roman" w:hint="default"/>
                      <w:color w:val="auto"/>
                      <w:kern w:val="0"/>
                      <w:sz w:val="21"/>
                      <w:szCs w:val="21"/>
                    </w:rPr>
                    <w:t>以P计</w:t>
                  </w:r>
                  <w:r>
                    <w:rPr>
                      <w:rFonts w:ascii="Times New Roman" w:hAnsi="Times New Roman" w:cs="Times New Roman" w:hint="eastAsia"/>
                      <w:color w:val="auto"/>
                      <w:kern w:val="0"/>
                      <w:sz w:val="21"/>
                      <w:szCs w:val="21"/>
                      <w:lang w:eastAsia="zh-CN"/>
                    </w:rPr>
                    <w:t>）</w:t>
                  </w:r>
                </w:p>
              </w:tc>
              <w:tc>
                <w:tcPr>
                  <w:tcW w:w="94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0.015</w:t>
                  </w:r>
                </w:p>
              </w:tc>
              <w:tc>
                <w:tcPr>
                  <w:tcW w:w="1413"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0.03</w:t>
                  </w:r>
                </w:p>
              </w:tc>
              <w:tc>
                <w:tcPr>
                  <w:tcW w:w="13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0.045</w:t>
                  </w:r>
                </w:p>
              </w:tc>
            </w:tr>
            <w:tr>
              <w:tblPrEx>
                <w:tblW w:w="5000" w:type="pct"/>
                <w:jc w:val="center"/>
                <w:tblCellMar>
                  <w:top w:w="0" w:type="dxa"/>
                  <w:left w:w="108" w:type="dxa"/>
                  <w:bottom w:w="0" w:type="dxa"/>
                  <w:right w:w="108" w:type="dxa"/>
                </w:tblCellMar>
              </w:tblPrEx>
              <w:trPr>
                <w:trHeight w:val="270"/>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12</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汞≤</w:t>
                  </w:r>
                </w:p>
              </w:tc>
              <w:tc>
                <w:tcPr>
                  <w:tcW w:w="94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0.00005</w:t>
                  </w:r>
                </w:p>
              </w:tc>
              <w:tc>
                <w:tcPr>
                  <w:tcW w:w="1413"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0.0002</w:t>
                  </w:r>
                </w:p>
              </w:tc>
              <w:tc>
                <w:tcPr>
                  <w:tcW w:w="13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0.0005</w:t>
                  </w:r>
                </w:p>
              </w:tc>
            </w:tr>
            <w:tr>
              <w:tblPrEx>
                <w:tblW w:w="5000" w:type="pct"/>
                <w:jc w:val="center"/>
                <w:tblCellMar>
                  <w:top w:w="0" w:type="dxa"/>
                  <w:left w:w="108" w:type="dxa"/>
                  <w:bottom w:w="0" w:type="dxa"/>
                  <w:right w:w="108" w:type="dxa"/>
                </w:tblCellMar>
              </w:tblPrEx>
              <w:trPr>
                <w:trHeight w:val="270"/>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13</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镉≤</w:t>
                  </w:r>
                </w:p>
              </w:tc>
              <w:tc>
                <w:tcPr>
                  <w:tcW w:w="94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0.001</w:t>
                  </w:r>
                </w:p>
              </w:tc>
              <w:tc>
                <w:tcPr>
                  <w:tcW w:w="73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0.005</w:t>
                  </w:r>
                </w:p>
              </w:tc>
              <w:tc>
                <w:tcPr>
                  <w:tcW w:w="2039"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0.01</w:t>
                  </w:r>
                </w:p>
              </w:tc>
            </w:tr>
            <w:tr>
              <w:tblPrEx>
                <w:tblW w:w="5000" w:type="pct"/>
                <w:jc w:val="center"/>
                <w:tblCellMar>
                  <w:top w:w="0" w:type="dxa"/>
                  <w:left w:w="108" w:type="dxa"/>
                  <w:bottom w:w="0" w:type="dxa"/>
                  <w:right w:w="108" w:type="dxa"/>
                </w:tblCellMar>
              </w:tblPrEx>
              <w:trPr>
                <w:trHeight w:val="270"/>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14</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铅≤</w:t>
                  </w:r>
                </w:p>
              </w:tc>
              <w:tc>
                <w:tcPr>
                  <w:tcW w:w="94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0.001</w:t>
                  </w:r>
                </w:p>
              </w:tc>
              <w:tc>
                <w:tcPr>
                  <w:tcW w:w="73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0.005</w:t>
                  </w:r>
                </w:p>
              </w:tc>
              <w:tc>
                <w:tcPr>
                  <w:tcW w:w="67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0.01</w:t>
                  </w:r>
                </w:p>
              </w:tc>
              <w:tc>
                <w:tcPr>
                  <w:tcW w:w="13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0.05</w:t>
                  </w:r>
                </w:p>
              </w:tc>
            </w:tr>
            <w:tr>
              <w:tblPrEx>
                <w:tblW w:w="5000" w:type="pct"/>
                <w:jc w:val="center"/>
                <w:tblCellMar>
                  <w:top w:w="0" w:type="dxa"/>
                  <w:left w:w="108" w:type="dxa"/>
                  <w:bottom w:w="0" w:type="dxa"/>
                  <w:right w:w="108" w:type="dxa"/>
                </w:tblCellMar>
              </w:tblPrEx>
              <w:trPr>
                <w:trHeight w:val="270"/>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15</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总铬≤</w:t>
                  </w:r>
                </w:p>
              </w:tc>
              <w:tc>
                <w:tcPr>
                  <w:tcW w:w="94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0.05</w:t>
                  </w:r>
                </w:p>
              </w:tc>
              <w:tc>
                <w:tcPr>
                  <w:tcW w:w="73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0.1</w:t>
                  </w:r>
                </w:p>
              </w:tc>
              <w:tc>
                <w:tcPr>
                  <w:tcW w:w="67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0.2</w:t>
                  </w:r>
                </w:p>
              </w:tc>
              <w:tc>
                <w:tcPr>
                  <w:tcW w:w="13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0.5</w:t>
                  </w:r>
                </w:p>
              </w:tc>
            </w:tr>
            <w:tr>
              <w:tblPrEx>
                <w:tblW w:w="5000" w:type="pct"/>
                <w:jc w:val="center"/>
                <w:tblCellMar>
                  <w:top w:w="0" w:type="dxa"/>
                  <w:left w:w="108" w:type="dxa"/>
                  <w:bottom w:w="0" w:type="dxa"/>
                  <w:right w:w="108" w:type="dxa"/>
                </w:tblCellMar>
              </w:tblPrEx>
              <w:trPr>
                <w:trHeight w:val="270"/>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16</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砷≤</w:t>
                  </w:r>
                </w:p>
              </w:tc>
              <w:tc>
                <w:tcPr>
                  <w:tcW w:w="94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0.02</w:t>
                  </w:r>
                </w:p>
              </w:tc>
              <w:tc>
                <w:tcPr>
                  <w:tcW w:w="73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0.03</w:t>
                  </w:r>
                </w:p>
              </w:tc>
              <w:tc>
                <w:tcPr>
                  <w:tcW w:w="2039"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0.05</w:t>
                  </w:r>
                </w:p>
              </w:tc>
            </w:tr>
            <w:tr>
              <w:tblPrEx>
                <w:tblW w:w="5000" w:type="pct"/>
                <w:jc w:val="center"/>
                <w:tblCellMar>
                  <w:top w:w="0" w:type="dxa"/>
                  <w:left w:w="108" w:type="dxa"/>
                  <w:bottom w:w="0" w:type="dxa"/>
                  <w:right w:w="108" w:type="dxa"/>
                </w:tblCellMar>
              </w:tblPrEx>
              <w:trPr>
                <w:trHeight w:val="270"/>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17</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铜≤</w:t>
                  </w:r>
                </w:p>
              </w:tc>
              <w:tc>
                <w:tcPr>
                  <w:tcW w:w="94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0.005</w:t>
                  </w:r>
                </w:p>
              </w:tc>
              <w:tc>
                <w:tcPr>
                  <w:tcW w:w="73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0.01</w:t>
                  </w:r>
                </w:p>
              </w:tc>
              <w:tc>
                <w:tcPr>
                  <w:tcW w:w="2039"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0.05</w:t>
                  </w:r>
                </w:p>
              </w:tc>
            </w:tr>
            <w:tr>
              <w:tblPrEx>
                <w:tblW w:w="5000" w:type="pct"/>
                <w:jc w:val="center"/>
                <w:tblCellMar>
                  <w:top w:w="0" w:type="dxa"/>
                  <w:left w:w="108" w:type="dxa"/>
                  <w:bottom w:w="0" w:type="dxa"/>
                  <w:right w:w="108" w:type="dxa"/>
                </w:tblCellMar>
              </w:tblPrEx>
              <w:trPr>
                <w:trHeight w:val="270"/>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18</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锌≤</w:t>
                  </w:r>
                </w:p>
              </w:tc>
              <w:tc>
                <w:tcPr>
                  <w:tcW w:w="94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0.02</w:t>
                  </w:r>
                </w:p>
              </w:tc>
              <w:tc>
                <w:tcPr>
                  <w:tcW w:w="73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0.05</w:t>
                  </w:r>
                </w:p>
              </w:tc>
              <w:tc>
                <w:tcPr>
                  <w:tcW w:w="67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0.1</w:t>
                  </w:r>
                </w:p>
              </w:tc>
              <w:tc>
                <w:tcPr>
                  <w:tcW w:w="13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0.5</w:t>
                  </w:r>
                </w:p>
              </w:tc>
            </w:tr>
            <w:tr>
              <w:tblPrEx>
                <w:tblW w:w="5000" w:type="pct"/>
                <w:jc w:val="center"/>
                <w:tblCellMar>
                  <w:top w:w="0" w:type="dxa"/>
                  <w:left w:w="108" w:type="dxa"/>
                  <w:bottom w:w="0" w:type="dxa"/>
                  <w:right w:w="108" w:type="dxa"/>
                </w:tblCellMar>
              </w:tblPrEx>
              <w:trPr>
                <w:trHeight w:val="270"/>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19</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硒≤</w:t>
                  </w:r>
                </w:p>
              </w:tc>
              <w:tc>
                <w:tcPr>
                  <w:tcW w:w="94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0.01</w:t>
                  </w:r>
                </w:p>
              </w:tc>
              <w:tc>
                <w:tcPr>
                  <w:tcW w:w="1413"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0.02</w:t>
                  </w:r>
                </w:p>
              </w:tc>
              <w:tc>
                <w:tcPr>
                  <w:tcW w:w="13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0.05</w:t>
                  </w:r>
                </w:p>
              </w:tc>
            </w:tr>
            <w:tr>
              <w:tblPrEx>
                <w:tblW w:w="5000" w:type="pct"/>
                <w:jc w:val="center"/>
                <w:tblCellMar>
                  <w:top w:w="0" w:type="dxa"/>
                  <w:left w:w="108" w:type="dxa"/>
                  <w:bottom w:w="0" w:type="dxa"/>
                  <w:right w:w="108" w:type="dxa"/>
                </w:tblCellMar>
              </w:tblPrEx>
              <w:trPr>
                <w:trHeight w:val="270"/>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20</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镍≤</w:t>
                  </w:r>
                </w:p>
              </w:tc>
              <w:tc>
                <w:tcPr>
                  <w:tcW w:w="94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0.005</w:t>
                  </w:r>
                </w:p>
              </w:tc>
              <w:tc>
                <w:tcPr>
                  <w:tcW w:w="73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0.01</w:t>
                  </w:r>
                </w:p>
              </w:tc>
              <w:tc>
                <w:tcPr>
                  <w:tcW w:w="67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0.02</w:t>
                  </w:r>
                </w:p>
              </w:tc>
              <w:tc>
                <w:tcPr>
                  <w:tcW w:w="13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0.05</w:t>
                  </w:r>
                </w:p>
              </w:tc>
            </w:tr>
            <w:tr>
              <w:tblPrEx>
                <w:tblW w:w="5000" w:type="pct"/>
                <w:jc w:val="center"/>
                <w:tblCellMar>
                  <w:top w:w="0" w:type="dxa"/>
                  <w:left w:w="108" w:type="dxa"/>
                  <w:bottom w:w="0" w:type="dxa"/>
                  <w:right w:w="108" w:type="dxa"/>
                </w:tblCellMar>
              </w:tblPrEx>
              <w:trPr>
                <w:trHeight w:val="270"/>
                <w:jc w:val="center"/>
              </w:trPr>
              <w:tc>
                <w:tcPr>
                  <w:tcW w:w="2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21</w:t>
                  </w:r>
                </w:p>
              </w:tc>
              <w:tc>
                <w:tcPr>
                  <w:tcW w:w="99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石油类≤</w:t>
                  </w:r>
                </w:p>
              </w:tc>
              <w:tc>
                <w:tcPr>
                  <w:tcW w:w="1677"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color w:val="auto"/>
                      <w:kern w:val="0"/>
                      <w:szCs w:val="21"/>
                    </w:rPr>
                  </w:pPr>
                  <w:r>
                    <w:rPr>
                      <w:rFonts w:ascii="Times New Roman" w:eastAsia="宋体" w:hAnsi="Times New Roman" w:cs="Times New Roman" w:hint="default"/>
                      <w:b w:val="0"/>
                      <w:bCs/>
                      <w:color w:val="auto"/>
                      <w:kern w:val="0"/>
                      <w:sz w:val="21"/>
                      <w:szCs w:val="21"/>
                    </w:rPr>
                    <w:t>0.05</w:t>
                  </w:r>
                </w:p>
              </w:tc>
              <w:tc>
                <w:tcPr>
                  <w:tcW w:w="67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0.3</w:t>
                  </w:r>
                </w:p>
              </w:tc>
              <w:tc>
                <w:tcPr>
                  <w:tcW w:w="13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auto"/>
                      <w:kern w:val="0"/>
                      <w:szCs w:val="21"/>
                    </w:rPr>
                  </w:pPr>
                  <w:r>
                    <w:rPr>
                      <w:rFonts w:ascii="Times New Roman" w:eastAsia="宋体" w:hAnsi="Times New Roman" w:cs="Times New Roman" w:hint="default"/>
                      <w:color w:val="auto"/>
                      <w:kern w:val="0"/>
                      <w:sz w:val="21"/>
                      <w:szCs w:val="21"/>
                    </w:rPr>
                    <w:t>0.5</w:t>
                  </w:r>
                </w:p>
              </w:tc>
            </w:tr>
          </w:tbl>
          <w:p>
            <w:pPr>
              <w:adjustRightInd w:val="0"/>
              <w:snapToGrid w:val="0"/>
              <w:spacing w:line="360" w:lineRule="auto"/>
              <w:ind w:firstLine="420" w:firstLineChars="200"/>
              <w:rPr>
                <w:b/>
                <w:bCs/>
                <w:color w:val="auto"/>
                <w:szCs w:val="21"/>
              </w:rPr>
            </w:pPr>
            <w:r>
              <w:rPr>
                <w:b/>
                <w:bCs/>
                <w:color w:val="auto"/>
                <w:sz w:val="21"/>
                <w:szCs w:val="21"/>
              </w:rPr>
              <w:t>5、污染物排放标准</w:t>
            </w:r>
          </w:p>
          <w:p>
            <w:pPr>
              <w:spacing w:line="360" w:lineRule="auto"/>
              <w:ind w:firstLine="420" w:firstLineChars="200"/>
              <w:rPr>
                <w:b/>
                <w:color w:val="auto"/>
                <w:szCs w:val="21"/>
              </w:rPr>
            </w:pPr>
            <w:r>
              <w:rPr>
                <w:rFonts w:hint="eastAsia"/>
                <w:b/>
                <w:color w:val="auto"/>
                <w:sz w:val="21"/>
                <w:szCs w:val="21"/>
                <w:lang w:eastAsia="zh-CN"/>
              </w:rPr>
              <w:t>（</w:t>
            </w:r>
            <w:r>
              <w:rPr>
                <w:b/>
                <w:color w:val="auto"/>
                <w:sz w:val="21"/>
                <w:szCs w:val="21"/>
              </w:rPr>
              <w:t>1</w:t>
            </w:r>
            <w:r>
              <w:rPr>
                <w:rFonts w:hint="eastAsia"/>
                <w:b/>
                <w:color w:val="auto"/>
                <w:sz w:val="21"/>
                <w:szCs w:val="21"/>
                <w:lang w:eastAsia="zh-CN"/>
              </w:rPr>
              <w:t>）</w:t>
            </w:r>
            <w:r>
              <w:rPr>
                <w:b/>
                <w:color w:val="auto"/>
                <w:sz w:val="21"/>
                <w:szCs w:val="21"/>
              </w:rPr>
              <w:t>废气</w:t>
            </w:r>
          </w:p>
          <w:p>
            <w:pPr>
              <w:spacing w:line="360" w:lineRule="auto"/>
              <w:ind w:firstLine="420" w:firstLineChars="200"/>
              <w:rPr>
                <w:b/>
                <w:color w:val="auto"/>
                <w:szCs w:val="21"/>
              </w:rPr>
            </w:pPr>
            <w:r>
              <w:rPr>
                <w:b/>
                <w:color w:val="auto"/>
                <w:sz w:val="21"/>
                <w:szCs w:val="21"/>
              </w:rPr>
              <w:t>1</w:t>
            </w:r>
            <w:r>
              <w:rPr>
                <w:rFonts w:hint="eastAsia"/>
                <w:b/>
                <w:color w:val="auto"/>
                <w:sz w:val="21"/>
                <w:szCs w:val="21"/>
                <w:lang w:eastAsia="zh-CN"/>
              </w:rPr>
              <w:t>）</w:t>
            </w:r>
            <w:r>
              <w:rPr>
                <w:b/>
                <w:color w:val="auto"/>
                <w:sz w:val="21"/>
                <w:szCs w:val="21"/>
              </w:rPr>
              <w:t>施工期</w:t>
            </w:r>
          </w:p>
          <w:p>
            <w:pPr>
              <w:adjustRightInd w:val="0"/>
              <w:spacing w:line="360" w:lineRule="auto"/>
              <w:ind w:firstLine="420" w:firstLineChars="200"/>
              <w:rPr>
                <w:color w:val="auto"/>
                <w:kern w:val="0"/>
                <w:szCs w:val="21"/>
              </w:rPr>
            </w:pPr>
            <w:r>
              <w:rPr>
                <w:color w:val="auto"/>
                <w:kern w:val="0"/>
                <w:sz w:val="21"/>
                <w:szCs w:val="21"/>
              </w:rPr>
              <w:t>施工期</w:t>
            </w:r>
            <w:r>
              <w:rPr>
                <w:rFonts w:hint="eastAsia"/>
                <w:color w:val="auto"/>
                <w:kern w:val="0"/>
                <w:sz w:val="21"/>
                <w:szCs w:val="21"/>
                <w:lang w:val="en-US" w:eastAsia="zh-CN"/>
              </w:rPr>
              <w:t>废气</w:t>
            </w:r>
            <w:r>
              <w:rPr>
                <w:color w:val="auto"/>
                <w:kern w:val="0"/>
                <w:sz w:val="21"/>
                <w:szCs w:val="21"/>
              </w:rPr>
              <w:t>执行《大气污染物综合排放标准》</w:t>
            </w:r>
            <w:r>
              <w:rPr>
                <w:rFonts w:hint="eastAsia"/>
                <w:color w:val="auto"/>
                <w:kern w:val="0"/>
                <w:sz w:val="21"/>
                <w:szCs w:val="21"/>
                <w:lang w:eastAsia="zh-CN"/>
              </w:rPr>
              <w:t>（</w:t>
            </w:r>
            <w:r>
              <w:rPr>
                <w:color w:val="auto"/>
                <w:kern w:val="0"/>
                <w:sz w:val="21"/>
                <w:szCs w:val="21"/>
              </w:rPr>
              <w:t>GB 16297-1996</w:t>
            </w:r>
            <w:r>
              <w:rPr>
                <w:rFonts w:hint="eastAsia"/>
                <w:color w:val="auto"/>
                <w:kern w:val="0"/>
                <w:sz w:val="21"/>
                <w:szCs w:val="21"/>
                <w:lang w:eastAsia="zh-CN"/>
              </w:rPr>
              <w:t>）</w:t>
            </w:r>
            <w:r>
              <w:rPr>
                <w:color w:val="auto"/>
                <w:kern w:val="0"/>
                <w:sz w:val="21"/>
                <w:szCs w:val="21"/>
              </w:rPr>
              <w:t>表2中</w:t>
            </w:r>
            <w:r>
              <w:rPr>
                <w:rFonts w:hint="eastAsia"/>
                <w:color w:val="auto"/>
                <w:kern w:val="0"/>
                <w:sz w:val="21"/>
                <w:szCs w:val="21"/>
                <w:lang w:eastAsia="zh-CN"/>
              </w:rPr>
              <w:t>“</w:t>
            </w:r>
            <w:r>
              <w:rPr>
                <w:color w:val="auto"/>
                <w:kern w:val="0"/>
                <w:sz w:val="21"/>
                <w:szCs w:val="21"/>
              </w:rPr>
              <w:t>新污染源大气污染物排放限值</w:t>
            </w:r>
            <w:r>
              <w:rPr>
                <w:rFonts w:hint="eastAsia"/>
                <w:color w:val="auto"/>
                <w:kern w:val="0"/>
                <w:sz w:val="21"/>
                <w:szCs w:val="21"/>
                <w:lang w:eastAsia="zh-CN"/>
              </w:rPr>
              <w:t>”</w:t>
            </w:r>
            <w:r>
              <w:rPr>
                <w:color w:val="auto"/>
                <w:kern w:val="0"/>
                <w:sz w:val="21"/>
                <w:szCs w:val="21"/>
              </w:rPr>
              <w:t>中无</w:t>
            </w:r>
            <w:r>
              <w:rPr>
                <w:color w:val="auto"/>
                <w:sz w:val="21"/>
                <w:szCs w:val="21"/>
              </w:rPr>
              <w:t>组织</w:t>
            </w:r>
            <w:r>
              <w:rPr>
                <w:color w:val="auto"/>
                <w:kern w:val="0"/>
                <w:sz w:val="21"/>
                <w:szCs w:val="21"/>
              </w:rPr>
              <w:t>排放监控浓度限值</w:t>
            </w:r>
            <w:r>
              <w:rPr>
                <w:rFonts w:hint="eastAsia"/>
                <w:color w:val="auto"/>
                <w:kern w:val="0"/>
                <w:sz w:val="21"/>
                <w:szCs w:val="21"/>
                <w:lang w:eastAsia="zh-CN"/>
              </w:rPr>
              <w:t>（</w:t>
            </w:r>
            <w:r>
              <w:rPr>
                <w:color w:val="auto"/>
                <w:kern w:val="0"/>
                <w:sz w:val="21"/>
                <w:szCs w:val="21"/>
              </w:rPr>
              <w:t>周外浓度最高点</w:t>
            </w:r>
            <w:r>
              <w:rPr>
                <w:rFonts w:hint="eastAsia"/>
                <w:color w:val="auto"/>
                <w:kern w:val="0"/>
                <w:sz w:val="21"/>
                <w:szCs w:val="21"/>
                <w:lang w:eastAsia="zh-CN"/>
              </w:rPr>
              <w:t>）</w:t>
            </w:r>
            <w:r>
              <w:rPr>
                <w:color w:val="auto"/>
                <w:kern w:val="0"/>
                <w:sz w:val="21"/>
                <w:szCs w:val="21"/>
              </w:rPr>
              <w:t>，见表</w:t>
            </w:r>
            <w:r>
              <w:rPr>
                <w:rFonts w:hint="eastAsia"/>
                <w:color w:val="auto"/>
                <w:kern w:val="0"/>
                <w:sz w:val="21"/>
                <w:szCs w:val="21"/>
                <w:lang w:val="en-US" w:eastAsia="zh-CN"/>
              </w:rPr>
              <w:t>3-7</w:t>
            </w:r>
            <w:r>
              <w:rPr>
                <w:color w:val="auto"/>
                <w:kern w:val="0"/>
                <w:sz w:val="21"/>
                <w:szCs w:val="21"/>
              </w:rPr>
              <w:t>。</w:t>
            </w:r>
          </w:p>
          <w:p>
            <w:pPr>
              <w:adjustRightInd w:val="0"/>
              <w:jc w:val="center"/>
              <w:rPr>
                <w:color w:val="auto"/>
                <w:kern w:val="0"/>
                <w:szCs w:val="21"/>
              </w:rPr>
            </w:pPr>
            <w:r>
              <w:rPr>
                <w:b/>
                <w:color w:val="auto"/>
                <w:sz w:val="21"/>
                <w:szCs w:val="21"/>
              </w:rPr>
              <w:t>表</w:t>
            </w:r>
            <w:r>
              <w:rPr>
                <w:rFonts w:hint="eastAsia"/>
                <w:b/>
                <w:color w:val="auto"/>
                <w:sz w:val="21"/>
                <w:szCs w:val="21"/>
                <w:lang w:val="en-US" w:eastAsia="zh-CN"/>
              </w:rPr>
              <w:t>3-7</w:t>
            </w:r>
            <w:r>
              <w:rPr>
                <w:b/>
                <w:color w:val="auto"/>
                <w:sz w:val="21"/>
                <w:szCs w:val="21"/>
              </w:rPr>
              <w:t>新污染源大气污染物排放限值</w:t>
            </w:r>
          </w:p>
          <w:tbl>
            <w:tblPr>
              <w:tblStyle w:val="TableNormal"/>
              <w:tblW w:w="4999"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2149"/>
              <w:gridCol w:w="2983"/>
              <w:gridCol w:w="2232"/>
            </w:tblGrid>
            <w:tr>
              <w:tblPrEx>
                <w:tblW w:w="4999"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hRule="auto" w:val="0"/>
                <w:jc w:val="center"/>
              </w:trPr>
              <w:tc>
                <w:tcPr>
                  <w:tcW w:w="1459" w:type="pct"/>
                  <w:vMerge w:val="restart"/>
                  <w:tcBorders>
                    <w:left w:val="single" w:sz="0" w:space="0" w:color="auto"/>
                  </w:tcBorders>
                  <w:noWrap w:val="0"/>
                  <w:vAlign w:val="center"/>
                </w:tcPr>
                <w:p>
                  <w:pPr>
                    <w:jc w:val="center"/>
                    <w:rPr>
                      <w:b/>
                      <w:color w:val="auto"/>
                      <w:szCs w:val="21"/>
                    </w:rPr>
                  </w:pPr>
                  <w:r>
                    <w:rPr>
                      <w:b/>
                      <w:color w:val="auto"/>
                      <w:sz w:val="21"/>
                      <w:szCs w:val="21"/>
                    </w:rPr>
                    <w:t>污染物</w:t>
                  </w:r>
                </w:p>
              </w:tc>
              <w:tc>
                <w:tcPr>
                  <w:tcW w:w="3540" w:type="pct"/>
                  <w:gridSpan w:val="2"/>
                  <w:tcBorders>
                    <w:right w:val="single" w:sz="4" w:space="0" w:color="auto"/>
                  </w:tcBorders>
                  <w:noWrap w:val="0"/>
                  <w:vAlign w:val="center"/>
                </w:tcPr>
                <w:p>
                  <w:pPr>
                    <w:jc w:val="center"/>
                    <w:rPr>
                      <w:b/>
                      <w:color w:val="auto"/>
                      <w:szCs w:val="21"/>
                    </w:rPr>
                  </w:pPr>
                  <w:r>
                    <w:rPr>
                      <w:b/>
                      <w:color w:val="auto"/>
                      <w:sz w:val="21"/>
                      <w:szCs w:val="21"/>
                    </w:rPr>
                    <w:t>无组织排放监控浓度限值</w:t>
                  </w:r>
                </w:p>
              </w:tc>
            </w:tr>
            <w:tr>
              <w:tblPrEx>
                <w:tblW w:w="4999" w:type="pct"/>
                <w:jc w:val="center"/>
                <w:tblCellMar>
                  <w:top w:w="0" w:type="dxa"/>
                  <w:left w:w="108" w:type="dxa"/>
                  <w:bottom w:w="0" w:type="dxa"/>
                  <w:right w:w="108" w:type="dxa"/>
                </w:tblCellMar>
              </w:tblPrEx>
              <w:trPr>
                <w:trHeight w:hRule="auto" w:val="0"/>
                <w:jc w:val="center"/>
              </w:trPr>
              <w:tc>
                <w:tcPr>
                  <w:tcW w:w="1459" w:type="pct"/>
                  <w:vMerge/>
                  <w:tcBorders>
                    <w:left w:val="single" w:sz="4" w:space="0" w:color="auto"/>
                  </w:tcBorders>
                  <w:noWrap w:val="0"/>
                  <w:vAlign w:val="center"/>
                </w:tcPr>
                <w:p>
                  <w:pPr>
                    <w:jc w:val="center"/>
                    <w:rPr>
                      <w:b/>
                      <w:color w:val="auto"/>
                      <w:szCs w:val="21"/>
                    </w:rPr>
                  </w:pPr>
                </w:p>
              </w:tc>
              <w:tc>
                <w:tcPr>
                  <w:tcW w:w="2025" w:type="pct"/>
                  <w:noWrap w:val="0"/>
                  <w:vAlign w:val="center"/>
                </w:tcPr>
                <w:p>
                  <w:pPr>
                    <w:jc w:val="center"/>
                    <w:rPr>
                      <w:b/>
                      <w:color w:val="auto"/>
                      <w:szCs w:val="21"/>
                    </w:rPr>
                  </w:pPr>
                  <w:r>
                    <w:rPr>
                      <w:b/>
                      <w:color w:val="auto"/>
                      <w:sz w:val="21"/>
                      <w:szCs w:val="21"/>
                    </w:rPr>
                    <w:t>监控点</w:t>
                  </w:r>
                </w:p>
              </w:tc>
              <w:tc>
                <w:tcPr>
                  <w:tcW w:w="1515" w:type="pct"/>
                  <w:tcBorders>
                    <w:right w:val="single" w:sz="4" w:space="0" w:color="auto"/>
                  </w:tcBorders>
                  <w:noWrap w:val="0"/>
                  <w:vAlign w:val="center"/>
                </w:tcPr>
                <w:p>
                  <w:pPr>
                    <w:jc w:val="center"/>
                    <w:rPr>
                      <w:rFonts w:hint="eastAsia"/>
                      <w:b/>
                      <w:color w:val="auto"/>
                      <w:szCs w:val="21"/>
                    </w:rPr>
                  </w:pPr>
                  <w:r>
                    <w:rPr>
                      <w:b/>
                      <w:color w:val="auto"/>
                      <w:sz w:val="21"/>
                      <w:szCs w:val="21"/>
                    </w:rPr>
                    <w:t>浓度</w:t>
                  </w:r>
                  <w:r>
                    <w:rPr>
                      <w:rFonts w:hint="eastAsia"/>
                      <w:b/>
                      <w:color w:val="auto"/>
                      <w:sz w:val="21"/>
                      <w:szCs w:val="21"/>
                      <w:lang w:eastAsia="zh-CN"/>
                    </w:rPr>
                    <w:t>（</w:t>
                  </w:r>
                  <w:r>
                    <w:rPr>
                      <w:b/>
                      <w:color w:val="auto"/>
                      <w:sz w:val="21"/>
                      <w:szCs w:val="21"/>
                    </w:rPr>
                    <w:t>mg/Nm</w:t>
                  </w:r>
                  <w:r>
                    <w:rPr>
                      <w:b/>
                      <w:color w:val="auto"/>
                      <w:sz w:val="21"/>
                      <w:szCs w:val="21"/>
                      <w:vertAlign w:val="superscript"/>
                    </w:rPr>
                    <w:t>3</w:t>
                  </w:r>
                  <w:r>
                    <w:rPr>
                      <w:rFonts w:hint="eastAsia"/>
                      <w:b/>
                      <w:color w:val="auto"/>
                      <w:sz w:val="21"/>
                      <w:szCs w:val="21"/>
                      <w:lang w:eastAsia="zh-CN"/>
                    </w:rPr>
                    <w:t>）</w:t>
                  </w:r>
                </w:p>
              </w:tc>
            </w:tr>
            <w:tr>
              <w:tblPrEx>
                <w:tblW w:w="4999" w:type="pct"/>
                <w:jc w:val="center"/>
                <w:tblCellMar>
                  <w:top w:w="0" w:type="dxa"/>
                  <w:left w:w="108" w:type="dxa"/>
                  <w:bottom w:w="0" w:type="dxa"/>
                  <w:right w:w="108" w:type="dxa"/>
                </w:tblCellMar>
              </w:tblPrEx>
              <w:trPr>
                <w:trHeight w:hRule="auto" w:val="0"/>
                <w:jc w:val="center"/>
              </w:trPr>
              <w:tc>
                <w:tcPr>
                  <w:tcW w:w="1459" w:type="pct"/>
                  <w:tcBorders>
                    <w:left w:val="single" w:sz="4" w:space="0" w:color="auto"/>
                  </w:tcBorders>
                  <w:noWrap w:val="0"/>
                  <w:vAlign w:val="center"/>
                </w:tcPr>
                <w:p>
                  <w:pPr>
                    <w:snapToGrid w:val="0"/>
                    <w:jc w:val="center"/>
                    <w:rPr>
                      <w:bCs/>
                      <w:color w:val="auto"/>
                      <w:szCs w:val="21"/>
                    </w:rPr>
                  </w:pPr>
                  <w:r>
                    <w:rPr>
                      <w:color w:val="auto"/>
                      <w:sz w:val="21"/>
                      <w:szCs w:val="21"/>
                    </w:rPr>
                    <w:t>NO</w:t>
                  </w:r>
                  <w:r>
                    <w:rPr>
                      <w:color w:val="auto"/>
                      <w:sz w:val="21"/>
                      <w:szCs w:val="21"/>
                      <w:vertAlign w:val="subscript"/>
                    </w:rPr>
                    <w:t>X</w:t>
                  </w:r>
                </w:p>
              </w:tc>
              <w:tc>
                <w:tcPr>
                  <w:tcW w:w="2025" w:type="pct"/>
                  <w:noWrap w:val="0"/>
                  <w:vAlign w:val="center"/>
                </w:tcPr>
                <w:p>
                  <w:pPr>
                    <w:pStyle w:val="a3"/>
                    <w:spacing w:before="0" w:after="0" w:line="240" w:lineRule="auto"/>
                    <w:jc w:val="center"/>
                    <w:rPr>
                      <w:bCs/>
                      <w:color w:val="auto"/>
                      <w:sz w:val="21"/>
                      <w:szCs w:val="21"/>
                    </w:rPr>
                  </w:pPr>
                  <w:r>
                    <w:rPr>
                      <w:color w:val="auto"/>
                      <w:sz w:val="21"/>
                      <w:szCs w:val="21"/>
                    </w:rPr>
                    <w:t>周界外浓度最高点</w:t>
                  </w:r>
                </w:p>
              </w:tc>
              <w:tc>
                <w:tcPr>
                  <w:tcW w:w="1515" w:type="pct"/>
                  <w:tcBorders>
                    <w:right w:val="single" w:sz="4" w:space="0" w:color="auto"/>
                  </w:tcBorders>
                  <w:noWrap w:val="0"/>
                  <w:vAlign w:val="center"/>
                </w:tcPr>
                <w:p>
                  <w:pPr>
                    <w:pStyle w:val="a3"/>
                    <w:spacing w:before="0" w:after="0" w:line="240" w:lineRule="auto"/>
                    <w:jc w:val="center"/>
                    <w:rPr>
                      <w:bCs/>
                      <w:color w:val="auto"/>
                      <w:sz w:val="21"/>
                      <w:szCs w:val="21"/>
                    </w:rPr>
                  </w:pPr>
                  <w:r>
                    <w:rPr>
                      <w:color w:val="auto"/>
                      <w:sz w:val="21"/>
                      <w:szCs w:val="21"/>
                    </w:rPr>
                    <w:t>0.12</w:t>
                  </w:r>
                </w:p>
              </w:tc>
            </w:tr>
            <w:tr>
              <w:tblPrEx>
                <w:tblW w:w="4999" w:type="pct"/>
                <w:jc w:val="center"/>
                <w:tblCellMar>
                  <w:top w:w="0" w:type="dxa"/>
                  <w:left w:w="108" w:type="dxa"/>
                  <w:bottom w:w="0" w:type="dxa"/>
                  <w:right w:w="108" w:type="dxa"/>
                </w:tblCellMar>
              </w:tblPrEx>
              <w:trPr>
                <w:trHeight w:hRule="auto" w:val="0"/>
                <w:jc w:val="center"/>
              </w:trPr>
              <w:tc>
                <w:tcPr>
                  <w:tcW w:w="1459" w:type="pct"/>
                  <w:tcBorders>
                    <w:left w:val="single" w:sz="4" w:space="0" w:color="auto"/>
                  </w:tcBorders>
                  <w:noWrap w:val="0"/>
                  <w:vAlign w:val="center"/>
                </w:tcPr>
                <w:p>
                  <w:pPr>
                    <w:snapToGrid w:val="0"/>
                    <w:jc w:val="center"/>
                    <w:rPr>
                      <w:bCs/>
                      <w:color w:val="auto"/>
                      <w:szCs w:val="21"/>
                    </w:rPr>
                  </w:pPr>
                  <w:r>
                    <w:rPr>
                      <w:color w:val="auto"/>
                      <w:sz w:val="21"/>
                      <w:szCs w:val="21"/>
                    </w:rPr>
                    <w:t>SO</w:t>
                  </w:r>
                  <w:r>
                    <w:rPr>
                      <w:color w:val="auto"/>
                      <w:sz w:val="21"/>
                      <w:szCs w:val="21"/>
                      <w:vertAlign w:val="subscript"/>
                    </w:rPr>
                    <w:t>2</w:t>
                  </w:r>
                </w:p>
              </w:tc>
              <w:tc>
                <w:tcPr>
                  <w:tcW w:w="2025" w:type="pct"/>
                  <w:noWrap w:val="0"/>
                  <w:vAlign w:val="center"/>
                </w:tcPr>
                <w:p>
                  <w:pPr>
                    <w:pStyle w:val="a3"/>
                    <w:spacing w:before="0" w:after="0" w:line="240" w:lineRule="auto"/>
                    <w:jc w:val="center"/>
                    <w:rPr>
                      <w:bCs/>
                      <w:color w:val="auto"/>
                      <w:sz w:val="21"/>
                      <w:szCs w:val="21"/>
                    </w:rPr>
                  </w:pPr>
                  <w:r>
                    <w:rPr>
                      <w:color w:val="auto"/>
                      <w:sz w:val="21"/>
                      <w:szCs w:val="21"/>
                    </w:rPr>
                    <w:t>周界外浓度最高点</w:t>
                  </w:r>
                </w:p>
              </w:tc>
              <w:tc>
                <w:tcPr>
                  <w:tcW w:w="1515" w:type="pct"/>
                  <w:tcBorders>
                    <w:right w:val="single" w:sz="4" w:space="0" w:color="auto"/>
                  </w:tcBorders>
                  <w:noWrap w:val="0"/>
                  <w:vAlign w:val="center"/>
                </w:tcPr>
                <w:p>
                  <w:pPr>
                    <w:pStyle w:val="a3"/>
                    <w:spacing w:before="0" w:after="0" w:line="240" w:lineRule="auto"/>
                    <w:jc w:val="center"/>
                    <w:rPr>
                      <w:bCs/>
                      <w:color w:val="auto"/>
                      <w:sz w:val="21"/>
                      <w:szCs w:val="21"/>
                    </w:rPr>
                  </w:pPr>
                  <w:r>
                    <w:rPr>
                      <w:color w:val="auto"/>
                      <w:sz w:val="21"/>
                      <w:szCs w:val="21"/>
                    </w:rPr>
                    <w:t>0.40</w:t>
                  </w:r>
                </w:p>
              </w:tc>
            </w:tr>
            <w:tr>
              <w:tblPrEx>
                <w:tblW w:w="4999" w:type="pct"/>
                <w:jc w:val="center"/>
                <w:tblCellMar>
                  <w:top w:w="0" w:type="dxa"/>
                  <w:left w:w="108" w:type="dxa"/>
                  <w:bottom w:w="0" w:type="dxa"/>
                  <w:right w:w="108" w:type="dxa"/>
                </w:tblCellMar>
              </w:tblPrEx>
              <w:trPr>
                <w:trHeight w:hRule="auto" w:val="0"/>
                <w:jc w:val="center"/>
              </w:trPr>
              <w:tc>
                <w:tcPr>
                  <w:tcW w:w="1459" w:type="pct"/>
                  <w:tcBorders>
                    <w:left w:val="single" w:sz="4" w:space="0" w:color="auto"/>
                  </w:tcBorders>
                  <w:noWrap w:val="0"/>
                  <w:vAlign w:val="center"/>
                </w:tcPr>
                <w:p>
                  <w:pPr>
                    <w:snapToGrid w:val="0"/>
                    <w:jc w:val="center"/>
                    <w:rPr>
                      <w:bCs/>
                      <w:color w:val="auto"/>
                      <w:szCs w:val="21"/>
                    </w:rPr>
                  </w:pPr>
                  <w:r>
                    <w:rPr>
                      <w:color w:val="auto"/>
                      <w:sz w:val="21"/>
                      <w:szCs w:val="21"/>
                    </w:rPr>
                    <w:t>颗粒物</w:t>
                  </w:r>
                </w:p>
              </w:tc>
              <w:tc>
                <w:tcPr>
                  <w:tcW w:w="2025" w:type="pct"/>
                  <w:noWrap w:val="0"/>
                  <w:vAlign w:val="center"/>
                </w:tcPr>
                <w:p>
                  <w:pPr>
                    <w:pStyle w:val="a3"/>
                    <w:spacing w:before="0" w:after="0" w:line="240" w:lineRule="auto"/>
                    <w:jc w:val="center"/>
                    <w:rPr>
                      <w:bCs/>
                      <w:color w:val="auto"/>
                      <w:sz w:val="21"/>
                      <w:szCs w:val="21"/>
                    </w:rPr>
                  </w:pPr>
                  <w:r>
                    <w:rPr>
                      <w:color w:val="auto"/>
                      <w:sz w:val="21"/>
                      <w:szCs w:val="21"/>
                    </w:rPr>
                    <w:t>周界外浓度最高点</w:t>
                  </w:r>
                </w:p>
              </w:tc>
              <w:tc>
                <w:tcPr>
                  <w:tcW w:w="1515" w:type="pct"/>
                  <w:tcBorders>
                    <w:right w:val="single" w:sz="4" w:space="0" w:color="auto"/>
                  </w:tcBorders>
                  <w:noWrap w:val="0"/>
                  <w:vAlign w:val="center"/>
                </w:tcPr>
                <w:p>
                  <w:pPr>
                    <w:pStyle w:val="a3"/>
                    <w:spacing w:before="0" w:after="0" w:line="240" w:lineRule="auto"/>
                    <w:jc w:val="center"/>
                    <w:rPr>
                      <w:bCs/>
                      <w:color w:val="auto"/>
                      <w:sz w:val="21"/>
                      <w:szCs w:val="21"/>
                    </w:rPr>
                  </w:pPr>
                  <w:r>
                    <w:rPr>
                      <w:color w:val="auto"/>
                      <w:sz w:val="21"/>
                      <w:szCs w:val="21"/>
                    </w:rPr>
                    <w:t>1.0</w:t>
                  </w:r>
                </w:p>
              </w:tc>
            </w:tr>
          </w:tbl>
          <w:p/>
        </w:tc>
      </w:tr>
    </w:tbl>
    <w:p>
      <w:pPr>
        <w:sectPr>
          <w:footerReference w:type="even" r:id="rId42"/>
          <w:footerReference w:type="default" r:id="rId43"/>
          <w:type w:val="nextPage"/>
          <w:pgSz w:w="11906" w:h="16838"/>
          <w:pgMar w:top="1440" w:right="1800" w:bottom="1440" w:left="1800" w:header="851" w:footer="1077" w:gutter="0"/>
          <w:pgNumType w:fmt="decimal" w:start="17"/>
          <w:cols w:num="1" w:space="720"/>
          <w:titlePg w:val="0"/>
          <w:docGrid w:linePitch="312" w:charSpace="0"/>
        </w:sectPr>
      </w:pPr>
    </w:p>
    <w:tbl>
      <w:tblPr>
        <w:tblStyle w:val="TableNormal"/>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941"/>
        <w:gridCol w:w="7581"/>
      </w:tblGrid>
      <w:tr>
        <w:tblPrEx>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64"/>
          <w:jc w:val="center"/>
        </w:trPr>
        <w:tc>
          <w:tcPr>
            <w:tcW w:w="552" w:type="pct"/>
            <w:noWrap w:val="0"/>
            <w:vAlign w:val="center"/>
          </w:tcPr>
          <w:p/>
        </w:tc>
        <w:tc>
          <w:tcPr>
            <w:tcW w:w="4447" w:type="pct"/>
            <w:noWrap w:val="0"/>
            <w:vAlign w:val="center"/>
          </w:tcPr>
          <w:p>
            <w:pPr>
              <w:spacing w:line="360" w:lineRule="auto"/>
              <w:ind w:firstLine="420" w:firstLineChars="200"/>
              <w:rPr>
                <w:b/>
                <w:color w:val="auto"/>
                <w:szCs w:val="21"/>
              </w:rPr>
            </w:pPr>
            <w:r>
              <w:rPr>
                <w:rFonts w:hint="eastAsia"/>
                <w:b/>
                <w:color w:val="auto"/>
                <w:sz w:val="21"/>
                <w:szCs w:val="21"/>
                <w:lang w:eastAsia="zh-CN"/>
              </w:rPr>
              <w:t>（</w:t>
            </w:r>
            <w:r>
              <w:rPr>
                <w:b/>
                <w:color w:val="auto"/>
                <w:sz w:val="21"/>
                <w:szCs w:val="21"/>
              </w:rPr>
              <w:t>2</w:t>
            </w:r>
            <w:r>
              <w:rPr>
                <w:rFonts w:hint="eastAsia"/>
                <w:b/>
                <w:color w:val="auto"/>
                <w:sz w:val="21"/>
                <w:szCs w:val="21"/>
                <w:lang w:eastAsia="zh-CN"/>
              </w:rPr>
              <w:t>）</w:t>
            </w:r>
            <w:r>
              <w:rPr>
                <w:b/>
                <w:color w:val="auto"/>
                <w:sz w:val="21"/>
                <w:szCs w:val="21"/>
              </w:rPr>
              <w:t>噪声</w:t>
            </w:r>
          </w:p>
          <w:p>
            <w:pPr>
              <w:spacing w:line="360" w:lineRule="auto"/>
              <w:ind w:firstLine="420" w:firstLineChars="200"/>
              <w:rPr>
                <w:b/>
                <w:color w:val="auto"/>
                <w:szCs w:val="21"/>
              </w:rPr>
            </w:pPr>
            <w:r>
              <w:rPr>
                <w:b/>
                <w:color w:val="auto"/>
                <w:sz w:val="21"/>
                <w:szCs w:val="21"/>
              </w:rPr>
              <w:t>1</w:t>
            </w:r>
            <w:r>
              <w:rPr>
                <w:rFonts w:hint="eastAsia"/>
                <w:b/>
                <w:color w:val="auto"/>
                <w:sz w:val="21"/>
                <w:szCs w:val="21"/>
                <w:lang w:eastAsia="zh-CN"/>
              </w:rPr>
              <w:t>）</w:t>
            </w:r>
            <w:r>
              <w:rPr>
                <w:b/>
                <w:color w:val="auto"/>
                <w:sz w:val="21"/>
                <w:szCs w:val="21"/>
              </w:rPr>
              <w:t>施工期</w:t>
            </w:r>
          </w:p>
          <w:p>
            <w:pPr>
              <w:spacing w:line="360" w:lineRule="auto"/>
              <w:ind w:firstLine="420" w:firstLineChars="200"/>
              <w:rPr>
                <w:bCs/>
                <w:color w:val="auto"/>
                <w:szCs w:val="21"/>
              </w:rPr>
            </w:pPr>
            <w:r>
              <w:rPr>
                <w:bCs/>
                <w:color w:val="auto"/>
                <w:sz w:val="21"/>
                <w:szCs w:val="21"/>
              </w:rPr>
              <w:t>项目施工期噪声执行《建筑施工场界环境噪声排放标准》</w:t>
            </w:r>
            <w:r>
              <w:rPr>
                <w:rFonts w:hint="eastAsia"/>
                <w:bCs/>
                <w:color w:val="auto"/>
                <w:sz w:val="21"/>
                <w:szCs w:val="21"/>
                <w:lang w:eastAsia="zh-CN"/>
              </w:rPr>
              <w:t>（</w:t>
            </w:r>
            <w:r>
              <w:rPr>
                <w:bCs/>
                <w:color w:val="auto"/>
                <w:sz w:val="21"/>
                <w:szCs w:val="21"/>
              </w:rPr>
              <w:t>GB12523-2011</w:t>
            </w:r>
            <w:r>
              <w:rPr>
                <w:rFonts w:hint="eastAsia"/>
                <w:bCs/>
                <w:color w:val="auto"/>
                <w:sz w:val="21"/>
                <w:szCs w:val="21"/>
                <w:lang w:eastAsia="zh-CN"/>
              </w:rPr>
              <w:t>）</w:t>
            </w:r>
            <w:r>
              <w:rPr>
                <w:bCs/>
                <w:color w:val="auto"/>
                <w:sz w:val="21"/>
                <w:szCs w:val="21"/>
              </w:rPr>
              <w:t>，见表</w:t>
            </w:r>
            <w:r>
              <w:rPr>
                <w:rFonts w:hint="eastAsia"/>
                <w:bCs/>
                <w:color w:val="auto"/>
                <w:sz w:val="21"/>
                <w:szCs w:val="21"/>
                <w:lang w:val="en-US" w:eastAsia="zh-CN"/>
              </w:rPr>
              <w:t>3-8</w:t>
            </w:r>
            <w:r>
              <w:rPr>
                <w:bCs/>
                <w:color w:val="auto"/>
                <w:sz w:val="21"/>
                <w:szCs w:val="21"/>
              </w:rPr>
              <w:t>。</w:t>
            </w:r>
          </w:p>
          <w:p>
            <w:pPr>
              <w:pStyle w:val="a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color w:val="auto"/>
                <w:sz w:val="21"/>
              </w:rPr>
            </w:pPr>
          </w:p>
          <w:p>
            <w:pPr>
              <w:pStyle w:val="a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eastAsia="宋体" w:hAnsi="Times New Roman" w:hint="eastAsia"/>
                <w:b/>
                <w:color w:val="auto"/>
                <w:sz w:val="21"/>
                <w:lang w:eastAsia="zh-CN"/>
              </w:rPr>
            </w:pPr>
            <w:r>
              <w:rPr>
                <w:rFonts w:ascii="Times New Roman" w:hAnsi="Times New Roman"/>
                <w:b/>
                <w:color w:val="auto"/>
                <w:sz w:val="21"/>
                <w:szCs w:val="21"/>
              </w:rPr>
              <w:t>表</w:t>
            </w:r>
            <w:r>
              <w:rPr>
                <w:rFonts w:ascii="Times New Roman" w:hAnsi="Times New Roman" w:hint="eastAsia"/>
                <w:b/>
                <w:color w:val="auto"/>
                <w:sz w:val="21"/>
                <w:szCs w:val="21"/>
                <w:lang w:val="en-US" w:eastAsia="zh-CN"/>
              </w:rPr>
              <w:t>3-8</w:t>
            </w:r>
            <w:r>
              <w:rPr>
                <w:rFonts w:ascii="Times New Roman" w:hAnsi="Times New Roman"/>
                <w:b/>
                <w:color w:val="auto"/>
                <w:sz w:val="21"/>
                <w:szCs w:val="21"/>
              </w:rPr>
              <w:t xml:space="preserve"> 建筑施工场界环境噪声排放标准</w:t>
            </w:r>
            <w:r>
              <w:rPr>
                <w:rFonts w:ascii="Times New Roman" w:hAnsi="Times New Roman" w:hint="eastAsia"/>
                <w:b/>
                <w:color w:val="auto"/>
                <w:sz w:val="21"/>
                <w:szCs w:val="21"/>
                <w:lang w:eastAsia="zh-CN"/>
              </w:rPr>
              <w:t>（</w:t>
            </w:r>
            <w:r>
              <w:rPr>
                <w:rFonts w:ascii="Times New Roman" w:hAnsi="Times New Roman"/>
                <w:b/>
                <w:color w:val="auto"/>
                <w:sz w:val="21"/>
                <w:szCs w:val="21"/>
              </w:rPr>
              <w:t>GB12523-2011</w:t>
            </w:r>
            <w:r>
              <w:rPr>
                <w:rFonts w:ascii="Times New Roman" w:hAnsi="Times New Roman" w:hint="eastAsia"/>
                <w:b/>
                <w:color w:val="auto"/>
                <w:sz w:val="21"/>
                <w:szCs w:val="21"/>
                <w:lang w:eastAsia="zh-CN"/>
              </w:rPr>
              <w:t>）</w:t>
            </w:r>
            <w:r>
              <w:rPr>
                <w:rFonts w:ascii="Times New Roman" w:hAnsi="Times New Roman"/>
                <w:b/>
                <w:color w:val="auto"/>
                <w:sz w:val="21"/>
                <w:szCs w:val="21"/>
              </w:rPr>
              <w:t xml:space="preserve"> 单位：dB</w:t>
            </w:r>
            <w:r>
              <w:rPr>
                <w:rFonts w:ascii="Times New Roman" w:hAnsi="Times New Roman" w:hint="eastAsia"/>
                <w:b/>
                <w:color w:val="auto"/>
                <w:sz w:val="21"/>
                <w:szCs w:val="21"/>
                <w:lang w:eastAsia="zh-CN"/>
              </w:rPr>
              <w:t>（</w:t>
            </w:r>
            <w:r>
              <w:rPr>
                <w:rFonts w:ascii="Times New Roman" w:hAnsi="Times New Roman"/>
                <w:b/>
                <w:color w:val="auto"/>
                <w:sz w:val="21"/>
                <w:szCs w:val="21"/>
              </w:rPr>
              <w:t>A</w:t>
            </w:r>
            <w:r>
              <w:rPr>
                <w:rFonts w:ascii="Times New Roman" w:hAnsi="Times New Roman" w:hint="eastAsia"/>
                <w:b/>
                <w:color w:val="auto"/>
                <w:sz w:val="21"/>
                <w:szCs w:val="21"/>
                <w:lang w:eastAsia="zh-CN"/>
              </w:rPr>
              <w:t>）</w:t>
            </w:r>
          </w:p>
          <w:tbl>
            <w:tblPr>
              <w:tblStyle w:val="TableNormal"/>
              <w:tblW w:w="4999"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3683"/>
              <w:gridCol w:w="3681"/>
            </w:tblGrid>
            <w:tr>
              <w:tblPrEx>
                <w:tblW w:w="4999"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23"/>
                <w:jc w:val="center"/>
              </w:trPr>
              <w:tc>
                <w:tcPr>
                  <w:tcW w:w="2500" w:type="pct"/>
                  <w:tcBorders>
                    <w:left w:val="single" w:sz="0" w:space="0" w:color="auto"/>
                  </w:tcBorders>
                  <w:noWrap w:val="0"/>
                  <w:vAlign w:val="center"/>
                </w:tcPr>
                <w:p>
                  <w:pPr>
                    <w:jc w:val="center"/>
                    <w:rPr>
                      <w:b/>
                      <w:bCs/>
                      <w:color w:val="auto"/>
                      <w:szCs w:val="21"/>
                    </w:rPr>
                  </w:pPr>
                  <w:r>
                    <w:rPr>
                      <w:b/>
                      <w:bCs/>
                      <w:color w:val="auto"/>
                      <w:sz w:val="21"/>
                      <w:szCs w:val="21"/>
                    </w:rPr>
                    <w:t>昼间</w:t>
                  </w:r>
                </w:p>
              </w:tc>
              <w:tc>
                <w:tcPr>
                  <w:tcW w:w="2499" w:type="pct"/>
                  <w:tcBorders>
                    <w:right w:val="single" w:sz="4" w:space="0" w:color="auto"/>
                  </w:tcBorders>
                  <w:noWrap w:val="0"/>
                  <w:vAlign w:val="center"/>
                </w:tcPr>
                <w:p>
                  <w:pPr>
                    <w:jc w:val="center"/>
                    <w:rPr>
                      <w:b/>
                      <w:bCs/>
                      <w:color w:val="auto"/>
                      <w:szCs w:val="21"/>
                    </w:rPr>
                  </w:pPr>
                  <w:r>
                    <w:rPr>
                      <w:b/>
                      <w:bCs/>
                      <w:color w:val="auto"/>
                      <w:sz w:val="21"/>
                      <w:szCs w:val="21"/>
                    </w:rPr>
                    <w:t>夜间</w:t>
                  </w:r>
                </w:p>
              </w:tc>
            </w:tr>
            <w:tr>
              <w:tblPrEx>
                <w:tblW w:w="4999" w:type="pct"/>
                <w:jc w:val="center"/>
                <w:tblCellMar>
                  <w:top w:w="0" w:type="dxa"/>
                  <w:left w:w="108" w:type="dxa"/>
                  <w:bottom w:w="0" w:type="dxa"/>
                  <w:right w:w="108" w:type="dxa"/>
                </w:tblCellMar>
              </w:tblPrEx>
              <w:trPr>
                <w:trHeight w:val="23"/>
                <w:jc w:val="center"/>
              </w:trPr>
              <w:tc>
                <w:tcPr>
                  <w:tcW w:w="2500" w:type="pct"/>
                  <w:tcBorders>
                    <w:left w:val="single" w:sz="4" w:space="0" w:color="auto"/>
                  </w:tcBorders>
                  <w:noWrap w:val="0"/>
                  <w:vAlign w:val="center"/>
                </w:tcPr>
                <w:p>
                  <w:pPr>
                    <w:jc w:val="center"/>
                    <w:rPr>
                      <w:b/>
                      <w:color w:val="auto"/>
                      <w:szCs w:val="21"/>
                    </w:rPr>
                  </w:pPr>
                  <w:r>
                    <w:rPr>
                      <w:b/>
                      <w:color w:val="auto"/>
                      <w:sz w:val="21"/>
                      <w:szCs w:val="21"/>
                    </w:rPr>
                    <w:t>70</w:t>
                  </w:r>
                </w:p>
              </w:tc>
              <w:tc>
                <w:tcPr>
                  <w:tcW w:w="2499" w:type="pct"/>
                  <w:tcBorders>
                    <w:right w:val="single" w:sz="4" w:space="0" w:color="auto"/>
                  </w:tcBorders>
                  <w:noWrap w:val="0"/>
                  <w:vAlign w:val="center"/>
                </w:tcPr>
                <w:p>
                  <w:pPr>
                    <w:jc w:val="center"/>
                    <w:rPr>
                      <w:b/>
                      <w:color w:val="auto"/>
                      <w:szCs w:val="21"/>
                    </w:rPr>
                  </w:pPr>
                  <w:r>
                    <w:rPr>
                      <w:b/>
                      <w:color w:val="auto"/>
                      <w:sz w:val="21"/>
                      <w:szCs w:val="21"/>
                    </w:rPr>
                    <w:t>55</w:t>
                  </w:r>
                </w:p>
              </w:tc>
            </w:tr>
          </w:tbl>
          <w:p>
            <w:pPr>
              <w:tabs>
                <w:tab w:val="left" w:pos="780"/>
              </w:tabs>
              <w:spacing w:line="360" w:lineRule="auto"/>
              <w:ind w:firstLine="420" w:firstLineChars="200"/>
              <w:rPr>
                <w:b/>
                <w:bCs/>
                <w:color w:val="auto"/>
                <w:szCs w:val="21"/>
              </w:rPr>
            </w:pPr>
            <w:r>
              <w:rPr>
                <w:b/>
                <w:bCs/>
                <w:color w:val="auto"/>
                <w:sz w:val="21"/>
                <w:szCs w:val="21"/>
              </w:rPr>
              <w:t>2</w:t>
            </w:r>
            <w:r>
              <w:rPr>
                <w:rFonts w:hint="eastAsia"/>
                <w:b/>
                <w:bCs/>
                <w:color w:val="auto"/>
                <w:sz w:val="21"/>
                <w:szCs w:val="21"/>
                <w:lang w:eastAsia="zh-CN"/>
              </w:rPr>
              <w:t>）</w:t>
            </w:r>
            <w:r>
              <w:rPr>
                <w:b/>
                <w:bCs/>
                <w:color w:val="auto"/>
                <w:sz w:val="21"/>
                <w:szCs w:val="21"/>
              </w:rPr>
              <w:t>运营期</w:t>
            </w:r>
          </w:p>
          <w:p>
            <w:pPr>
              <w:spacing w:line="360" w:lineRule="auto"/>
              <w:rPr>
                <w:b/>
                <w:color w:val="auto"/>
                <w:szCs w:val="21"/>
              </w:rPr>
            </w:pPr>
            <w:r>
              <w:rPr>
                <w:color w:val="auto"/>
                <w:sz w:val="21"/>
                <w:szCs w:val="21"/>
              </w:rPr>
              <w:t xml:space="preserve">   </w:t>
            </w:r>
            <w:r>
              <w:rPr>
                <w:color w:val="auto"/>
                <w:spacing w:val="-6"/>
                <w:sz w:val="21"/>
                <w:szCs w:val="21"/>
              </w:rPr>
              <w:t>项目营运期噪声排放执行《社会生活环境噪声排放标准》</w:t>
            </w:r>
            <w:r>
              <w:rPr>
                <w:rFonts w:hint="eastAsia"/>
                <w:color w:val="auto"/>
                <w:spacing w:val="-6"/>
                <w:sz w:val="21"/>
                <w:szCs w:val="21"/>
                <w:lang w:eastAsia="zh-CN"/>
              </w:rPr>
              <w:t>（</w:t>
            </w:r>
            <w:r>
              <w:rPr>
                <w:color w:val="auto"/>
                <w:spacing w:val="-6"/>
                <w:sz w:val="21"/>
                <w:szCs w:val="21"/>
              </w:rPr>
              <w:t>GB22337-2008</w:t>
            </w:r>
            <w:r>
              <w:rPr>
                <w:rFonts w:hint="eastAsia"/>
                <w:color w:val="auto"/>
                <w:spacing w:val="-6"/>
                <w:sz w:val="21"/>
                <w:szCs w:val="21"/>
                <w:lang w:eastAsia="zh-CN"/>
              </w:rPr>
              <w:t>）</w:t>
            </w:r>
            <w:r>
              <w:rPr>
                <w:color w:val="auto"/>
                <w:spacing w:val="-6"/>
                <w:sz w:val="21"/>
                <w:szCs w:val="21"/>
              </w:rPr>
              <w:t>中</w:t>
            </w:r>
            <w:r>
              <w:rPr>
                <w:rFonts w:hint="eastAsia"/>
                <w:color w:val="auto"/>
                <w:spacing w:val="-6"/>
                <w:sz w:val="21"/>
                <w:szCs w:val="21"/>
              </w:rPr>
              <w:t>的2</w:t>
            </w:r>
            <w:r>
              <w:rPr>
                <w:color w:val="auto"/>
                <w:spacing w:val="-6"/>
                <w:sz w:val="21"/>
                <w:szCs w:val="21"/>
              </w:rPr>
              <w:t>类标准</w:t>
            </w:r>
            <w:r>
              <w:rPr>
                <w:rFonts w:hint="eastAsia"/>
                <w:color w:val="auto"/>
                <w:spacing w:val="-6"/>
                <w:sz w:val="21"/>
                <w:szCs w:val="21"/>
              </w:rPr>
              <w:t>。</w:t>
            </w:r>
            <w:r>
              <w:rPr>
                <w:color w:val="auto"/>
                <w:spacing w:val="-6"/>
                <w:sz w:val="21"/>
                <w:szCs w:val="21"/>
              </w:rPr>
              <w:t>标准限值见下表</w:t>
            </w:r>
            <w:r>
              <w:rPr>
                <w:rFonts w:hint="eastAsia"/>
                <w:color w:val="auto"/>
                <w:spacing w:val="-6"/>
                <w:sz w:val="21"/>
                <w:szCs w:val="21"/>
                <w:lang w:val="en-US" w:eastAsia="zh-CN"/>
              </w:rPr>
              <w:t>3-9</w:t>
            </w:r>
            <w:r>
              <w:rPr>
                <w:color w:val="auto"/>
                <w:spacing w:val="-6"/>
                <w:sz w:val="21"/>
                <w:szCs w:val="21"/>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color w:val="auto"/>
                <w:szCs w:val="21"/>
              </w:rPr>
            </w:pPr>
            <w:r>
              <w:rPr>
                <w:b/>
                <w:color w:val="auto"/>
                <w:sz w:val="21"/>
                <w:szCs w:val="21"/>
              </w:rPr>
              <w:t>表</w:t>
            </w:r>
            <w:r>
              <w:rPr>
                <w:rFonts w:hint="eastAsia"/>
                <w:b/>
                <w:color w:val="auto"/>
                <w:sz w:val="21"/>
                <w:szCs w:val="21"/>
                <w:lang w:val="en-US" w:eastAsia="zh-CN"/>
              </w:rPr>
              <w:t>3-9</w:t>
            </w:r>
            <w:r>
              <w:rPr>
                <w:b/>
                <w:color w:val="auto"/>
                <w:sz w:val="21"/>
                <w:szCs w:val="21"/>
              </w:rPr>
              <w:t>项目运营期</w:t>
            </w:r>
            <w:r>
              <w:rPr>
                <w:b/>
                <w:color w:val="auto"/>
                <w:sz w:val="21"/>
                <w:szCs w:val="21"/>
                <w:highlight w:val="none"/>
              </w:rPr>
              <w:t>场界</w:t>
            </w:r>
            <w:r>
              <w:rPr>
                <w:b/>
                <w:color w:val="auto"/>
                <w:sz w:val="21"/>
                <w:szCs w:val="21"/>
              </w:rPr>
              <w:t>环境噪声排放限值  单位：dB</w:t>
            </w:r>
            <w:r>
              <w:rPr>
                <w:rFonts w:hint="eastAsia"/>
                <w:b/>
                <w:color w:val="auto"/>
                <w:sz w:val="21"/>
                <w:szCs w:val="21"/>
                <w:lang w:eastAsia="zh-CN"/>
              </w:rPr>
              <w:t>（</w:t>
            </w:r>
            <w:r>
              <w:rPr>
                <w:b/>
                <w:color w:val="auto"/>
                <w:sz w:val="21"/>
                <w:szCs w:val="21"/>
              </w:rPr>
              <w:t>A</w:t>
            </w:r>
            <w:r>
              <w:rPr>
                <w:rFonts w:hint="eastAsia"/>
                <w:b/>
                <w:color w:val="auto"/>
                <w:sz w:val="21"/>
                <w:szCs w:val="21"/>
                <w:lang w:eastAsia="zh-CN"/>
              </w:rPr>
              <w:t>）</w:t>
            </w:r>
          </w:p>
          <w:tbl>
            <w:tblPr>
              <w:tblStyle w:val="TableNormal"/>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2504"/>
              <w:gridCol w:w="2330"/>
              <w:gridCol w:w="2520"/>
            </w:tblGrid>
            <w:tr>
              <w:tblPrEx>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rPr>
                <w:trHeight w:val="23"/>
                <w:jc w:val="center"/>
              </w:trPr>
              <w:tc>
                <w:tcPr>
                  <w:tcW w:w="1702" w:type="pct"/>
                  <w:vMerge w:val="restart"/>
                  <w:tcBorders>
                    <w:top w:val="single" w:sz="4" w:space="0" w:color="auto"/>
                    <w:left w:val="single" w:sz="4" w:space="0" w:color="auto"/>
                    <w:right w:val="single" w:sz="4" w:space="0" w:color="auto"/>
                  </w:tcBorders>
                  <w:noWrap w:val="0"/>
                  <w:vAlign w:val="center"/>
                </w:tcPr>
                <w:p>
                  <w:pPr>
                    <w:jc w:val="center"/>
                    <w:rPr>
                      <w:b/>
                      <w:bCs/>
                      <w:color w:val="auto"/>
                      <w:szCs w:val="21"/>
                    </w:rPr>
                  </w:pPr>
                  <w:r>
                    <w:rPr>
                      <w:b/>
                      <w:bCs/>
                      <w:color w:val="auto"/>
                      <w:sz w:val="21"/>
                      <w:szCs w:val="21"/>
                    </w:rPr>
                    <w:t>类别</w:t>
                  </w:r>
                </w:p>
              </w:tc>
              <w:tc>
                <w:tcPr>
                  <w:tcW w:w="3297" w:type="pct"/>
                  <w:gridSpan w:val="2"/>
                  <w:tcBorders>
                    <w:top w:val="single" w:sz="4" w:space="0" w:color="auto"/>
                    <w:left w:val="single" w:sz="4" w:space="0" w:color="auto"/>
                    <w:bottom w:val="single" w:sz="4" w:space="0" w:color="auto"/>
                    <w:right w:val="single" w:sz="4" w:space="0" w:color="auto"/>
                  </w:tcBorders>
                  <w:noWrap w:val="0"/>
                  <w:tcMar>
                    <w:top w:w="17" w:type="dxa"/>
                    <w:left w:w="17" w:type="dxa"/>
                    <w:bottom w:w="0" w:type="dxa"/>
                    <w:right w:w="17" w:type="dxa"/>
                  </w:tcMar>
                  <w:vAlign w:val="center"/>
                </w:tcPr>
                <w:p>
                  <w:pPr>
                    <w:jc w:val="center"/>
                    <w:rPr>
                      <w:b/>
                      <w:bCs/>
                      <w:color w:val="auto"/>
                      <w:szCs w:val="21"/>
                    </w:rPr>
                  </w:pPr>
                  <w:r>
                    <w:rPr>
                      <w:b/>
                      <w:bCs/>
                      <w:color w:val="auto"/>
                      <w:sz w:val="21"/>
                      <w:szCs w:val="21"/>
                    </w:rPr>
                    <w:t>标准值</w:t>
                  </w:r>
                </w:p>
              </w:tc>
            </w:tr>
            <w:tr>
              <w:tblPrEx>
                <w:tblW w:w="4999" w:type="pct"/>
                <w:jc w:val="center"/>
                <w:tblCellMar>
                  <w:top w:w="0" w:type="dxa"/>
                  <w:left w:w="0" w:type="dxa"/>
                  <w:bottom w:w="0" w:type="dxa"/>
                  <w:right w:w="0" w:type="dxa"/>
                </w:tblCellMar>
              </w:tblPrEx>
              <w:trPr>
                <w:trHeight w:val="90"/>
                <w:jc w:val="center"/>
              </w:trPr>
              <w:tc>
                <w:tcPr>
                  <w:tcW w:w="1702" w:type="pct"/>
                  <w:vMerge/>
                  <w:tcBorders>
                    <w:left w:val="single" w:sz="4" w:space="0" w:color="auto"/>
                    <w:bottom w:val="single" w:sz="4" w:space="0" w:color="auto"/>
                    <w:right w:val="single" w:sz="4" w:space="0" w:color="auto"/>
                  </w:tcBorders>
                  <w:noWrap w:val="0"/>
                  <w:vAlign w:val="center"/>
                </w:tcPr>
                <w:p>
                  <w:pPr>
                    <w:jc w:val="center"/>
                    <w:rPr>
                      <w:b/>
                      <w:bCs/>
                      <w:color w:val="auto"/>
                      <w:szCs w:val="21"/>
                    </w:rPr>
                  </w:pPr>
                </w:p>
              </w:tc>
              <w:tc>
                <w:tcPr>
                  <w:tcW w:w="1584" w:type="pct"/>
                  <w:tcBorders>
                    <w:top w:val="single" w:sz="4" w:space="0" w:color="auto"/>
                    <w:left w:val="single" w:sz="4" w:space="0" w:color="auto"/>
                    <w:bottom w:val="single" w:sz="4" w:space="0" w:color="auto"/>
                    <w:right w:val="single" w:sz="4" w:space="0" w:color="auto"/>
                  </w:tcBorders>
                  <w:noWrap w:val="0"/>
                  <w:tcMar>
                    <w:top w:w="17" w:type="dxa"/>
                    <w:left w:w="17" w:type="dxa"/>
                    <w:bottom w:w="0" w:type="dxa"/>
                    <w:right w:w="17" w:type="dxa"/>
                  </w:tcMar>
                  <w:vAlign w:val="center"/>
                </w:tcPr>
                <w:p>
                  <w:pPr>
                    <w:jc w:val="center"/>
                    <w:rPr>
                      <w:b/>
                      <w:bCs/>
                      <w:color w:val="auto"/>
                      <w:szCs w:val="21"/>
                    </w:rPr>
                  </w:pPr>
                  <w:r>
                    <w:rPr>
                      <w:b/>
                      <w:bCs/>
                      <w:color w:val="auto"/>
                      <w:sz w:val="21"/>
                      <w:szCs w:val="21"/>
                    </w:rPr>
                    <w:t>昼间</w:t>
                  </w:r>
                </w:p>
              </w:tc>
              <w:tc>
                <w:tcPr>
                  <w:tcW w:w="1713" w:type="pct"/>
                  <w:tcBorders>
                    <w:top w:val="single" w:sz="4" w:space="0" w:color="auto"/>
                    <w:left w:val="single" w:sz="4" w:space="0" w:color="auto"/>
                    <w:bottom w:val="single" w:sz="4" w:space="0" w:color="auto"/>
                    <w:right w:val="single" w:sz="4" w:space="0" w:color="auto"/>
                  </w:tcBorders>
                  <w:noWrap w:val="0"/>
                  <w:tcMar>
                    <w:top w:w="17" w:type="dxa"/>
                    <w:left w:w="17" w:type="dxa"/>
                    <w:bottom w:w="0" w:type="dxa"/>
                    <w:right w:w="17" w:type="dxa"/>
                  </w:tcMar>
                  <w:vAlign w:val="center"/>
                </w:tcPr>
                <w:p>
                  <w:pPr>
                    <w:jc w:val="center"/>
                    <w:rPr>
                      <w:b/>
                      <w:bCs/>
                      <w:color w:val="auto"/>
                      <w:szCs w:val="21"/>
                    </w:rPr>
                  </w:pPr>
                  <w:r>
                    <w:rPr>
                      <w:b/>
                      <w:bCs/>
                      <w:color w:val="auto"/>
                      <w:sz w:val="21"/>
                      <w:szCs w:val="21"/>
                    </w:rPr>
                    <w:t>夜间</w:t>
                  </w:r>
                </w:p>
              </w:tc>
            </w:tr>
            <w:tr>
              <w:tblPrEx>
                <w:tblW w:w="4999" w:type="pct"/>
                <w:jc w:val="center"/>
                <w:tblCellMar>
                  <w:top w:w="0" w:type="dxa"/>
                  <w:left w:w="0" w:type="dxa"/>
                  <w:bottom w:w="0" w:type="dxa"/>
                  <w:right w:w="0" w:type="dxa"/>
                </w:tblCellMar>
              </w:tblPrEx>
              <w:trPr>
                <w:trHeight w:val="23"/>
                <w:jc w:val="center"/>
              </w:trPr>
              <w:tc>
                <w:tcPr>
                  <w:tcW w:w="1702" w:type="pct"/>
                  <w:tcBorders>
                    <w:top w:val="single" w:sz="4" w:space="0" w:color="auto"/>
                    <w:left w:val="single" w:sz="4" w:space="0" w:color="auto"/>
                    <w:bottom w:val="single" w:sz="4" w:space="0" w:color="auto"/>
                    <w:right w:val="single" w:sz="4" w:space="0" w:color="auto"/>
                  </w:tcBorders>
                  <w:noWrap w:val="0"/>
                  <w:vAlign w:val="center"/>
                </w:tcPr>
                <w:p>
                  <w:pPr>
                    <w:jc w:val="center"/>
                    <w:rPr>
                      <w:color w:val="auto"/>
                      <w:szCs w:val="21"/>
                    </w:rPr>
                  </w:pPr>
                  <w:r>
                    <w:rPr>
                      <w:color w:val="auto"/>
                      <w:sz w:val="21"/>
                      <w:szCs w:val="21"/>
                    </w:rPr>
                    <w:t>2类</w:t>
                  </w:r>
                </w:p>
              </w:tc>
              <w:tc>
                <w:tcPr>
                  <w:tcW w:w="1584" w:type="pct"/>
                  <w:tcBorders>
                    <w:top w:val="single" w:sz="4" w:space="0" w:color="auto"/>
                    <w:left w:val="single" w:sz="4" w:space="0" w:color="auto"/>
                    <w:bottom w:val="single" w:sz="4" w:space="0" w:color="auto"/>
                    <w:right w:val="single" w:sz="4" w:space="0" w:color="auto"/>
                  </w:tcBorders>
                  <w:noWrap w:val="0"/>
                  <w:tcMar>
                    <w:top w:w="17" w:type="dxa"/>
                    <w:left w:w="17" w:type="dxa"/>
                    <w:bottom w:w="0" w:type="dxa"/>
                    <w:right w:w="17" w:type="dxa"/>
                  </w:tcMar>
                  <w:vAlign w:val="center"/>
                </w:tcPr>
                <w:p>
                  <w:pPr>
                    <w:jc w:val="center"/>
                    <w:rPr>
                      <w:color w:val="auto"/>
                      <w:szCs w:val="21"/>
                    </w:rPr>
                  </w:pPr>
                  <w:r>
                    <w:rPr>
                      <w:color w:val="auto"/>
                      <w:sz w:val="21"/>
                      <w:szCs w:val="21"/>
                    </w:rPr>
                    <w:t>60</w:t>
                  </w:r>
                </w:p>
              </w:tc>
              <w:tc>
                <w:tcPr>
                  <w:tcW w:w="1713" w:type="pct"/>
                  <w:tcBorders>
                    <w:top w:val="single" w:sz="4" w:space="0" w:color="auto"/>
                    <w:left w:val="single" w:sz="4" w:space="0" w:color="auto"/>
                    <w:bottom w:val="single" w:sz="4" w:space="0" w:color="auto"/>
                    <w:right w:val="single" w:sz="4" w:space="0" w:color="auto"/>
                  </w:tcBorders>
                  <w:noWrap w:val="0"/>
                  <w:tcMar>
                    <w:top w:w="17" w:type="dxa"/>
                    <w:left w:w="17" w:type="dxa"/>
                    <w:bottom w:w="0" w:type="dxa"/>
                    <w:right w:w="17" w:type="dxa"/>
                  </w:tcMar>
                  <w:vAlign w:val="center"/>
                </w:tcPr>
                <w:p>
                  <w:pPr>
                    <w:jc w:val="center"/>
                    <w:rPr>
                      <w:color w:val="auto"/>
                      <w:szCs w:val="21"/>
                    </w:rPr>
                  </w:pPr>
                  <w:r>
                    <w:rPr>
                      <w:color w:val="auto"/>
                      <w:sz w:val="21"/>
                      <w:szCs w:val="21"/>
                    </w:rPr>
                    <w:t>50</w:t>
                  </w:r>
                </w:p>
              </w:tc>
            </w:tr>
          </w:tbl>
          <w:p>
            <w:pPr>
              <w:tabs>
                <w:tab w:val="left" w:pos="780"/>
              </w:tabs>
              <w:spacing w:line="360" w:lineRule="auto"/>
              <w:ind w:firstLine="420" w:firstLineChars="200"/>
              <w:rPr>
                <w:b/>
                <w:bCs/>
                <w:color w:val="auto"/>
                <w:szCs w:val="21"/>
              </w:rPr>
            </w:pPr>
            <w:r>
              <w:rPr>
                <w:rFonts w:hint="eastAsia"/>
                <w:b/>
                <w:bCs/>
                <w:color w:val="auto"/>
                <w:sz w:val="21"/>
                <w:szCs w:val="21"/>
                <w:lang w:eastAsia="zh-CN"/>
              </w:rPr>
              <w:t>（</w:t>
            </w:r>
            <w:r>
              <w:rPr>
                <w:b/>
                <w:bCs/>
                <w:color w:val="auto"/>
                <w:sz w:val="21"/>
                <w:szCs w:val="21"/>
              </w:rPr>
              <w:t>3</w:t>
            </w:r>
            <w:r>
              <w:rPr>
                <w:rFonts w:hint="eastAsia"/>
                <w:b/>
                <w:bCs/>
                <w:color w:val="auto"/>
                <w:sz w:val="21"/>
                <w:szCs w:val="21"/>
                <w:lang w:eastAsia="zh-CN"/>
              </w:rPr>
              <w:t>）</w:t>
            </w:r>
            <w:r>
              <w:rPr>
                <w:b/>
                <w:bCs/>
                <w:color w:val="auto"/>
                <w:sz w:val="21"/>
                <w:szCs w:val="21"/>
              </w:rPr>
              <w:t>废水</w:t>
            </w:r>
          </w:p>
          <w:p>
            <w:pPr>
              <w:spacing w:line="360" w:lineRule="auto"/>
              <w:ind w:firstLine="420" w:firstLineChars="200"/>
              <w:rPr>
                <w:color w:val="auto"/>
                <w:szCs w:val="21"/>
              </w:rPr>
            </w:pPr>
            <w:r>
              <w:rPr>
                <w:rFonts w:hint="eastAsia"/>
                <w:color w:val="auto"/>
                <w:sz w:val="21"/>
                <w:szCs w:val="21"/>
              </w:rPr>
              <w:t>1</w:t>
            </w:r>
            <w:r>
              <w:rPr>
                <w:rFonts w:hint="eastAsia"/>
                <w:color w:val="auto"/>
                <w:sz w:val="21"/>
                <w:szCs w:val="21"/>
                <w:lang w:eastAsia="zh-CN"/>
              </w:rPr>
              <w:t>）</w:t>
            </w:r>
            <w:r>
              <w:rPr>
                <w:rFonts w:hint="eastAsia"/>
                <w:color w:val="auto"/>
                <w:sz w:val="21"/>
                <w:szCs w:val="21"/>
              </w:rPr>
              <w:t>施工期</w:t>
            </w:r>
          </w:p>
          <w:p>
            <w:pPr>
              <w:spacing w:line="360" w:lineRule="auto"/>
              <w:ind w:firstLine="420" w:firstLineChars="200"/>
              <w:rPr>
                <w:rFonts w:hint="eastAsia"/>
                <w:color w:val="auto"/>
                <w:szCs w:val="21"/>
              </w:rPr>
            </w:pPr>
            <w:r>
              <w:rPr>
                <w:color w:val="auto"/>
                <w:sz w:val="21"/>
                <w:szCs w:val="21"/>
              </w:rPr>
              <w:t>施工废水经过临时沉淀池沉淀处理后回用于场区洒水降尘</w:t>
            </w:r>
            <w:r>
              <w:rPr>
                <w:rFonts w:hint="eastAsia"/>
                <w:color w:val="auto"/>
                <w:sz w:val="21"/>
                <w:szCs w:val="21"/>
              </w:rPr>
              <w:t>。</w:t>
            </w:r>
          </w:p>
          <w:p>
            <w:pPr>
              <w:spacing w:line="360" w:lineRule="auto"/>
              <w:ind w:firstLine="420" w:firstLineChars="200"/>
              <w:rPr>
                <w:rFonts w:hint="eastAsia"/>
                <w:color w:val="auto"/>
                <w:szCs w:val="21"/>
              </w:rPr>
            </w:pPr>
            <w:r>
              <w:rPr>
                <w:rFonts w:hint="eastAsia"/>
                <w:color w:val="auto"/>
                <w:sz w:val="21"/>
                <w:szCs w:val="21"/>
              </w:rPr>
              <w:t>2</w:t>
            </w:r>
            <w:r>
              <w:rPr>
                <w:rFonts w:hint="eastAsia"/>
                <w:color w:val="auto"/>
                <w:sz w:val="21"/>
                <w:szCs w:val="21"/>
                <w:lang w:eastAsia="zh-CN"/>
              </w:rPr>
              <w:t>）</w:t>
            </w:r>
            <w:r>
              <w:rPr>
                <w:rFonts w:hint="eastAsia"/>
                <w:color w:val="auto"/>
                <w:sz w:val="21"/>
                <w:szCs w:val="21"/>
              </w:rPr>
              <w:t>运营期</w:t>
            </w:r>
          </w:p>
          <w:p>
            <w:pPr>
              <w:spacing w:line="360" w:lineRule="auto"/>
              <w:ind w:firstLine="420" w:firstLineChars="200"/>
              <w:rPr>
                <w:rFonts w:hint="default"/>
                <w:color w:val="auto"/>
                <w:szCs w:val="21"/>
              </w:rPr>
            </w:pPr>
            <w:r>
              <w:rPr>
                <w:rFonts w:hint="eastAsia"/>
                <w:color w:val="auto"/>
                <w:sz w:val="21"/>
                <w:szCs w:val="21"/>
              </w:rPr>
              <w:t>本项目营运期产生的生活污水经进入大小洞天污水站，处理后的水质满足《城市污水再生利用</w:t>
            </w:r>
            <w:r>
              <w:rPr>
                <w:rFonts w:hint="eastAsia"/>
                <w:color w:val="auto"/>
                <w:sz w:val="21"/>
                <w:szCs w:val="21"/>
                <w:lang w:val="en-US" w:eastAsia="zh-CN"/>
              </w:rPr>
              <w:t xml:space="preserve"> </w:t>
            </w:r>
            <w:r>
              <w:rPr>
                <w:rFonts w:hint="eastAsia"/>
                <w:color w:val="auto"/>
                <w:highlight w:val="none"/>
                <w:lang w:val="en-US" w:eastAsia="zh-CN"/>
              </w:rPr>
              <w:t>城市杂用水水质</w:t>
            </w:r>
            <w:r>
              <w:rPr>
                <w:rFonts w:hint="eastAsia"/>
                <w:color w:val="auto"/>
                <w:sz w:val="21"/>
                <w:szCs w:val="21"/>
                <w:highlight w:val="none"/>
              </w:rPr>
              <w:t>》GB1892</w:t>
            </w:r>
            <w:r>
              <w:rPr>
                <w:rFonts w:hint="eastAsia"/>
                <w:color w:val="auto"/>
                <w:sz w:val="21"/>
                <w:szCs w:val="21"/>
                <w:highlight w:val="none"/>
                <w:lang w:val="en-US" w:eastAsia="zh-CN"/>
              </w:rPr>
              <w:t>0</w:t>
            </w:r>
            <w:r>
              <w:rPr>
                <w:rFonts w:hint="eastAsia"/>
                <w:color w:val="auto"/>
                <w:sz w:val="21"/>
                <w:szCs w:val="21"/>
                <w:highlight w:val="none"/>
              </w:rPr>
              <w:t>-20</w:t>
            </w:r>
            <w:r>
              <w:rPr>
                <w:rFonts w:hint="eastAsia"/>
                <w:color w:val="auto"/>
                <w:sz w:val="21"/>
                <w:szCs w:val="21"/>
                <w:highlight w:val="none"/>
                <w:lang w:val="en-US" w:eastAsia="zh-CN"/>
              </w:rPr>
              <w:t>20中表一用于城市绿化、道路清扫、消防、建筑施工类标准限值</w:t>
            </w:r>
            <w:r>
              <w:rPr>
                <w:rFonts w:hint="eastAsia"/>
                <w:color w:val="auto"/>
                <w:sz w:val="21"/>
                <w:szCs w:val="21"/>
                <w:highlight w:val="none"/>
                <w:lang w:eastAsia="zh-CN"/>
              </w:rPr>
              <w:t>。</w:t>
            </w:r>
            <w:r>
              <w:rPr>
                <w:rFonts w:hint="eastAsia"/>
                <w:color w:val="auto"/>
                <w:sz w:val="21"/>
                <w:szCs w:val="21"/>
                <w:lang w:val="en-US" w:eastAsia="zh-CN"/>
              </w:rPr>
              <w:t>具体标准限值见下表3-10。</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color w:val="auto"/>
                <w:szCs w:val="21"/>
              </w:rPr>
            </w:pPr>
            <w:r>
              <w:rPr>
                <w:b/>
                <w:bCs/>
                <w:color w:val="auto"/>
                <w:sz w:val="21"/>
                <w:szCs w:val="21"/>
              </w:rPr>
              <w:t>表</w:t>
            </w:r>
            <w:r>
              <w:rPr>
                <w:rFonts w:hint="eastAsia"/>
                <w:b/>
                <w:bCs/>
                <w:color w:val="auto"/>
                <w:sz w:val="21"/>
                <w:szCs w:val="21"/>
                <w:lang w:val="en-US" w:eastAsia="zh-CN"/>
              </w:rPr>
              <w:t>3-10</w:t>
            </w:r>
            <w:r>
              <w:rPr>
                <w:b/>
                <w:bCs/>
                <w:color w:val="auto"/>
                <w:sz w:val="21"/>
                <w:szCs w:val="21"/>
              </w:rPr>
              <w:t>运营期污水执行标准限值</w:t>
            </w:r>
          </w:p>
          <w:tbl>
            <w:tblPr>
              <w:tblStyle w:val="TableNormal"/>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94"/>
              <w:gridCol w:w="2136"/>
              <w:gridCol w:w="1260"/>
              <w:gridCol w:w="3261"/>
            </w:tblGrid>
            <w:tr>
              <w:tblPrEx>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472" w:type="pct"/>
                  <w:noWrap w:val="0"/>
                  <w:vAlign w:val="top"/>
                </w:tcPr>
                <w:p>
                  <w:pPr>
                    <w:adjustRightInd w:val="0"/>
                    <w:snapToGrid w:val="0"/>
                    <w:spacing w:line="240" w:lineRule="atLeast"/>
                    <w:jc w:val="center"/>
                    <w:rPr>
                      <w:rStyle w:val="CommentReference"/>
                      <w:rFonts w:hint="eastAsia"/>
                      <w:b/>
                      <w:bCs/>
                      <w:color w:val="auto"/>
                      <w:szCs w:val="21"/>
                    </w:rPr>
                  </w:pPr>
                  <w:r>
                    <w:rPr>
                      <w:rStyle w:val="CommentReference"/>
                      <w:rFonts w:hint="eastAsia"/>
                      <w:b/>
                      <w:bCs/>
                      <w:color w:val="auto"/>
                      <w:sz w:val="21"/>
                      <w:szCs w:val="21"/>
                      <w:lang w:val="en-US" w:eastAsia="zh-CN"/>
                    </w:rPr>
                    <w:t>序号</w:t>
                  </w:r>
                </w:p>
              </w:tc>
              <w:tc>
                <w:tcPr>
                  <w:tcW w:w="1453" w:type="pct"/>
                  <w:noWrap w:val="0"/>
                  <w:vAlign w:val="top"/>
                </w:tcPr>
                <w:p>
                  <w:pPr>
                    <w:adjustRightInd w:val="0"/>
                    <w:snapToGrid w:val="0"/>
                    <w:spacing w:line="240" w:lineRule="atLeast"/>
                    <w:jc w:val="center"/>
                    <w:rPr>
                      <w:rStyle w:val="CommentReference"/>
                      <w:rFonts w:hint="eastAsia"/>
                      <w:b/>
                      <w:bCs/>
                      <w:color w:val="auto"/>
                      <w:szCs w:val="21"/>
                    </w:rPr>
                  </w:pPr>
                  <w:r>
                    <w:rPr>
                      <w:rStyle w:val="CommentReference"/>
                      <w:rFonts w:hint="eastAsia"/>
                      <w:b/>
                      <w:bCs/>
                      <w:color w:val="auto"/>
                      <w:sz w:val="21"/>
                      <w:szCs w:val="21"/>
                      <w:lang w:val="en-US" w:eastAsia="zh-CN"/>
                    </w:rPr>
                    <w:t>污染物</w:t>
                  </w:r>
                </w:p>
              </w:tc>
              <w:tc>
                <w:tcPr>
                  <w:tcW w:w="857" w:type="pct"/>
                  <w:noWrap w:val="0"/>
                  <w:vAlign w:val="top"/>
                </w:tcPr>
                <w:p>
                  <w:pPr>
                    <w:adjustRightInd w:val="0"/>
                    <w:snapToGrid w:val="0"/>
                    <w:spacing w:line="240" w:lineRule="atLeast"/>
                    <w:jc w:val="center"/>
                    <w:rPr>
                      <w:rStyle w:val="CommentReference"/>
                      <w:rFonts w:hint="eastAsia"/>
                      <w:b/>
                      <w:bCs/>
                      <w:color w:val="auto"/>
                      <w:szCs w:val="21"/>
                    </w:rPr>
                  </w:pPr>
                  <w:r>
                    <w:rPr>
                      <w:rStyle w:val="CommentReference"/>
                      <w:rFonts w:hint="eastAsia"/>
                      <w:b/>
                      <w:bCs/>
                      <w:color w:val="auto"/>
                      <w:sz w:val="21"/>
                      <w:szCs w:val="21"/>
                      <w:lang w:val="en-US" w:eastAsia="zh-CN"/>
                    </w:rPr>
                    <w:t>单位</w:t>
                  </w:r>
                </w:p>
              </w:tc>
              <w:tc>
                <w:tcPr>
                  <w:tcW w:w="2217" w:type="pct"/>
                  <w:noWrap w:val="0"/>
                  <w:vAlign w:val="top"/>
                </w:tcPr>
                <w:p>
                  <w:pPr>
                    <w:adjustRightInd w:val="0"/>
                    <w:snapToGrid w:val="0"/>
                    <w:spacing w:line="240" w:lineRule="atLeast"/>
                    <w:jc w:val="center"/>
                    <w:rPr>
                      <w:rStyle w:val="CommentReference"/>
                      <w:rFonts w:hint="default"/>
                      <w:b/>
                      <w:bCs/>
                      <w:color w:val="auto"/>
                      <w:szCs w:val="21"/>
                    </w:rPr>
                  </w:pPr>
                  <w:r>
                    <w:rPr>
                      <w:rStyle w:val="CommentReference"/>
                      <w:rFonts w:hint="eastAsia"/>
                      <w:b/>
                      <w:bCs/>
                      <w:color w:val="auto"/>
                      <w:sz w:val="21"/>
                      <w:szCs w:val="21"/>
                      <w:lang w:val="en-US" w:eastAsia="zh-CN"/>
                    </w:rPr>
                    <w:t>执行标准</w:t>
                  </w:r>
                </w:p>
              </w:tc>
            </w:tr>
            <w:tr>
              <w:tblPrEx>
                <w:tblW w:w="4997" w:type="pct"/>
                <w:jc w:val="center"/>
                <w:tblCellMar>
                  <w:top w:w="0" w:type="dxa"/>
                  <w:left w:w="108" w:type="dxa"/>
                  <w:bottom w:w="0" w:type="dxa"/>
                  <w:right w:w="108" w:type="dxa"/>
                </w:tblCellMar>
              </w:tblPrEx>
              <w:trPr>
                <w:jc w:val="center"/>
              </w:trPr>
              <w:tc>
                <w:tcPr>
                  <w:tcW w:w="472"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1</w:t>
                  </w:r>
                </w:p>
              </w:tc>
              <w:tc>
                <w:tcPr>
                  <w:tcW w:w="1453" w:type="pct"/>
                  <w:noWrap w:val="0"/>
                  <w:vAlign w:val="top"/>
                </w:tcPr>
                <w:p>
                  <w:pPr>
                    <w:adjustRightInd w:val="0"/>
                    <w:snapToGrid w:val="0"/>
                    <w:spacing w:line="240" w:lineRule="atLeast"/>
                    <w:jc w:val="center"/>
                    <w:rPr>
                      <w:rStyle w:val="CommentReference"/>
                      <w:rFonts w:hint="eastAsia"/>
                      <w:color w:val="auto"/>
                      <w:szCs w:val="21"/>
                    </w:rPr>
                  </w:pPr>
                  <w:r>
                    <w:rPr>
                      <w:rStyle w:val="CommentReference"/>
                      <w:rFonts w:hint="eastAsia"/>
                      <w:color w:val="auto"/>
                      <w:sz w:val="21"/>
                      <w:szCs w:val="21"/>
                      <w:lang w:val="en-US" w:eastAsia="zh-CN"/>
                    </w:rPr>
                    <w:t>pH</w:t>
                  </w:r>
                </w:p>
              </w:tc>
              <w:tc>
                <w:tcPr>
                  <w:tcW w:w="857"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无量纲</w:t>
                  </w:r>
                </w:p>
              </w:tc>
              <w:tc>
                <w:tcPr>
                  <w:tcW w:w="2217" w:type="pct"/>
                  <w:noWrap w:val="0"/>
                  <w:vAlign w:val="top"/>
                </w:tcPr>
                <w:p>
                  <w:pPr>
                    <w:adjustRightInd w:val="0"/>
                    <w:snapToGrid w:val="0"/>
                    <w:spacing w:line="240" w:lineRule="atLeast"/>
                    <w:jc w:val="center"/>
                    <w:rPr>
                      <w:rStyle w:val="CommentReference"/>
                      <w:rFonts w:hint="eastAsia"/>
                      <w:color w:val="auto"/>
                      <w:szCs w:val="21"/>
                    </w:rPr>
                  </w:pPr>
                  <w:r>
                    <w:rPr>
                      <w:rStyle w:val="CommentReference"/>
                      <w:rFonts w:hint="eastAsia"/>
                      <w:color w:val="auto"/>
                      <w:sz w:val="21"/>
                      <w:szCs w:val="21"/>
                      <w:lang w:val="en-US" w:eastAsia="zh-CN"/>
                    </w:rPr>
                    <w:t>6~9</w:t>
                  </w:r>
                </w:p>
              </w:tc>
            </w:tr>
            <w:tr>
              <w:tblPrEx>
                <w:tblW w:w="4997" w:type="pct"/>
                <w:jc w:val="center"/>
                <w:tblCellMar>
                  <w:top w:w="0" w:type="dxa"/>
                  <w:left w:w="108" w:type="dxa"/>
                  <w:bottom w:w="0" w:type="dxa"/>
                  <w:right w:w="108" w:type="dxa"/>
                </w:tblCellMar>
              </w:tblPrEx>
              <w:trPr>
                <w:jc w:val="center"/>
              </w:trPr>
              <w:tc>
                <w:tcPr>
                  <w:tcW w:w="472"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2</w:t>
                  </w:r>
                </w:p>
              </w:tc>
              <w:tc>
                <w:tcPr>
                  <w:tcW w:w="1453"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色度，铂钴色度单位</w:t>
                  </w:r>
                </w:p>
              </w:tc>
              <w:tc>
                <w:tcPr>
                  <w:tcW w:w="857"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w:t>
                  </w:r>
                </w:p>
              </w:tc>
              <w:tc>
                <w:tcPr>
                  <w:tcW w:w="2217"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30</w:t>
                  </w:r>
                </w:p>
              </w:tc>
            </w:tr>
            <w:tr>
              <w:tblPrEx>
                <w:tblW w:w="4997" w:type="pct"/>
                <w:jc w:val="center"/>
                <w:tblCellMar>
                  <w:top w:w="0" w:type="dxa"/>
                  <w:left w:w="108" w:type="dxa"/>
                  <w:bottom w:w="0" w:type="dxa"/>
                  <w:right w:w="108" w:type="dxa"/>
                </w:tblCellMar>
              </w:tblPrEx>
              <w:trPr>
                <w:jc w:val="center"/>
              </w:trPr>
              <w:tc>
                <w:tcPr>
                  <w:tcW w:w="472"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3</w:t>
                  </w:r>
                </w:p>
              </w:tc>
              <w:tc>
                <w:tcPr>
                  <w:tcW w:w="1453"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溴</w:t>
                  </w:r>
                </w:p>
              </w:tc>
              <w:tc>
                <w:tcPr>
                  <w:tcW w:w="857"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w:t>
                  </w:r>
                </w:p>
              </w:tc>
              <w:tc>
                <w:tcPr>
                  <w:tcW w:w="2217"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无不快感</w:t>
                  </w:r>
                </w:p>
              </w:tc>
            </w:tr>
            <w:tr>
              <w:tblPrEx>
                <w:tblW w:w="4997" w:type="pct"/>
                <w:jc w:val="center"/>
                <w:tblCellMar>
                  <w:top w:w="0" w:type="dxa"/>
                  <w:left w:w="108" w:type="dxa"/>
                  <w:bottom w:w="0" w:type="dxa"/>
                  <w:right w:w="108" w:type="dxa"/>
                </w:tblCellMar>
              </w:tblPrEx>
              <w:trPr>
                <w:jc w:val="center"/>
              </w:trPr>
              <w:tc>
                <w:tcPr>
                  <w:tcW w:w="472"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4</w:t>
                  </w:r>
                </w:p>
              </w:tc>
              <w:tc>
                <w:tcPr>
                  <w:tcW w:w="1453"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浊度</w:t>
                  </w:r>
                </w:p>
              </w:tc>
              <w:tc>
                <w:tcPr>
                  <w:tcW w:w="857"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NTU</w:t>
                  </w:r>
                </w:p>
              </w:tc>
              <w:tc>
                <w:tcPr>
                  <w:tcW w:w="2217"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10</w:t>
                  </w:r>
                </w:p>
              </w:tc>
            </w:tr>
            <w:tr>
              <w:tblPrEx>
                <w:tblW w:w="4997" w:type="pct"/>
                <w:jc w:val="center"/>
                <w:tblCellMar>
                  <w:top w:w="0" w:type="dxa"/>
                  <w:left w:w="108" w:type="dxa"/>
                  <w:bottom w:w="0" w:type="dxa"/>
                  <w:right w:w="108" w:type="dxa"/>
                </w:tblCellMar>
              </w:tblPrEx>
              <w:trPr>
                <w:jc w:val="center"/>
              </w:trPr>
              <w:tc>
                <w:tcPr>
                  <w:tcW w:w="472"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5</w:t>
                  </w:r>
                </w:p>
              </w:tc>
              <w:tc>
                <w:tcPr>
                  <w:tcW w:w="1453"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BOD</w:t>
                  </w:r>
                  <w:r>
                    <w:rPr>
                      <w:rStyle w:val="CommentReference"/>
                      <w:rFonts w:hint="eastAsia"/>
                      <w:color w:val="auto"/>
                      <w:sz w:val="21"/>
                      <w:szCs w:val="21"/>
                      <w:vertAlign w:val="subscript"/>
                      <w:lang w:val="en-US" w:eastAsia="zh-CN"/>
                    </w:rPr>
                    <w:t>5</w:t>
                  </w:r>
                </w:p>
              </w:tc>
              <w:tc>
                <w:tcPr>
                  <w:tcW w:w="857" w:type="pct"/>
                  <w:noWrap w:val="0"/>
                  <w:vAlign w:val="top"/>
                </w:tcPr>
                <w:p>
                  <w:pPr>
                    <w:adjustRightInd w:val="0"/>
                    <w:snapToGrid w:val="0"/>
                    <w:spacing w:line="240" w:lineRule="atLeast"/>
                    <w:jc w:val="center"/>
                    <w:rPr>
                      <w:rStyle w:val="CommentReference"/>
                      <w:rFonts w:hint="eastAsia"/>
                      <w:color w:val="auto"/>
                      <w:szCs w:val="21"/>
                    </w:rPr>
                  </w:pPr>
                  <w:r>
                    <w:rPr>
                      <w:rStyle w:val="CommentReference"/>
                      <w:rFonts w:hint="eastAsia"/>
                      <w:color w:val="auto"/>
                      <w:sz w:val="21"/>
                      <w:szCs w:val="21"/>
                      <w:lang w:val="en-US" w:eastAsia="zh-CN"/>
                    </w:rPr>
                    <w:t>mg/L</w:t>
                  </w:r>
                </w:p>
              </w:tc>
              <w:tc>
                <w:tcPr>
                  <w:tcW w:w="2217"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10</w:t>
                  </w:r>
                </w:p>
              </w:tc>
            </w:tr>
            <w:tr>
              <w:tblPrEx>
                <w:tblW w:w="4997" w:type="pct"/>
                <w:jc w:val="center"/>
                <w:tblCellMar>
                  <w:top w:w="0" w:type="dxa"/>
                  <w:left w:w="108" w:type="dxa"/>
                  <w:bottom w:w="0" w:type="dxa"/>
                  <w:right w:w="108" w:type="dxa"/>
                </w:tblCellMar>
              </w:tblPrEx>
              <w:trPr>
                <w:jc w:val="center"/>
              </w:trPr>
              <w:tc>
                <w:tcPr>
                  <w:tcW w:w="472"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6</w:t>
                  </w:r>
                </w:p>
              </w:tc>
              <w:tc>
                <w:tcPr>
                  <w:tcW w:w="1453" w:type="pct"/>
                  <w:noWrap w:val="0"/>
                  <w:vAlign w:val="top"/>
                </w:tcPr>
                <w:p>
                  <w:pPr>
                    <w:adjustRightInd w:val="0"/>
                    <w:snapToGrid w:val="0"/>
                    <w:spacing w:line="240" w:lineRule="atLeast"/>
                    <w:jc w:val="center"/>
                    <w:rPr>
                      <w:rFonts w:hint="eastAsia"/>
                      <w:color w:val="auto"/>
                      <w:szCs w:val="21"/>
                    </w:rPr>
                  </w:pPr>
                  <w:r>
                    <w:rPr>
                      <w:rStyle w:val="CommentReference"/>
                      <w:rFonts w:hint="eastAsia"/>
                      <w:color w:val="auto"/>
                      <w:sz w:val="21"/>
                      <w:szCs w:val="21"/>
                      <w:lang w:val="en-US" w:eastAsia="zh-CN"/>
                    </w:rPr>
                    <w:t>氨氮</w:t>
                  </w:r>
                </w:p>
              </w:tc>
              <w:tc>
                <w:tcPr>
                  <w:tcW w:w="857" w:type="pct"/>
                  <w:noWrap w:val="0"/>
                  <w:vAlign w:val="top"/>
                </w:tcPr>
                <w:p>
                  <w:pPr>
                    <w:adjustRightInd w:val="0"/>
                    <w:snapToGrid w:val="0"/>
                    <w:spacing w:line="240" w:lineRule="atLeast"/>
                    <w:jc w:val="center"/>
                    <w:rPr>
                      <w:rFonts w:hint="eastAsia"/>
                      <w:color w:val="auto"/>
                      <w:szCs w:val="21"/>
                    </w:rPr>
                  </w:pPr>
                  <w:r>
                    <w:rPr>
                      <w:rStyle w:val="CommentReference"/>
                      <w:rFonts w:hint="eastAsia"/>
                      <w:color w:val="auto"/>
                      <w:sz w:val="21"/>
                      <w:szCs w:val="21"/>
                      <w:lang w:val="en-US" w:eastAsia="zh-CN"/>
                    </w:rPr>
                    <w:t>mg/L</w:t>
                  </w:r>
                </w:p>
              </w:tc>
              <w:tc>
                <w:tcPr>
                  <w:tcW w:w="2217" w:type="pct"/>
                  <w:noWrap w:val="0"/>
                  <w:vAlign w:val="top"/>
                </w:tcPr>
                <w:p>
                  <w:pPr>
                    <w:adjustRightInd w:val="0"/>
                    <w:snapToGrid w:val="0"/>
                    <w:spacing w:line="240" w:lineRule="atLeast"/>
                    <w:jc w:val="center"/>
                    <w:rPr>
                      <w:rFonts w:hint="default"/>
                      <w:color w:val="auto"/>
                      <w:szCs w:val="21"/>
                    </w:rPr>
                  </w:pPr>
                  <w:r>
                    <w:rPr>
                      <w:rFonts w:cs="Times New Roman" w:hint="eastAsia"/>
                      <w:color w:val="auto"/>
                      <w:kern w:val="2"/>
                      <w:sz w:val="21"/>
                      <w:szCs w:val="21"/>
                      <w:lang w:val="en-US" w:eastAsia="zh-CN" w:bidi="ar-SA"/>
                    </w:rPr>
                    <w:t>8</w:t>
                  </w:r>
                </w:p>
              </w:tc>
            </w:tr>
            <w:tr>
              <w:tblPrEx>
                <w:tblW w:w="4997" w:type="pct"/>
                <w:jc w:val="center"/>
                <w:tblCellMar>
                  <w:top w:w="0" w:type="dxa"/>
                  <w:left w:w="108" w:type="dxa"/>
                  <w:bottom w:w="0" w:type="dxa"/>
                  <w:right w:w="108" w:type="dxa"/>
                </w:tblCellMar>
              </w:tblPrEx>
              <w:trPr>
                <w:jc w:val="center"/>
              </w:trPr>
              <w:tc>
                <w:tcPr>
                  <w:tcW w:w="472"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7</w:t>
                  </w:r>
                </w:p>
              </w:tc>
              <w:tc>
                <w:tcPr>
                  <w:tcW w:w="1453" w:type="pct"/>
                  <w:noWrap w:val="0"/>
                  <w:vAlign w:val="top"/>
                </w:tcPr>
                <w:p>
                  <w:pPr>
                    <w:adjustRightInd w:val="0"/>
                    <w:snapToGrid w:val="0"/>
                    <w:spacing w:line="240" w:lineRule="atLeast"/>
                    <w:jc w:val="center"/>
                    <w:rPr>
                      <w:rFonts w:hint="default"/>
                      <w:color w:val="auto"/>
                      <w:szCs w:val="21"/>
                    </w:rPr>
                  </w:pPr>
                  <w:r>
                    <w:rPr>
                      <w:rStyle w:val="CommentReference"/>
                      <w:rFonts w:hint="eastAsia"/>
                      <w:color w:val="auto"/>
                      <w:sz w:val="21"/>
                      <w:szCs w:val="21"/>
                      <w:lang w:val="en-US" w:eastAsia="zh-CN"/>
                    </w:rPr>
                    <w:t>阴离子表面活性剂</w:t>
                  </w:r>
                </w:p>
              </w:tc>
              <w:tc>
                <w:tcPr>
                  <w:tcW w:w="857" w:type="pct"/>
                  <w:noWrap w:val="0"/>
                  <w:vAlign w:val="top"/>
                </w:tcPr>
                <w:p>
                  <w:pPr>
                    <w:adjustRightInd w:val="0"/>
                    <w:snapToGrid w:val="0"/>
                    <w:spacing w:line="240" w:lineRule="atLeast"/>
                    <w:jc w:val="center"/>
                    <w:rPr>
                      <w:rFonts w:hint="eastAsia"/>
                      <w:color w:val="auto"/>
                      <w:szCs w:val="21"/>
                    </w:rPr>
                  </w:pPr>
                  <w:r>
                    <w:rPr>
                      <w:rStyle w:val="CommentReference"/>
                      <w:rFonts w:hint="eastAsia"/>
                      <w:color w:val="auto"/>
                      <w:sz w:val="21"/>
                      <w:szCs w:val="21"/>
                      <w:lang w:val="en-US" w:eastAsia="zh-CN"/>
                    </w:rPr>
                    <w:t>mg/L</w:t>
                  </w:r>
                </w:p>
              </w:tc>
              <w:tc>
                <w:tcPr>
                  <w:tcW w:w="2217" w:type="pct"/>
                  <w:noWrap w:val="0"/>
                  <w:vAlign w:val="top"/>
                </w:tcPr>
                <w:p>
                  <w:pPr>
                    <w:adjustRightInd w:val="0"/>
                    <w:snapToGrid w:val="0"/>
                    <w:spacing w:line="240" w:lineRule="atLeast"/>
                    <w:jc w:val="center"/>
                    <w:rPr>
                      <w:rFonts w:hint="default"/>
                      <w:color w:val="auto"/>
                      <w:szCs w:val="21"/>
                    </w:rPr>
                  </w:pPr>
                  <w:r>
                    <w:rPr>
                      <w:rStyle w:val="CommentReference"/>
                      <w:rFonts w:hint="eastAsia"/>
                      <w:color w:val="auto"/>
                      <w:sz w:val="21"/>
                      <w:szCs w:val="21"/>
                      <w:lang w:val="en-US" w:eastAsia="zh-CN"/>
                    </w:rPr>
                    <w:t>0.5</w:t>
                  </w:r>
                </w:p>
              </w:tc>
            </w:tr>
            <w:tr>
              <w:tblPrEx>
                <w:tblW w:w="4997" w:type="pct"/>
                <w:jc w:val="center"/>
                <w:tblCellMar>
                  <w:top w:w="0" w:type="dxa"/>
                  <w:left w:w="108" w:type="dxa"/>
                  <w:bottom w:w="0" w:type="dxa"/>
                  <w:right w:w="108" w:type="dxa"/>
                </w:tblCellMar>
              </w:tblPrEx>
              <w:trPr>
                <w:jc w:val="center"/>
              </w:trPr>
              <w:tc>
                <w:tcPr>
                  <w:tcW w:w="472"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8</w:t>
                  </w:r>
                </w:p>
              </w:tc>
              <w:tc>
                <w:tcPr>
                  <w:tcW w:w="1453"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溶解性固体</w:t>
                  </w:r>
                </w:p>
              </w:tc>
              <w:tc>
                <w:tcPr>
                  <w:tcW w:w="857" w:type="pct"/>
                  <w:noWrap w:val="0"/>
                  <w:vAlign w:val="top"/>
                </w:tcPr>
                <w:p>
                  <w:pPr>
                    <w:adjustRightInd w:val="0"/>
                    <w:snapToGrid w:val="0"/>
                    <w:spacing w:line="240" w:lineRule="atLeast"/>
                    <w:jc w:val="center"/>
                    <w:rPr>
                      <w:rStyle w:val="CommentReference"/>
                      <w:rFonts w:hint="eastAsia"/>
                      <w:color w:val="auto"/>
                      <w:szCs w:val="21"/>
                    </w:rPr>
                  </w:pPr>
                  <w:r>
                    <w:rPr>
                      <w:rStyle w:val="CommentReference"/>
                      <w:rFonts w:hint="eastAsia"/>
                      <w:color w:val="auto"/>
                      <w:sz w:val="21"/>
                      <w:szCs w:val="21"/>
                      <w:lang w:val="en-US" w:eastAsia="zh-CN"/>
                    </w:rPr>
                    <w:t>mg/L</w:t>
                  </w:r>
                </w:p>
              </w:tc>
              <w:tc>
                <w:tcPr>
                  <w:tcW w:w="2217"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1000（2000）</w:t>
                  </w:r>
                </w:p>
              </w:tc>
            </w:tr>
            <w:tr>
              <w:tblPrEx>
                <w:tblW w:w="4997" w:type="pct"/>
                <w:jc w:val="center"/>
                <w:tblCellMar>
                  <w:top w:w="0" w:type="dxa"/>
                  <w:left w:w="108" w:type="dxa"/>
                  <w:bottom w:w="0" w:type="dxa"/>
                  <w:right w:w="108" w:type="dxa"/>
                </w:tblCellMar>
              </w:tblPrEx>
              <w:trPr>
                <w:jc w:val="center"/>
              </w:trPr>
              <w:tc>
                <w:tcPr>
                  <w:tcW w:w="472"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9</w:t>
                  </w:r>
                </w:p>
              </w:tc>
              <w:tc>
                <w:tcPr>
                  <w:tcW w:w="1453"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溶解氧</w:t>
                  </w:r>
                </w:p>
              </w:tc>
              <w:tc>
                <w:tcPr>
                  <w:tcW w:w="857" w:type="pct"/>
                  <w:noWrap w:val="0"/>
                  <w:vAlign w:val="top"/>
                </w:tcPr>
                <w:p>
                  <w:pPr>
                    <w:adjustRightInd w:val="0"/>
                    <w:snapToGrid w:val="0"/>
                    <w:spacing w:line="240" w:lineRule="atLeast"/>
                    <w:jc w:val="center"/>
                    <w:rPr>
                      <w:rStyle w:val="CommentReference"/>
                      <w:rFonts w:hint="eastAsia"/>
                      <w:color w:val="auto"/>
                      <w:szCs w:val="21"/>
                    </w:rPr>
                  </w:pPr>
                  <w:r>
                    <w:rPr>
                      <w:rStyle w:val="CommentReference"/>
                      <w:rFonts w:hint="eastAsia"/>
                      <w:color w:val="auto"/>
                      <w:sz w:val="21"/>
                      <w:szCs w:val="21"/>
                      <w:lang w:val="en-US" w:eastAsia="zh-CN"/>
                    </w:rPr>
                    <w:t>mg/L</w:t>
                  </w:r>
                </w:p>
              </w:tc>
              <w:tc>
                <w:tcPr>
                  <w:tcW w:w="2217"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2.0</w:t>
                  </w:r>
                </w:p>
              </w:tc>
            </w:tr>
            <w:tr>
              <w:tblPrEx>
                <w:tblW w:w="4997" w:type="pct"/>
                <w:jc w:val="center"/>
                <w:tblCellMar>
                  <w:top w:w="0" w:type="dxa"/>
                  <w:left w:w="108" w:type="dxa"/>
                  <w:bottom w:w="0" w:type="dxa"/>
                  <w:right w:w="108" w:type="dxa"/>
                </w:tblCellMar>
              </w:tblPrEx>
              <w:trPr>
                <w:jc w:val="center"/>
              </w:trPr>
              <w:tc>
                <w:tcPr>
                  <w:tcW w:w="472"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10</w:t>
                  </w:r>
                </w:p>
              </w:tc>
              <w:tc>
                <w:tcPr>
                  <w:tcW w:w="1453"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总余氯</w:t>
                  </w:r>
                </w:p>
              </w:tc>
              <w:tc>
                <w:tcPr>
                  <w:tcW w:w="857" w:type="pct"/>
                  <w:noWrap w:val="0"/>
                  <w:vAlign w:val="top"/>
                </w:tcPr>
                <w:p>
                  <w:pPr>
                    <w:adjustRightInd w:val="0"/>
                    <w:snapToGrid w:val="0"/>
                    <w:spacing w:line="240" w:lineRule="atLeast"/>
                    <w:jc w:val="center"/>
                    <w:rPr>
                      <w:rStyle w:val="CommentReference"/>
                      <w:rFonts w:hint="eastAsia"/>
                      <w:color w:val="auto"/>
                      <w:szCs w:val="21"/>
                    </w:rPr>
                  </w:pPr>
                  <w:r>
                    <w:rPr>
                      <w:rStyle w:val="CommentReference"/>
                      <w:rFonts w:hint="eastAsia"/>
                      <w:color w:val="auto"/>
                      <w:sz w:val="21"/>
                      <w:szCs w:val="21"/>
                      <w:lang w:val="en-US" w:eastAsia="zh-CN"/>
                    </w:rPr>
                    <w:t>mg/L</w:t>
                  </w:r>
                </w:p>
              </w:tc>
              <w:tc>
                <w:tcPr>
                  <w:tcW w:w="2217"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0.2</w:t>
                  </w:r>
                </w:p>
              </w:tc>
            </w:tr>
            <w:tr>
              <w:tblPrEx>
                <w:tblW w:w="4997" w:type="pct"/>
                <w:jc w:val="center"/>
                <w:tblCellMar>
                  <w:top w:w="0" w:type="dxa"/>
                  <w:left w:w="108" w:type="dxa"/>
                  <w:bottom w:w="0" w:type="dxa"/>
                  <w:right w:w="108" w:type="dxa"/>
                </w:tblCellMar>
              </w:tblPrEx>
              <w:trPr>
                <w:jc w:val="center"/>
              </w:trPr>
              <w:tc>
                <w:tcPr>
                  <w:tcW w:w="472" w:type="pct"/>
                  <w:noWrap w:val="0"/>
                  <w:vAlign w:val="top"/>
                </w:tcPr>
                <w:p>
                  <w:pPr>
                    <w:adjustRightInd w:val="0"/>
                    <w:snapToGrid w:val="0"/>
                    <w:spacing w:line="240" w:lineRule="atLeast"/>
                    <w:jc w:val="center"/>
                    <w:rPr>
                      <w:rStyle w:val="CommentReference"/>
                      <w:rFonts w:hint="default"/>
                      <w:color w:val="auto"/>
                      <w:szCs w:val="21"/>
                    </w:rPr>
                  </w:pPr>
                  <w:r>
                    <w:rPr>
                      <w:rStyle w:val="CommentReference"/>
                      <w:rFonts w:hint="eastAsia"/>
                      <w:color w:val="auto"/>
                      <w:sz w:val="21"/>
                      <w:szCs w:val="21"/>
                      <w:lang w:val="en-US" w:eastAsia="zh-CN"/>
                    </w:rPr>
                    <w:t>11</w:t>
                  </w:r>
                </w:p>
              </w:tc>
              <w:tc>
                <w:tcPr>
                  <w:tcW w:w="1453" w:type="pct"/>
                  <w:noWrap w:val="0"/>
                  <w:vAlign w:val="top"/>
                </w:tcPr>
                <w:p>
                  <w:pPr>
                    <w:adjustRightInd w:val="0"/>
                    <w:snapToGrid w:val="0"/>
                    <w:spacing w:line="240" w:lineRule="atLeast"/>
                    <w:jc w:val="center"/>
                    <w:rPr>
                      <w:rFonts w:hint="default"/>
                      <w:color w:val="auto"/>
                      <w:szCs w:val="21"/>
                    </w:rPr>
                  </w:pPr>
                  <w:r>
                    <w:rPr>
                      <w:rFonts w:cs="Times New Roman" w:hint="eastAsia"/>
                      <w:color w:val="auto"/>
                      <w:kern w:val="2"/>
                      <w:sz w:val="21"/>
                      <w:szCs w:val="21"/>
                      <w:lang w:val="en-US" w:eastAsia="zh-CN" w:bidi="ar-SA"/>
                    </w:rPr>
                    <w:t>大肠埃希氏菌</w:t>
                  </w:r>
                </w:p>
              </w:tc>
              <w:tc>
                <w:tcPr>
                  <w:tcW w:w="857" w:type="pct"/>
                  <w:noWrap w:val="0"/>
                  <w:vAlign w:val="top"/>
                </w:tcPr>
                <w:p>
                  <w:pPr>
                    <w:adjustRightInd w:val="0"/>
                    <w:snapToGrid w:val="0"/>
                    <w:spacing w:line="240" w:lineRule="atLeast"/>
                    <w:jc w:val="center"/>
                    <w:rPr>
                      <w:rFonts w:hint="eastAsia"/>
                      <w:color w:val="auto"/>
                      <w:szCs w:val="21"/>
                    </w:rPr>
                  </w:pPr>
                  <w:r>
                    <w:rPr>
                      <w:rStyle w:val="CommentReference"/>
                      <w:rFonts w:hint="eastAsia"/>
                      <w:color w:val="auto"/>
                      <w:sz w:val="21"/>
                      <w:szCs w:val="21"/>
                      <w:lang w:val="en-US" w:eastAsia="zh-CN"/>
                    </w:rPr>
                    <w:t>mg/L</w:t>
                  </w:r>
                </w:p>
              </w:tc>
              <w:tc>
                <w:tcPr>
                  <w:tcW w:w="2217" w:type="pct"/>
                  <w:noWrap w:val="0"/>
                  <w:vAlign w:val="top"/>
                </w:tcPr>
                <w:p>
                  <w:pPr>
                    <w:adjustRightInd w:val="0"/>
                    <w:snapToGrid w:val="0"/>
                    <w:spacing w:line="240" w:lineRule="atLeast"/>
                    <w:jc w:val="center"/>
                    <w:rPr>
                      <w:rFonts w:hint="default"/>
                      <w:color w:val="auto"/>
                      <w:szCs w:val="21"/>
                    </w:rPr>
                  </w:pPr>
                  <w:r>
                    <w:rPr>
                      <w:rFonts w:cs="Times New Roman" w:hint="eastAsia"/>
                      <w:color w:val="auto"/>
                      <w:kern w:val="2"/>
                      <w:sz w:val="21"/>
                      <w:szCs w:val="21"/>
                      <w:lang w:val="en-US" w:eastAsia="zh-CN" w:bidi="ar-SA"/>
                    </w:rPr>
                    <w:t>无</w:t>
                  </w:r>
                </w:p>
              </w:tc>
            </w:tr>
          </w:tbl>
          <w:p>
            <w:pPr>
              <w:spacing w:line="360" w:lineRule="auto"/>
              <w:ind w:firstLine="420" w:firstLineChars="200"/>
              <w:rPr>
                <w:b/>
                <w:bCs/>
                <w:color w:val="auto"/>
                <w:szCs w:val="21"/>
              </w:rPr>
            </w:pPr>
            <w:r>
              <w:rPr>
                <w:rFonts w:hint="eastAsia"/>
                <w:b/>
                <w:bCs/>
                <w:color w:val="auto"/>
                <w:sz w:val="21"/>
                <w:szCs w:val="21"/>
                <w:lang w:eastAsia="zh-CN"/>
              </w:rPr>
              <w:t>（</w:t>
            </w:r>
            <w:r>
              <w:rPr>
                <w:b/>
                <w:bCs/>
                <w:color w:val="auto"/>
                <w:sz w:val="21"/>
                <w:szCs w:val="21"/>
              </w:rPr>
              <w:t>4</w:t>
            </w:r>
            <w:r>
              <w:rPr>
                <w:rFonts w:hint="eastAsia"/>
                <w:b/>
                <w:bCs/>
                <w:color w:val="auto"/>
                <w:sz w:val="21"/>
                <w:szCs w:val="21"/>
                <w:lang w:eastAsia="zh-CN"/>
              </w:rPr>
              <w:t>）</w:t>
            </w:r>
            <w:r>
              <w:rPr>
                <w:b/>
                <w:bCs/>
                <w:color w:val="auto"/>
                <w:sz w:val="21"/>
                <w:szCs w:val="21"/>
              </w:rPr>
              <w:t>固体废物</w:t>
            </w:r>
          </w:p>
          <w:p>
            <w:pPr>
              <w:adjustRightInd w:val="0"/>
              <w:snapToGrid w:val="0"/>
              <w:spacing w:line="360" w:lineRule="auto"/>
              <w:ind w:firstLine="420" w:firstLineChars="200"/>
              <w:rPr>
                <w:color w:val="auto"/>
                <w:kern w:val="0"/>
                <w:szCs w:val="21"/>
              </w:rPr>
            </w:pPr>
            <w:r>
              <w:rPr>
                <w:rFonts w:hint="default"/>
                <w:color w:val="auto"/>
                <w:sz w:val="21"/>
                <w:szCs w:val="21"/>
              </w:rPr>
              <w:t>固体废物处置执行《一般工业固体废物贮存和填埋污染控制标准》</w:t>
            </w:r>
            <w:r>
              <w:rPr>
                <w:rFonts w:hint="eastAsia"/>
                <w:color w:val="auto"/>
                <w:sz w:val="21"/>
                <w:szCs w:val="21"/>
                <w:lang w:eastAsia="zh-CN"/>
              </w:rPr>
              <w:t>（</w:t>
            </w:r>
            <w:r>
              <w:rPr>
                <w:rFonts w:hint="default"/>
                <w:color w:val="auto"/>
                <w:sz w:val="21"/>
                <w:szCs w:val="21"/>
              </w:rPr>
              <w:t>GB18599-20</w:t>
            </w:r>
            <w:r>
              <w:rPr>
                <w:rFonts w:hint="eastAsia"/>
                <w:color w:val="auto"/>
                <w:sz w:val="21"/>
                <w:szCs w:val="21"/>
                <w:lang w:val="en-US" w:eastAsia="zh-CN"/>
              </w:rPr>
              <w:t>20</w:t>
            </w:r>
            <w:r>
              <w:rPr>
                <w:rFonts w:hint="default"/>
                <w:color w:val="auto"/>
                <w:sz w:val="21"/>
                <w:szCs w:val="21"/>
              </w:rPr>
              <w:t>，</w:t>
            </w:r>
            <w:r>
              <w:rPr>
                <w:rFonts w:hint="eastAsia"/>
                <w:color w:val="auto"/>
                <w:sz w:val="21"/>
                <w:szCs w:val="21"/>
                <w:lang w:val="en-US" w:eastAsia="zh-CN"/>
              </w:rPr>
              <w:t>2020</w:t>
            </w:r>
            <w:r>
              <w:rPr>
                <w:rFonts w:hint="default"/>
                <w:color w:val="auto"/>
                <w:sz w:val="21"/>
                <w:szCs w:val="21"/>
              </w:rPr>
              <w:t>年</w:t>
            </w:r>
            <w:r>
              <w:rPr>
                <w:rFonts w:hint="eastAsia"/>
                <w:color w:val="auto"/>
                <w:sz w:val="21"/>
                <w:szCs w:val="21"/>
                <w:lang w:val="en-US" w:eastAsia="zh-CN"/>
              </w:rPr>
              <w:t>7</w:t>
            </w:r>
            <w:r>
              <w:rPr>
                <w:rFonts w:hint="default"/>
                <w:color w:val="auto"/>
                <w:sz w:val="21"/>
                <w:szCs w:val="21"/>
              </w:rPr>
              <w:t>月</w:t>
            </w:r>
            <w:r>
              <w:rPr>
                <w:rFonts w:hint="eastAsia"/>
                <w:color w:val="auto"/>
                <w:sz w:val="21"/>
                <w:szCs w:val="21"/>
                <w:lang w:val="en-US" w:eastAsia="zh-CN"/>
              </w:rPr>
              <w:t>01日实施</w:t>
            </w:r>
            <w:r>
              <w:rPr>
                <w:rFonts w:hint="eastAsia"/>
                <w:color w:val="auto"/>
                <w:sz w:val="21"/>
                <w:szCs w:val="21"/>
                <w:lang w:eastAsia="zh-CN"/>
              </w:rPr>
              <w:t>）</w:t>
            </w:r>
            <w:r>
              <w:rPr>
                <w:color w:val="auto"/>
                <w:sz w:val="21"/>
                <w:szCs w:val="21"/>
              </w:rPr>
              <w:t>。</w:t>
            </w:r>
          </w:p>
        </w:tc>
      </w:tr>
    </w:tbl>
    <w:p>
      <w:pPr>
        <w:sectPr>
          <w:footerReference w:type="even" r:id="rId44"/>
          <w:footerReference w:type="default" r:id="rId45"/>
          <w:type w:val="nextPage"/>
          <w:pgSz w:w="11906" w:h="16838"/>
          <w:pgMar w:top="1440" w:right="1800" w:bottom="1440" w:left="1800" w:header="851" w:footer="1077" w:gutter="0"/>
          <w:pgNumType w:fmt="decimal" w:start="18"/>
          <w:cols w:num="1" w:space="720"/>
          <w:titlePg w:val="0"/>
          <w:docGrid w:linePitch="312" w:charSpace="0"/>
        </w:sectPr>
      </w:pPr>
    </w:p>
    <w:tbl>
      <w:tblPr>
        <w:tblStyle w:val="TableNormal"/>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941"/>
        <w:gridCol w:w="7581"/>
      </w:tblGrid>
      <w:tr>
        <w:tblPrEx>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1566"/>
          <w:jc w:val="center"/>
        </w:trPr>
        <w:tc>
          <w:tcPr>
            <w:tcW w:w="552" w:type="pct"/>
            <w:noWrap w:val="0"/>
            <w:vAlign w:val="center"/>
          </w:tcPr>
          <w:p>
            <w:pPr>
              <w:adjustRightInd w:val="0"/>
              <w:snapToGrid w:val="0"/>
              <w:jc w:val="center"/>
              <w:rPr>
                <w:color w:val="auto"/>
                <w:kern w:val="0"/>
                <w:szCs w:val="21"/>
              </w:rPr>
            </w:pPr>
            <w:r>
              <w:rPr>
                <w:color w:val="auto"/>
                <w:kern w:val="0"/>
                <w:sz w:val="21"/>
                <w:szCs w:val="21"/>
              </w:rPr>
              <w:t>其他</w:t>
            </w:r>
          </w:p>
        </w:tc>
        <w:tc>
          <w:tcPr>
            <w:tcW w:w="4447" w:type="pct"/>
            <w:noWrap w:val="0"/>
            <w:vAlign w:val="center"/>
          </w:tcPr>
          <w:p>
            <w:pPr>
              <w:adjustRightInd w:val="0"/>
              <w:snapToGrid w:val="0"/>
              <w:spacing w:line="360" w:lineRule="auto"/>
              <w:ind w:firstLine="420" w:firstLineChars="200"/>
              <w:rPr>
                <w:color w:val="auto"/>
                <w:kern w:val="0"/>
                <w:szCs w:val="21"/>
              </w:rPr>
            </w:pPr>
            <w:r>
              <w:rPr>
                <w:color w:val="auto"/>
                <w:kern w:val="0"/>
                <w:sz w:val="21"/>
                <w:szCs w:val="21"/>
              </w:rPr>
              <w:t>废水：项目污水排入</w:t>
            </w:r>
            <w:r>
              <w:rPr>
                <w:rFonts w:hint="eastAsia"/>
                <w:color w:val="auto"/>
                <w:kern w:val="0"/>
                <w:sz w:val="21"/>
                <w:szCs w:val="21"/>
                <w:lang w:val="en-US" w:eastAsia="zh-CN"/>
              </w:rPr>
              <w:t>大小洞天污水处理站处理后回用于绿化</w:t>
            </w:r>
            <w:r>
              <w:rPr>
                <w:color w:val="auto"/>
                <w:kern w:val="0"/>
                <w:sz w:val="21"/>
                <w:szCs w:val="21"/>
              </w:rPr>
              <w:t>，因此在此不给以申请总量控制指标。</w:t>
            </w:r>
          </w:p>
          <w:p>
            <w:pPr>
              <w:adjustRightInd w:val="0"/>
              <w:snapToGrid w:val="0"/>
              <w:spacing w:line="360" w:lineRule="auto"/>
              <w:ind w:firstLine="420" w:firstLineChars="200"/>
              <w:jc w:val="center"/>
              <w:rPr>
                <w:color w:val="auto"/>
                <w:kern w:val="0"/>
                <w:szCs w:val="21"/>
              </w:rPr>
            </w:pPr>
          </w:p>
        </w:tc>
      </w:tr>
    </w:tbl>
    <w:p>
      <w:pPr>
        <w:pStyle w:val="NormalWeb"/>
        <w:adjustRightInd w:val="0"/>
        <w:snapToGrid w:val="0"/>
        <w:spacing w:before="0" w:beforeAutospacing="0" w:after="0" w:afterAutospacing="0" w:line="14" w:lineRule="auto"/>
        <w:jc w:val="center"/>
        <w:rPr>
          <w:rFonts w:ascii="黑体" w:eastAsia="黑体" w:hAnsi="黑体"/>
          <w:snapToGrid w:val="0"/>
          <w:color w:val="auto"/>
          <w:kern w:val="2"/>
          <w:sz w:val="21"/>
          <w:szCs w:val="21"/>
        </w:rPr>
        <w:sectPr>
          <w:footerReference w:type="even" r:id="rId46"/>
          <w:footerReference w:type="default" r:id="rId47"/>
          <w:type w:val="nextPage"/>
          <w:pgSz w:w="11906" w:h="16838"/>
          <w:pgMar w:top="1440" w:right="1800" w:bottom="1440" w:left="1800" w:header="851" w:footer="1077" w:gutter="0"/>
          <w:pgNumType w:fmt="decimal" w:start="19"/>
          <w:cols w:num="1" w:space="720"/>
          <w:titlePg w:val="0"/>
          <w:docGrid w:linePitch="312" w:charSpace="0"/>
        </w:sectPr>
      </w:pPr>
    </w:p>
    <w:p>
      <w:pPr>
        <w:pStyle w:val="NormalWeb"/>
        <w:jc w:val="center"/>
        <w:outlineLvl w:val="0"/>
        <w:rPr>
          <w:rFonts w:ascii="黑体" w:eastAsia="黑体" w:hAnsi="黑体"/>
          <w:snapToGrid w:val="0"/>
          <w:color w:val="auto"/>
          <w:sz w:val="21"/>
          <w:szCs w:val="21"/>
        </w:rPr>
      </w:pPr>
      <w:r>
        <w:rPr>
          <w:rFonts w:ascii="黑体" w:eastAsia="黑体" w:hAnsi="黑体" w:cs="Times New Roman" w:hint="eastAsia"/>
          <w:snapToGrid w:val="0"/>
          <w:color w:val="auto"/>
          <w:sz w:val="30"/>
          <w:szCs w:val="30"/>
        </w:rPr>
        <w:t>四、生态环境影响分析</w:t>
      </w:r>
    </w:p>
    <w:tbl>
      <w:tblPr>
        <w:tblStyle w:val="TableNormal"/>
        <w:tblW w:w="924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879"/>
        <w:gridCol w:w="8363"/>
      </w:tblGrid>
      <w:tr>
        <w:tblPrEx>
          <w:tblW w:w="924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23"/>
          <w:jc w:val="center"/>
        </w:trPr>
        <w:tc>
          <w:tcPr>
            <w:tcW w:w="879" w:type="dxa"/>
            <w:noWrap w:val="0"/>
            <w:tcMar>
              <w:left w:w="28" w:type="dxa"/>
              <w:right w:w="28" w:type="dxa"/>
            </w:tcMar>
            <w:vAlign w:val="center"/>
          </w:tcPr>
          <w:p>
            <w:pPr>
              <w:pStyle w:val="NormalWeb"/>
              <w:adjustRightInd w:val="0"/>
              <w:snapToGrid w:val="0"/>
              <w:spacing w:before="0" w:beforeAutospacing="0" w:after="0" w:afterAutospacing="0" w:line="360" w:lineRule="auto"/>
              <w:jc w:val="center"/>
              <w:rPr>
                <w:rFonts w:cs="宋体"/>
                <w:bCs/>
                <w:color w:val="auto"/>
                <w:kern w:val="2"/>
                <w:sz w:val="21"/>
                <w:szCs w:val="21"/>
              </w:rPr>
            </w:pPr>
            <w:bookmarkStart w:id="4" w:name="_Hlk49796138"/>
            <w:r>
              <w:rPr>
                <w:rFonts w:cs="宋体" w:hint="eastAsia"/>
                <w:bCs/>
                <w:color w:val="auto"/>
                <w:spacing w:val="10"/>
                <w:kern w:val="2"/>
                <w:sz w:val="21"/>
                <w:szCs w:val="21"/>
              </w:rPr>
              <w:t>施工期生态环境影响分析</w:t>
            </w:r>
            <w:bookmarkEnd w:id="4"/>
          </w:p>
        </w:tc>
        <w:tc>
          <w:tcPr>
            <w:tcW w:w="8363" w:type="dxa"/>
            <w:noWrap w:val="0"/>
            <w:vAlign w:val="top"/>
          </w:tcPr>
          <w:p>
            <w:pPr>
              <w:adjustRightInd w:val="0"/>
              <w:snapToGrid w:val="0"/>
              <w:spacing w:line="360" w:lineRule="auto"/>
              <w:ind w:firstLine="420" w:firstLineChars="200"/>
              <w:rPr>
                <w:rFonts w:hint="default"/>
                <w:bCs/>
                <w:color w:val="auto"/>
                <w:szCs w:val="21"/>
              </w:rPr>
            </w:pPr>
            <w:r>
              <w:rPr>
                <w:rFonts w:hint="eastAsia"/>
                <w:bCs/>
                <w:color w:val="auto"/>
                <w:sz w:val="21"/>
                <w:szCs w:val="21"/>
              </w:rPr>
              <w:t>主要影响环节：①在施工期由于土石方开挖，破坏了原有地面土层结构，土质翻动后表层疏松，在降雨、风等侵蚀外营力作用下易发生侵蚀。特别是雨季施工时临时堆土在地表径流冲刷下，会产生一定程度的水土流失</w:t>
            </w:r>
            <w:r>
              <w:rPr>
                <w:bCs/>
                <w:color w:val="auto"/>
                <w:sz w:val="21"/>
                <w:szCs w:val="21"/>
              </w:rPr>
              <w:t>。</w:t>
            </w:r>
            <w:r>
              <w:rPr>
                <w:rFonts w:ascii="Times New Roman" w:eastAsia="宋体" w:hAnsi="Times New Roman" w:cs="Times New Roman" w:hint="eastAsia"/>
                <w:color w:val="auto"/>
                <w:kern w:val="2"/>
                <w:sz w:val="21"/>
                <w:szCs w:val="21"/>
                <w:lang w:val="en-US" w:eastAsia="zh-CN" w:bidi="ar-SA"/>
              </w:rPr>
              <w:t>②占地范围内地表出现局部裸露，破坏原有的生态环境。③</w:t>
            </w:r>
            <w:r>
              <w:rPr>
                <w:rFonts w:cs="Times New Roman" w:hint="eastAsia"/>
                <w:color w:val="auto"/>
                <w:kern w:val="2"/>
                <w:sz w:val="21"/>
                <w:szCs w:val="21"/>
                <w:lang w:val="en-US" w:eastAsia="zh-CN" w:bidi="ar-SA"/>
              </w:rPr>
              <w:t>施工过程中粉尘、废水、固废等</w:t>
            </w:r>
            <w:r>
              <w:rPr>
                <w:rFonts w:ascii="Times New Roman" w:eastAsia="宋体" w:hAnsi="Times New Roman" w:cs="Times New Roman" w:hint="eastAsia"/>
                <w:color w:val="auto"/>
                <w:kern w:val="2"/>
                <w:sz w:val="21"/>
                <w:szCs w:val="21"/>
                <w:lang w:val="en-US" w:eastAsia="zh-CN" w:bidi="ar-SA"/>
              </w:rPr>
              <w:t>对</w:t>
            </w:r>
            <w:r>
              <w:rPr>
                <w:rFonts w:cs="Times New Roman" w:hint="eastAsia"/>
                <w:color w:val="auto"/>
                <w:kern w:val="2"/>
                <w:sz w:val="21"/>
                <w:szCs w:val="21"/>
                <w:lang w:val="en-US" w:eastAsia="zh-CN" w:bidi="ar-SA"/>
              </w:rPr>
              <w:t>“</w:t>
            </w:r>
            <w:r>
              <w:rPr>
                <w:rFonts w:ascii="Times New Roman" w:eastAsia="宋体" w:hAnsi="Times New Roman" w:cs="Times New Roman" w:hint="eastAsia"/>
                <w:color w:val="auto"/>
                <w:kern w:val="2"/>
                <w:sz w:val="21"/>
                <w:szCs w:val="21"/>
                <w:lang w:val="en-US" w:eastAsia="zh-CN" w:bidi="ar-SA"/>
              </w:rPr>
              <w:t>三亚热带海滨风景名胜区 大小洞天景区</w:t>
            </w:r>
            <w:r>
              <w:rPr>
                <w:rFonts w:cs="Times New Roman" w:hint="eastAsia"/>
                <w:color w:val="auto"/>
                <w:kern w:val="2"/>
                <w:sz w:val="21"/>
                <w:szCs w:val="21"/>
                <w:lang w:val="en-US" w:eastAsia="zh-CN" w:bidi="ar-SA"/>
              </w:rPr>
              <w:t>”</w:t>
            </w:r>
            <w:r>
              <w:rPr>
                <w:rFonts w:ascii="Times New Roman" w:eastAsia="宋体" w:hAnsi="Times New Roman" w:cs="Times New Roman" w:hint="eastAsia"/>
                <w:color w:val="auto"/>
                <w:kern w:val="2"/>
                <w:sz w:val="21"/>
                <w:szCs w:val="21"/>
                <w:lang w:val="en-US" w:eastAsia="zh-CN" w:bidi="ar-SA"/>
              </w:rPr>
              <w:t>影响</w:t>
            </w:r>
            <w:r>
              <w:rPr>
                <w:rFonts w:cs="Times New Roman" w:hint="eastAsia"/>
                <w:color w:val="auto"/>
                <w:kern w:val="2"/>
                <w:sz w:val="21"/>
                <w:szCs w:val="21"/>
                <w:lang w:val="en-US" w:eastAsia="zh-CN" w:bidi="ar-SA"/>
              </w:rPr>
              <w:t>。</w:t>
            </w:r>
          </w:p>
          <w:p>
            <w:pPr>
              <w:pStyle w:val="NormalIndent"/>
              <w:ind w:firstLine="480"/>
              <w:rPr>
                <w:rFonts w:hint="default"/>
                <w:color w:val="auto"/>
                <w:sz w:val="21"/>
                <w:szCs w:val="21"/>
                <w:lang w:val="en-US" w:eastAsia="zh-CN"/>
              </w:rPr>
            </w:pPr>
            <w:r>
              <w:rPr>
                <w:rFonts w:hint="eastAsia"/>
                <w:color w:val="auto"/>
                <w:sz w:val="21"/>
                <w:szCs w:val="21"/>
              </w:rPr>
              <w:t>影响对象：①占地及周边的水土。②土地功能发生显著变化，改变了其用地结构与功能特点。③</w:t>
            </w:r>
            <w:r>
              <w:rPr>
                <w:rFonts w:ascii="Times New Roman" w:eastAsia="宋体" w:hAnsi="Times New Roman" w:cs="Times New Roman" w:hint="eastAsia"/>
                <w:color w:val="auto"/>
                <w:kern w:val="2"/>
                <w:sz w:val="21"/>
                <w:szCs w:val="21"/>
                <w:lang w:val="en-US" w:eastAsia="zh-CN" w:bidi="ar-SA"/>
              </w:rPr>
              <w:t>三亚热带海滨风景名胜区 大小洞天景区</w:t>
            </w:r>
            <w:r>
              <w:rPr>
                <w:rFonts w:hint="eastAsia"/>
                <w:color w:val="auto"/>
                <w:sz w:val="21"/>
                <w:szCs w:val="21"/>
                <w:lang w:val="en-US" w:eastAsia="zh-CN"/>
              </w:rPr>
              <w:t>。</w:t>
            </w:r>
          </w:p>
          <w:p>
            <w:pPr>
              <w:pStyle w:val="NormalIndent"/>
              <w:ind w:firstLine="480"/>
              <w:rPr>
                <w:rFonts w:cs="Times New Roman" w:hint="eastAsia"/>
                <w:bCs/>
                <w:color w:val="auto"/>
                <w:sz w:val="21"/>
                <w:szCs w:val="21"/>
                <w:lang w:val="en-US" w:eastAsia="zh-CN"/>
              </w:rPr>
            </w:pPr>
            <w:r>
              <w:rPr>
                <w:rFonts w:hint="eastAsia"/>
                <w:color w:val="auto"/>
                <w:sz w:val="21"/>
                <w:szCs w:val="21"/>
              </w:rPr>
              <w:t>影响程度：①</w:t>
            </w:r>
            <w:r>
              <w:rPr>
                <w:rFonts w:hint="eastAsia"/>
                <w:bCs/>
                <w:color w:val="auto"/>
                <w:sz w:val="21"/>
                <w:szCs w:val="21"/>
              </w:rPr>
              <w:t>项目采取了</w:t>
            </w:r>
            <w:r>
              <w:rPr>
                <w:rFonts w:hint="eastAsia"/>
                <w:color w:val="auto"/>
                <w:sz w:val="21"/>
                <w:szCs w:val="21"/>
              </w:rPr>
              <w:t>临时排水沟、临时沉沙池、临时围挡、场地遮盖等</w:t>
            </w:r>
            <w:r>
              <w:rPr>
                <w:rFonts w:hint="eastAsia"/>
                <w:bCs/>
                <w:color w:val="auto"/>
                <w:sz w:val="21"/>
                <w:szCs w:val="21"/>
              </w:rPr>
              <w:t>必要的水土保持措施，能够</w:t>
            </w:r>
            <w:r>
              <w:rPr>
                <w:rFonts w:hint="eastAsia"/>
                <w:bCs/>
                <w:color w:val="auto"/>
                <w:sz w:val="21"/>
                <w:szCs w:val="21"/>
                <w:highlight w:val="none"/>
              </w:rPr>
              <w:t>有效的防止</w:t>
            </w:r>
            <w:r>
              <w:rPr>
                <w:rFonts w:hint="eastAsia"/>
                <w:bCs/>
                <w:color w:val="auto"/>
                <w:sz w:val="21"/>
                <w:szCs w:val="21"/>
              </w:rPr>
              <w:t>水土流失。</w:t>
            </w:r>
            <w:r>
              <w:rPr>
                <w:bCs/>
                <w:color w:val="auto"/>
                <w:sz w:val="21"/>
                <w:szCs w:val="21"/>
              </w:rPr>
              <w:t>因此本项目的施工</w:t>
            </w:r>
            <w:r>
              <w:rPr>
                <w:rFonts w:hint="eastAsia"/>
                <w:bCs/>
                <w:color w:val="auto"/>
                <w:sz w:val="21"/>
                <w:szCs w:val="21"/>
                <w:lang w:val="en-US" w:eastAsia="zh-CN"/>
              </w:rPr>
              <w:t>造成的水土流失影响较小</w:t>
            </w:r>
            <w:r>
              <w:rPr>
                <w:bCs/>
                <w:color w:val="auto"/>
                <w:sz w:val="21"/>
                <w:szCs w:val="21"/>
              </w:rPr>
              <w:t>。</w:t>
            </w:r>
            <w:r>
              <w:rPr>
                <w:rFonts w:hint="eastAsia"/>
                <w:color w:val="auto"/>
                <w:sz w:val="21"/>
                <w:szCs w:val="21"/>
              </w:rPr>
              <w:t>②</w:t>
            </w:r>
            <w:r>
              <w:rPr>
                <w:bCs/>
                <w:color w:val="auto"/>
                <w:sz w:val="21"/>
                <w:szCs w:val="21"/>
              </w:rPr>
              <w:t>项目占地范围</w:t>
            </w:r>
            <w:r>
              <w:rPr>
                <w:rFonts w:hint="eastAsia"/>
                <w:bCs/>
                <w:color w:val="auto"/>
                <w:sz w:val="21"/>
                <w:szCs w:val="21"/>
                <w:lang w:val="en-US" w:eastAsia="zh-CN"/>
              </w:rPr>
              <w:t>为硬化的水泥地，</w:t>
            </w:r>
            <w:r>
              <w:rPr>
                <w:bCs/>
                <w:color w:val="auto"/>
                <w:sz w:val="21"/>
                <w:szCs w:val="21"/>
              </w:rPr>
              <w:t>植物种类较少，生态系统结构简单，生态环境质量简单，生态环境敏感性较为简单，占地范围内未</w:t>
            </w:r>
            <w:r>
              <w:rPr>
                <w:rFonts w:hint="eastAsia"/>
                <w:bCs/>
                <w:color w:val="auto"/>
                <w:sz w:val="21"/>
                <w:szCs w:val="21"/>
              </w:rPr>
              <w:t>发现</w:t>
            </w:r>
            <w:r>
              <w:rPr>
                <w:bCs/>
                <w:color w:val="auto"/>
                <w:sz w:val="21"/>
                <w:szCs w:val="21"/>
              </w:rPr>
              <w:t>其他珍稀濒危的动植物品种</w:t>
            </w:r>
            <w:r>
              <w:rPr>
                <w:rFonts w:hint="eastAsia"/>
                <w:bCs/>
                <w:color w:val="auto"/>
                <w:sz w:val="21"/>
                <w:szCs w:val="21"/>
              </w:rPr>
              <w:t>，</w:t>
            </w:r>
            <w:r>
              <w:rPr>
                <w:rFonts w:hint="eastAsia"/>
                <w:bCs/>
                <w:color w:val="auto"/>
                <w:sz w:val="21"/>
                <w:szCs w:val="21"/>
                <w:lang w:val="en-US" w:eastAsia="zh-CN"/>
              </w:rPr>
              <w:t>因此项目建设</w:t>
            </w:r>
            <w:r>
              <w:rPr>
                <w:rFonts w:hint="eastAsia"/>
                <w:bCs/>
                <w:color w:val="auto"/>
                <w:sz w:val="21"/>
                <w:szCs w:val="21"/>
              </w:rPr>
              <w:t>对原有的生态环境影响较小。</w:t>
            </w:r>
            <w:r>
              <w:rPr>
                <w:rFonts w:ascii="Times New Roman" w:hAnsi="Times New Roman" w:cs="Times New Roman" w:hint="default"/>
                <w:bCs/>
                <w:color w:val="auto"/>
                <w:sz w:val="21"/>
                <w:szCs w:val="21"/>
              </w:rPr>
              <w:t>③</w:t>
            </w:r>
            <w:r>
              <w:rPr>
                <w:rFonts w:ascii="Times New Roman" w:eastAsia="宋体" w:hAnsi="Times New Roman" w:cs="Times New Roman" w:hint="eastAsia"/>
                <w:color w:val="auto"/>
                <w:kern w:val="2"/>
                <w:sz w:val="21"/>
                <w:szCs w:val="21"/>
                <w:lang w:val="en-US" w:eastAsia="zh-CN" w:bidi="ar-SA"/>
              </w:rPr>
              <w:t>三亚热带海滨风景名胜区 大小洞天景区</w:t>
            </w:r>
            <w:r>
              <w:rPr>
                <w:rFonts w:ascii="Times New Roman" w:hAnsi="Times New Roman" w:cs="Times New Roman" w:hint="default"/>
                <w:bCs/>
                <w:color w:val="auto"/>
                <w:sz w:val="21"/>
                <w:szCs w:val="21"/>
                <w:lang w:val="en-US" w:eastAsia="zh-CN"/>
              </w:rPr>
              <w:t>：本项目位于三亚热带海滨风景名胜区 大小洞天景区内，根据三亚热带海滨风景名胜区 大小洞天景区总体规划，项目用地性质属于</w:t>
            </w:r>
            <w:r>
              <w:rPr>
                <w:rFonts w:cs="Times New Roman" w:hint="eastAsia"/>
                <w:bCs/>
                <w:color w:val="auto"/>
                <w:sz w:val="21"/>
                <w:szCs w:val="21"/>
                <w:lang w:val="en-US" w:eastAsia="zh-CN"/>
              </w:rPr>
              <w:t>旅游点建设用地</w:t>
            </w:r>
            <w:r>
              <w:rPr>
                <w:rFonts w:ascii="Times New Roman" w:hAnsi="Times New Roman" w:cs="Times New Roman" w:hint="default"/>
                <w:bCs/>
                <w:color w:val="auto"/>
                <w:sz w:val="21"/>
                <w:szCs w:val="21"/>
                <w:lang w:val="en-US" w:eastAsia="zh-CN"/>
              </w:rPr>
              <w:t>，因此符合三亚热带海滨风景名胜区 大小洞天景区总体规划</w:t>
            </w:r>
            <w:r>
              <w:rPr>
                <w:rFonts w:cs="Times New Roman" w:hint="eastAsia"/>
                <w:bCs/>
                <w:color w:val="auto"/>
                <w:sz w:val="21"/>
                <w:szCs w:val="21"/>
                <w:lang w:val="en-US" w:eastAsia="zh-CN"/>
              </w:rPr>
              <w:t>（</w:t>
            </w:r>
            <w:r>
              <w:rPr>
                <w:rFonts w:ascii="Times New Roman" w:hAnsi="Times New Roman" w:cs="Times New Roman" w:hint="default"/>
                <w:bCs/>
                <w:color w:val="auto"/>
                <w:sz w:val="21"/>
                <w:szCs w:val="21"/>
                <w:lang w:val="en-US" w:eastAsia="zh-CN"/>
              </w:rPr>
              <w:t>具体见附图</w:t>
            </w:r>
            <w:r>
              <w:rPr>
                <w:rFonts w:cs="Times New Roman" w:hint="eastAsia"/>
                <w:bCs/>
                <w:color w:val="auto"/>
                <w:sz w:val="21"/>
                <w:szCs w:val="21"/>
                <w:lang w:val="en-US" w:eastAsia="zh-CN"/>
              </w:rPr>
              <w:t>5）</w:t>
            </w:r>
            <w:r>
              <w:rPr>
                <w:rFonts w:ascii="Times New Roman" w:hAnsi="Times New Roman" w:cs="Times New Roman" w:hint="default"/>
                <w:bCs/>
                <w:color w:val="auto"/>
                <w:sz w:val="21"/>
                <w:szCs w:val="21"/>
                <w:lang w:val="en-US" w:eastAsia="zh-CN"/>
              </w:rPr>
              <w:t>。④项目已</w:t>
            </w:r>
            <w:r>
              <w:rPr>
                <w:rFonts w:cs="Times New Roman" w:hint="eastAsia"/>
                <w:bCs/>
                <w:color w:val="auto"/>
                <w:sz w:val="21"/>
                <w:szCs w:val="21"/>
                <w:lang w:val="en-US" w:eastAsia="zh-CN"/>
              </w:rPr>
              <w:t>建设</w:t>
            </w:r>
            <w:r>
              <w:rPr>
                <w:rFonts w:ascii="Times New Roman" w:hAnsi="Times New Roman" w:cs="Times New Roman" w:hint="default"/>
                <w:bCs/>
                <w:color w:val="auto"/>
                <w:sz w:val="21"/>
                <w:szCs w:val="21"/>
                <w:lang w:val="en-US" w:eastAsia="zh-CN"/>
              </w:rPr>
              <w:t>临时排水沟、临时</w:t>
            </w:r>
            <w:r>
              <w:rPr>
                <w:rFonts w:cs="Times New Roman" w:hint="eastAsia"/>
                <w:bCs/>
                <w:color w:val="auto"/>
                <w:sz w:val="21"/>
                <w:szCs w:val="21"/>
                <w:lang w:val="en-US" w:eastAsia="zh-CN"/>
              </w:rPr>
              <w:t>沉淀池</w:t>
            </w:r>
            <w:r>
              <w:rPr>
                <w:rFonts w:ascii="Times New Roman" w:hAnsi="Times New Roman" w:cs="Times New Roman" w:hint="default"/>
                <w:bCs/>
                <w:color w:val="auto"/>
                <w:sz w:val="21"/>
                <w:szCs w:val="21"/>
                <w:lang w:val="en-US" w:eastAsia="zh-CN"/>
              </w:rPr>
              <w:t>、临时围挡、场地遮盖等必要，能够有效防止施工废水</w:t>
            </w:r>
            <w:r>
              <w:rPr>
                <w:rFonts w:cs="Times New Roman" w:hint="eastAsia"/>
                <w:bCs/>
                <w:color w:val="auto"/>
                <w:sz w:val="21"/>
                <w:szCs w:val="21"/>
                <w:lang w:val="en-US" w:eastAsia="zh-CN"/>
              </w:rPr>
              <w:t>对</w:t>
            </w:r>
            <w:r>
              <w:rPr>
                <w:rFonts w:ascii="Times New Roman" w:hAnsi="Times New Roman" w:cs="Times New Roman" w:hint="default"/>
                <w:bCs/>
                <w:color w:val="auto"/>
                <w:sz w:val="21"/>
                <w:szCs w:val="21"/>
                <w:lang w:val="en-US" w:eastAsia="zh-CN"/>
              </w:rPr>
              <w:t>三亚热带海滨风景名胜区 大小洞天景区的影响；项目临时堆场采用彩条</w:t>
            </w:r>
            <w:r>
              <w:rPr>
                <w:rFonts w:cs="Times New Roman" w:hint="eastAsia"/>
                <w:bCs/>
                <w:color w:val="auto"/>
                <w:sz w:val="21"/>
                <w:szCs w:val="21"/>
                <w:lang w:val="en-US" w:eastAsia="zh-CN"/>
              </w:rPr>
              <w:t>布</w:t>
            </w:r>
            <w:r>
              <w:rPr>
                <w:rFonts w:ascii="Times New Roman" w:hAnsi="Times New Roman" w:cs="Times New Roman" w:hint="default"/>
                <w:bCs/>
                <w:color w:val="auto"/>
                <w:sz w:val="21"/>
                <w:szCs w:val="21"/>
                <w:lang w:val="en-US" w:eastAsia="zh-CN"/>
              </w:rPr>
              <w:t>覆盖、场区定期洒水降尘，能够有效缓解施工过程中产生的粉尘对三亚热带海滨风景名胜区 大小洞天景区的影响</w:t>
            </w:r>
            <w:r>
              <w:rPr>
                <w:rFonts w:cs="Times New Roman" w:hint="eastAsia"/>
                <w:bCs/>
                <w:color w:val="auto"/>
                <w:sz w:val="21"/>
                <w:szCs w:val="21"/>
                <w:lang w:val="en-US" w:eastAsia="zh-CN"/>
              </w:rPr>
              <w:t>，目前项目办公楼主体工程基本施工完毕，开挖土方能回填的回填，不能回填的已外运处理，现场调查时，未发现地基开挖过程中产生的施工弃土。本项目不会在“三亚热带海滨风景名胜区 大小洞天景区”内取土、弃土，不会对三亚热带海滨风景名胜区 大小洞天景区产生影响。</w:t>
            </w:r>
          </w:p>
          <w:p>
            <w:pPr>
              <w:pStyle w:val="NormalIndent"/>
              <w:ind w:firstLine="480"/>
              <w:rPr>
                <w:rFonts w:ascii="宋体" w:hAnsi="宋体" w:cs="宋体"/>
                <w:bCs/>
                <w:color w:val="auto"/>
                <w:sz w:val="21"/>
                <w:szCs w:val="21"/>
              </w:rPr>
            </w:pPr>
            <w:r>
              <w:rPr>
                <w:rFonts w:ascii="Times New Roman" w:hAnsi="Times New Roman" w:cs="Times New Roman" w:hint="default"/>
                <w:bCs/>
                <w:color w:val="auto"/>
                <w:sz w:val="21"/>
                <w:szCs w:val="21"/>
                <w:lang w:val="en-US" w:eastAsia="zh-CN"/>
              </w:rPr>
              <w:t>综上，只要项目严格落实施工环保措施，项目对三亚热带海滨风景名胜区 大小洞天景区的影响不大。</w:t>
            </w:r>
          </w:p>
        </w:tc>
      </w:tr>
    </w:tbl>
    <w:p>
      <w:pPr>
        <w:sectPr>
          <w:footerReference w:type="even" r:id="rId48"/>
          <w:footerReference w:type="default" r:id="rId49"/>
          <w:type w:val="nextPage"/>
          <w:pgSz w:w="11906" w:h="16838"/>
          <w:pgMar w:top="1440" w:right="1800" w:bottom="1440" w:left="1800" w:header="851" w:footer="1077" w:gutter="0"/>
          <w:pgNumType w:fmt="decimal" w:start="20"/>
          <w:cols w:num="1" w:space="720"/>
          <w:titlePg w:val="0"/>
          <w:docGrid w:linePitch="312" w:charSpace="0"/>
        </w:sectPr>
      </w:pPr>
    </w:p>
    <w:tbl>
      <w:tblPr>
        <w:tblStyle w:val="TableNormal"/>
        <w:tblW w:w="924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879"/>
        <w:gridCol w:w="8363"/>
      </w:tblGrid>
      <w:tr>
        <w:tblPrEx>
          <w:tblW w:w="924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8004"/>
          <w:jc w:val="center"/>
        </w:trPr>
        <w:tc>
          <w:tcPr>
            <w:tcW w:w="879" w:type="dxa"/>
            <w:noWrap w:val="0"/>
            <w:tcMar>
              <w:left w:w="28" w:type="dxa"/>
              <w:right w:w="28" w:type="dxa"/>
            </w:tcMar>
            <w:vAlign w:val="center"/>
          </w:tcPr>
          <w:p>
            <w:pPr>
              <w:pStyle w:val="NormalWeb"/>
              <w:adjustRightInd w:val="0"/>
              <w:snapToGrid w:val="0"/>
              <w:spacing w:before="0" w:beforeAutospacing="0" w:after="0" w:afterAutospacing="0" w:line="360" w:lineRule="auto"/>
              <w:jc w:val="center"/>
              <w:rPr>
                <w:rFonts w:cs="宋体"/>
                <w:bCs/>
                <w:color w:val="auto"/>
                <w:kern w:val="2"/>
                <w:sz w:val="21"/>
                <w:szCs w:val="21"/>
              </w:rPr>
            </w:pPr>
            <w:r>
              <w:rPr>
                <w:rFonts w:cs="宋体" w:hint="eastAsia"/>
                <w:bCs/>
                <w:color w:val="auto"/>
                <w:spacing w:val="10"/>
                <w:kern w:val="2"/>
                <w:sz w:val="21"/>
                <w:szCs w:val="21"/>
              </w:rPr>
              <w:t>运营期生态环境影响分析</w:t>
            </w:r>
          </w:p>
        </w:tc>
        <w:tc>
          <w:tcPr>
            <w:tcW w:w="8363" w:type="dxa"/>
            <w:noWrap w:val="0"/>
            <w:vAlign w:val="top"/>
          </w:tcPr>
          <w:p>
            <w:pPr>
              <w:adjustRightInd w:val="0"/>
              <w:snapToGrid w:val="0"/>
              <w:spacing w:line="360" w:lineRule="auto"/>
              <w:ind w:firstLine="420" w:firstLineChars="200"/>
              <w:rPr>
                <w:rFonts w:hint="default"/>
                <w:bCs/>
                <w:color w:val="auto"/>
                <w:szCs w:val="21"/>
              </w:rPr>
            </w:pPr>
            <w:r>
              <w:rPr>
                <w:rFonts w:hint="eastAsia"/>
                <w:bCs/>
                <w:color w:val="auto"/>
                <w:sz w:val="21"/>
                <w:szCs w:val="21"/>
              </w:rPr>
              <w:t>主要影响环节：①项目建成后改变了用地结构及其周边原有的生态环境，同时对生物多样性产生一定的影响。②</w:t>
            </w:r>
            <w:r>
              <w:rPr>
                <w:rFonts w:hint="eastAsia"/>
                <w:bCs/>
                <w:color w:val="auto"/>
                <w:sz w:val="21"/>
                <w:szCs w:val="21"/>
                <w:lang w:val="en-US" w:eastAsia="zh-CN"/>
              </w:rPr>
              <w:t>运营期产生的生活污水对周边环境的影响、运营期产生的固废对周边环境的影响。</w:t>
            </w:r>
            <w:r>
              <w:rPr>
                <w:rFonts w:hint="eastAsia"/>
                <w:bCs/>
                <w:color w:val="auto"/>
                <w:sz w:val="21"/>
                <w:szCs w:val="21"/>
              </w:rPr>
              <w:t>③</w:t>
            </w:r>
            <w:r>
              <w:rPr>
                <w:rFonts w:hint="eastAsia"/>
                <w:bCs/>
                <w:color w:val="auto"/>
                <w:sz w:val="21"/>
                <w:szCs w:val="21"/>
                <w:lang w:val="en-US" w:eastAsia="zh-CN"/>
              </w:rPr>
              <w:t>游客在</w:t>
            </w:r>
            <w:r>
              <w:rPr>
                <w:rFonts w:hint="eastAsia"/>
                <w:color w:val="auto"/>
                <w:lang w:val="en-US" w:eastAsia="zh-CN"/>
              </w:rPr>
              <w:t>房车宿营区、生活休闲区进行补给休整，休闲娱乐时产生的生活污水、生活垃圾、汽车尾气、餐饮油烟等。</w:t>
            </w:r>
          </w:p>
          <w:p>
            <w:pPr>
              <w:pStyle w:val="NormalIndent"/>
              <w:ind w:firstLine="480"/>
              <w:rPr>
                <w:color w:val="auto"/>
                <w:sz w:val="21"/>
                <w:szCs w:val="21"/>
              </w:rPr>
            </w:pPr>
            <w:r>
              <w:rPr>
                <w:rFonts w:hint="eastAsia"/>
                <w:color w:val="auto"/>
                <w:sz w:val="21"/>
                <w:szCs w:val="21"/>
              </w:rPr>
              <w:t>影响对象：项目及周边的生态环境。</w:t>
            </w:r>
          </w:p>
          <w:p>
            <w:pPr>
              <w:widowControl/>
              <w:spacing w:line="360" w:lineRule="auto"/>
              <w:ind w:firstLine="420" w:firstLineChars="200"/>
              <w:rPr>
                <w:rFonts w:hint="default"/>
                <w:b/>
                <w:bCs w:val="0"/>
                <w:i w:val="0"/>
                <w:iCs w:val="0"/>
                <w:color w:val="auto"/>
                <w:szCs w:val="21"/>
              </w:rPr>
            </w:pPr>
            <w:r>
              <w:rPr>
                <w:rFonts w:hint="eastAsia"/>
                <w:b w:val="0"/>
                <w:bCs w:val="0"/>
                <w:i w:val="0"/>
                <w:iCs w:val="0"/>
                <w:color w:val="auto"/>
                <w:sz w:val="21"/>
                <w:szCs w:val="21"/>
              </w:rPr>
              <w:t>影响程度：</w:t>
            </w:r>
            <w:r>
              <w:rPr>
                <w:rFonts w:hint="eastAsia"/>
                <w:bCs/>
                <w:color w:val="auto"/>
                <w:sz w:val="21"/>
                <w:szCs w:val="21"/>
              </w:rPr>
              <w:t>①</w:t>
            </w:r>
            <w:r>
              <w:rPr>
                <w:rFonts w:hint="eastAsia"/>
                <w:b w:val="0"/>
                <w:bCs w:val="0"/>
                <w:i w:val="0"/>
                <w:iCs w:val="0"/>
                <w:color w:val="auto"/>
                <w:sz w:val="21"/>
                <w:szCs w:val="21"/>
                <w:lang w:val="en-US" w:eastAsia="zh-CN"/>
              </w:rPr>
              <w:t>本项目建设前为大多数为硬化水泥地，有少部分次生林。</w:t>
            </w:r>
            <w:r>
              <w:rPr>
                <w:rFonts w:ascii="宋体" w:hAnsi="宋体" w:cs="宋体" w:hint="eastAsia"/>
                <w:b w:val="0"/>
                <w:bCs w:val="0"/>
                <w:i w:val="0"/>
                <w:iCs w:val="0"/>
                <w:color w:val="auto"/>
                <w:kern w:val="0"/>
                <w:sz w:val="21"/>
                <w:szCs w:val="21"/>
                <w:lang w:bidi="ar"/>
              </w:rPr>
              <w:t>项目建</w:t>
            </w:r>
            <w:r>
              <w:rPr>
                <w:rFonts w:ascii="宋体" w:hAnsi="宋体" w:cs="宋体" w:hint="eastAsia"/>
                <w:b w:val="0"/>
                <w:bCs w:val="0"/>
                <w:i w:val="0"/>
                <w:iCs w:val="0"/>
                <w:color w:val="auto"/>
                <w:kern w:val="0"/>
                <w:sz w:val="21"/>
                <w:szCs w:val="21"/>
                <w:lang w:val="en-US" w:eastAsia="zh-CN" w:bidi="ar"/>
              </w:rPr>
              <w:t>成</w:t>
            </w:r>
            <w:r>
              <w:rPr>
                <w:rFonts w:ascii="宋体" w:hAnsi="宋体" w:cs="宋体" w:hint="eastAsia"/>
                <w:b w:val="0"/>
                <w:bCs w:val="0"/>
                <w:i w:val="0"/>
                <w:iCs w:val="0"/>
                <w:color w:val="auto"/>
                <w:kern w:val="0"/>
                <w:sz w:val="21"/>
                <w:szCs w:val="21"/>
                <w:lang w:bidi="ar"/>
              </w:rPr>
              <w:t>后</w:t>
            </w:r>
            <w:r>
              <w:rPr>
                <w:rFonts w:ascii="宋体" w:hAnsi="宋体" w:cs="宋体" w:hint="eastAsia"/>
                <w:b w:val="0"/>
                <w:bCs w:val="0"/>
                <w:i w:val="0"/>
                <w:iCs w:val="0"/>
                <w:color w:val="auto"/>
                <w:kern w:val="0"/>
                <w:sz w:val="21"/>
                <w:szCs w:val="21"/>
                <w:lang w:eastAsia="zh-CN" w:bidi="ar"/>
              </w:rPr>
              <w:t>会</w:t>
            </w:r>
            <w:r>
              <w:rPr>
                <w:rFonts w:ascii="宋体" w:hAnsi="宋体" w:cs="宋体" w:hint="eastAsia"/>
                <w:b w:val="0"/>
                <w:bCs w:val="0"/>
                <w:i w:val="0"/>
                <w:iCs w:val="0"/>
                <w:color w:val="auto"/>
                <w:kern w:val="0"/>
                <w:sz w:val="21"/>
                <w:szCs w:val="21"/>
                <w:lang w:val="en-US" w:eastAsia="zh-CN" w:bidi="ar"/>
              </w:rPr>
              <w:t>在原有占地上种植一些树木，对生态环境进行简单补偿。因此</w:t>
            </w:r>
            <w:r>
              <w:rPr>
                <w:rFonts w:ascii="宋体" w:hAnsi="宋体" w:cs="宋体" w:hint="eastAsia"/>
                <w:b w:val="0"/>
                <w:bCs w:val="0"/>
                <w:i w:val="0"/>
                <w:iCs w:val="0"/>
                <w:color w:val="auto"/>
                <w:kern w:val="0"/>
                <w:sz w:val="21"/>
                <w:szCs w:val="21"/>
                <w:lang w:bidi="ar"/>
              </w:rPr>
              <w:t>对整个评价区生态环境</w:t>
            </w:r>
            <w:r>
              <w:rPr>
                <w:rFonts w:ascii="宋体" w:hAnsi="宋体" w:cs="宋体" w:hint="eastAsia"/>
                <w:b w:val="0"/>
                <w:bCs w:val="0"/>
                <w:i w:val="0"/>
                <w:iCs w:val="0"/>
                <w:color w:val="auto"/>
                <w:kern w:val="0"/>
                <w:sz w:val="21"/>
                <w:szCs w:val="21"/>
                <w:lang w:val="en-US" w:eastAsia="zh-CN" w:bidi="ar"/>
              </w:rPr>
              <w:t>以及风景名胜区</w:t>
            </w:r>
            <w:r>
              <w:rPr>
                <w:rFonts w:ascii="宋体" w:hAnsi="宋体" w:cs="宋体" w:hint="eastAsia"/>
                <w:b w:val="0"/>
                <w:bCs w:val="0"/>
                <w:i w:val="0"/>
                <w:iCs w:val="0"/>
                <w:color w:val="auto"/>
                <w:kern w:val="0"/>
                <w:sz w:val="21"/>
                <w:szCs w:val="21"/>
                <w:lang w:bidi="ar"/>
              </w:rPr>
              <w:t>影响不会太大</w:t>
            </w:r>
            <w:r>
              <w:rPr>
                <w:rFonts w:hint="eastAsia"/>
                <w:b w:val="0"/>
                <w:bCs w:val="0"/>
                <w:i w:val="0"/>
                <w:iCs w:val="0"/>
                <w:color w:val="auto"/>
                <w:sz w:val="21"/>
                <w:szCs w:val="21"/>
              </w:rPr>
              <w:t>。</w:t>
            </w:r>
            <w:r>
              <w:rPr>
                <w:rFonts w:hint="eastAsia"/>
                <w:bCs/>
                <w:color w:val="auto"/>
                <w:sz w:val="21"/>
                <w:szCs w:val="21"/>
              </w:rPr>
              <w:t>②</w:t>
            </w:r>
            <w:r>
              <w:rPr>
                <w:rFonts w:hint="eastAsia"/>
                <w:bCs/>
                <w:color w:val="auto"/>
                <w:sz w:val="21"/>
                <w:szCs w:val="21"/>
                <w:lang w:val="en-US" w:eastAsia="zh-CN"/>
              </w:rPr>
              <w:t>办公楼</w:t>
            </w:r>
            <w:r>
              <w:rPr>
                <w:rFonts w:hint="eastAsia"/>
                <w:b w:val="0"/>
                <w:bCs w:val="0"/>
                <w:i w:val="0"/>
                <w:iCs w:val="0"/>
                <w:color w:val="auto"/>
                <w:sz w:val="21"/>
                <w:szCs w:val="21"/>
              </w:rPr>
              <w:t>产生的生活污水进入大小洞天污水处理站处理后回用于绿化，不外排。产生的生活垃圾</w:t>
            </w:r>
            <w:r>
              <w:rPr>
                <w:rFonts w:hint="eastAsia"/>
                <w:b w:val="0"/>
                <w:bCs w:val="0"/>
                <w:i w:val="0"/>
                <w:iCs w:val="0"/>
                <w:color w:val="auto"/>
                <w:sz w:val="21"/>
                <w:szCs w:val="21"/>
                <w:lang w:val="en-US" w:eastAsia="zh-CN"/>
              </w:rPr>
              <w:t>经过设置分类垃圾桶收集后交由环卫部门处理。</w:t>
            </w:r>
            <w:r>
              <w:rPr>
                <w:rFonts w:hint="eastAsia"/>
                <w:b w:val="0"/>
                <w:bCs w:val="0"/>
                <w:color w:val="auto"/>
                <w:sz w:val="21"/>
                <w:szCs w:val="21"/>
              </w:rPr>
              <w:t>③</w:t>
            </w:r>
            <w:r>
              <w:rPr>
                <w:rFonts w:hint="eastAsia"/>
                <w:b w:val="0"/>
                <w:bCs w:val="0"/>
                <w:color w:val="auto"/>
                <w:sz w:val="21"/>
                <w:szCs w:val="21"/>
                <w:lang w:val="en-US" w:eastAsia="zh-CN"/>
              </w:rPr>
              <w:t>本项目房车</w:t>
            </w:r>
            <w:r>
              <w:rPr>
                <w:rFonts w:hint="eastAsia"/>
                <w:b w:val="0"/>
                <w:bCs w:val="0"/>
                <w:color w:val="auto"/>
                <w:lang w:val="en-US" w:eastAsia="zh-CN"/>
              </w:rPr>
              <w:t>宿营区周边布设了污水管网，可以用来收集房车上产生的污水；项目周边布设了多个生活垃圾桶，方便用于收集游客产生的生活垃圾；项目房车露营区主要功能为为房车提供停靠场所，房车入场时行驶缓慢，速度低。汽车在低速行驶时，产生的尾气较少，噪声较低。房车宿营区西侧50米为味道餐厅，能为游客提供餐饮服务，因此，仅有少数游客会在房车宿营区进行餐饮烹饪。游客在房车宿营区进行产业烹饪的规模也较小，产生的油烟也少。项目周边绿化良好，能够有效地减少汽车尾气、餐饮油烟和噪声对周边环境的影响。</w:t>
            </w:r>
          </w:p>
          <w:p>
            <w:pPr>
              <w:widowControl/>
              <w:spacing w:line="360" w:lineRule="auto"/>
              <w:ind w:firstLine="420" w:firstLineChars="200"/>
              <w:rPr>
                <w:rFonts w:ascii="宋体" w:hAnsi="宋体" w:cs="宋体" w:hint="eastAsia"/>
                <w:bCs/>
                <w:color w:val="auto"/>
                <w:szCs w:val="21"/>
              </w:rPr>
            </w:pPr>
          </w:p>
        </w:tc>
      </w:tr>
    </w:tbl>
    <w:p>
      <w:pPr>
        <w:sectPr>
          <w:footerReference w:type="even" r:id="rId50"/>
          <w:footerReference w:type="default" r:id="rId51"/>
          <w:type w:val="nextPage"/>
          <w:pgSz w:w="11906" w:h="16838"/>
          <w:pgMar w:top="1440" w:right="1800" w:bottom="1440" w:left="1800" w:header="851" w:footer="1077" w:gutter="0"/>
          <w:pgNumType w:fmt="decimal" w:start="21"/>
          <w:cols w:num="1" w:space="720"/>
          <w:titlePg w:val="0"/>
          <w:docGrid w:linePitch="312" w:charSpace="0"/>
        </w:sectPr>
      </w:pPr>
    </w:p>
    <w:tbl>
      <w:tblPr>
        <w:tblStyle w:val="TableNormal"/>
        <w:tblW w:w="924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879"/>
        <w:gridCol w:w="8363"/>
      </w:tblGrid>
      <w:tr>
        <w:tblPrEx>
          <w:tblW w:w="924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3406"/>
          <w:jc w:val="center"/>
        </w:trPr>
        <w:tc>
          <w:tcPr>
            <w:tcW w:w="879" w:type="dxa"/>
            <w:noWrap w:val="0"/>
            <w:vAlign w:val="center"/>
          </w:tcPr>
          <w:p>
            <w:pPr>
              <w:pStyle w:val="NormalWeb"/>
              <w:adjustRightInd w:val="0"/>
              <w:snapToGrid w:val="0"/>
              <w:spacing w:before="0" w:beforeAutospacing="0" w:after="0" w:afterAutospacing="0"/>
              <w:jc w:val="center"/>
              <w:rPr>
                <w:rFonts w:cs="宋体"/>
                <w:bCs/>
                <w:color w:val="auto"/>
                <w:kern w:val="2"/>
                <w:sz w:val="21"/>
                <w:szCs w:val="21"/>
              </w:rPr>
            </w:pPr>
            <w:r>
              <w:rPr>
                <w:rFonts w:cs="宋体" w:hint="eastAsia"/>
                <w:bCs/>
                <w:color w:val="auto"/>
                <w:kern w:val="2"/>
                <w:sz w:val="21"/>
                <w:szCs w:val="21"/>
              </w:rPr>
              <w:t>选址选线环境合理性分析</w:t>
            </w:r>
          </w:p>
        </w:tc>
        <w:tc>
          <w:tcPr>
            <w:tcW w:w="8363" w:type="dxa"/>
            <w:noWrap w:val="0"/>
            <w:vAlign w:val="top"/>
          </w:tcPr>
          <w:p>
            <w:pPr>
              <w:pStyle w:val="Default"/>
              <w:adjustRightInd/>
              <w:spacing w:line="360" w:lineRule="auto"/>
              <w:ind w:firstLine="420" w:firstLineChars="200"/>
              <w:rPr>
                <w:rFonts w:ascii="Times New Roman" w:hAnsi="Times New Roman"/>
                <w:b w:val="0"/>
                <w:bCs w:val="0"/>
                <w:color w:val="auto"/>
                <w:sz w:val="21"/>
                <w:szCs w:val="21"/>
              </w:rPr>
            </w:pPr>
            <w:r>
              <w:rPr>
                <w:rFonts w:ascii="Times New Roman" w:hAnsi="Times New Roman" w:hint="eastAsia"/>
                <w:b w:val="0"/>
                <w:bCs w:val="0"/>
                <w:color w:val="auto"/>
                <w:sz w:val="21"/>
                <w:szCs w:val="21"/>
                <w:lang w:eastAsia="zh-CN"/>
              </w:rPr>
              <w:t>（</w:t>
            </w:r>
            <w:r>
              <w:rPr>
                <w:rFonts w:ascii="Times New Roman" w:hAnsi="Times New Roman"/>
                <w:b w:val="0"/>
                <w:bCs w:val="0"/>
                <w:color w:val="auto"/>
                <w:sz w:val="21"/>
                <w:szCs w:val="21"/>
              </w:rPr>
              <w:t>1</w:t>
            </w:r>
            <w:r>
              <w:rPr>
                <w:rFonts w:ascii="Times New Roman" w:hAnsi="Times New Roman" w:hint="eastAsia"/>
                <w:b w:val="0"/>
                <w:bCs w:val="0"/>
                <w:color w:val="auto"/>
                <w:sz w:val="21"/>
                <w:szCs w:val="21"/>
                <w:lang w:eastAsia="zh-CN"/>
              </w:rPr>
              <w:t>）</w:t>
            </w:r>
            <w:r>
              <w:rPr>
                <w:rFonts w:ascii="Times New Roman" w:hAnsi="Times New Roman"/>
                <w:b w:val="0"/>
                <w:bCs w:val="0"/>
                <w:color w:val="auto"/>
                <w:sz w:val="21"/>
                <w:szCs w:val="21"/>
              </w:rPr>
              <w:t>环境制约因素</w:t>
            </w:r>
          </w:p>
          <w:p>
            <w:pPr>
              <w:pStyle w:val="BodyText"/>
              <w:spacing w:before="0" w:after="0" w:line="360" w:lineRule="auto"/>
              <w:ind w:right="0" w:firstLine="420" w:firstLineChars="200"/>
              <w:rPr>
                <w:rFonts w:eastAsia="宋体" w:hint="eastAsia"/>
                <w:b w:val="0"/>
                <w:bCs w:val="0"/>
                <w:color w:val="auto"/>
                <w:sz w:val="21"/>
                <w:szCs w:val="21"/>
                <w:highlight w:val="none"/>
                <w:lang w:eastAsia="zh-CN"/>
              </w:rPr>
            </w:pPr>
            <w:r>
              <w:rPr>
                <w:b w:val="0"/>
                <w:bCs w:val="0"/>
                <w:color w:val="auto"/>
                <w:sz w:val="21"/>
                <w:szCs w:val="21"/>
                <w:highlight w:val="none"/>
              </w:rPr>
              <w:t>本项目建设的制约因素主要为</w:t>
            </w:r>
            <w:r>
              <w:rPr>
                <w:rFonts w:hint="eastAsia"/>
                <w:b w:val="0"/>
                <w:bCs w:val="0"/>
                <w:color w:val="auto"/>
                <w:sz w:val="21"/>
                <w:szCs w:val="21"/>
                <w:highlight w:val="none"/>
              </w:rPr>
              <w:t>施工期和运营期对周边环境的影响。产生的废气、废水、固废及噪声等会对周围环境产生一定的影响以及项目位于</w:t>
            </w:r>
            <w:r>
              <w:rPr>
                <w:rFonts w:hint="eastAsia"/>
                <w:b w:val="0"/>
                <w:bCs w:val="0"/>
                <w:color w:val="auto"/>
                <w:sz w:val="21"/>
                <w:szCs w:val="21"/>
                <w:highlight w:val="none"/>
                <w:lang w:eastAsia="zh-CN"/>
              </w:rPr>
              <w:t>“</w:t>
            </w:r>
            <w:r>
              <w:rPr>
                <w:rFonts w:hint="eastAsia"/>
                <w:b w:val="0"/>
                <w:bCs w:val="0"/>
                <w:color w:val="auto"/>
                <w:sz w:val="21"/>
                <w:szCs w:val="21"/>
                <w:highlight w:val="none"/>
              </w:rPr>
              <w:t>三亚热带海滨风景名胜区 大小洞天景区</w:t>
            </w:r>
            <w:r>
              <w:rPr>
                <w:rFonts w:hint="eastAsia"/>
                <w:b w:val="0"/>
                <w:bCs w:val="0"/>
                <w:color w:val="auto"/>
                <w:sz w:val="21"/>
                <w:szCs w:val="21"/>
                <w:highlight w:val="none"/>
                <w:lang w:eastAsia="zh-CN"/>
              </w:rPr>
              <w:t>”</w:t>
            </w:r>
            <w:r>
              <w:rPr>
                <w:rFonts w:hint="eastAsia"/>
                <w:b w:val="0"/>
                <w:bCs w:val="0"/>
                <w:color w:val="auto"/>
                <w:sz w:val="21"/>
                <w:szCs w:val="21"/>
                <w:highlight w:val="none"/>
              </w:rPr>
              <w:t>内</w:t>
            </w:r>
            <w:r>
              <w:rPr>
                <w:rFonts w:hint="eastAsia"/>
                <w:b w:val="0"/>
                <w:bCs w:val="0"/>
                <w:color w:val="auto"/>
                <w:sz w:val="21"/>
                <w:szCs w:val="21"/>
                <w:highlight w:val="none"/>
                <w:lang w:eastAsia="zh-CN"/>
              </w:rPr>
              <w:t>，施工场地植被清理破坏了原有地表植被，</w:t>
            </w:r>
            <w:r>
              <w:rPr>
                <w:rFonts w:hint="eastAsia"/>
                <w:b w:val="0"/>
                <w:bCs w:val="0"/>
                <w:color w:val="auto"/>
                <w:sz w:val="21"/>
                <w:szCs w:val="21"/>
                <w:highlight w:val="none"/>
                <w:lang w:val="en-US" w:eastAsia="zh-CN"/>
              </w:rPr>
              <w:t>造成</w:t>
            </w:r>
            <w:r>
              <w:rPr>
                <w:rFonts w:hint="eastAsia"/>
                <w:b w:val="0"/>
                <w:bCs w:val="0"/>
                <w:color w:val="auto"/>
                <w:sz w:val="21"/>
                <w:szCs w:val="21"/>
                <w:highlight w:val="none"/>
                <w:lang w:eastAsia="zh-CN"/>
              </w:rPr>
              <w:t>裸露地表，这些区域若不及时采取有效的水土流失防治措施</w:t>
            </w:r>
            <w:r>
              <w:rPr>
                <w:rFonts w:hint="eastAsia"/>
                <w:b w:val="0"/>
                <w:bCs w:val="0"/>
                <w:color w:val="auto"/>
                <w:sz w:val="21"/>
                <w:szCs w:val="21"/>
                <w:highlight w:val="none"/>
                <w:lang w:val="en-US" w:eastAsia="zh-CN"/>
              </w:rPr>
              <w:t>和生态补偿</w:t>
            </w:r>
            <w:r>
              <w:rPr>
                <w:rFonts w:hint="eastAsia"/>
                <w:b w:val="0"/>
                <w:bCs w:val="0"/>
                <w:color w:val="auto"/>
                <w:sz w:val="21"/>
                <w:szCs w:val="21"/>
                <w:highlight w:val="none"/>
                <w:lang w:eastAsia="zh-CN"/>
              </w:rPr>
              <w:t>，将直接影响项目所在地的景观，引起区内景观斑块的改变，增加景观破碎度，影响到建设区块植被的连续性。会对区域生态环境造成危害，不利于塑造建设单位的良好社会形象，同时也将影响该区域旅游产业的发展。</w:t>
            </w:r>
          </w:p>
          <w:p>
            <w:pPr>
              <w:spacing w:line="360" w:lineRule="auto"/>
              <w:ind w:firstLine="420" w:firstLineChars="200"/>
              <w:rPr>
                <w:b w:val="0"/>
                <w:bCs w:val="0"/>
                <w:color w:val="auto"/>
                <w:kern w:val="0"/>
                <w:szCs w:val="21"/>
              </w:rPr>
            </w:pPr>
            <w:r>
              <w:rPr>
                <w:rFonts w:hint="eastAsia"/>
                <w:b w:val="0"/>
                <w:bCs w:val="0"/>
                <w:color w:val="auto"/>
                <w:kern w:val="0"/>
                <w:sz w:val="21"/>
                <w:szCs w:val="21"/>
                <w:lang w:eastAsia="zh-CN"/>
              </w:rPr>
              <w:t>（</w:t>
            </w:r>
            <w:r>
              <w:rPr>
                <w:b w:val="0"/>
                <w:bCs w:val="0"/>
                <w:color w:val="auto"/>
                <w:kern w:val="0"/>
                <w:sz w:val="21"/>
                <w:szCs w:val="21"/>
              </w:rPr>
              <w:t>2</w:t>
            </w:r>
            <w:r>
              <w:rPr>
                <w:rFonts w:hint="eastAsia"/>
                <w:b w:val="0"/>
                <w:bCs w:val="0"/>
                <w:color w:val="auto"/>
                <w:kern w:val="0"/>
                <w:sz w:val="21"/>
                <w:szCs w:val="21"/>
                <w:lang w:eastAsia="zh-CN"/>
              </w:rPr>
              <w:t>）</w:t>
            </w:r>
            <w:r>
              <w:rPr>
                <w:b w:val="0"/>
                <w:bCs w:val="0"/>
                <w:color w:val="auto"/>
                <w:kern w:val="0"/>
                <w:sz w:val="21"/>
                <w:szCs w:val="21"/>
              </w:rPr>
              <w:t>环境影响程度</w:t>
            </w:r>
          </w:p>
          <w:p>
            <w:pPr>
              <w:spacing w:line="360" w:lineRule="auto"/>
              <w:ind w:firstLine="420" w:firstLineChars="200"/>
              <w:rPr>
                <w:b w:val="0"/>
                <w:bCs w:val="0"/>
                <w:color w:val="auto"/>
                <w:kern w:val="0"/>
                <w:szCs w:val="21"/>
              </w:rPr>
            </w:pPr>
            <w:r>
              <w:rPr>
                <w:b w:val="0"/>
                <w:bCs w:val="0"/>
                <w:color w:val="auto"/>
                <w:kern w:val="0"/>
                <w:sz w:val="21"/>
                <w:szCs w:val="21"/>
              </w:rPr>
              <w:t>1</w:t>
            </w:r>
            <w:r>
              <w:rPr>
                <w:rFonts w:hint="eastAsia"/>
                <w:b w:val="0"/>
                <w:bCs w:val="0"/>
                <w:color w:val="auto"/>
                <w:kern w:val="0"/>
                <w:sz w:val="21"/>
                <w:szCs w:val="21"/>
                <w:lang w:eastAsia="zh-CN"/>
              </w:rPr>
              <w:t>）</w:t>
            </w:r>
            <w:r>
              <w:rPr>
                <w:rFonts w:hint="eastAsia"/>
                <w:b w:val="0"/>
                <w:bCs w:val="0"/>
                <w:color w:val="auto"/>
                <w:kern w:val="0"/>
                <w:sz w:val="21"/>
                <w:szCs w:val="21"/>
              </w:rPr>
              <w:t>大气</w:t>
            </w:r>
            <w:r>
              <w:rPr>
                <w:b w:val="0"/>
                <w:bCs w:val="0"/>
                <w:color w:val="auto"/>
                <w:kern w:val="0"/>
                <w:sz w:val="21"/>
                <w:szCs w:val="21"/>
              </w:rPr>
              <w:t>影响</w:t>
            </w:r>
            <w:r>
              <w:rPr>
                <w:rFonts w:hint="eastAsia"/>
                <w:b w:val="0"/>
                <w:bCs w:val="0"/>
                <w:color w:val="auto"/>
                <w:kern w:val="0"/>
                <w:sz w:val="21"/>
                <w:szCs w:val="21"/>
              </w:rPr>
              <w:t>程度</w:t>
            </w:r>
          </w:p>
          <w:p>
            <w:pPr>
              <w:spacing w:line="360" w:lineRule="auto"/>
              <w:ind w:firstLine="420" w:firstLineChars="200"/>
              <w:rPr>
                <w:b w:val="0"/>
                <w:bCs w:val="0"/>
                <w:color w:val="auto"/>
                <w:kern w:val="0"/>
                <w:szCs w:val="21"/>
              </w:rPr>
            </w:pPr>
            <w:r>
              <w:rPr>
                <w:rFonts w:hint="eastAsia"/>
                <w:b w:val="0"/>
                <w:bCs w:val="0"/>
                <w:color w:val="auto"/>
                <w:kern w:val="0"/>
                <w:sz w:val="21"/>
                <w:szCs w:val="21"/>
              </w:rPr>
              <w:t>项目通过</w:t>
            </w:r>
            <w:r>
              <w:rPr>
                <w:b w:val="0"/>
                <w:bCs w:val="0"/>
                <w:color w:val="auto"/>
                <w:kern w:val="0"/>
                <w:sz w:val="21"/>
                <w:szCs w:val="21"/>
              </w:rPr>
              <w:t>施工扬尘通过采取洒水</w:t>
            </w:r>
            <w:r>
              <w:rPr>
                <w:rFonts w:hint="eastAsia"/>
                <w:b w:val="0"/>
                <w:bCs w:val="0"/>
                <w:color w:val="auto"/>
                <w:kern w:val="0"/>
                <w:sz w:val="21"/>
                <w:szCs w:val="21"/>
              </w:rPr>
              <w:t>降尘</w:t>
            </w:r>
            <w:r>
              <w:rPr>
                <w:b w:val="0"/>
                <w:bCs w:val="0"/>
                <w:color w:val="auto"/>
                <w:kern w:val="0"/>
                <w:sz w:val="21"/>
                <w:szCs w:val="21"/>
              </w:rPr>
              <w:t>、施工过程中</w:t>
            </w:r>
            <w:r>
              <w:rPr>
                <w:rFonts w:hint="eastAsia"/>
                <w:b w:val="0"/>
                <w:bCs w:val="0"/>
                <w:color w:val="auto"/>
                <w:kern w:val="0"/>
                <w:sz w:val="21"/>
                <w:szCs w:val="21"/>
                <w:lang w:val="en-US" w:eastAsia="zh-CN"/>
              </w:rPr>
              <w:t>做好围挡</w:t>
            </w:r>
            <w:r>
              <w:rPr>
                <w:rFonts w:hint="eastAsia"/>
                <w:b w:val="0"/>
                <w:bCs w:val="0"/>
                <w:color w:val="auto"/>
                <w:kern w:val="0"/>
                <w:sz w:val="21"/>
                <w:szCs w:val="21"/>
              </w:rPr>
              <w:t>；</w:t>
            </w:r>
            <w:r>
              <w:rPr>
                <w:b w:val="0"/>
                <w:bCs w:val="0"/>
                <w:color w:val="auto"/>
                <w:sz w:val="21"/>
                <w:szCs w:val="21"/>
              </w:rPr>
              <w:t>运输车辆采取相应的遮盖、封闭</w:t>
            </w:r>
            <w:r>
              <w:rPr>
                <w:b w:val="0"/>
                <w:bCs w:val="0"/>
                <w:color w:val="auto"/>
                <w:kern w:val="0"/>
                <w:sz w:val="21"/>
                <w:szCs w:val="21"/>
              </w:rPr>
              <w:t>等措施</w:t>
            </w:r>
            <w:r>
              <w:rPr>
                <w:rFonts w:hint="eastAsia"/>
                <w:b w:val="0"/>
                <w:bCs w:val="0"/>
                <w:color w:val="auto"/>
                <w:kern w:val="0"/>
                <w:sz w:val="21"/>
                <w:szCs w:val="21"/>
              </w:rPr>
              <w:t>；选用先进的机械设备，各施工机械合理布局</w:t>
            </w:r>
            <w:r>
              <w:rPr>
                <w:rFonts w:hint="eastAsia"/>
                <w:b w:val="0"/>
                <w:bCs w:val="0"/>
                <w:color w:val="auto"/>
                <w:sz w:val="21"/>
                <w:szCs w:val="21"/>
              </w:rPr>
              <w:t>。对周边大气环境影响较小。</w:t>
            </w:r>
          </w:p>
          <w:p>
            <w:pPr>
              <w:spacing w:line="360" w:lineRule="auto"/>
              <w:ind w:firstLine="420" w:firstLineChars="200"/>
              <w:rPr>
                <w:b w:val="0"/>
                <w:bCs w:val="0"/>
                <w:color w:val="auto"/>
                <w:kern w:val="0"/>
                <w:szCs w:val="21"/>
              </w:rPr>
            </w:pPr>
            <w:r>
              <w:rPr>
                <w:b w:val="0"/>
                <w:bCs w:val="0"/>
                <w:color w:val="auto"/>
                <w:kern w:val="0"/>
                <w:sz w:val="21"/>
                <w:szCs w:val="21"/>
              </w:rPr>
              <w:t>2</w:t>
            </w:r>
            <w:r>
              <w:rPr>
                <w:rFonts w:hint="eastAsia"/>
                <w:b w:val="0"/>
                <w:bCs w:val="0"/>
                <w:color w:val="auto"/>
                <w:kern w:val="0"/>
                <w:sz w:val="21"/>
                <w:szCs w:val="21"/>
                <w:lang w:eastAsia="zh-CN"/>
              </w:rPr>
              <w:t>）</w:t>
            </w:r>
            <w:r>
              <w:rPr>
                <w:b w:val="0"/>
                <w:bCs w:val="0"/>
                <w:color w:val="auto"/>
                <w:kern w:val="0"/>
                <w:sz w:val="21"/>
                <w:szCs w:val="21"/>
              </w:rPr>
              <w:t>地表水影响</w:t>
            </w:r>
            <w:r>
              <w:rPr>
                <w:rFonts w:hint="eastAsia"/>
                <w:b w:val="0"/>
                <w:bCs w:val="0"/>
                <w:color w:val="auto"/>
                <w:kern w:val="0"/>
                <w:sz w:val="21"/>
                <w:szCs w:val="21"/>
              </w:rPr>
              <w:t>程度</w:t>
            </w:r>
          </w:p>
          <w:p>
            <w:pPr>
              <w:spacing w:line="360" w:lineRule="auto"/>
              <w:ind w:firstLine="420" w:firstLineChars="200"/>
              <w:rPr>
                <w:rFonts w:hint="eastAsia"/>
                <w:b w:val="0"/>
                <w:bCs w:val="0"/>
                <w:color w:val="auto"/>
                <w:kern w:val="0"/>
                <w:szCs w:val="21"/>
              </w:rPr>
            </w:pPr>
            <w:r>
              <w:rPr>
                <w:b w:val="0"/>
                <w:bCs w:val="0"/>
                <w:color w:val="auto"/>
                <w:kern w:val="0"/>
                <w:sz w:val="21"/>
                <w:szCs w:val="21"/>
              </w:rPr>
              <w:t>建设单位设置沉淀池</w:t>
            </w:r>
            <w:r>
              <w:rPr>
                <w:rFonts w:hint="eastAsia"/>
                <w:b w:val="0"/>
                <w:bCs w:val="0"/>
                <w:color w:val="auto"/>
                <w:kern w:val="0"/>
                <w:sz w:val="21"/>
                <w:szCs w:val="21"/>
                <w:lang w:eastAsia="zh-CN"/>
              </w:rPr>
              <w:t>、</w:t>
            </w:r>
            <w:r>
              <w:rPr>
                <w:rFonts w:hint="eastAsia"/>
                <w:b w:val="0"/>
                <w:bCs w:val="0"/>
                <w:color w:val="auto"/>
                <w:kern w:val="0"/>
                <w:sz w:val="21"/>
                <w:szCs w:val="21"/>
                <w:lang w:val="en-US" w:eastAsia="zh-CN"/>
              </w:rPr>
              <w:t>截流沟</w:t>
            </w:r>
            <w:r>
              <w:rPr>
                <w:b w:val="0"/>
                <w:bCs w:val="0"/>
                <w:color w:val="auto"/>
                <w:kern w:val="0"/>
                <w:sz w:val="21"/>
                <w:szCs w:val="21"/>
              </w:rPr>
              <w:t>等临时设施，施工废水经沉淀后可用于施工场地喷水抑尘循环使用，不外排。</w:t>
            </w:r>
            <w:r>
              <w:rPr>
                <w:b w:val="0"/>
                <w:bCs w:val="0"/>
                <w:color w:val="auto"/>
                <w:sz w:val="21"/>
                <w:szCs w:val="21"/>
              </w:rPr>
              <w:t>项目区内通过设置截流沟、</w:t>
            </w:r>
            <w:r>
              <w:rPr>
                <w:rFonts w:hint="eastAsia"/>
                <w:b w:val="0"/>
                <w:bCs w:val="0"/>
                <w:color w:val="auto"/>
                <w:sz w:val="21"/>
                <w:szCs w:val="21"/>
                <w:lang w:val="en-US" w:eastAsia="zh-CN"/>
              </w:rPr>
              <w:t>沉淀池</w:t>
            </w:r>
            <w:r>
              <w:rPr>
                <w:b w:val="0"/>
                <w:bCs w:val="0"/>
                <w:color w:val="auto"/>
                <w:sz w:val="21"/>
                <w:szCs w:val="21"/>
              </w:rPr>
              <w:t>、临时挡土墙等措施</w:t>
            </w:r>
            <w:r>
              <w:rPr>
                <w:rFonts w:hint="eastAsia"/>
                <w:b w:val="0"/>
                <w:bCs w:val="0"/>
                <w:color w:val="auto"/>
                <w:sz w:val="21"/>
                <w:szCs w:val="21"/>
              </w:rPr>
              <w:t>，能够有效防止施工废水</w:t>
            </w:r>
            <w:r>
              <w:rPr>
                <w:rFonts w:hint="eastAsia"/>
                <w:b w:val="0"/>
                <w:bCs w:val="0"/>
                <w:color w:val="auto"/>
                <w:sz w:val="21"/>
                <w:szCs w:val="21"/>
                <w:lang w:val="en-US" w:eastAsia="zh-CN"/>
              </w:rPr>
              <w:t>影响周边环境</w:t>
            </w:r>
            <w:r>
              <w:rPr>
                <w:rFonts w:hint="eastAsia"/>
                <w:b w:val="0"/>
                <w:bCs w:val="0"/>
                <w:color w:val="auto"/>
                <w:sz w:val="21"/>
                <w:szCs w:val="21"/>
              </w:rPr>
              <w:t>。</w:t>
            </w:r>
            <w:r>
              <w:rPr>
                <w:rFonts w:hint="eastAsia"/>
                <w:b w:val="0"/>
                <w:bCs w:val="0"/>
                <w:color w:val="auto"/>
                <w:kern w:val="0"/>
                <w:sz w:val="21"/>
                <w:szCs w:val="21"/>
              </w:rPr>
              <w:t>项目建成后</w:t>
            </w:r>
            <w:r>
              <w:rPr>
                <w:rFonts w:hint="eastAsia"/>
                <w:b w:val="0"/>
                <w:bCs w:val="0"/>
                <w:color w:val="auto"/>
                <w:kern w:val="0"/>
                <w:sz w:val="21"/>
                <w:szCs w:val="21"/>
                <w:lang w:val="en-US" w:eastAsia="zh-CN"/>
              </w:rPr>
              <w:t>产生的生活污水进入大小洞天污水处理站处理后回用于绿化，不外排。</w:t>
            </w:r>
            <w:r>
              <w:rPr>
                <w:rFonts w:hint="eastAsia"/>
                <w:b w:val="0"/>
                <w:bCs w:val="0"/>
                <w:color w:val="auto"/>
                <w:sz w:val="21"/>
                <w:szCs w:val="21"/>
              </w:rPr>
              <w:t>对周边地表水环境影响较小。</w:t>
            </w:r>
          </w:p>
          <w:p>
            <w:pPr>
              <w:spacing w:line="360" w:lineRule="auto"/>
              <w:ind w:firstLine="420" w:firstLineChars="200"/>
              <w:rPr>
                <w:b w:val="0"/>
                <w:bCs w:val="0"/>
                <w:color w:val="auto"/>
                <w:kern w:val="0"/>
                <w:szCs w:val="21"/>
              </w:rPr>
            </w:pPr>
            <w:r>
              <w:rPr>
                <w:b w:val="0"/>
                <w:bCs w:val="0"/>
                <w:color w:val="auto"/>
                <w:kern w:val="0"/>
                <w:sz w:val="21"/>
                <w:szCs w:val="21"/>
              </w:rPr>
              <w:t>3</w:t>
            </w:r>
            <w:r>
              <w:rPr>
                <w:rFonts w:hint="eastAsia"/>
                <w:b w:val="0"/>
                <w:bCs w:val="0"/>
                <w:color w:val="auto"/>
                <w:kern w:val="0"/>
                <w:sz w:val="21"/>
                <w:szCs w:val="21"/>
                <w:lang w:eastAsia="zh-CN"/>
              </w:rPr>
              <w:t>）</w:t>
            </w:r>
            <w:r>
              <w:rPr>
                <w:rFonts w:hint="eastAsia"/>
                <w:b w:val="0"/>
                <w:bCs w:val="0"/>
                <w:color w:val="auto"/>
                <w:kern w:val="0"/>
                <w:sz w:val="21"/>
                <w:szCs w:val="21"/>
              </w:rPr>
              <w:t>噪声</w:t>
            </w:r>
          </w:p>
          <w:p>
            <w:pPr>
              <w:spacing w:line="360" w:lineRule="auto"/>
              <w:ind w:firstLine="420" w:firstLineChars="200"/>
              <w:rPr>
                <w:rFonts w:hint="eastAsia"/>
                <w:b w:val="0"/>
                <w:bCs w:val="0"/>
                <w:color w:val="auto"/>
                <w:szCs w:val="21"/>
              </w:rPr>
            </w:pPr>
            <w:r>
              <w:rPr>
                <w:b w:val="0"/>
                <w:bCs w:val="0"/>
                <w:color w:val="auto"/>
                <w:sz w:val="21"/>
                <w:szCs w:val="21"/>
              </w:rPr>
              <w:t>施工噪声属于间歇性、短期影响，通过距离衰减和采取禁止夜间施工等管理措施</w:t>
            </w:r>
            <w:r>
              <w:rPr>
                <w:rFonts w:hint="eastAsia"/>
                <w:b w:val="0"/>
                <w:bCs w:val="0"/>
                <w:color w:val="auto"/>
                <w:sz w:val="21"/>
                <w:szCs w:val="21"/>
              </w:rPr>
              <w:t>后噪声可以得到较大的削减，不会对周围产生明显的噪声影响。</w:t>
            </w:r>
          </w:p>
          <w:p>
            <w:pPr>
              <w:spacing w:line="360" w:lineRule="auto"/>
              <w:ind w:firstLine="420" w:firstLineChars="200"/>
              <w:rPr>
                <w:b w:val="0"/>
                <w:bCs w:val="0"/>
                <w:color w:val="auto"/>
                <w:kern w:val="0"/>
                <w:szCs w:val="21"/>
              </w:rPr>
            </w:pPr>
            <w:r>
              <w:rPr>
                <w:b w:val="0"/>
                <w:bCs w:val="0"/>
                <w:color w:val="auto"/>
                <w:kern w:val="0"/>
                <w:sz w:val="21"/>
                <w:szCs w:val="21"/>
              </w:rPr>
              <w:t>4</w:t>
            </w:r>
            <w:r>
              <w:rPr>
                <w:rFonts w:hint="eastAsia"/>
                <w:b w:val="0"/>
                <w:bCs w:val="0"/>
                <w:color w:val="auto"/>
                <w:kern w:val="0"/>
                <w:sz w:val="21"/>
                <w:szCs w:val="21"/>
                <w:lang w:eastAsia="zh-CN"/>
              </w:rPr>
              <w:t>）</w:t>
            </w:r>
            <w:r>
              <w:rPr>
                <w:b w:val="0"/>
                <w:bCs w:val="0"/>
                <w:color w:val="auto"/>
                <w:kern w:val="0"/>
                <w:sz w:val="21"/>
                <w:szCs w:val="21"/>
              </w:rPr>
              <w:t>固体废物</w:t>
            </w:r>
          </w:p>
          <w:p>
            <w:pPr>
              <w:spacing w:line="360" w:lineRule="auto"/>
              <w:ind w:firstLine="420" w:firstLineChars="200"/>
              <w:rPr>
                <w:b w:val="0"/>
                <w:bCs w:val="0"/>
                <w:color w:val="auto"/>
                <w:szCs w:val="21"/>
              </w:rPr>
            </w:pPr>
            <w:r>
              <w:rPr>
                <w:b w:val="0"/>
                <w:bCs w:val="0"/>
                <w:color w:val="auto"/>
                <w:sz w:val="21"/>
                <w:szCs w:val="21"/>
              </w:rPr>
              <w:t>项目的施工期产生的生活垃圾统一收集后由环卫部门统一清运。项目施工建筑垃圾统一收集后及时清理送往</w:t>
            </w:r>
            <w:r>
              <w:rPr>
                <w:rFonts w:hint="eastAsia"/>
                <w:b w:val="0"/>
                <w:bCs w:val="0"/>
                <w:color w:val="auto"/>
                <w:sz w:val="21"/>
                <w:szCs w:val="21"/>
                <w:lang w:val="en-US" w:eastAsia="zh-CN"/>
              </w:rPr>
              <w:t>三亚市</w:t>
            </w:r>
            <w:r>
              <w:rPr>
                <w:b w:val="0"/>
                <w:bCs w:val="0"/>
                <w:color w:val="auto"/>
                <w:sz w:val="21"/>
                <w:szCs w:val="21"/>
              </w:rPr>
              <w:t>建筑垃圾堆放场</w:t>
            </w:r>
            <w:r>
              <w:rPr>
                <w:rFonts w:hint="eastAsia"/>
                <w:b w:val="0"/>
                <w:bCs w:val="0"/>
                <w:color w:val="auto"/>
                <w:sz w:val="21"/>
                <w:szCs w:val="21"/>
              </w:rPr>
              <w:t>。开挖土石方及时回填处理。</w:t>
            </w:r>
            <w:r>
              <w:rPr>
                <w:rFonts w:hint="eastAsia"/>
                <w:b w:val="0"/>
                <w:bCs w:val="0"/>
                <w:color w:val="auto"/>
                <w:sz w:val="21"/>
                <w:szCs w:val="21"/>
                <w:lang w:val="en-US" w:eastAsia="zh-CN"/>
              </w:rPr>
              <w:t>运营期产生的生活垃圾分类收集后交由环卫部门处理。</w:t>
            </w:r>
            <w:r>
              <w:rPr>
                <w:rFonts w:ascii="Times New Roman" w:hAnsi="Times New Roman" w:hint="eastAsia"/>
                <w:b w:val="0"/>
                <w:bCs w:val="0"/>
                <w:color w:val="auto"/>
                <w:sz w:val="21"/>
                <w:szCs w:val="21"/>
              </w:rPr>
              <w:t>项目施工期和运营期</w:t>
            </w:r>
            <w:r>
              <w:rPr>
                <w:rFonts w:ascii="Times New Roman" w:hAnsi="Times New Roman"/>
                <w:b w:val="0"/>
                <w:bCs w:val="0"/>
                <w:color w:val="auto"/>
                <w:sz w:val="21"/>
                <w:szCs w:val="21"/>
              </w:rPr>
              <w:t>所产生的固体废物均可得到</w:t>
            </w:r>
            <w:r>
              <w:rPr>
                <w:rFonts w:ascii="Times New Roman" w:hAnsi="Times New Roman"/>
                <w:b w:val="0"/>
                <w:bCs w:val="0"/>
                <w:color w:val="auto"/>
                <w:sz w:val="21"/>
                <w:szCs w:val="21"/>
                <w:highlight w:val="none"/>
              </w:rPr>
              <w:t>有效的处理</w:t>
            </w:r>
            <w:r>
              <w:rPr>
                <w:rFonts w:ascii="Times New Roman" w:hAnsi="Times New Roman"/>
                <w:b w:val="0"/>
                <w:bCs w:val="0"/>
                <w:color w:val="auto"/>
                <w:sz w:val="21"/>
                <w:szCs w:val="21"/>
              </w:rPr>
              <w:t>与处置，不会对周围环境产生影响。</w:t>
            </w:r>
          </w:p>
          <w:p>
            <w:pPr>
              <w:pStyle w:val="Default"/>
              <w:adjustRightInd/>
              <w:spacing w:line="360" w:lineRule="auto"/>
              <w:ind w:firstLine="420" w:firstLineChars="200"/>
              <w:rPr>
                <w:rFonts w:ascii="Times New Roman" w:hAnsi="Times New Roman" w:hint="eastAsia"/>
                <w:b w:val="0"/>
                <w:bCs w:val="0"/>
                <w:color w:val="auto"/>
                <w:sz w:val="21"/>
                <w:szCs w:val="21"/>
              </w:rPr>
            </w:pPr>
            <w:r>
              <w:rPr>
                <w:rFonts w:ascii="Times New Roman" w:hAnsi="Times New Roman" w:hint="eastAsia"/>
                <w:b w:val="0"/>
                <w:bCs w:val="0"/>
                <w:color w:val="auto"/>
                <w:sz w:val="21"/>
                <w:szCs w:val="21"/>
                <w:lang w:val="en-US" w:eastAsia="zh-CN"/>
              </w:rPr>
              <w:t>5</w:t>
            </w:r>
            <w:r>
              <w:rPr>
                <w:rFonts w:ascii="Times New Roman" w:hAnsi="Times New Roman" w:hint="eastAsia"/>
                <w:b w:val="0"/>
                <w:bCs w:val="0"/>
                <w:color w:val="auto"/>
                <w:sz w:val="21"/>
                <w:szCs w:val="21"/>
                <w:lang w:eastAsia="zh-CN"/>
              </w:rPr>
              <w:t>）</w:t>
            </w:r>
            <w:r>
              <w:rPr>
                <w:rFonts w:ascii="Times New Roman" w:hAnsi="Times New Roman" w:hint="eastAsia"/>
                <w:b w:val="0"/>
                <w:bCs w:val="0"/>
                <w:color w:val="auto"/>
                <w:sz w:val="21"/>
                <w:szCs w:val="21"/>
                <w:lang w:val="en-US" w:eastAsia="zh-CN"/>
              </w:rPr>
              <w:t>生态环境保护</w:t>
            </w:r>
          </w:p>
          <w:p>
            <w:pPr>
              <w:pStyle w:val="10"/>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default"/>
                <w:b w:val="0"/>
                <w:bCs w:val="0"/>
                <w:color w:val="auto"/>
                <w:lang w:val="en-US" w:eastAsia="zh-CN"/>
              </w:rPr>
            </w:pPr>
            <w:r>
              <w:rPr>
                <w:rFonts w:hint="default"/>
                <w:b w:val="0"/>
                <w:bCs w:val="0"/>
                <w:color w:val="auto"/>
                <w:lang w:val="en-US" w:eastAsia="zh-CN"/>
              </w:rPr>
              <w:t>根据附图7项目与海南省生态保护红线关系图，</w:t>
            </w:r>
            <w:r>
              <w:rPr>
                <w:rFonts w:hint="eastAsia"/>
                <w:b w:val="0"/>
                <w:bCs w:val="0"/>
                <w:color w:val="auto"/>
                <w:lang w:val="en-US" w:eastAsia="zh-CN"/>
              </w:rPr>
              <w:t>本项目不占用</w:t>
            </w:r>
            <w:r>
              <w:rPr>
                <w:rFonts w:ascii="Times New Roman" w:hAnsi="Times New Roman" w:cs="Times New Roman" w:hint="default"/>
                <w:b w:val="0"/>
                <w:bCs w:val="0"/>
                <w:color w:val="auto"/>
                <w:lang w:val="en-US" w:eastAsia="zh-CN"/>
              </w:rPr>
              <w:t>2021</w:t>
            </w:r>
            <w:r>
              <w:rPr>
                <w:rFonts w:hint="default"/>
                <w:b w:val="0"/>
                <w:bCs w:val="0"/>
                <w:color w:val="auto"/>
                <w:lang w:val="en-US" w:eastAsia="zh-CN"/>
              </w:rPr>
              <w:t>年海南省生态保护红线。因此，项目的建设符合生态保护红线相关管控要求。项目建成后会在原有占地上种植一些树木，对生态环境进行简单补偿。因此对整个评价区生态环境以及风景名胜区影响不会太大。</w:t>
            </w:r>
          </w:p>
          <w:p>
            <w:pPr>
              <w:pStyle w:val="NormalIndent"/>
              <w:rPr>
                <w:rFonts w:hint="default"/>
                <w:color w:val="auto"/>
                <w:lang w:val="en-US" w:eastAsia="zh-CN"/>
              </w:rPr>
            </w:pPr>
            <w:r>
              <w:rPr>
                <w:rFonts w:ascii="Times New Roman" w:hAnsi="Times New Roman"/>
                <w:b w:val="0"/>
                <w:bCs w:val="0"/>
                <w:color w:val="auto"/>
                <w:sz w:val="21"/>
                <w:szCs w:val="21"/>
              </w:rPr>
              <w:t>综上，</w:t>
            </w:r>
            <w:r>
              <w:rPr>
                <w:rFonts w:ascii="Times New Roman" w:hAnsi="Times New Roman" w:hint="eastAsia"/>
                <w:b w:val="0"/>
                <w:bCs w:val="0"/>
                <w:color w:val="auto"/>
                <w:sz w:val="21"/>
                <w:szCs w:val="21"/>
              </w:rPr>
              <w:t>本项目</w:t>
            </w:r>
            <w:r>
              <w:rPr>
                <w:b w:val="0"/>
                <w:bCs w:val="0"/>
                <w:color w:val="auto"/>
                <w:sz w:val="21"/>
                <w:szCs w:val="21"/>
              </w:rPr>
              <w:t>不涉及拆迁安置居民住户，交通方便；周围市政配套设施较为齐全，给水、用电、通信均可得到保障。项目的施工建设和运营对环境的影响较小，同时在采取本评价提出的各项防治措施后，可使本项目废水、废气、噪声、固废达标排放，对周围环境的影响控制在允许的范围内，故本项目对周围环境影响较小。</w:t>
            </w:r>
            <w:r>
              <w:rPr>
                <w:rFonts w:hint="eastAsia"/>
                <w:b w:val="0"/>
                <w:bCs w:val="0"/>
                <w:color w:val="auto"/>
                <w:sz w:val="21"/>
                <w:szCs w:val="21"/>
              </w:rPr>
              <w:t>因此，从选址选线环境合理性的角度来说，本项目的选址较为合理。</w:t>
            </w:r>
          </w:p>
        </w:tc>
      </w:tr>
    </w:tbl>
    <w:p>
      <w:pPr>
        <w:pStyle w:val="NormalWeb"/>
        <w:jc w:val="center"/>
        <w:rPr>
          <w:rFonts w:ascii="黑体" w:eastAsia="黑体" w:hAnsi="黑体"/>
          <w:snapToGrid w:val="0"/>
          <w:color w:val="auto"/>
          <w:sz w:val="21"/>
          <w:szCs w:val="21"/>
        </w:rPr>
        <w:sectPr>
          <w:footerReference w:type="even" r:id="rId52"/>
          <w:footerReference w:type="default" r:id="rId53"/>
          <w:type w:val="nextPage"/>
          <w:pgSz w:w="11906" w:h="16838"/>
          <w:pgMar w:top="1440" w:right="1800" w:bottom="1440" w:left="1800" w:header="851" w:footer="1077" w:gutter="0"/>
          <w:pgNumType w:fmt="decimal" w:start="22"/>
          <w:cols w:num="1" w:space="720"/>
          <w:titlePg w:val="0"/>
          <w:docGrid w:linePitch="312" w:charSpace="0"/>
        </w:sectPr>
      </w:pPr>
    </w:p>
    <w:p>
      <w:pPr>
        <w:pStyle w:val="NormalWeb"/>
        <w:adjustRightInd w:val="0"/>
        <w:snapToGrid w:val="0"/>
        <w:spacing w:before="0" w:beforeAutospacing="0" w:after="0" w:afterAutospacing="0" w:line="14" w:lineRule="auto"/>
        <w:jc w:val="center"/>
        <w:rPr>
          <w:rFonts w:ascii="黑体" w:eastAsia="黑体" w:hAnsi="黑体" w:hint="eastAsia"/>
          <w:snapToGrid w:val="0"/>
          <w:color w:val="auto"/>
          <w:sz w:val="21"/>
          <w:szCs w:val="21"/>
        </w:rPr>
      </w:pPr>
    </w:p>
    <w:p>
      <w:pPr>
        <w:pStyle w:val="NormalWeb"/>
        <w:jc w:val="center"/>
        <w:outlineLvl w:val="0"/>
        <w:rPr>
          <w:rFonts w:ascii="黑体" w:eastAsia="黑体" w:hAnsi="黑体" w:cs="Times New Roman" w:hint="eastAsia"/>
          <w:snapToGrid w:val="0"/>
          <w:color w:val="auto"/>
          <w:sz w:val="30"/>
          <w:szCs w:val="30"/>
        </w:rPr>
      </w:pPr>
      <w:r>
        <w:rPr>
          <w:rFonts w:ascii="黑体" w:eastAsia="黑体" w:hAnsi="黑体" w:cs="Times New Roman" w:hint="eastAsia"/>
          <w:snapToGrid w:val="0"/>
          <w:color w:val="auto"/>
          <w:sz w:val="30"/>
          <w:szCs w:val="30"/>
        </w:rPr>
        <w:t>五、主要生态环境保护措施</w:t>
      </w:r>
    </w:p>
    <w:tbl>
      <w:tblPr>
        <w:tblStyle w:val="TableNormal"/>
        <w:tblW w:w="921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753"/>
        <w:gridCol w:w="8457"/>
      </w:tblGrid>
      <w:tr>
        <w:tblPrEx>
          <w:tblW w:w="921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3782"/>
          <w:jc w:val="center"/>
        </w:trPr>
        <w:tc>
          <w:tcPr>
            <w:tcW w:w="753" w:type="dxa"/>
            <w:noWrap w:val="0"/>
            <w:tcMar>
              <w:left w:w="28" w:type="dxa"/>
              <w:right w:w="28" w:type="dxa"/>
            </w:tcMar>
            <w:vAlign w:val="center"/>
          </w:tcPr>
          <w:p>
            <w:pPr>
              <w:adjustRightInd w:val="0"/>
              <w:snapToGrid w:val="0"/>
              <w:jc w:val="center"/>
              <w:rPr>
                <w:rFonts w:ascii="宋体" w:hAnsi="宋体"/>
                <w:bCs/>
                <w:color w:val="auto"/>
                <w:szCs w:val="21"/>
              </w:rPr>
            </w:pPr>
            <w:r>
              <w:rPr>
                <w:rFonts w:ascii="宋体" w:hAnsi="宋体" w:cs="宋体" w:hint="eastAsia"/>
                <w:bCs/>
                <w:color w:val="auto"/>
                <w:spacing w:val="10"/>
                <w:sz w:val="21"/>
                <w:szCs w:val="21"/>
              </w:rPr>
              <w:t>施工期生态环境保护措施</w:t>
            </w:r>
          </w:p>
        </w:tc>
        <w:tc>
          <w:tcPr>
            <w:tcW w:w="8457" w:type="dxa"/>
            <w:noWrap w:val="0"/>
            <w:vAlign w:val="top"/>
          </w:tcPr>
          <w:p>
            <w:pPr>
              <w:widowControl/>
              <w:spacing w:line="360" w:lineRule="auto"/>
              <w:ind w:firstLine="420" w:firstLineChars="200"/>
              <w:jc w:val="left"/>
              <w:rPr>
                <w:rFonts w:hint="default"/>
                <w:bCs/>
                <w:color w:val="auto"/>
                <w:kern w:val="0"/>
                <w:szCs w:val="21"/>
                <w:lang w:bidi="ar"/>
              </w:rPr>
            </w:pPr>
            <w:r>
              <w:rPr>
                <w:rFonts w:ascii="Times New Roman" w:hAnsi="Times New Roman" w:cs="Times New Roman" w:hint="default"/>
                <w:bCs/>
                <w:color w:val="auto"/>
                <w:kern w:val="0"/>
                <w:sz w:val="21"/>
                <w:szCs w:val="21"/>
                <w:lang w:bidi="ar"/>
              </w:rPr>
              <w:t>针对建设项目施工期对生态环境影响的对象、范围、时段、程度，参照环境影响评价相关技术导则要求，提出以下对策措施：</w:t>
            </w:r>
          </w:p>
          <w:p>
            <w:pPr>
              <w:pStyle w:val="Heading4"/>
              <w:spacing w:line="360" w:lineRule="auto"/>
              <w:ind w:firstLine="420" w:firstLineChars="200"/>
              <w:rPr>
                <w:rFonts w:cs="Times New Roman" w:hint="default"/>
                <w:b w:val="0"/>
                <w:bCs/>
                <w:color w:val="auto"/>
                <w:sz w:val="21"/>
                <w:szCs w:val="21"/>
              </w:rPr>
            </w:pPr>
            <w:r>
              <w:rPr>
                <w:rFonts w:cs="Times New Roman" w:hint="eastAsia"/>
                <w:b w:val="0"/>
                <w:bCs/>
                <w:color w:val="auto"/>
                <w:sz w:val="21"/>
                <w:szCs w:val="21"/>
                <w:lang w:eastAsia="zh-CN"/>
              </w:rPr>
              <w:t>（</w:t>
            </w:r>
            <w:r>
              <w:rPr>
                <w:rFonts w:cs="Times New Roman" w:hint="eastAsia"/>
                <w:b w:val="0"/>
                <w:bCs/>
                <w:color w:val="auto"/>
                <w:sz w:val="21"/>
                <w:szCs w:val="21"/>
                <w:lang w:val="en-US" w:eastAsia="zh-CN"/>
              </w:rPr>
              <w:t>1</w:t>
            </w:r>
            <w:r>
              <w:rPr>
                <w:rFonts w:cs="Times New Roman" w:hint="eastAsia"/>
                <w:b w:val="0"/>
                <w:bCs/>
                <w:color w:val="auto"/>
                <w:sz w:val="21"/>
                <w:szCs w:val="21"/>
                <w:lang w:eastAsia="zh-CN"/>
              </w:rPr>
              <w:t>）</w:t>
            </w:r>
            <w:r>
              <w:rPr>
                <w:rFonts w:ascii="Times New Roman" w:hAnsi="Times New Roman" w:cs="Times New Roman" w:hint="default"/>
                <w:b w:val="0"/>
                <w:bCs/>
                <w:color w:val="auto"/>
                <w:sz w:val="21"/>
                <w:szCs w:val="21"/>
              </w:rPr>
              <w:t>施工管理要求</w:t>
            </w:r>
          </w:p>
          <w:p>
            <w:pPr>
              <w:pStyle w:val="Heading4"/>
              <w:spacing w:line="360" w:lineRule="auto"/>
              <w:ind w:firstLine="420" w:firstLineChars="200"/>
              <w:rPr>
                <w:rFonts w:cs="Times New Roman" w:hint="default"/>
                <w:b w:val="0"/>
                <w:bCs/>
                <w:color w:val="auto"/>
                <w:sz w:val="21"/>
                <w:szCs w:val="21"/>
              </w:rPr>
            </w:pPr>
            <w:r>
              <w:rPr>
                <w:rFonts w:ascii="Times New Roman" w:hAnsi="Times New Roman" w:cs="Times New Roman" w:hint="default"/>
                <w:b w:val="0"/>
                <w:bCs/>
                <w:color w:val="auto"/>
                <w:sz w:val="21"/>
                <w:szCs w:val="21"/>
              </w:rPr>
              <w:t>①工程施工应分区进行，不要全面铺开，以缩短单项工期。开挖裸露面要有防治措施，尽量缩短暴露时间，减少水土流失。</w:t>
            </w:r>
          </w:p>
          <w:p>
            <w:pPr>
              <w:pStyle w:val="Heading4"/>
              <w:spacing w:line="360" w:lineRule="auto"/>
              <w:ind w:firstLine="420" w:firstLineChars="200"/>
              <w:rPr>
                <w:rFonts w:cs="Times New Roman" w:hint="default"/>
                <w:b w:val="0"/>
                <w:bCs/>
                <w:color w:val="auto"/>
                <w:sz w:val="21"/>
                <w:szCs w:val="21"/>
              </w:rPr>
            </w:pPr>
            <w:r>
              <w:rPr>
                <w:rFonts w:ascii="Times New Roman" w:hAnsi="Times New Roman" w:cs="Times New Roman" w:hint="default"/>
                <w:b w:val="0"/>
                <w:bCs/>
                <w:color w:val="auto"/>
                <w:sz w:val="21"/>
                <w:szCs w:val="21"/>
              </w:rPr>
              <w:t>②加强施工管理，加强对工人关于水土保持的教育，并严格控制施工季节、次序和施工方式等要求。</w:t>
            </w:r>
          </w:p>
          <w:p>
            <w:pPr>
              <w:pStyle w:val="Heading4"/>
              <w:spacing w:line="360" w:lineRule="auto"/>
              <w:ind w:firstLine="420" w:firstLineChars="200"/>
              <w:rPr>
                <w:rFonts w:cs="Times New Roman" w:hint="default"/>
                <w:b w:val="0"/>
                <w:bCs/>
                <w:color w:val="auto"/>
                <w:sz w:val="21"/>
                <w:szCs w:val="21"/>
              </w:rPr>
            </w:pPr>
            <w:r>
              <w:rPr>
                <w:rFonts w:ascii="Times New Roman" w:hAnsi="Times New Roman" w:cs="Times New Roman" w:hint="default"/>
                <w:b w:val="0"/>
                <w:bCs/>
                <w:color w:val="auto"/>
                <w:sz w:val="21"/>
                <w:szCs w:val="21"/>
              </w:rPr>
              <w:t>③建筑垃圾及时清运至当地指定的市政建筑垃圾堆放点进行处理，挖方及时回填。</w:t>
            </w:r>
          </w:p>
          <w:p>
            <w:pPr>
              <w:spacing w:line="360" w:lineRule="auto"/>
              <w:ind w:firstLine="420" w:firstLineChars="200"/>
              <w:rPr>
                <w:rFonts w:hint="default"/>
                <w:color w:val="auto"/>
                <w:szCs w:val="21"/>
              </w:rPr>
            </w:pPr>
            <w:r>
              <w:rPr>
                <w:rFonts w:ascii="Times New Roman" w:hAnsi="Times New Roman" w:cs="Times New Roman" w:hint="default"/>
                <w:bCs/>
                <w:color w:val="auto"/>
                <w:sz w:val="21"/>
                <w:szCs w:val="21"/>
              </w:rPr>
              <w:t>④</w:t>
            </w:r>
            <w:r>
              <w:rPr>
                <w:rFonts w:ascii="Times New Roman" w:hAnsi="Times New Roman" w:cs="Times New Roman" w:hint="default"/>
                <w:color w:val="auto"/>
                <w:sz w:val="21"/>
                <w:szCs w:val="21"/>
              </w:rPr>
              <w:t>项目建设应在项目用地红线内。</w:t>
            </w:r>
          </w:p>
          <w:p>
            <w:pPr>
              <w:spacing w:line="360" w:lineRule="auto"/>
              <w:ind w:firstLine="420" w:firstLineChars="200"/>
              <w:rPr>
                <w:rFonts w:hint="default"/>
                <w:b w:val="0"/>
                <w:bCs/>
                <w:color w:val="auto"/>
                <w:szCs w:val="21"/>
              </w:rPr>
            </w:pPr>
            <w:r>
              <w:rPr>
                <w:rFonts w:ascii="Times New Roman" w:hAnsi="Times New Roman" w:cs="Times New Roman" w:hint="default"/>
                <w:color w:val="auto"/>
                <w:sz w:val="21"/>
                <w:szCs w:val="21"/>
              </w:rPr>
              <w:t>⑤</w:t>
            </w:r>
            <w:r>
              <w:rPr>
                <w:rFonts w:cs="Times New Roman" w:hint="eastAsia"/>
                <w:color w:val="auto"/>
                <w:sz w:val="21"/>
                <w:szCs w:val="21"/>
                <w:lang w:val="en-US" w:eastAsia="zh-CN"/>
              </w:rPr>
              <w:t>项目在施工过程中，作业场地要求采取围挡、围护以减少扬尘扩散</w:t>
            </w:r>
          </w:p>
          <w:p>
            <w:pPr>
              <w:spacing w:line="360" w:lineRule="auto"/>
              <w:ind w:firstLine="420" w:firstLineChars="200"/>
              <w:rPr>
                <w:rFonts w:hint="default"/>
                <w:color w:val="auto"/>
                <w:szCs w:val="21"/>
              </w:rPr>
            </w:pPr>
            <w:r>
              <w:rPr>
                <w:rFonts w:cs="Times New Roman" w:hint="eastAsia"/>
                <w:color w:val="auto"/>
                <w:sz w:val="21"/>
                <w:szCs w:val="21"/>
                <w:lang w:eastAsia="zh-CN"/>
              </w:rPr>
              <w:t>（</w:t>
            </w:r>
            <w:r>
              <w:rPr>
                <w:rFonts w:ascii="Times New Roman" w:hAnsi="Times New Roman" w:cs="Times New Roman" w:hint="default"/>
                <w:color w:val="auto"/>
                <w:sz w:val="21"/>
                <w:szCs w:val="21"/>
              </w:rPr>
              <w:t>3</w:t>
            </w:r>
            <w:r>
              <w:rPr>
                <w:rFonts w:cs="Times New Roman" w:hint="eastAsia"/>
                <w:color w:val="auto"/>
                <w:sz w:val="21"/>
                <w:szCs w:val="21"/>
                <w:lang w:eastAsia="zh-CN"/>
              </w:rPr>
              <w:t>）</w:t>
            </w:r>
            <w:r>
              <w:rPr>
                <w:rFonts w:ascii="Times New Roman" w:hAnsi="Times New Roman" w:cs="Times New Roman" w:hint="default"/>
                <w:color w:val="auto"/>
                <w:sz w:val="21"/>
                <w:szCs w:val="21"/>
              </w:rPr>
              <w:t>场区水土流失防治要求</w:t>
            </w:r>
          </w:p>
          <w:p>
            <w:pPr>
              <w:spacing w:line="360" w:lineRule="auto"/>
              <w:ind w:firstLine="420" w:firstLineChars="200"/>
              <w:rPr>
                <w:rFonts w:hint="default"/>
                <w:color w:val="auto"/>
                <w:szCs w:val="21"/>
              </w:rPr>
            </w:pPr>
            <w:r>
              <w:rPr>
                <w:rFonts w:ascii="Times New Roman" w:hAnsi="Times New Roman" w:cs="Times New Roman" w:hint="default"/>
                <w:color w:val="auto"/>
                <w:sz w:val="21"/>
                <w:szCs w:val="21"/>
              </w:rPr>
              <w:t>①应注意选择施工季节，尽可能避免在雨季施工，防止在暴雨期间造成大量水土流失。</w:t>
            </w:r>
          </w:p>
          <w:p>
            <w:pPr>
              <w:spacing w:line="360" w:lineRule="auto"/>
              <w:ind w:firstLine="420" w:firstLineChars="200"/>
              <w:rPr>
                <w:rFonts w:hint="default"/>
                <w:color w:val="auto"/>
                <w:szCs w:val="21"/>
              </w:rPr>
            </w:pPr>
            <w:r>
              <w:rPr>
                <w:rFonts w:ascii="Times New Roman" w:hAnsi="Times New Roman" w:cs="Times New Roman" w:hint="default"/>
                <w:color w:val="auto"/>
                <w:sz w:val="21"/>
                <w:szCs w:val="21"/>
              </w:rPr>
              <w:t>②施工场地范围应设置临时</w:t>
            </w:r>
            <w:r>
              <w:rPr>
                <w:rFonts w:cs="Times New Roman" w:hint="eastAsia"/>
                <w:color w:val="auto"/>
                <w:sz w:val="21"/>
                <w:szCs w:val="21"/>
                <w:lang w:val="en-US" w:eastAsia="zh-CN"/>
              </w:rPr>
              <w:t>围挡</w:t>
            </w:r>
            <w:r>
              <w:rPr>
                <w:rFonts w:ascii="Times New Roman" w:hAnsi="Times New Roman" w:cs="Times New Roman" w:hint="default"/>
                <w:color w:val="auto"/>
                <w:sz w:val="21"/>
                <w:szCs w:val="21"/>
              </w:rPr>
              <w:t>。</w:t>
            </w:r>
          </w:p>
          <w:p>
            <w:pPr>
              <w:spacing w:line="360" w:lineRule="auto"/>
              <w:ind w:firstLine="420" w:firstLineChars="200"/>
              <w:rPr>
                <w:rFonts w:hint="default"/>
                <w:color w:val="auto"/>
                <w:szCs w:val="21"/>
              </w:rPr>
            </w:pPr>
            <w:r>
              <w:rPr>
                <w:rFonts w:ascii="Times New Roman" w:hAnsi="Times New Roman" w:cs="Times New Roman" w:hint="default"/>
                <w:color w:val="auto"/>
                <w:sz w:val="21"/>
                <w:szCs w:val="21"/>
              </w:rPr>
              <w:t>③合理规划现场平面布置，有效控制临时设施、运输距离，利用和保护施工用地范围内原有绿色植被。</w:t>
            </w:r>
          </w:p>
          <w:p>
            <w:pPr>
              <w:spacing w:line="360" w:lineRule="auto"/>
              <w:ind w:firstLine="420" w:firstLineChars="200"/>
              <w:rPr>
                <w:rFonts w:hint="default"/>
                <w:color w:val="auto"/>
                <w:szCs w:val="21"/>
              </w:rPr>
            </w:pPr>
            <w:r>
              <w:rPr>
                <w:rFonts w:ascii="Times New Roman" w:hAnsi="Times New Roman" w:cs="Times New Roman" w:hint="default"/>
                <w:color w:val="auto"/>
                <w:sz w:val="21"/>
                <w:szCs w:val="21"/>
              </w:rPr>
              <w:t>④各种料场、土石方临时堆场应用围栏</w:t>
            </w:r>
            <w:r>
              <w:rPr>
                <w:rFonts w:ascii="Times New Roman" w:hAnsi="Times New Roman" w:cs="Times New Roman" w:hint="default"/>
                <w:color w:val="auto"/>
                <w:sz w:val="21"/>
                <w:szCs w:val="21"/>
                <w:highlight w:val="none"/>
              </w:rPr>
              <w:t>挡扳</w:t>
            </w:r>
            <w:r>
              <w:rPr>
                <w:rFonts w:ascii="Times New Roman" w:hAnsi="Times New Roman" w:cs="Times New Roman" w:hint="default"/>
                <w:color w:val="auto"/>
                <w:sz w:val="21"/>
                <w:szCs w:val="21"/>
              </w:rPr>
              <w:t>进行围护，暴雨天气应用塑料膜、砧布等进行遮盖，避免雨水</w:t>
            </w:r>
            <w:r>
              <w:rPr>
                <w:rFonts w:cs="Times New Roman" w:hint="eastAsia"/>
                <w:color w:val="auto"/>
                <w:sz w:val="21"/>
                <w:szCs w:val="21"/>
                <w:lang w:eastAsia="zh-CN"/>
              </w:rPr>
              <w:t>冲刷</w:t>
            </w:r>
            <w:r>
              <w:rPr>
                <w:rFonts w:ascii="Times New Roman" w:hAnsi="Times New Roman" w:cs="Times New Roman" w:hint="default"/>
                <w:color w:val="auto"/>
                <w:sz w:val="21"/>
                <w:szCs w:val="21"/>
              </w:rPr>
              <w:t>。</w:t>
            </w:r>
          </w:p>
          <w:p>
            <w:pPr>
              <w:spacing w:line="360" w:lineRule="auto"/>
              <w:ind w:firstLine="420" w:firstLineChars="200"/>
              <w:rPr>
                <w:rFonts w:hint="default"/>
                <w:color w:val="auto"/>
                <w:szCs w:val="21"/>
              </w:rPr>
            </w:pPr>
            <w:r>
              <w:rPr>
                <w:rFonts w:ascii="Times New Roman" w:hAnsi="Times New Roman" w:cs="Times New Roman" w:hint="default"/>
                <w:color w:val="auto"/>
                <w:sz w:val="21"/>
                <w:szCs w:val="21"/>
              </w:rPr>
              <w:t>⑤土方施工应采取边挖、边运、边调运回填的方式，避免大量松散土存在而造成严重的土壤侵蚀流失。</w:t>
            </w:r>
          </w:p>
          <w:p>
            <w:pPr>
              <w:spacing w:line="360" w:lineRule="auto"/>
              <w:ind w:firstLine="420" w:firstLineChars="200"/>
              <w:rPr>
                <w:rFonts w:hint="default"/>
                <w:color w:val="auto"/>
                <w:szCs w:val="21"/>
              </w:rPr>
            </w:pPr>
            <w:r>
              <w:rPr>
                <w:rFonts w:ascii="Times New Roman" w:hAnsi="Times New Roman" w:cs="Times New Roman" w:hint="default"/>
                <w:color w:val="auto"/>
                <w:sz w:val="21"/>
                <w:szCs w:val="21"/>
              </w:rPr>
              <w:t>⑥在后期施工中，采用分单元施工，避免大面积开挖，减小施工扰动范围和地面裸露面积，并及时进行夯实、平整和绿化，减少地面裸露时水土流失。</w:t>
            </w:r>
          </w:p>
          <w:p>
            <w:pPr>
              <w:spacing w:line="360" w:lineRule="auto"/>
              <w:ind w:firstLine="420" w:firstLineChars="200"/>
              <w:rPr>
                <w:rFonts w:hint="default"/>
                <w:color w:val="auto"/>
                <w:szCs w:val="21"/>
              </w:rPr>
            </w:pPr>
            <w:r>
              <w:rPr>
                <w:rFonts w:ascii="Times New Roman" w:hAnsi="Times New Roman" w:cs="Times New Roman" w:hint="default"/>
                <w:color w:val="auto"/>
                <w:sz w:val="21"/>
                <w:szCs w:val="21"/>
              </w:rPr>
              <w:t>⑦项目完工后应尽快按景观绿化方案的要求进行生态恢复绿化。</w:t>
            </w:r>
          </w:p>
          <w:p>
            <w:pPr>
              <w:pStyle w:val="Heading4"/>
              <w:spacing w:line="360" w:lineRule="auto"/>
              <w:ind w:firstLine="420" w:firstLineChars="200"/>
              <w:rPr>
                <w:rFonts w:cs="Times New Roman" w:hint="default"/>
                <w:b w:val="0"/>
                <w:color w:val="auto"/>
                <w:spacing w:val="10"/>
                <w:sz w:val="21"/>
                <w:szCs w:val="21"/>
                <w:lang w:val="en-US" w:eastAsia="zh-CN"/>
              </w:rPr>
            </w:pPr>
            <w:r>
              <w:rPr>
                <w:rFonts w:cs="Times New Roman" w:hint="eastAsia"/>
                <w:b w:val="0"/>
                <w:color w:val="auto"/>
                <w:spacing w:val="10"/>
                <w:sz w:val="21"/>
                <w:szCs w:val="21"/>
                <w:lang w:eastAsia="zh-CN"/>
              </w:rPr>
              <w:t>（</w:t>
            </w:r>
            <w:r>
              <w:rPr>
                <w:rFonts w:cs="Times New Roman" w:hint="eastAsia"/>
                <w:b w:val="0"/>
                <w:color w:val="auto"/>
                <w:spacing w:val="10"/>
                <w:sz w:val="21"/>
                <w:szCs w:val="21"/>
                <w:lang w:val="en-US" w:eastAsia="zh-CN"/>
              </w:rPr>
              <w:t>2</w:t>
            </w:r>
            <w:r>
              <w:rPr>
                <w:rFonts w:cs="Times New Roman" w:hint="eastAsia"/>
                <w:b w:val="0"/>
                <w:color w:val="auto"/>
                <w:spacing w:val="10"/>
                <w:sz w:val="21"/>
                <w:szCs w:val="21"/>
                <w:lang w:eastAsia="zh-CN"/>
              </w:rPr>
              <w:t>）</w:t>
            </w:r>
            <w:r>
              <w:rPr>
                <w:rFonts w:ascii="Times New Roman" w:hAnsi="Times New Roman" w:cs="Times New Roman" w:hint="default"/>
                <w:b w:val="0"/>
                <w:color w:val="auto"/>
                <w:spacing w:val="10"/>
                <w:sz w:val="21"/>
                <w:szCs w:val="21"/>
                <w:lang w:eastAsia="zh-CN"/>
              </w:rPr>
              <w:t>施工</w:t>
            </w:r>
            <w:r>
              <w:rPr>
                <w:rFonts w:ascii="Times New Roman" w:hAnsi="Times New Roman" w:cs="Times New Roman" w:hint="default"/>
                <w:b w:val="0"/>
                <w:color w:val="auto"/>
                <w:spacing w:val="10"/>
                <w:sz w:val="21"/>
                <w:szCs w:val="21"/>
                <w:lang w:val="en-US" w:eastAsia="zh-CN"/>
              </w:rPr>
              <w:t>期</w:t>
            </w:r>
            <w:r>
              <w:rPr>
                <w:rFonts w:ascii="Times New Roman" w:hAnsi="Times New Roman" w:cs="Times New Roman" w:hint="default"/>
                <w:b w:val="0"/>
                <w:color w:val="auto"/>
                <w:spacing w:val="10"/>
                <w:sz w:val="21"/>
                <w:szCs w:val="21"/>
                <w:lang w:eastAsia="zh-CN"/>
              </w:rPr>
              <w:t>对风景名胜区的保护</w:t>
            </w:r>
            <w:r>
              <w:rPr>
                <w:rFonts w:ascii="Times New Roman" w:hAnsi="Times New Roman" w:cs="Times New Roman" w:hint="default"/>
                <w:b w:val="0"/>
                <w:color w:val="auto"/>
                <w:spacing w:val="10"/>
                <w:sz w:val="21"/>
                <w:szCs w:val="21"/>
                <w:lang w:val="en-US" w:eastAsia="zh-CN"/>
              </w:rPr>
              <w:t>要求。</w:t>
            </w:r>
          </w:p>
          <w:p>
            <w:pPr>
              <w:autoSpaceDE w:val="0"/>
              <w:autoSpaceDN w:val="0"/>
              <w:spacing w:line="336" w:lineRule="auto"/>
              <w:ind w:firstLine="482"/>
              <w:rPr>
                <w:rFonts w:hint="default"/>
                <w:color w:val="auto"/>
                <w:szCs w:val="21"/>
              </w:rPr>
            </w:pPr>
            <w:r>
              <w:rPr>
                <w:rFonts w:ascii="Times New Roman" w:hAnsi="Times New Roman" w:cs="Times New Roman" w:hint="default"/>
                <w:color w:val="auto"/>
                <w:sz w:val="21"/>
                <w:szCs w:val="21"/>
                <w:lang w:val="en-US" w:eastAsia="zh-CN"/>
              </w:rPr>
              <w:t>本项目虽符合</w:t>
            </w:r>
            <w:r>
              <w:rPr>
                <w:rFonts w:cs="Times New Roman" w:hint="eastAsia"/>
                <w:color w:val="auto"/>
                <w:sz w:val="21"/>
                <w:szCs w:val="21"/>
                <w:lang w:val="en-US" w:eastAsia="zh-CN"/>
              </w:rPr>
              <w:t>大小洞天</w:t>
            </w:r>
            <w:r>
              <w:rPr>
                <w:rFonts w:ascii="Times New Roman" w:hAnsi="Times New Roman" w:cs="Times New Roman" w:hint="default"/>
                <w:color w:val="auto"/>
                <w:sz w:val="21"/>
                <w:szCs w:val="21"/>
                <w:lang w:val="en-US" w:eastAsia="zh-CN"/>
              </w:rPr>
              <w:t>风景名胜区的规划，但因本项目在</w:t>
            </w:r>
            <w:r>
              <w:rPr>
                <w:rFonts w:cs="Times New Roman" w:hint="eastAsia"/>
                <w:color w:val="auto"/>
                <w:sz w:val="21"/>
                <w:szCs w:val="21"/>
                <w:lang w:val="en-US" w:eastAsia="zh-CN"/>
              </w:rPr>
              <w:t>大小洞天</w:t>
            </w:r>
            <w:r>
              <w:rPr>
                <w:rFonts w:ascii="Times New Roman" w:hAnsi="Times New Roman" w:cs="Times New Roman" w:hint="default"/>
                <w:color w:val="auto"/>
                <w:sz w:val="21"/>
                <w:szCs w:val="21"/>
                <w:lang w:val="en-US" w:eastAsia="zh-CN"/>
              </w:rPr>
              <w:t>名胜区内</w:t>
            </w:r>
            <w:r>
              <w:rPr>
                <w:rFonts w:ascii="Times New Roman" w:hAnsi="Times New Roman" w:cs="Times New Roman" w:hint="default"/>
                <w:b w:val="0"/>
                <w:color w:val="auto"/>
                <w:spacing w:val="10"/>
                <w:sz w:val="21"/>
                <w:szCs w:val="21"/>
                <w:lang w:val="en-US" w:eastAsia="zh-CN"/>
              </w:rPr>
              <w:t>，</w:t>
            </w:r>
            <w:r>
              <w:rPr>
                <w:rFonts w:ascii="Times New Roman" w:hAnsi="Times New Roman" w:cs="Times New Roman" w:hint="default"/>
                <w:color w:val="auto"/>
                <w:sz w:val="21"/>
                <w:szCs w:val="21"/>
              </w:rPr>
              <w:t>若施工不当，将会对</w:t>
            </w:r>
            <w:r>
              <w:rPr>
                <w:rFonts w:cs="Times New Roman" w:hint="eastAsia"/>
                <w:color w:val="auto"/>
                <w:sz w:val="21"/>
                <w:szCs w:val="21"/>
                <w:lang w:val="en-US" w:eastAsia="zh-CN"/>
              </w:rPr>
              <w:t>大小洞天</w:t>
            </w:r>
            <w:r>
              <w:rPr>
                <w:rFonts w:ascii="Times New Roman" w:hAnsi="Times New Roman" w:cs="Times New Roman" w:hint="default"/>
                <w:color w:val="auto"/>
                <w:sz w:val="21"/>
                <w:szCs w:val="21"/>
                <w:lang w:val="en-US" w:eastAsia="zh-CN"/>
              </w:rPr>
              <w:t>风景名胜区其他</w:t>
            </w:r>
            <w:r>
              <w:rPr>
                <w:rFonts w:ascii="Times New Roman" w:hAnsi="Times New Roman" w:cs="Times New Roman" w:hint="default"/>
                <w:color w:val="auto"/>
                <w:sz w:val="21"/>
                <w:szCs w:val="21"/>
              </w:rPr>
              <w:t>生态环境</w:t>
            </w:r>
            <w:r>
              <w:rPr>
                <w:rFonts w:ascii="Times New Roman" w:hAnsi="Times New Roman" w:cs="Times New Roman" w:hint="default"/>
                <w:color w:val="auto"/>
                <w:sz w:val="21"/>
                <w:szCs w:val="21"/>
                <w:lang w:val="en-US" w:eastAsia="zh-CN"/>
              </w:rPr>
              <w:t>及风景景观</w:t>
            </w:r>
            <w:r>
              <w:rPr>
                <w:rFonts w:ascii="Times New Roman" w:hAnsi="Times New Roman" w:cs="Times New Roman" w:hint="default"/>
                <w:color w:val="auto"/>
                <w:sz w:val="21"/>
                <w:szCs w:val="21"/>
              </w:rPr>
              <w:t>造成破坏。</w:t>
            </w:r>
            <w:r>
              <w:rPr>
                <w:rFonts w:ascii="Times New Roman" w:hAnsi="Times New Roman" w:cs="Times New Roman" w:hint="default"/>
                <w:color w:val="auto"/>
                <w:sz w:val="21"/>
                <w:szCs w:val="21"/>
                <w:lang w:val="en-US" w:eastAsia="zh-CN"/>
              </w:rPr>
              <w:t>因此</w:t>
            </w:r>
            <w:r>
              <w:rPr>
                <w:rFonts w:ascii="Times New Roman" w:hAnsi="Times New Roman" w:cs="Times New Roman" w:hint="default"/>
                <w:color w:val="auto"/>
                <w:sz w:val="21"/>
                <w:szCs w:val="21"/>
              </w:rPr>
              <w:t>本次环评建议采取以下</w:t>
            </w:r>
            <w:r>
              <w:rPr>
                <w:rFonts w:ascii="Times New Roman" w:hAnsi="Times New Roman" w:cs="Times New Roman" w:hint="default"/>
                <w:color w:val="auto"/>
                <w:sz w:val="21"/>
                <w:szCs w:val="21"/>
                <w:lang w:val="en-US" w:eastAsia="zh-CN"/>
              </w:rPr>
              <w:t>管理要求</w:t>
            </w:r>
            <w:r>
              <w:rPr>
                <w:rFonts w:ascii="Times New Roman" w:hAnsi="Times New Roman" w:cs="Times New Roman" w:hint="default"/>
                <w:color w:val="auto"/>
                <w:sz w:val="21"/>
                <w:szCs w:val="21"/>
              </w:rPr>
              <w:t>：</w:t>
            </w:r>
          </w:p>
          <w:p>
            <w:pPr>
              <w:autoSpaceDE w:val="0"/>
              <w:autoSpaceDN w:val="0"/>
              <w:spacing w:line="336" w:lineRule="auto"/>
              <w:ind w:firstLine="482"/>
              <w:rPr>
                <w:rFonts w:hint="default"/>
                <w:color w:val="auto"/>
                <w:szCs w:val="21"/>
              </w:rPr>
            </w:pPr>
            <w:r>
              <w:rPr>
                <w:rFonts w:ascii="Times New Roman" w:hAnsi="Times New Roman" w:cs="Times New Roman" w:hint="default"/>
                <w:color w:val="auto"/>
                <w:sz w:val="21"/>
                <w:szCs w:val="21"/>
              </w:rPr>
              <w:t>①</w:t>
            </w:r>
            <w:r>
              <w:rPr>
                <w:rFonts w:ascii="Times New Roman" w:hAnsi="Times New Roman" w:cs="Times New Roman" w:hint="default"/>
                <w:color w:val="auto"/>
                <w:sz w:val="21"/>
                <w:szCs w:val="21"/>
                <w:lang w:val="en-US" w:eastAsia="zh-CN"/>
              </w:rPr>
              <w:t>施工单位应遵守严格遵守《风景名胜区管理条例》等相关法律法规。</w:t>
            </w:r>
          </w:p>
          <w:p>
            <w:pPr>
              <w:autoSpaceDE w:val="0"/>
              <w:autoSpaceDN w:val="0"/>
              <w:spacing w:line="336" w:lineRule="auto"/>
              <w:ind w:firstLine="482"/>
              <w:rPr>
                <w:rFonts w:hint="default"/>
                <w:color w:val="auto"/>
                <w:szCs w:val="21"/>
              </w:rPr>
            </w:pPr>
            <w:r>
              <w:rPr>
                <w:rFonts w:ascii="Times New Roman" w:hAnsi="Times New Roman" w:cs="Times New Roman" w:hint="default"/>
                <w:color w:val="auto"/>
                <w:sz w:val="21"/>
                <w:szCs w:val="21"/>
              </w:rPr>
              <w:t>②本项目施工期应加强对施工人员的宣传，严格施工管理，严格控制施工</w:t>
            </w:r>
            <w:r>
              <w:rPr>
                <w:rFonts w:ascii="Times New Roman" w:hAnsi="Times New Roman" w:cs="Times New Roman" w:hint="default"/>
                <w:color w:val="auto"/>
                <w:sz w:val="21"/>
                <w:szCs w:val="21"/>
                <w:lang w:val="en-US" w:eastAsia="zh-CN"/>
              </w:rPr>
              <w:t>人员</w:t>
            </w:r>
            <w:r>
              <w:rPr>
                <w:rFonts w:ascii="Times New Roman" w:hAnsi="Times New Roman" w:cs="Times New Roman" w:hint="default"/>
                <w:color w:val="auto"/>
                <w:sz w:val="21"/>
                <w:szCs w:val="21"/>
              </w:rPr>
              <w:t>活动范围，不破坏</w:t>
            </w:r>
            <w:r>
              <w:rPr>
                <w:rFonts w:cs="Times New Roman" w:hint="eastAsia"/>
                <w:color w:val="auto"/>
                <w:sz w:val="21"/>
                <w:szCs w:val="21"/>
                <w:lang w:val="en-US" w:eastAsia="zh-CN"/>
              </w:rPr>
              <w:t>大小洞天</w:t>
            </w:r>
            <w:r>
              <w:rPr>
                <w:rFonts w:ascii="Times New Roman" w:hAnsi="Times New Roman" w:cs="Times New Roman" w:hint="default"/>
                <w:b w:val="0"/>
                <w:color w:val="auto"/>
                <w:spacing w:val="10"/>
                <w:sz w:val="21"/>
                <w:szCs w:val="21"/>
                <w:lang w:eastAsia="zh-CN"/>
              </w:rPr>
              <w:t>风景名胜区</w:t>
            </w:r>
            <w:r>
              <w:rPr>
                <w:rFonts w:ascii="Times New Roman" w:hAnsi="Times New Roman" w:cs="Times New Roman" w:hint="default"/>
                <w:b w:val="0"/>
                <w:color w:val="auto"/>
                <w:spacing w:val="10"/>
                <w:sz w:val="21"/>
                <w:szCs w:val="21"/>
                <w:lang w:val="en-US" w:eastAsia="zh-CN"/>
              </w:rPr>
              <w:t>以及</w:t>
            </w:r>
            <w:r>
              <w:rPr>
                <w:rFonts w:ascii="Times New Roman" w:hAnsi="Times New Roman" w:cs="Times New Roman" w:hint="default"/>
                <w:color w:val="auto"/>
                <w:sz w:val="21"/>
                <w:szCs w:val="21"/>
              </w:rPr>
              <w:t>周边的植被及生态环境。</w:t>
            </w:r>
          </w:p>
          <w:p>
            <w:pPr>
              <w:autoSpaceDE w:val="0"/>
              <w:autoSpaceDN w:val="0"/>
              <w:spacing w:line="336" w:lineRule="auto"/>
              <w:ind w:firstLine="482"/>
              <w:rPr>
                <w:rFonts w:hint="default"/>
                <w:color w:val="auto"/>
                <w:szCs w:val="21"/>
              </w:rPr>
            </w:pPr>
            <w:r>
              <w:rPr>
                <w:rFonts w:ascii="Times New Roman" w:hAnsi="Times New Roman" w:cs="Times New Roman" w:hint="default"/>
                <w:color w:val="auto"/>
                <w:sz w:val="21"/>
                <w:szCs w:val="21"/>
              </w:rPr>
              <w:t>③施工期产生的土石方应定点堆放，不得随意乱弃乱堆，严禁在</w:t>
            </w:r>
            <w:r>
              <w:rPr>
                <w:rFonts w:cs="Times New Roman" w:hint="eastAsia"/>
                <w:b w:val="0"/>
                <w:color w:val="auto"/>
                <w:spacing w:val="10"/>
                <w:sz w:val="21"/>
                <w:szCs w:val="21"/>
                <w:lang w:val="en-US" w:eastAsia="zh-CN"/>
              </w:rPr>
              <w:t>大小洞天</w:t>
            </w:r>
            <w:r>
              <w:rPr>
                <w:rFonts w:ascii="Times New Roman" w:hAnsi="Times New Roman" w:cs="Times New Roman" w:hint="default"/>
                <w:b w:val="0"/>
                <w:color w:val="auto"/>
                <w:spacing w:val="10"/>
                <w:sz w:val="21"/>
                <w:szCs w:val="21"/>
                <w:lang w:eastAsia="zh-CN"/>
              </w:rPr>
              <w:t>风景名胜区</w:t>
            </w:r>
            <w:r>
              <w:rPr>
                <w:rFonts w:ascii="Times New Roman" w:hAnsi="Times New Roman" w:cs="Times New Roman" w:hint="default"/>
                <w:b w:val="0"/>
                <w:color w:val="auto"/>
                <w:spacing w:val="10"/>
                <w:sz w:val="21"/>
                <w:szCs w:val="21"/>
                <w:lang w:val="en-US" w:eastAsia="zh-CN"/>
              </w:rPr>
              <w:t>内</w:t>
            </w:r>
            <w:r>
              <w:rPr>
                <w:rFonts w:ascii="Times New Roman" w:hAnsi="Times New Roman" w:cs="Times New Roman" w:hint="default"/>
                <w:color w:val="auto"/>
                <w:sz w:val="21"/>
                <w:szCs w:val="21"/>
              </w:rPr>
              <w:t>取土、弃渣。</w:t>
            </w:r>
          </w:p>
          <w:p>
            <w:pPr>
              <w:autoSpaceDE w:val="0"/>
              <w:autoSpaceDN w:val="0"/>
              <w:spacing w:after="0" w:line="336" w:lineRule="auto"/>
              <w:ind w:firstLine="482"/>
              <w:rPr>
                <w:rFonts w:hint="default"/>
                <w:color w:val="auto"/>
                <w:szCs w:val="21"/>
              </w:rPr>
            </w:pPr>
            <w:r>
              <w:rPr>
                <w:rFonts w:ascii="Times New Roman" w:hAnsi="Times New Roman" w:cs="Times New Roman" w:hint="default"/>
                <w:color w:val="auto"/>
                <w:sz w:val="21"/>
                <w:szCs w:val="21"/>
              </w:rPr>
              <w:t>④</w:t>
            </w:r>
            <w:r>
              <w:rPr>
                <w:rFonts w:ascii="Times New Roman" w:hAnsi="Times New Roman" w:cs="Times New Roman" w:hint="default"/>
                <w:color w:val="auto"/>
                <w:sz w:val="21"/>
                <w:szCs w:val="21"/>
                <w:lang w:val="en-US" w:eastAsia="zh-CN"/>
              </w:rPr>
              <w:t>施工单位建议聘请环境监理，</w:t>
            </w:r>
          </w:p>
        </w:tc>
      </w:tr>
    </w:tbl>
    <w:p>
      <w:pPr>
        <w:sectPr>
          <w:footerReference w:type="even" r:id="rId54"/>
          <w:footerReference w:type="default" r:id="rId55"/>
          <w:pgSz w:w="11906" w:h="16838"/>
          <w:pgMar w:top="1440" w:right="1800" w:bottom="1440" w:left="1800" w:header="851" w:footer="1077" w:gutter="0"/>
          <w:pgNumType w:fmt="decimal" w:start="23"/>
          <w:cols w:num="1" w:space="720"/>
          <w:docGrid w:linePitch="312" w:charSpace="0"/>
        </w:sectPr>
      </w:pPr>
    </w:p>
    <w:tbl>
      <w:tblPr>
        <w:tblStyle w:val="TableNormal"/>
        <w:tblW w:w="921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753"/>
        <w:gridCol w:w="8457"/>
      </w:tblGrid>
      <w:tr>
        <w:tblPrEx>
          <w:tblW w:w="921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3782"/>
          <w:jc w:val="center"/>
        </w:trPr>
        <w:tc>
          <w:tcPr>
            <w:tcW w:w="753" w:type="dxa"/>
            <w:noWrap w:val="0"/>
            <w:tcMar>
              <w:left w:w="28" w:type="dxa"/>
              <w:right w:w="28" w:type="dxa"/>
            </w:tcMar>
            <w:vAlign w:val="center"/>
          </w:tcPr>
          <w:p/>
        </w:tc>
        <w:tc>
          <w:tcPr>
            <w:tcW w:w="8457" w:type="dxa"/>
            <w:noWrap w:val="0"/>
            <w:vAlign w:val="top"/>
          </w:tcPr>
          <w:p>
            <w:pPr>
              <w:autoSpaceDE w:val="0"/>
              <w:autoSpaceDN w:val="0"/>
              <w:spacing w:before="0" w:line="336" w:lineRule="auto"/>
              <w:ind w:firstLine="482"/>
              <w:rPr>
                <w:rFonts w:hint="default"/>
                <w:color w:val="auto"/>
                <w:szCs w:val="21"/>
              </w:rPr>
            </w:pPr>
            <w:r>
              <w:rPr>
                <w:rFonts w:ascii="Times New Roman" w:hAnsi="Times New Roman" w:cs="Times New Roman" w:hint="default"/>
                <w:color w:val="auto"/>
                <w:sz w:val="21"/>
                <w:szCs w:val="21"/>
              </w:rPr>
              <w:t>加强对施工人员进行环保教育，提高施工人员的环保意识</w:t>
            </w:r>
            <w:r>
              <w:rPr>
                <w:rFonts w:ascii="Times New Roman" w:hAnsi="Times New Roman" w:cs="Times New Roman" w:hint="default"/>
                <w:color w:val="auto"/>
                <w:sz w:val="21"/>
                <w:szCs w:val="21"/>
                <w:lang w:eastAsia="zh-CN"/>
              </w:rPr>
              <w:t>，</w:t>
            </w:r>
            <w:r>
              <w:rPr>
                <w:rFonts w:ascii="Times New Roman" w:hAnsi="Times New Roman" w:cs="Times New Roman" w:hint="default"/>
                <w:color w:val="auto"/>
                <w:sz w:val="21"/>
                <w:szCs w:val="21"/>
                <w:lang w:val="en-US" w:eastAsia="zh-CN"/>
              </w:rPr>
              <w:t>施工过程中如遇到保护动</w:t>
            </w:r>
            <w:r>
              <w:rPr>
                <w:rFonts w:cs="Times New Roman" w:hint="eastAsia"/>
                <w:color w:val="auto"/>
                <w:sz w:val="21"/>
                <w:szCs w:val="21"/>
                <w:lang w:val="en-US" w:eastAsia="zh-CN"/>
              </w:rPr>
              <w:t>、</w:t>
            </w:r>
            <w:r>
              <w:rPr>
                <w:rFonts w:ascii="Times New Roman" w:hAnsi="Times New Roman" w:cs="Times New Roman" w:hint="default"/>
                <w:color w:val="auto"/>
                <w:sz w:val="21"/>
                <w:szCs w:val="21"/>
                <w:lang w:val="en-US" w:eastAsia="zh-CN"/>
              </w:rPr>
              <w:t>植物应上报相关部门进行处理。</w:t>
            </w:r>
          </w:p>
          <w:p>
            <w:pPr>
              <w:autoSpaceDE w:val="0"/>
              <w:autoSpaceDN w:val="0"/>
              <w:spacing w:line="336" w:lineRule="auto"/>
              <w:ind w:firstLine="482"/>
              <w:rPr>
                <w:rFonts w:hint="default"/>
                <w:color w:val="auto"/>
                <w:szCs w:val="21"/>
              </w:rPr>
            </w:pPr>
            <w:r>
              <w:rPr>
                <w:rFonts w:ascii="Times New Roman" w:hAnsi="Times New Roman" w:cs="Times New Roman" w:hint="default"/>
                <w:color w:val="auto"/>
                <w:sz w:val="21"/>
                <w:szCs w:val="21"/>
              </w:rPr>
              <w:t>⑤</w:t>
            </w:r>
            <w:r>
              <w:rPr>
                <w:rFonts w:ascii="Times New Roman" w:hAnsi="Times New Roman" w:cs="Times New Roman" w:hint="default"/>
                <w:color w:val="auto"/>
                <w:sz w:val="21"/>
                <w:szCs w:val="21"/>
                <w:lang w:val="en-US" w:eastAsia="zh-CN"/>
              </w:rPr>
              <w:t>合理安排物料运输路线，利用</w:t>
            </w:r>
            <w:r>
              <w:rPr>
                <w:rFonts w:ascii="Times New Roman" w:hAnsi="Times New Roman" w:cs="Times New Roman" w:hint="default"/>
                <w:color w:val="auto"/>
                <w:sz w:val="21"/>
                <w:szCs w:val="21"/>
              </w:rPr>
              <w:t>现有道路作为施工道路</w:t>
            </w:r>
            <w:r>
              <w:rPr>
                <w:rFonts w:ascii="Times New Roman" w:hAnsi="Times New Roman" w:cs="Times New Roman" w:hint="default"/>
                <w:color w:val="auto"/>
                <w:sz w:val="21"/>
                <w:szCs w:val="21"/>
                <w:lang w:eastAsia="zh-CN"/>
              </w:rPr>
              <w:t>，</w:t>
            </w:r>
            <w:r>
              <w:rPr>
                <w:rFonts w:ascii="Times New Roman" w:hAnsi="Times New Roman" w:cs="Times New Roman" w:hint="default"/>
                <w:color w:val="auto"/>
                <w:sz w:val="21"/>
                <w:szCs w:val="21"/>
                <w:lang w:val="en-US" w:eastAsia="zh-CN"/>
              </w:rPr>
              <w:t>不得随意修建施工便道</w:t>
            </w:r>
            <w:r>
              <w:rPr>
                <w:rFonts w:ascii="Times New Roman" w:hAnsi="Times New Roman" w:cs="Times New Roman" w:hint="default"/>
                <w:color w:val="auto"/>
                <w:sz w:val="21"/>
                <w:szCs w:val="21"/>
              </w:rPr>
              <w:t>。</w:t>
            </w:r>
          </w:p>
          <w:p>
            <w:pPr>
              <w:autoSpaceDE w:val="0"/>
              <w:autoSpaceDN w:val="0"/>
              <w:spacing w:line="360" w:lineRule="auto"/>
              <w:ind w:firstLine="482"/>
              <w:rPr>
                <w:rFonts w:hint="default"/>
                <w:color w:val="auto"/>
                <w:kern w:val="24"/>
                <w:szCs w:val="21"/>
              </w:rPr>
            </w:pPr>
            <w:r>
              <w:rPr>
                <w:rFonts w:ascii="Times New Roman" w:hAnsi="Times New Roman" w:cs="Times New Roman" w:hint="default"/>
                <w:color w:val="auto"/>
                <w:kern w:val="24"/>
                <w:sz w:val="21"/>
                <w:szCs w:val="21"/>
              </w:rPr>
              <w:t>⑥</w:t>
            </w:r>
            <w:r>
              <w:rPr>
                <w:rFonts w:cs="Times New Roman" w:hint="eastAsia"/>
                <w:color w:val="auto"/>
                <w:kern w:val="24"/>
                <w:sz w:val="21"/>
                <w:szCs w:val="21"/>
                <w:lang w:val="en-US" w:eastAsia="zh-CN"/>
              </w:rPr>
              <w:t>合理进行施工设计，</w:t>
            </w:r>
            <w:r>
              <w:rPr>
                <w:rFonts w:eastAsia="宋体" w:hAnsi="宋体" w:hint="eastAsia"/>
                <w:color w:val="auto"/>
                <w:sz w:val="21"/>
                <w:szCs w:val="21"/>
                <w:lang w:val="en-US" w:eastAsia="zh-CN"/>
              </w:rPr>
              <w:t>项目建设</w:t>
            </w:r>
            <w:r>
              <w:rPr>
                <w:rFonts w:eastAsia="宋体"/>
                <w:color w:val="auto"/>
                <w:sz w:val="21"/>
                <w:szCs w:val="21"/>
              </w:rPr>
              <w:t>方面注意与周围环境相互协调一致。避免大填大挖，减少对自然环境的破坏</w:t>
            </w:r>
          </w:p>
          <w:p>
            <w:pPr>
              <w:autoSpaceDE w:val="0"/>
              <w:autoSpaceDN w:val="0"/>
              <w:spacing w:line="360" w:lineRule="auto"/>
              <w:ind w:firstLine="482"/>
              <w:rPr>
                <w:rFonts w:hint="default"/>
                <w:color w:val="auto"/>
                <w:kern w:val="24"/>
                <w:szCs w:val="21"/>
              </w:rPr>
            </w:pPr>
            <w:r>
              <w:rPr>
                <w:rFonts w:ascii="Times New Roman" w:hAnsi="Times New Roman" w:cs="Times New Roman" w:hint="default"/>
                <w:color w:val="auto"/>
                <w:kern w:val="24"/>
                <w:sz w:val="21"/>
                <w:szCs w:val="21"/>
              </w:rPr>
              <w:t>通过采取以上措施，基本能够</w:t>
            </w:r>
            <w:r>
              <w:rPr>
                <w:rFonts w:ascii="Times New Roman" w:hAnsi="Times New Roman" w:cs="Times New Roman" w:hint="default"/>
                <w:color w:val="auto"/>
                <w:kern w:val="24"/>
                <w:sz w:val="21"/>
                <w:szCs w:val="21"/>
                <w:lang w:val="en-US" w:eastAsia="zh-CN"/>
              </w:rPr>
              <w:t>有效</w:t>
            </w:r>
            <w:r>
              <w:rPr>
                <w:rFonts w:ascii="Times New Roman" w:hAnsi="Times New Roman" w:cs="Times New Roman" w:hint="default"/>
                <w:color w:val="auto"/>
                <w:kern w:val="24"/>
                <w:sz w:val="21"/>
                <w:szCs w:val="21"/>
              </w:rPr>
              <w:t>消除该项目施工期间</w:t>
            </w:r>
            <w:r>
              <w:rPr>
                <w:rFonts w:cs="Times New Roman" w:hint="eastAsia"/>
                <w:color w:val="auto"/>
                <w:kern w:val="24"/>
                <w:sz w:val="21"/>
                <w:szCs w:val="21"/>
                <w:lang w:val="en-US" w:eastAsia="zh-CN"/>
              </w:rPr>
              <w:t>大小洞天风景名胜区</w:t>
            </w:r>
            <w:r>
              <w:rPr>
                <w:rFonts w:ascii="Times New Roman" w:hAnsi="Times New Roman" w:cs="Times New Roman" w:hint="default"/>
                <w:color w:val="auto"/>
                <w:kern w:val="24"/>
                <w:sz w:val="21"/>
                <w:szCs w:val="21"/>
              </w:rPr>
              <w:t>的影响</w:t>
            </w:r>
            <w:r>
              <w:rPr>
                <w:rFonts w:ascii="Times New Roman" w:hAnsi="Times New Roman" w:cs="Times New Roman" w:hint="default"/>
                <w:color w:val="auto"/>
                <w:sz w:val="21"/>
                <w:szCs w:val="21"/>
              </w:rPr>
              <w:t>。</w:t>
            </w:r>
          </w:p>
          <w:p>
            <w:pPr>
              <w:pStyle w:val="Heading4"/>
              <w:spacing w:line="360" w:lineRule="auto"/>
              <w:ind w:firstLine="420" w:firstLineChars="200"/>
              <w:rPr>
                <w:b w:val="0"/>
                <w:color w:val="auto"/>
                <w:sz w:val="21"/>
                <w:szCs w:val="21"/>
              </w:rPr>
            </w:pPr>
            <w:r>
              <w:rPr>
                <w:rFonts w:hint="eastAsia"/>
                <w:b w:val="0"/>
                <w:color w:val="auto"/>
                <w:spacing w:val="10"/>
                <w:sz w:val="21"/>
                <w:szCs w:val="21"/>
                <w:lang w:eastAsia="zh-CN"/>
              </w:rPr>
              <w:t>（</w:t>
            </w:r>
            <w:r>
              <w:rPr>
                <w:rFonts w:hint="eastAsia"/>
                <w:b w:val="0"/>
                <w:color w:val="auto"/>
                <w:spacing w:val="10"/>
                <w:sz w:val="21"/>
                <w:szCs w:val="21"/>
                <w:lang w:val="en-US" w:eastAsia="zh-CN"/>
              </w:rPr>
              <w:t>3</w:t>
            </w:r>
            <w:r>
              <w:rPr>
                <w:rFonts w:hint="eastAsia"/>
                <w:b w:val="0"/>
                <w:color w:val="auto"/>
                <w:spacing w:val="10"/>
                <w:sz w:val="21"/>
                <w:szCs w:val="21"/>
                <w:lang w:eastAsia="zh-CN"/>
              </w:rPr>
              <w:t>）</w:t>
            </w:r>
            <w:r>
              <w:rPr>
                <w:b w:val="0"/>
                <w:color w:val="auto"/>
                <w:spacing w:val="10"/>
                <w:sz w:val="21"/>
                <w:szCs w:val="21"/>
              </w:rPr>
              <w:t>保护措施可行性</w:t>
            </w:r>
          </w:p>
          <w:p>
            <w:pPr>
              <w:adjustRightInd w:val="0"/>
              <w:snapToGrid w:val="0"/>
              <w:spacing w:line="336" w:lineRule="auto"/>
              <w:ind w:firstLine="420" w:firstLineChars="200"/>
              <w:rPr>
                <w:rFonts w:ascii="宋体" w:hAnsi="宋体" w:cs="宋体" w:hint="default"/>
                <w:bCs/>
                <w:color w:val="auto"/>
                <w:spacing w:val="10"/>
                <w:szCs w:val="21"/>
              </w:rPr>
            </w:pPr>
            <w:r>
              <w:rPr>
                <w:color w:val="auto"/>
                <w:sz w:val="21"/>
                <w:szCs w:val="21"/>
              </w:rPr>
              <w:t>通过采取</w:t>
            </w:r>
            <w:r>
              <w:rPr>
                <w:rFonts w:hint="eastAsia"/>
                <w:color w:val="auto"/>
                <w:sz w:val="21"/>
                <w:szCs w:val="21"/>
              </w:rPr>
              <w:t>上述的</w:t>
            </w:r>
            <w:r>
              <w:rPr>
                <w:rFonts w:hint="eastAsia"/>
                <w:color w:val="auto"/>
                <w:sz w:val="21"/>
                <w:szCs w:val="21"/>
                <w:lang w:val="en-US" w:eastAsia="zh-CN"/>
              </w:rPr>
              <w:t>相应</w:t>
            </w:r>
            <w:r>
              <w:rPr>
                <w:rFonts w:hint="eastAsia"/>
                <w:color w:val="auto"/>
                <w:sz w:val="21"/>
                <w:szCs w:val="21"/>
              </w:rPr>
              <w:t>措施</w:t>
            </w:r>
            <w:r>
              <w:rPr>
                <w:color w:val="auto"/>
                <w:sz w:val="21"/>
                <w:szCs w:val="21"/>
              </w:rPr>
              <w:t>，</w:t>
            </w:r>
            <w:r>
              <w:rPr>
                <w:rFonts w:hint="eastAsia"/>
                <w:color w:val="auto"/>
                <w:sz w:val="21"/>
                <w:szCs w:val="21"/>
              </w:rPr>
              <w:t>能够有效地降低施工期对生态环境的影响，因此技术上是可行的。上述措施实施起来成本低、方便快捷，因此经济上具有合理性；上述措施经过多年的发展，已经形成了相对成熟的工艺和案例，运行稳定且长期有效，只要建设方按照规范要求进行建设，上述的保护措施完全能够有效</w:t>
            </w:r>
            <w:r>
              <w:rPr>
                <w:rFonts w:hint="eastAsia"/>
                <w:color w:val="auto"/>
                <w:sz w:val="21"/>
                <w:szCs w:val="21"/>
                <w:lang w:eastAsia="zh-CN"/>
              </w:rPr>
              <w:t>缓解</w:t>
            </w:r>
            <w:r>
              <w:rPr>
                <w:rFonts w:hint="eastAsia"/>
                <w:color w:val="auto"/>
                <w:sz w:val="21"/>
                <w:szCs w:val="21"/>
              </w:rPr>
              <w:t>施工期对生态环境的影响。</w:t>
            </w:r>
            <w:r>
              <w:rPr>
                <w:rFonts w:hint="eastAsia"/>
                <w:color w:val="auto"/>
                <w:sz w:val="21"/>
                <w:szCs w:val="21"/>
                <w:lang w:val="en-US" w:eastAsia="zh-CN"/>
              </w:rPr>
              <w:t>只要项目严格按照要求进行施工，施工过程中产生的废水、废气等污染物对</w:t>
            </w:r>
            <w:r>
              <w:rPr>
                <w:rFonts w:cs="Times New Roman" w:hint="eastAsia"/>
                <w:b w:val="0"/>
                <w:color w:val="auto"/>
                <w:spacing w:val="10"/>
                <w:sz w:val="21"/>
                <w:szCs w:val="21"/>
                <w:lang w:val="en-US" w:eastAsia="zh-CN"/>
              </w:rPr>
              <w:t>大小洞天</w:t>
            </w:r>
            <w:r>
              <w:rPr>
                <w:rFonts w:ascii="Times New Roman" w:hAnsi="Times New Roman" w:cs="Times New Roman" w:hint="default"/>
                <w:b w:val="0"/>
                <w:color w:val="auto"/>
                <w:spacing w:val="10"/>
                <w:sz w:val="21"/>
                <w:szCs w:val="21"/>
                <w:lang w:eastAsia="zh-CN"/>
              </w:rPr>
              <w:t>名胜区</w:t>
            </w:r>
            <w:r>
              <w:rPr>
                <w:rFonts w:cs="Times New Roman" w:hint="eastAsia"/>
                <w:b w:val="0"/>
                <w:color w:val="auto"/>
                <w:spacing w:val="10"/>
                <w:sz w:val="21"/>
                <w:szCs w:val="21"/>
                <w:lang w:val="en-US" w:eastAsia="zh-CN"/>
              </w:rPr>
              <w:t>的影响较小且是暂时的，随着施工的结束产生的影响也结束。</w:t>
            </w:r>
          </w:p>
        </w:tc>
      </w:tr>
      <w:tr>
        <w:tblPrEx>
          <w:tblW w:w="9210" w:type="dxa"/>
          <w:jc w:val="center"/>
          <w:tblLayout w:type="fixed"/>
          <w:tblCellMar>
            <w:top w:w="0" w:type="dxa"/>
            <w:left w:w="108" w:type="dxa"/>
            <w:bottom w:w="0" w:type="dxa"/>
            <w:right w:w="108" w:type="dxa"/>
          </w:tblCellMar>
        </w:tblPrEx>
        <w:trPr>
          <w:trHeight w:val="299"/>
          <w:jc w:val="center"/>
        </w:trPr>
        <w:tc>
          <w:tcPr>
            <w:tcW w:w="753" w:type="dxa"/>
            <w:noWrap w:val="0"/>
            <w:tcMar>
              <w:left w:w="28" w:type="dxa"/>
              <w:right w:w="28" w:type="dxa"/>
            </w:tcMar>
            <w:vAlign w:val="center"/>
          </w:tcPr>
          <w:p>
            <w:pPr>
              <w:adjustRightInd w:val="0"/>
              <w:snapToGrid w:val="0"/>
              <w:jc w:val="center"/>
              <w:rPr>
                <w:rFonts w:ascii="宋体" w:hAnsi="宋体" w:cs="宋体"/>
                <w:bCs/>
                <w:color w:val="auto"/>
                <w:spacing w:val="10"/>
                <w:szCs w:val="21"/>
              </w:rPr>
            </w:pPr>
            <w:r>
              <w:rPr>
                <w:rFonts w:ascii="宋体" w:hAnsi="宋体" w:cs="宋体" w:hint="eastAsia"/>
                <w:bCs/>
                <w:color w:val="auto"/>
                <w:spacing w:val="10"/>
                <w:sz w:val="21"/>
                <w:szCs w:val="21"/>
              </w:rPr>
              <w:t>运营期生态环境保护措施</w:t>
            </w:r>
          </w:p>
        </w:tc>
        <w:tc>
          <w:tcPr>
            <w:tcW w:w="8457" w:type="dxa"/>
            <w:noWrap w:val="0"/>
            <w:vAlign w:val="top"/>
          </w:tcPr>
          <w:p>
            <w:pPr>
              <w:keepNext w:val="0"/>
              <w:keepLines w:val="0"/>
              <w:pageBreakBefore w:val="0"/>
              <w:widowControl/>
              <w:kinsoku/>
              <w:wordWrap/>
              <w:overflowPunct/>
              <w:topLinePunct w:val="0"/>
              <w:autoSpaceDE/>
              <w:autoSpaceDN/>
              <w:bidi w:val="0"/>
              <w:spacing w:line="348" w:lineRule="auto"/>
              <w:ind w:firstLine="420" w:firstLineChars="200"/>
              <w:textAlignment w:val="auto"/>
              <w:rPr>
                <w:b w:val="0"/>
                <w:bCs w:val="0"/>
                <w:color w:val="auto"/>
                <w:kern w:val="0"/>
                <w:szCs w:val="21"/>
                <w:lang w:bidi="ar"/>
              </w:rPr>
            </w:pPr>
            <w:r>
              <w:rPr>
                <w:rFonts w:hint="eastAsia"/>
                <w:b w:val="0"/>
                <w:bCs w:val="0"/>
                <w:color w:val="auto"/>
                <w:kern w:val="0"/>
                <w:sz w:val="21"/>
                <w:szCs w:val="21"/>
                <w:lang w:eastAsia="zh-CN" w:bidi="ar"/>
              </w:rPr>
              <w:t>（</w:t>
            </w:r>
            <w:r>
              <w:rPr>
                <w:b w:val="0"/>
                <w:bCs w:val="0"/>
                <w:color w:val="auto"/>
                <w:kern w:val="0"/>
                <w:sz w:val="21"/>
                <w:szCs w:val="21"/>
                <w:lang w:bidi="ar"/>
              </w:rPr>
              <w:t>1</w:t>
            </w:r>
            <w:r>
              <w:rPr>
                <w:rFonts w:hint="eastAsia"/>
                <w:b w:val="0"/>
                <w:bCs w:val="0"/>
                <w:color w:val="auto"/>
                <w:kern w:val="0"/>
                <w:sz w:val="21"/>
                <w:szCs w:val="21"/>
                <w:lang w:eastAsia="zh-CN" w:bidi="ar"/>
              </w:rPr>
              <w:t>）</w:t>
            </w:r>
            <w:r>
              <w:rPr>
                <w:rFonts w:hint="eastAsia"/>
                <w:b w:val="0"/>
                <w:bCs w:val="0"/>
                <w:color w:val="auto"/>
                <w:kern w:val="0"/>
                <w:sz w:val="21"/>
                <w:szCs w:val="21"/>
                <w:lang w:bidi="ar"/>
              </w:rPr>
              <w:t>生态修复、补偿措施</w:t>
            </w:r>
          </w:p>
          <w:p>
            <w:pPr>
              <w:keepNext w:val="0"/>
              <w:keepLines w:val="0"/>
              <w:pageBreakBefore w:val="0"/>
              <w:widowControl/>
              <w:kinsoku/>
              <w:wordWrap/>
              <w:overflowPunct/>
              <w:topLinePunct w:val="0"/>
              <w:autoSpaceDE/>
              <w:autoSpaceDN/>
              <w:bidi w:val="0"/>
              <w:spacing w:line="348" w:lineRule="auto"/>
              <w:ind w:firstLine="420" w:firstLineChars="200"/>
              <w:textAlignment w:val="auto"/>
              <w:rPr>
                <w:b w:val="0"/>
                <w:bCs w:val="0"/>
                <w:color w:val="auto"/>
                <w:kern w:val="0"/>
                <w:szCs w:val="21"/>
                <w:lang w:bidi="ar"/>
              </w:rPr>
            </w:pPr>
            <w:r>
              <w:rPr>
                <w:b w:val="0"/>
                <w:bCs w:val="0"/>
                <w:color w:val="auto"/>
                <w:kern w:val="0"/>
                <w:sz w:val="21"/>
                <w:szCs w:val="21"/>
                <w:lang w:bidi="ar"/>
              </w:rPr>
              <w:t>①精密布置、精心施工。</w:t>
            </w:r>
          </w:p>
          <w:p>
            <w:pPr>
              <w:keepNext w:val="0"/>
              <w:keepLines w:val="0"/>
              <w:pageBreakBefore w:val="0"/>
              <w:widowControl/>
              <w:kinsoku/>
              <w:wordWrap/>
              <w:overflowPunct/>
              <w:topLinePunct w:val="0"/>
              <w:autoSpaceDE/>
              <w:autoSpaceDN/>
              <w:bidi w:val="0"/>
              <w:spacing w:line="348" w:lineRule="auto"/>
              <w:ind w:firstLine="420" w:firstLineChars="200"/>
              <w:textAlignment w:val="auto"/>
              <w:rPr>
                <w:b w:val="0"/>
                <w:bCs w:val="0"/>
                <w:color w:val="auto"/>
                <w:szCs w:val="21"/>
              </w:rPr>
            </w:pPr>
            <w:r>
              <w:rPr>
                <w:b w:val="0"/>
                <w:bCs w:val="0"/>
                <w:color w:val="auto"/>
                <w:kern w:val="0"/>
                <w:sz w:val="21"/>
                <w:szCs w:val="21"/>
                <w:lang w:bidi="ar"/>
              </w:rPr>
              <w:t>②在每个施工区和工程施工完成后，及时拆除各种临时设施，施工临时占地及时恢复植被或本来用途。</w:t>
            </w:r>
          </w:p>
          <w:p>
            <w:pPr>
              <w:keepNext w:val="0"/>
              <w:keepLines w:val="0"/>
              <w:pageBreakBefore w:val="0"/>
              <w:widowControl/>
              <w:kinsoku/>
              <w:wordWrap/>
              <w:overflowPunct/>
              <w:topLinePunct w:val="0"/>
              <w:autoSpaceDE/>
              <w:autoSpaceDN/>
              <w:bidi w:val="0"/>
              <w:spacing w:line="348" w:lineRule="auto"/>
              <w:ind w:firstLine="420" w:firstLineChars="200"/>
              <w:textAlignment w:val="auto"/>
              <w:rPr>
                <w:b w:val="0"/>
                <w:bCs w:val="0"/>
                <w:color w:val="auto"/>
                <w:szCs w:val="21"/>
              </w:rPr>
            </w:pPr>
            <w:r>
              <w:rPr>
                <w:b w:val="0"/>
                <w:bCs w:val="0"/>
                <w:color w:val="auto"/>
                <w:kern w:val="0"/>
                <w:sz w:val="21"/>
                <w:szCs w:val="21"/>
                <w:lang w:bidi="ar"/>
              </w:rPr>
              <w:t>③工地停车场及各种临时停放点停放的机械车辆应整齐有序。</w:t>
            </w:r>
          </w:p>
          <w:p>
            <w:pPr>
              <w:pStyle w:val="NormalIndent"/>
              <w:keepNext w:val="0"/>
              <w:keepLines w:val="0"/>
              <w:pageBreakBefore w:val="0"/>
              <w:kinsoku/>
              <w:wordWrap/>
              <w:overflowPunct/>
              <w:topLinePunct w:val="0"/>
              <w:autoSpaceDE/>
              <w:autoSpaceDN/>
              <w:bidi w:val="0"/>
              <w:spacing w:line="348" w:lineRule="auto"/>
              <w:ind w:firstLine="464"/>
              <w:textAlignment w:val="auto"/>
              <w:rPr>
                <w:b w:val="0"/>
                <w:bCs w:val="0"/>
                <w:color w:val="auto"/>
                <w:sz w:val="21"/>
                <w:szCs w:val="21"/>
              </w:rPr>
            </w:pPr>
            <w:r>
              <w:rPr>
                <w:b w:val="0"/>
                <w:bCs w:val="0"/>
                <w:color w:val="auto"/>
                <w:kern w:val="0"/>
                <w:sz w:val="21"/>
                <w:szCs w:val="21"/>
                <w:lang w:bidi="ar"/>
              </w:rPr>
              <w:t>④</w:t>
            </w:r>
            <w:r>
              <w:rPr>
                <w:b w:val="0"/>
                <w:bCs w:val="0"/>
                <w:color w:val="auto"/>
                <w:spacing w:val="-4"/>
                <w:sz w:val="21"/>
                <w:szCs w:val="21"/>
              </w:rPr>
              <w:t>项目营运初期需对项目绿化进行养护，对不能成活植株或成活率较低的区域进行补植。</w:t>
            </w:r>
          </w:p>
          <w:p>
            <w:pPr>
              <w:pStyle w:val="NormalIndent"/>
              <w:keepNext w:val="0"/>
              <w:keepLines w:val="0"/>
              <w:pageBreakBefore w:val="0"/>
              <w:kinsoku/>
              <w:wordWrap/>
              <w:overflowPunct/>
              <w:topLinePunct w:val="0"/>
              <w:autoSpaceDE/>
              <w:autoSpaceDN/>
              <w:bidi w:val="0"/>
              <w:spacing w:line="348" w:lineRule="auto"/>
              <w:ind w:firstLine="480"/>
              <w:textAlignment w:val="auto"/>
              <w:rPr>
                <w:b w:val="0"/>
                <w:bCs w:val="0"/>
                <w:color w:val="auto"/>
                <w:sz w:val="21"/>
                <w:szCs w:val="21"/>
              </w:rPr>
            </w:pPr>
            <w:r>
              <w:rPr>
                <w:b w:val="0"/>
                <w:bCs w:val="0"/>
                <w:color w:val="auto"/>
                <w:sz w:val="21"/>
                <w:szCs w:val="21"/>
              </w:rPr>
              <w:t>⑤在未来项目建设时，绿化树种的选择要以当地森林植物为主，景观物种选用及周边森林的乡土植物。</w:t>
            </w:r>
          </w:p>
          <w:p>
            <w:pPr>
              <w:pStyle w:val="NormalIndent"/>
              <w:keepNext w:val="0"/>
              <w:keepLines w:val="0"/>
              <w:pageBreakBefore w:val="0"/>
              <w:kinsoku/>
              <w:wordWrap/>
              <w:overflowPunct/>
              <w:topLinePunct w:val="0"/>
              <w:autoSpaceDE/>
              <w:autoSpaceDN/>
              <w:bidi w:val="0"/>
              <w:spacing w:line="348" w:lineRule="auto"/>
              <w:ind w:firstLine="464"/>
              <w:textAlignment w:val="auto"/>
              <w:rPr>
                <w:rFonts w:hint="default"/>
                <w:b w:val="0"/>
                <w:bCs w:val="0"/>
                <w:color w:val="auto"/>
                <w:spacing w:val="-4"/>
                <w:sz w:val="21"/>
                <w:szCs w:val="21"/>
                <w:lang w:val="en-US" w:eastAsia="zh-CN"/>
              </w:rPr>
            </w:pPr>
            <w:r>
              <w:rPr>
                <w:b w:val="0"/>
                <w:bCs w:val="0"/>
                <w:color w:val="auto"/>
                <w:spacing w:val="-4"/>
                <w:sz w:val="21"/>
                <w:szCs w:val="21"/>
              </w:rPr>
              <w:t>⑥</w:t>
            </w:r>
            <w:r>
              <w:rPr>
                <w:rFonts w:hint="eastAsia"/>
                <w:b w:val="0"/>
                <w:bCs w:val="0"/>
                <w:color w:val="auto"/>
                <w:spacing w:val="-4"/>
                <w:sz w:val="21"/>
                <w:szCs w:val="21"/>
                <w:lang w:val="en-US" w:eastAsia="zh-CN"/>
              </w:rPr>
              <w:t>项目无特殊情况应当禁止引进外来物种。</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default"/>
                <w:b w:val="0"/>
                <w:bCs w:val="0"/>
                <w:color w:val="auto"/>
                <w:kern w:val="0"/>
                <w:szCs w:val="21"/>
                <w:lang w:bidi="ar"/>
              </w:rPr>
            </w:pPr>
            <w:r>
              <w:rPr>
                <w:rFonts w:ascii="Times New Roman" w:hAnsi="Times New Roman" w:cs="Times New Roman" w:hint="eastAsia"/>
                <w:b w:val="0"/>
                <w:bCs w:val="0"/>
                <w:color w:val="auto"/>
                <w:kern w:val="0"/>
                <w:sz w:val="21"/>
                <w:szCs w:val="21"/>
                <w:lang w:eastAsia="zh-CN" w:bidi="ar"/>
              </w:rPr>
              <w:t>（</w:t>
            </w:r>
            <w:r>
              <w:rPr>
                <w:rFonts w:ascii="Times New Roman" w:hAnsi="Times New Roman" w:cs="Times New Roman" w:hint="eastAsia"/>
                <w:b w:val="0"/>
                <w:bCs w:val="0"/>
                <w:color w:val="auto"/>
                <w:kern w:val="0"/>
                <w:sz w:val="21"/>
                <w:szCs w:val="21"/>
                <w:lang w:val="en-US" w:eastAsia="zh-CN" w:bidi="ar"/>
              </w:rPr>
              <w:t>2</w:t>
            </w:r>
            <w:r>
              <w:rPr>
                <w:rFonts w:ascii="Times New Roman" w:hAnsi="Times New Roman" w:cs="Times New Roman" w:hint="eastAsia"/>
                <w:b w:val="0"/>
                <w:bCs w:val="0"/>
                <w:color w:val="auto"/>
                <w:kern w:val="0"/>
                <w:sz w:val="21"/>
                <w:szCs w:val="21"/>
                <w:lang w:eastAsia="zh-CN" w:bidi="ar"/>
              </w:rPr>
              <w:t>）</w:t>
            </w:r>
            <w:r>
              <w:rPr>
                <w:rFonts w:ascii="Times New Roman" w:hAnsi="Times New Roman" w:cs="Times New Roman" w:hint="eastAsia"/>
                <w:b w:val="0"/>
                <w:bCs w:val="0"/>
                <w:color w:val="auto"/>
                <w:kern w:val="0"/>
                <w:sz w:val="21"/>
                <w:szCs w:val="21"/>
                <w:lang w:val="en-US" w:eastAsia="zh-CN" w:bidi="ar"/>
              </w:rPr>
              <w:t>营地管理措施</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default"/>
                <w:b w:val="0"/>
                <w:bCs w:val="0"/>
                <w:color w:val="auto"/>
                <w:kern w:val="0"/>
                <w:szCs w:val="21"/>
                <w:lang w:bidi="ar"/>
              </w:rPr>
            </w:pPr>
            <w:r>
              <w:rPr>
                <w:rFonts w:ascii="Times New Roman" w:hAnsi="Times New Roman" w:cs="Times New Roman" w:hint="default"/>
                <w:b w:val="0"/>
                <w:bCs w:val="0"/>
                <w:color w:val="auto"/>
                <w:kern w:val="0"/>
                <w:sz w:val="21"/>
                <w:szCs w:val="21"/>
                <w:lang w:val="en-US" w:eastAsia="zh-CN" w:bidi="ar"/>
              </w:rPr>
              <w:t>①</w:t>
            </w:r>
            <w:r>
              <w:rPr>
                <w:rFonts w:ascii="Times New Roman" w:hAnsi="Times New Roman" w:cs="Times New Roman" w:hint="eastAsia"/>
                <w:b w:val="0"/>
                <w:bCs w:val="0"/>
                <w:color w:val="auto"/>
                <w:kern w:val="0"/>
                <w:sz w:val="21"/>
                <w:szCs w:val="21"/>
                <w:lang w:val="en-US" w:eastAsia="zh-CN" w:bidi="ar"/>
              </w:rPr>
              <w:t>完善基础设施的建设：完善</w:t>
            </w:r>
            <w:r>
              <w:rPr>
                <w:rFonts w:hint="eastAsia"/>
                <w:b w:val="0"/>
                <w:bCs w:val="0"/>
                <w:color w:val="auto"/>
                <w:lang w:val="en-US" w:eastAsia="zh-CN"/>
              </w:rPr>
              <w:t>房车宿营区管网的建设，房车宿营区布设多个房车污水收集点，收集房车上暂存生活污水的“黑水箱”、“灰水箱”中的污水；房车营地当中布设多个生活垃圾桶。用于收集生活垃圾。</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default"/>
                <w:b w:val="0"/>
                <w:bCs w:val="0"/>
                <w:color w:val="auto"/>
                <w:kern w:val="0"/>
                <w:szCs w:val="21"/>
                <w:lang w:bidi="ar"/>
              </w:rPr>
            </w:pPr>
            <w:r>
              <w:rPr>
                <w:rFonts w:ascii="Times New Roman" w:hAnsi="Times New Roman" w:cs="Times New Roman" w:hint="default"/>
                <w:b w:val="0"/>
                <w:bCs w:val="0"/>
                <w:color w:val="auto"/>
                <w:kern w:val="0"/>
                <w:sz w:val="21"/>
                <w:szCs w:val="21"/>
                <w:lang w:val="en-US" w:eastAsia="zh-CN" w:bidi="ar"/>
              </w:rPr>
              <w:t>②</w:t>
            </w:r>
            <w:r>
              <w:rPr>
                <w:rFonts w:ascii="Times New Roman" w:hAnsi="Times New Roman" w:cs="Times New Roman" w:hint="eastAsia"/>
                <w:b w:val="0"/>
                <w:bCs w:val="0"/>
                <w:color w:val="auto"/>
                <w:kern w:val="0"/>
                <w:sz w:val="21"/>
                <w:szCs w:val="21"/>
                <w:lang w:val="en-US" w:eastAsia="zh-CN" w:bidi="ar"/>
              </w:rPr>
              <w:t>加强引导：通过采取宣传教育、设置指示标志等相关措施，引导游客将污水、固废倾倒至指定收集点；严禁游客乱丢垃圾和肆意倾倒生活污水。</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default"/>
                <w:b w:val="0"/>
                <w:bCs w:val="0"/>
                <w:color w:val="auto"/>
                <w:kern w:val="0"/>
                <w:szCs w:val="21"/>
                <w:lang w:bidi="ar"/>
              </w:rPr>
            </w:pPr>
            <w:r>
              <w:rPr>
                <w:rFonts w:hint="eastAsia"/>
                <w:b w:val="0"/>
                <w:bCs w:val="0"/>
                <w:color w:val="auto"/>
                <w:kern w:val="0"/>
                <w:sz w:val="21"/>
                <w:szCs w:val="21"/>
                <w:lang w:eastAsia="zh-CN" w:bidi="ar"/>
              </w:rPr>
              <w:t>③</w:t>
            </w:r>
            <w:r>
              <w:rPr>
                <w:rFonts w:hint="eastAsia"/>
                <w:b w:val="0"/>
                <w:bCs w:val="0"/>
                <w:color w:val="auto"/>
                <w:kern w:val="0"/>
                <w:sz w:val="21"/>
                <w:szCs w:val="21"/>
                <w:lang w:val="en-US" w:eastAsia="zh-CN" w:bidi="ar"/>
              </w:rPr>
              <w:t>定期维护基础设施：定期排查污水收集点、生活垃圾收集点等设施的情况，发现损坏及时维修。确保基础设施的运行稳定。</w:t>
            </w:r>
          </w:p>
          <w:p>
            <w:pPr>
              <w:keepNext w:val="0"/>
              <w:keepLines w:val="0"/>
              <w:pageBreakBefore w:val="0"/>
              <w:widowControl/>
              <w:kinsoku/>
              <w:wordWrap/>
              <w:overflowPunct/>
              <w:topLinePunct w:val="0"/>
              <w:autoSpaceDE/>
              <w:autoSpaceDN/>
              <w:bidi w:val="0"/>
              <w:spacing w:line="348" w:lineRule="auto"/>
              <w:ind w:firstLine="420" w:firstLineChars="200"/>
              <w:textAlignment w:val="auto"/>
              <w:rPr>
                <w:rFonts w:hint="default"/>
                <w:b w:val="0"/>
                <w:bCs w:val="0"/>
                <w:color w:val="auto"/>
                <w:kern w:val="0"/>
                <w:szCs w:val="21"/>
                <w:lang w:bidi="ar"/>
              </w:rPr>
            </w:pPr>
            <w:r>
              <w:rPr>
                <w:rFonts w:hint="eastAsia"/>
                <w:b w:val="0"/>
                <w:bCs w:val="0"/>
                <w:color w:val="auto"/>
                <w:kern w:val="0"/>
                <w:sz w:val="21"/>
                <w:szCs w:val="21"/>
                <w:lang w:eastAsia="zh-CN" w:bidi="ar"/>
              </w:rPr>
              <w:t>④</w:t>
            </w:r>
            <w:r>
              <w:rPr>
                <w:rFonts w:hint="eastAsia"/>
                <w:b w:val="0"/>
                <w:bCs w:val="0"/>
                <w:color w:val="auto"/>
                <w:kern w:val="0"/>
                <w:sz w:val="21"/>
                <w:szCs w:val="21"/>
                <w:lang w:val="en-US" w:eastAsia="zh-CN" w:bidi="ar"/>
              </w:rPr>
              <w:t>制定合理可行的噪声管控规范，设置户外活动时间限制，安排专人进行管理、设置静止鸣笛警示牌，劝导游客降低噪音音量、不要大声喧哗。</w:t>
            </w:r>
          </w:p>
          <w:p>
            <w:pPr>
              <w:keepNext w:val="0"/>
              <w:keepLines w:val="0"/>
              <w:pageBreakBefore w:val="0"/>
              <w:widowControl/>
              <w:kinsoku/>
              <w:wordWrap/>
              <w:overflowPunct/>
              <w:topLinePunct w:val="0"/>
              <w:autoSpaceDE/>
              <w:autoSpaceDN/>
              <w:bidi w:val="0"/>
              <w:spacing w:line="348" w:lineRule="auto"/>
              <w:ind w:firstLine="420" w:firstLineChars="200"/>
              <w:textAlignment w:val="auto"/>
              <w:rPr>
                <w:color w:val="auto"/>
                <w:szCs w:val="21"/>
              </w:rPr>
            </w:pPr>
            <w:r>
              <w:rPr>
                <w:rFonts w:hint="eastAsia"/>
                <w:color w:val="auto"/>
                <w:kern w:val="0"/>
                <w:sz w:val="21"/>
                <w:szCs w:val="21"/>
                <w:lang w:eastAsia="zh-CN" w:bidi="ar"/>
              </w:rPr>
              <w:t>（</w:t>
            </w:r>
            <w:r>
              <w:rPr>
                <w:rFonts w:hint="eastAsia"/>
                <w:color w:val="auto"/>
                <w:kern w:val="0"/>
                <w:sz w:val="21"/>
                <w:szCs w:val="21"/>
                <w:lang w:val="en-US" w:eastAsia="zh-CN" w:bidi="ar"/>
              </w:rPr>
              <w:t>3</w:t>
            </w:r>
            <w:r>
              <w:rPr>
                <w:rFonts w:hint="eastAsia"/>
                <w:color w:val="auto"/>
                <w:kern w:val="0"/>
                <w:sz w:val="21"/>
                <w:szCs w:val="21"/>
                <w:lang w:eastAsia="zh-CN" w:bidi="ar"/>
              </w:rPr>
              <w:t>）</w:t>
            </w:r>
            <w:r>
              <w:rPr>
                <w:color w:val="auto"/>
                <w:kern w:val="0"/>
                <w:sz w:val="21"/>
                <w:szCs w:val="21"/>
                <w:lang w:bidi="ar"/>
              </w:rPr>
              <w:t>措施可行性</w:t>
            </w:r>
          </w:p>
          <w:p>
            <w:pPr>
              <w:keepNext w:val="0"/>
              <w:keepLines w:val="0"/>
              <w:pageBreakBefore w:val="0"/>
              <w:kinsoku/>
              <w:wordWrap/>
              <w:overflowPunct/>
              <w:topLinePunct w:val="0"/>
              <w:autoSpaceDE/>
              <w:autoSpaceDN/>
              <w:bidi w:val="0"/>
              <w:adjustRightInd w:val="0"/>
              <w:snapToGrid w:val="0"/>
              <w:spacing w:line="348" w:lineRule="auto"/>
              <w:ind w:firstLine="420" w:firstLineChars="200"/>
              <w:textAlignment w:val="auto"/>
              <w:rPr>
                <w:rFonts w:ascii="宋体" w:hAnsi="宋体" w:cs="宋体"/>
                <w:bCs/>
                <w:color w:val="auto"/>
                <w:spacing w:val="10"/>
                <w:szCs w:val="21"/>
              </w:rPr>
            </w:pPr>
            <w:r>
              <w:rPr>
                <w:color w:val="auto"/>
                <w:kern w:val="0"/>
                <w:sz w:val="21"/>
                <w:szCs w:val="21"/>
                <w:lang w:bidi="ar"/>
              </w:rPr>
              <w:t>通过采取上述措施，</w:t>
            </w:r>
            <w:r>
              <w:rPr>
                <w:rFonts w:hint="eastAsia"/>
                <w:color w:val="auto"/>
                <w:kern w:val="0"/>
                <w:sz w:val="21"/>
                <w:szCs w:val="21"/>
                <w:lang w:bidi="ar"/>
              </w:rPr>
              <w:t>项目运营期对环境的影响不大</w:t>
            </w:r>
            <w:r>
              <w:rPr>
                <w:color w:val="auto"/>
                <w:kern w:val="0"/>
                <w:sz w:val="21"/>
                <w:szCs w:val="21"/>
                <w:lang w:bidi="ar"/>
              </w:rPr>
              <w:t>。因此，随着项目落成，该项目区域的生态环境将收到较好的预期效果。</w:t>
            </w:r>
            <w:r>
              <w:rPr>
                <w:bCs/>
                <w:color w:val="auto"/>
                <w:spacing w:val="10"/>
                <w:sz w:val="21"/>
                <w:szCs w:val="21"/>
              </w:rPr>
              <w:t>只要建设方按照规范要求进行</w:t>
            </w:r>
            <w:r>
              <w:rPr>
                <w:rFonts w:hint="eastAsia"/>
                <w:bCs/>
                <w:color w:val="auto"/>
                <w:spacing w:val="10"/>
                <w:sz w:val="21"/>
                <w:szCs w:val="21"/>
                <w:lang w:val="en-US" w:eastAsia="zh-CN"/>
              </w:rPr>
              <w:t>生态</w:t>
            </w:r>
            <w:r>
              <w:rPr>
                <w:bCs/>
                <w:color w:val="auto"/>
                <w:spacing w:val="10"/>
                <w:sz w:val="21"/>
                <w:szCs w:val="21"/>
              </w:rPr>
              <w:t>修复，</w:t>
            </w:r>
            <w:r>
              <w:rPr>
                <w:rFonts w:hint="eastAsia"/>
                <w:bCs/>
                <w:color w:val="auto"/>
                <w:spacing w:val="10"/>
                <w:sz w:val="21"/>
                <w:szCs w:val="21"/>
              </w:rPr>
              <w:t>上述</w:t>
            </w:r>
            <w:r>
              <w:rPr>
                <w:bCs/>
                <w:color w:val="auto"/>
                <w:spacing w:val="10"/>
                <w:sz w:val="21"/>
                <w:szCs w:val="21"/>
              </w:rPr>
              <w:t>的保护措施完全能够有效</w:t>
            </w:r>
            <w:r>
              <w:rPr>
                <w:rFonts w:hint="eastAsia"/>
                <w:bCs/>
                <w:color w:val="auto"/>
                <w:spacing w:val="10"/>
                <w:sz w:val="21"/>
                <w:szCs w:val="21"/>
                <w:lang w:eastAsia="zh-CN"/>
              </w:rPr>
              <w:t>缓解</w:t>
            </w:r>
            <w:r>
              <w:rPr>
                <w:bCs/>
                <w:color w:val="auto"/>
                <w:spacing w:val="10"/>
                <w:sz w:val="21"/>
                <w:szCs w:val="21"/>
              </w:rPr>
              <w:t>施工期对生态环境的影响。</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https://d.book118.com/026113153125010055</w:t>
        </w:r>
      </w:hyperlink>
    </w:p>
    <w:p/>
    <w:sectPr>
      <w:footerReference w:type="even" r:id="rId57"/>
      <w:footerReference w:type="default" r:id="rId58"/>
      <w:type w:val="nextPage"/>
      <w:pgSz w:w="11906" w:h="16838"/>
      <w:pgMar w:top="1440" w:right="1800" w:bottom="1440" w:left="1800" w:header="851" w:footer="1077" w:gutter="0"/>
      <w:pgNumType w:fmt="decimal" w:start="24"/>
      <w:cols w:num="1" w:space="720"/>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1" w:csb1="00000000"/>
  </w:font>
  <w:font w:name="TimesNewRomanPSMT">
    <w:altName w:val="Times New Roman"/>
    <w:panose1 w:val="00000000000000000000"/>
    <w:charset w:val="00"/>
    <w:family w:val="auto"/>
    <w:pitch w:val="default"/>
    <w:sig w:usb0="00000000" w:usb1="00000000" w:usb2="00000000" w:usb3="00000000" w:csb0="00040001"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7"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4635402"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50547100"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52802512"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6091209"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00717034"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2932861"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2848892"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12019918"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908312290"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4341902"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3593029"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57692120"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69792030"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95451892"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50864670"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67654295"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799339151"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913680"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19</w:t>
                    </w:r>
                    <w:r>
                      <w:fldChar w:fldCharType="end"/>
                    </w:r>
                  </w:p>
                </w:txbxContent>
              </v:textbox>
              <w10:wrap anchorx="margin"/>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538118794"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20</w:t>
                    </w:r>
                    <w:r>
                      <w:fldChar w:fldCharType="end"/>
                    </w:r>
                  </w:p>
                </w:txbxContent>
              </v:textbox>
              <w10:wrap anchorx="margin"/>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941319816"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416260248"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22</w:t>
                    </w:r>
                    <w:r>
                      <w:fldChar w:fldCharType="end"/>
                    </w:r>
                  </w:p>
                </w:txbxContent>
              </v:textbox>
              <w10:wrap anchorx="margin"/>
            </v:shape>
          </w:pict>
        </mc:Fallback>
      </mc:AlternateConten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731104143"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fldChar w:fldCharType="begin"/>
                    </w:r>
                    <w:r>
                      <w:instrText xml:space="preserve"> PAGE  \* MERGEFORMAT </w:instrText>
                    </w:r>
                    <w:r>
                      <w:fldChar w:fldCharType="separate"/>
                    </w:r>
                    <w:r>
                      <w:t>23</w:t>
                    </w:r>
                    <w:r>
                      <w:fldChar w:fldCharType="end"/>
                    </w:r>
                  </w:p>
                </w:txbxContent>
              </v:textbox>
              <w10:wrap anchorx="margin"/>
            </v:shape>
          </w:pict>
        </mc:Fallback>
      </mc:AlternateConten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9771693"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7"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25</w:t>
                    </w:r>
                    <w: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cumentProtection w:edit="trackedChanges" w:enforcement="0"/>
  <w:defaultTabStop w:val="420"/>
  <w:doNotHyphenateCaps/>
  <w:drawingGridHorizontalSpacing w:val="105"/>
  <w:drawingGridVerticalSpacing w:val="156"/>
  <w:noPunctuationKerning/>
  <w:characterSpacingControl w:val="compressPunctuation"/>
  <w:noLineBreaksAfter w:lang="zh-CN" w:val="([{·‘“〈《「『【〔〖（．［｛￡￥"/>
  <w:noLineBreaksBefore w:lang="zh-CN" w:val="!),.:;?]}¨·ˇˉ―‖’”…∶、。〃々〉》」』】〕〗！＂＇），．：；？］｀｜｝～￠"/>
  <w:doNotEmbedSmartTags/>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4947"/>
    <w:rsid w:val="00001CED"/>
    <w:rsid w:val="00001E67"/>
    <w:rsid w:val="00003CD8"/>
    <w:rsid w:val="00014965"/>
    <w:rsid w:val="0001523A"/>
    <w:rsid w:val="00016ECB"/>
    <w:rsid w:val="000269F6"/>
    <w:rsid w:val="00031939"/>
    <w:rsid w:val="00032D25"/>
    <w:rsid w:val="0005219D"/>
    <w:rsid w:val="0005568F"/>
    <w:rsid w:val="0006153D"/>
    <w:rsid w:val="00061B1F"/>
    <w:rsid w:val="000664DB"/>
    <w:rsid w:val="0007127D"/>
    <w:rsid w:val="00071AE5"/>
    <w:rsid w:val="00074783"/>
    <w:rsid w:val="000801E0"/>
    <w:rsid w:val="00082A29"/>
    <w:rsid w:val="0008331D"/>
    <w:rsid w:val="00083C18"/>
    <w:rsid w:val="00092899"/>
    <w:rsid w:val="000A178E"/>
    <w:rsid w:val="000A557E"/>
    <w:rsid w:val="000B058F"/>
    <w:rsid w:val="000B693F"/>
    <w:rsid w:val="000C09AC"/>
    <w:rsid w:val="000C0A63"/>
    <w:rsid w:val="000C437E"/>
    <w:rsid w:val="000E5F16"/>
    <w:rsid w:val="000F4452"/>
    <w:rsid w:val="000F6DA1"/>
    <w:rsid w:val="000F701B"/>
    <w:rsid w:val="001056A0"/>
    <w:rsid w:val="00115279"/>
    <w:rsid w:val="00117459"/>
    <w:rsid w:val="0011749A"/>
    <w:rsid w:val="00127A68"/>
    <w:rsid w:val="00140B13"/>
    <w:rsid w:val="00141B68"/>
    <w:rsid w:val="001466DA"/>
    <w:rsid w:val="00154DE1"/>
    <w:rsid w:val="00155B40"/>
    <w:rsid w:val="00157435"/>
    <w:rsid w:val="00163EEA"/>
    <w:rsid w:val="00167A07"/>
    <w:rsid w:val="0017046A"/>
    <w:rsid w:val="001704A3"/>
    <w:rsid w:val="0017504D"/>
    <w:rsid w:val="00177422"/>
    <w:rsid w:val="00184F10"/>
    <w:rsid w:val="00185546"/>
    <w:rsid w:val="0019146B"/>
    <w:rsid w:val="00194398"/>
    <w:rsid w:val="001A7D2A"/>
    <w:rsid w:val="001B574C"/>
    <w:rsid w:val="001C0AF9"/>
    <w:rsid w:val="001C155A"/>
    <w:rsid w:val="001C48C0"/>
    <w:rsid w:val="001D6726"/>
    <w:rsid w:val="001F3347"/>
    <w:rsid w:val="001F4440"/>
    <w:rsid w:val="001F69E4"/>
    <w:rsid w:val="00206A65"/>
    <w:rsid w:val="002104CA"/>
    <w:rsid w:val="00212D31"/>
    <w:rsid w:val="002130C7"/>
    <w:rsid w:val="002218A8"/>
    <w:rsid w:val="0022306D"/>
    <w:rsid w:val="00226574"/>
    <w:rsid w:val="002278EC"/>
    <w:rsid w:val="002357C7"/>
    <w:rsid w:val="002367C4"/>
    <w:rsid w:val="0025679E"/>
    <w:rsid w:val="00257864"/>
    <w:rsid w:val="00260C68"/>
    <w:rsid w:val="002648B0"/>
    <w:rsid w:val="00275271"/>
    <w:rsid w:val="0027535E"/>
    <w:rsid w:val="00275AA6"/>
    <w:rsid w:val="002807D5"/>
    <w:rsid w:val="00282CCD"/>
    <w:rsid w:val="002A168C"/>
    <w:rsid w:val="002A2C48"/>
    <w:rsid w:val="002A3EED"/>
    <w:rsid w:val="002A4A39"/>
    <w:rsid w:val="002A5A17"/>
    <w:rsid w:val="002A6425"/>
    <w:rsid w:val="002B49E2"/>
    <w:rsid w:val="002B7B00"/>
    <w:rsid w:val="002B7C44"/>
    <w:rsid w:val="002C1388"/>
    <w:rsid w:val="002C3C6A"/>
    <w:rsid w:val="002D42DB"/>
    <w:rsid w:val="002E1F3A"/>
    <w:rsid w:val="002E298A"/>
    <w:rsid w:val="002F02A4"/>
    <w:rsid w:val="002F272B"/>
    <w:rsid w:val="002F7C6D"/>
    <w:rsid w:val="003027E4"/>
    <w:rsid w:val="0030332C"/>
    <w:rsid w:val="00312296"/>
    <w:rsid w:val="0031340E"/>
    <w:rsid w:val="00316464"/>
    <w:rsid w:val="0032073A"/>
    <w:rsid w:val="00321D8E"/>
    <w:rsid w:val="00334996"/>
    <w:rsid w:val="00336969"/>
    <w:rsid w:val="00336C52"/>
    <w:rsid w:val="00341B3E"/>
    <w:rsid w:val="00341B42"/>
    <w:rsid w:val="00345154"/>
    <w:rsid w:val="0034560E"/>
    <w:rsid w:val="00350523"/>
    <w:rsid w:val="00352975"/>
    <w:rsid w:val="00356868"/>
    <w:rsid w:val="0036485B"/>
    <w:rsid w:val="00373B0D"/>
    <w:rsid w:val="00376988"/>
    <w:rsid w:val="00381A72"/>
    <w:rsid w:val="003A1948"/>
    <w:rsid w:val="003B152A"/>
    <w:rsid w:val="003B545B"/>
    <w:rsid w:val="003D3EE9"/>
    <w:rsid w:val="003E7681"/>
    <w:rsid w:val="003F0809"/>
    <w:rsid w:val="003F3421"/>
    <w:rsid w:val="003F611C"/>
    <w:rsid w:val="003F755C"/>
    <w:rsid w:val="00406F01"/>
    <w:rsid w:val="00411B36"/>
    <w:rsid w:val="004121D7"/>
    <w:rsid w:val="00416D50"/>
    <w:rsid w:val="00417772"/>
    <w:rsid w:val="00420E6A"/>
    <w:rsid w:val="00433CA9"/>
    <w:rsid w:val="0043521D"/>
    <w:rsid w:val="00442024"/>
    <w:rsid w:val="0044254C"/>
    <w:rsid w:val="00443F6A"/>
    <w:rsid w:val="00450A17"/>
    <w:rsid w:val="00466321"/>
    <w:rsid w:val="004672AF"/>
    <w:rsid w:val="004727B0"/>
    <w:rsid w:val="00480247"/>
    <w:rsid w:val="0048081D"/>
    <w:rsid w:val="0048117E"/>
    <w:rsid w:val="004855F6"/>
    <w:rsid w:val="00486F0C"/>
    <w:rsid w:val="00494670"/>
    <w:rsid w:val="004A0EB4"/>
    <w:rsid w:val="004A3823"/>
    <w:rsid w:val="004A59BB"/>
    <w:rsid w:val="004B43A3"/>
    <w:rsid w:val="004B4C49"/>
    <w:rsid w:val="004B58A5"/>
    <w:rsid w:val="004B63D9"/>
    <w:rsid w:val="004C0882"/>
    <w:rsid w:val="004C55BE"/>
    <w:rsid w:val="004E5B30"/>
    <w:rsid w:val="004F0779"/>
    <w:rsid w:val="004F1230"/>
    <w:rsid w:val="004F173F"/>
    <w:rsid w:val="004F177C"/>
    <w:rsid w:val="004F2DCE"/>
    <w:rsid w:val="005039CB"/>
    <w:rsid w:val="0050558F"/>
    <w:rsid w:val="005057E0"/>
    <w:rsid w:val="00506286"/>
    <w:rsid w:val="00510813"/>
    <w:rsid w:val="00511DE0"/>
    <w:rsid w:val="00517F02"/>
    <w:rsid w:val="00524547"/>
    <w:rsid w:val="005258A2"/>
    <w:rsid w:val="00530F7C"/>
    <w:rsid w:val="00534567"/>
    <w:rsid w:val="00534F43"/>
    <w:rsid w:val="00535A84"/>
    <w:rsid w:val="00536889"/>
    <w:rsid w:val="00542E07"/>
    <w:rsid w:val="00554A7B"/>
    <w:rsid w:val="0055572C"/>
    <w:rsid w:val="0056064F"/>
    <w:rsid w:val="00561B84"/>
    <w:rsid w:val="00571D98"/>
    <w:rsid w:val="005720AE"/>
    <w:rsid w:val="0058030D"/>
    <w:rsid w:val="00582045"/>
    <w:rsid w:val="00590AE3"/>
    <w:rsid w:val="005918F1"/>
    <w:rsid w:val="005A06B7"/>
    <w:rsid w:val="005A1759"/>
    <w:rsid w:val="005D0369"/>
    <w:rsid w:val="005D53FE"/>
    <w:rsid w:val="005D7A0F"/>
    <w:rsid w:val="005E0438"/>
    <w:rsid w:val="005E1791"/>
    <w:rsid w:val="005E2CE6"/>
    <w:rsid w:val="005E6324"/>
    <w:rsid w:val="005F228B"/>
    <w:rsid w:val="005F29CD"/>
    <w:rsid w:val="005F4DFB"/>
    <w:rsid w:val="005F6CC0"/>
    <w:rsid w:val="00603E5B"/>
    <w:rsid w:val="00604BC8"/>
    <w:rsid w:val="00615B4C"/>
    <w:rsid w:val="00615B5D"/>
    <w:rsid w:val="0062146F"/>
    <w:rsid w:val="00625C87"/>
    <w:rsid w:val="006343AF"/>
    <w:rsid w:val="0063634A"/>
    <w:rsid w:val="0064250D"/>
    <w:rsid w:val="006535EB"/>
    <w:rsid w:val="00663016"/>
    <w:rsid w:val="00674605"/>
    <w:rsid w:val="006748B8"/>
    <w:rsid w:val="0068535B"/>
    <w:rsid w:val="0068736E"/>
    <w:rsid w:val="0069290A"/>
    <w:rsid w:val="00697032"/>
    <w:rsid w:val="006975AC"/>
    <w:rsid w:val="006A15FB"/>
    <w:rsid w:val="006A72BF"/>
    <w:rsid w:val="006B332A"/>
    <w:rsid w:val="006B33BD"/>
    <w:rsid w:val="006C3F75"/>
    <w:rsid w:val="006D170E"/>
    <w:rsid w:val="006E06AF"/>
    <w:rsid w:val="006F1789"/>
    <w:rsid w:val="00706C5D"/>
    <w:rsid w:val="007118E6"/>
    <w:rsid w:val="007225C9"/>
    <w:rsid w:val="00735CD7"/>
    <w:rsid w:val="00754034"/>
    <w:rsid w:val="00754BF1"/>
    <w:rsid w:val="00755A30"/>
    <w:rsid w:val="00755E1C"/>
    <w:rsid w:val="00756556"/>
    <w:rsid w:val="0076132B"/>
    <w:rsid w:val="007623AE"/>
    <w:rsid w:val="00770B19"/>
    <w:rsid w:val="00774FA0"/>
    <w:rsid w:val="00776620"/>
    <w:rsid w:val="00777B6D"/>
    <w:rsid w:val="00784855"/>
    <w:rsid w:val="00784F39"/>
    <w:rsid w:val="0078545C"/>
    <w:rsid w:val="007906C4"/>
    <w:rsid w:val="007940EA"/>
    <w:rsid w:val="007967E8"/>
    <w:rsid w:val="007A63F2"/>
    <w:rsid w:val="007B68DE"/>
    <w:rsid w:val="007C1857"/>
    <w:rsid w:val="007C514F"/>
    <w:rsid w:val="007D0F95"/>
    <w:rsid w:val="007D7ECB"/>
    <w:rsid w:val="007E25A1"/>
    <w:rsid w:val="007E4BD2"/>
    <w:rsid w:val="007E7145"/>
    <w:rsid w:val="007F3916"/>
    <w:rsid w:val="00801179"/>
    <w:rsid w:val="00802479"/>
    <w:rsid w:val="00805372"/>
    <w:rsid w:val="00805B7B"/>
    <w:rsid w:val="0081293E"/>
    <w:rsid w:val="00814FFB"/>
    <w:rsid w:val="00820568"/>
    <w:rsid w:val="00831A80"/>
    <w:rsid w:val="008332C8"/>
    <w:rsid w:val="00833743"/>
    <w:rsid w:val="008340A4"/>
    <w:rsid w:val="00836799"/>
    <w:rsid w:val="00837028"/>
    <w:rsid w:val="00837131"/>
    <w:rsid w:val="00845F57"/>
    <w:rsid w:val="008521E0"/>
    <w:rsid w:val="008525B0"/>
    <w:rsid w:val="0086662C"/>
    <w:rsid w:val="00867CBC"/>
    <w:rsid w:val="00876C30"/>
    <w:rsid w:val="00877017"/>
    <w:rsid w:val="008773C0"/>
    <w:rsid w:val="00880364"/>
    <w:rsid w:val="00886C4C"/>
    <w:rsid w:val="0088711C"/>
    <w:rsid w:val="00892ECF"/>
    <w:rsid w:val="00892F06"/>
    <w:rsid w:val="00894285"/>
    <w:rsid w:val="008A40AE"/>
    <w:rsid w:val="008A4E19"/>
    <w:rsid w:val="008A67C5"/>
    <w:rsid w:val="008B22E1"/>
    <w:rsid w:val="008B3C78"/>
    <w:rsid w:val="008B4AE9"/>
    <w:rsid w:val="008C30AD"/>
    <w:rsid w:val="008D068E"/>
    <w:rsid w:val="008D0F7A"/>
    <w:rsid w:val="008D63BE"/>
    <w:rsid w:val="008E0CFF"/>
    <w:rsid w:val="008E5D6B"/>
    <w:rsid w:val="008E689B"/>
    <w:rsid w:val="008E76F0"/>
    <w:rsid w:val="008F15FE"/>
    <w:rsid w:val="008F2A94"/>
    <w:rsid w:val="008F5187"/>
    <w:rsid w:val="008F709C"/>
    <w:rsid w:val="0090312B"/>
    <w:rsid w:val="00904961"/>
    <w:rsid w:val="0091736D"/>
    <w:rsid w:val="00931001"/>
    <w:rsid w:val="00931863"/>
    <w:rsid w:val="00933524"/>
    <w:rsid w:val="0094278D"/>
    <w:rsid w:val="0095308A"/>
    <w:rsid w:val="00955AEE"/>
    <w:rsid w:val="00956F14"/>
    <w:rsid w:val="009620FD"/>
    <w:rsid w:val="0096247A"/>
    <w:rsid w:val="00965F4B"/>
    <w:rsid w:val="00970F8A"/>
    <w:rsid w:val="00971FB5"/>
    <w:rsid w:val="00972D2A"/>
    <w:rsid w:val="009735C6"/>
    <w:rsid w:val="00975CC5"/>
    <w:rsid w:val="00976328"/>
    <w:rsid w:val="00976B4E"/>
    <w:rsid w:val="00983E47"/>
    <w:rsid w:val="00984458"/>
    <w:rsid w:val="00985283"/>
    <w:rsid w:val="00987322"/>
    <w:rsid w:val="009A0F3B"/>
    <w:rsid w:val="009A72C7"/>
    <w:rsid w:val="009B0897"/>
    <w:rsid w:val="009B1C4C"/>
    <w:rsid w:val="009D0852"/>
    <w:rsid w:val="009D1FBF"/>
    <w:rsid w:val="009E399C"/>
    <w:rsid w:val="009E43C1"/>
    <w:rsid w:val="009E7E95"/>
    <w:rsid w:val="009F116F"/>
    <w:rsid w:val="009F329E"/>
    <w:rsid w:val="009F7ED3"/>
    <w:rsid w:val="00A03607"/>
    <w:rsid w:val="00A047FF"/>
    <w:rsid w:val="00A04FEF"/>
    <w:rsid w:val="00A122CD"/>
    <w:rsid w:val="00A12A32"/>
    <w:rsid w:val="00A14248"/>
    <w:rsid w:val="00A14947"/>
    <w:rsid w:val="00A23DC5"/>
    <w:rsid w:val="00A34028"/>
    <w:rsid w:val="00A35568"/>
    <w:rsid w:val="00A37056"/>
    <w:rsid w:val="00A4358F"/>
    <w:rsid w:val="00A46F67"/>
    <w:rsid w:val="00A54AA1"/>
    <w:rsid w:val="00A568FF"/>
    <w:rsid w:val="00A61496"/>
    <w:rsid w:val="00A61833"/>
    <w:rsid w:val="00A624C6"/>
    <w:rsid w:val="00A63CEC"/>
    <w:rsid w:val="00A7031E"/>
    <w:rsid w:val="00A728B1"/>
    <w:rsid w:val="00A763DE"/>
    <w:rsid w:val="00A803D6"/>
    <w:rsid w:val="00A81282"/>
    <w:rsid w:val="00A8713F"/>
    <w:rsid w:val="00A91167"/>
    <w:rsid w:val="00A9171C"/>
    <w:rsid w:val="00A92FFD"/>
    <w:rsid w:val="00A95975"/>
    <w:rsid w:val="00A9708D"/>
    <w:rsid w:val="00AA2C17"/>
    <w:rsid w:val="00AA4172"/>
    <w:rsid w:val="00AB1914"/>
    <w:rsid w:val="00AB5330"/>
    <w:rsid w:val="00AB7747"/>
    <w:rsid w:val="00AC2532"/>
    <w:rsid w:val="00AD1507"/>
    <w:rsid w:val="00AD5A70"/>
    <w:rsid w:val="00AD738B"/>
    <w:rsid w:val="00AE1BF4"/>
    <w:rsid w:val="00AE5D97"/>
    <w:rsid w:val="00AE6794"/>
    <w:rsid w:val="00B01110"/>
    <w:rsid w:val="00B02262"/>
    <w:rsid w:val="00B03CEC"/>
    <w:rsid w:val="00B1209F"/>
    <w:rsid w:val="00B12AD0"/>
    <w:rsid w:val="00B22DD8"/>
    <w:rsid w:val="00B24F30"/>
    <w:rsid w:val="00B31ABF"/>
    <w:rsid w:val="00B335AE"/>
    <w:rsid w:val="00B37CE1"/>
    <w:rsid w:val="00B40ACF"/>
    <w:rsid w:val="00B46BAA"/>
    <w:rsid w:val="00B50B5F"/>
    <w:rsid w:val="00B54128"/>
    <w:rsid w:val="00B55826"/>
    <w:rsid w:val="00B60426"/>
    <w:rsid w:val="00B622DD"/>
    <w:rsid w:val="00B63522"/>
    <w:rsid w:val="00B76F1D"/>
    <w:rsid w:val="00B92A19"/>
    <w:rsid w:val="00B9544C"/>
    <w:rsid w:val="00BA29E9"/>
    <w:rsid w:val="00BB3618"/>
    <w:rsid w:val="00BC0C9E"/>
    <w:rsid w:val="00BC32DC"/>
    <w:rsid w:val="00BD1B51"/>
    <w:rsid w:val="00BD47F6"/>
    <w:rsid w:val="00BE312D"/>
    <w:rsid w:val="00BE3FCA"/>
    <w:rsid w:val="00C05719"/>
    <w:rsid w:val="00C10578"/>
    <w:rsid w:val="00C17D62"/>
    <w:rsid w:val="00C21FDC"/>
    <w:rsid w:val="00C24EE7"/>
    <w:rsid w:val="00C2596A"/>
    <w:rsid w:val="00C271BE"/>
    <w:rsid w:val="00C27425"/>
    <w:rsid w:val="00C328FE"/>
    <w:rsid w:val="00C33A05"/>
    <w:rsid w:val="00C42500"/>
    <w:rsid w:val="00C4409D"/>
    <w:rsid w:val="00C455BE"/>
    <w:rsid w:val="00C51E5F"/>
    <w:rsid w:val="00C61E4B"/>
    <w:rsid w:val="00C62E3A"/>
    <w:rsid w:val="00C64503"/>
    <w:rsid w:val="00C64A1F"/>
    <w:rsid w:val="00C64BFF"/>
    <w:rsid w:val="00C763C9"/>
    <w:rsid w:val="00C80057"/>
    <w:rsid w:val="00C82C79"/>
    <w:rsid w:val="00C84753"/>
    <w:rsid w:val="00C91611"/>
    <w:rsid w:val="00CA3585"/>
    <w:rsid w:val="00CA3D5A"/>
    <w:rsid w:val="00CA4C7C"/>
    <w:rsid w:val="00CB0183"/>
    <w:rsid w:val="00CB1EA3"/>
    <w:rsid w:val="00CB552C"/>
    <w:rsid w:val="00CB6A9E"/>
    <w:rsid w:val="00CC6181"/>
    <w:rsid w:val="00CD2BCD"/>
    <w:rsid w:val="00CD36AA"/>
    <w:rsid w:val="00CD3791"/>
    <w:rsid w:val="00CD65B0"/>
    <w:rsid w:val="00CE02CD"/>
    <w:rsid w:val="00CE10E9"/>
    <w:rsid w:val="00D0072E"/>
    <w:rsid w:val="00D15727"/>
    <w:rsid w:val="00D16332"/>
    <w:rsid w:val="00D24972"/>
    <w:rsid w:val="00D2515E"/>
    <w:rsid w:val="00D308ED"/>
    <w:rsid w:val="00D56178"/>
    <w:rsid w:val="00D56CF0"/>
    <w:rsid w:val="00D56F5C"/>
    <w:rsid w:val="00D704B1"/>
    <w:rsid w:val="00D70B63"/>
    <w:rsid w:val="00D72B92"/>
    <w:rsid w:val="00D72ED4"/>
    <w:rsid w:val="00D73F61"/>
    <w:rsid w:val="00D754C0"/>
    <w:rsid w:val="00D776A2"/>
    <w:rsid w:val="00D801C4"/>
    <w:rsid w:val="00D90836"/>
    <w:rsid w:val="00D95896"/>
    <w:rsid w:val="00D95CC6"/>
    <w:rsid w:val="00DA2DA3"/>
    <w:rsid w:val="00DA6615"/>
    <w:rsid w:val="00DA76AE"/>
    <w:rsid w:val="00DB181E"/>
    <w:rsid w:val="00DB1C7A"/>
    <w:rsid w:val="00DB2983"/>
    <w:rsid w:val="00DB343D"/>
    <w:rsid w:val="00DB5579"/>
    <w:rsid w:val="00DB5CFE"/>
    <w:rsid w:val="00DC72A6"/>
    <w:rsid w:val="00DD2113"/>
    <w:rsid w:val="00DD265E"/>
    <w:rsid w:val="00DF1930"/>
    <w:rsid w:val="00DF514A"/>
    <w:rsid w:val="00E0358D"/>
    <w:rsid w:val="00E06327"/>
    <w:rsid w:val="00E2064B"/>
    <w:rsid w:val="00E25239"/>
    <w:rsid w:val="00E265B1"/>
    <w:rsid w:val="00E275B0"/>
    <w:rsid w:val="00E412D0"/>
    <w:rsid w:val="00E47CDB"/>
    <w:rsid w:val="00E566BC"/>
    <w:rsid w:val="00E60982"/>
    <w:rsid w:val="00E60C8D"/>
    <w:rsid w:val="00E6162F"/>
    <w:rsid w:val="00E6311B"/>
    <w:rsid w:val="00E65D97"/>
    <w:rsid w:val="00E67EFD"/>
    <w:rsid w:val="00E702DC"/>
    <w:rsid w:val="00E71FFB"/>
    <w:rsid w:val="00E76D1D"/>
    <w:rsid w:val="00E806F8"/>
    <w:rsid w:val="00E87752"/>
    <w:rsid w:val="00E8793B"/>
    <w:rsid w:val="00E90F81"/>
    <w:rsid w:val="00E91A6D"/>
    <w:rsid w:val="00E9242D"/>
    <w:rsid w:val="00EB041C"/>
    <w:rsid w:val="00EC5874"/>
    <w:rsid w:val="00ED192D"/>
    <w:rsid w:val="00ED30B4"/>
    <w:rsid w:val="00ED31F5"/>
    <w:rsid w:val="00EF2759"/>
    <w:rsid w:val="00EF45B7"/>
    <w:rsid w:val="00EF45EB"/>
    <w:rsid w:val="00EF5099"/>
    <w:rsid w:val="00EF5E33"/>
    <w:rsid w:val="00F00075"/>
    <w:rsid w:val="00F07822"/>
    <w:rsid w:val="00F15C95"/>
    <w:rsid w:val="00F22985"/>
    <w:rsid w:val="00F241AB"/>
    <w:rsid w:val="00F31382"/>
    <w:rsid w:val="00F35829"/>
    <w:rsid w:val="00F42868"/>
    <w:rsid w:val="00F465A7"/>
    <w:rsid w:val="00F50B7C"/>
    <w:rsid w:val="00F5202D"/>
    <w:rsid w:val="00F52CF6"/>
    <w:rsid w:val="00F54496"/>
    <w:rsid w:val="00F61097"/>
    <w:rsid w:val="00F74345"/>
    <w:rsid w:val="00F74441"/>
    <w:rsid w:val="00F77F30"/>
    <w:rsid w:val="00F82589"/>
    <w:rsid w:val="00F82B19"/>
    <w:rsid w:val="00F90AA7"/>
    <w:rsid w:val="00F9212D"/>
    <w:rsid w:val="00FA301A"/>
    <w:rsid w:val="00FA406A"/>
    <w:rsid w:val="00FA5CB6"/>
    <w:rsid w:val="00FC66AC"/>
    <w:rsid w:val="00FD18F4"/>
    <w:rsid w:val="00FD74B4"/>
    <w:rsid w:val="00FF6FCE"/>
    <w:rsid w:val="00FF7518"/>
    <w:rsid w:val="00FF7FD8"/>
    <w:rsid w:val="01A328E9"/>
    <w:rsid w:val="01A7125A"/>
    <w:rsid w:val="01AE546F"/>
    <w:rsid w:val="01F01E8B"/>
    <w:rsid w:val="01F5309A"/>
    <w:rsid w:val="023A226A"/>
    <w:rsid w:val="02EE59E6"/>
    <w:rsid w:val="032A5082"/>
    <w:rsid w:val="03416A2F"/>
    <w:rsid w:val="03785A7D"/>
    <w:rsid w:val="03D300C4"/>
    <w:rsid w:val="03F80AFF"/>
    <w:rsid w:val="041B2F32"/>
    <w:rsid w:val="04652E2D"/>
    <w:rsid w:val="04F0316E"/>
    <w:rsid w:val="050D152B"/>
    <w:rsid w:val="05357642"/>
    <w:rsid w:val="056F0565"/>
    <w:rsid w:val="05742AC8"/>
    <w:rsid w:val="05DA0E98"/>
    <w:rsid w:val="05FD2184"/>
    <w:rsid w:val="06340AF6"/>
    <w:rsid w:val="06352F05"/>
    <w:rsid w:val="063E7D85"/>
    <w:rsid w:val="068A4790"/>
    <w:rsid w:val="069378DE"/>
    <w:rsid w:val="06C73274"/>
    <w:rsid w:val="070875E0"/>
    <w:rsid w:val="07293586"/>
    <w:rsid w:val="07295285"/>
    <w:rsid w:val="0735117E"/>
    <w:rsid w:val="074C52BC"/>
    <w:rsid w:val="07770C56"/>
    <w:rsid w:val="077B1E59"/>
    <w:rsid w:val="07830DF3"/>
    <w:rsid w:val="07AA4C95"/>
    <w:rsid w:val="07B06728"/>
    <w:rsid w:val="0879415E"/>
    <w:rsid w:val="08EB5A15"/>
    <w:rsid w:val="092217DD"/>
    <w:rsid w:val="093756FB"/>
    <w:rsid w:val="093A7294"/>
    <w:rsid w:val="093E43C9"/>
    <w:rsid w:val="094C55D1"/>
    <w:rsid w:val="09573CF7"/>
    <w:rsid w:val="0A5C470C"/>
    <w:rsid w:val="0A682810"/>
    <w:rsid w:val="0AF24D9F"/>
    <w:rsid w:val="0B2D5495"/>
    <w:rsid w:val="0B7F23ED"/>
    <w:rsid w:val="0B812AD8"/>
    <w:rsid w:val="0BD27BF6"/>
    <w:rsid w:val="0BDD0D82"/>
    <w:rsid w:val="0BFC721E"/>
    <w:rsid w:val="0C285D04"/>
    <w:rsid w:val="0C781676"/>
    <w:rsid w:val="0CB44F4F"/>
    <w:rsid w:val="0CF74D52"/>
    <w:rsid w:val="0D5F6D00"/>
    <w:rsid w:val="0D6569D0"/>
    <w:rsid w:val="0DD002B9"/>
    <w:rsid w:val="0DD76DE1"/>
    <w:rsid w:val="0DF814CE"/>
    <w:rsid w:val="0E110D06"/>
    <w:rsid w:val="0E61324E"/>
    <w:rsid w:val="0E96324D"/>
    <w:rsid w:val="0EC35AD9"/>
    <w:rsid w:val="0EDB49D1"/>
    <w:rsid w:val="0F120AF3"/>
    <w:rsid w:val="0F13775A"/>
    <w:rsid w:val="0F412BDD"/>
    <w:rsid w:val="0F464499"/>
    <w:rsid w:val="0F9A112B"/>
    <w:rsid w:val="0FC750F6"/>
    <w:rsid w:val="0FDD143E"/>
    <w:rsid w:val="0FF2532E"/>
    <w:rsid w:val="0FFB5DB9"/>
    <w:rsid w:val="106D2F64"/>
    <w:rsid w:val="1081526B"/>
    <w:rsid w:val="10854626"/>
    <w:rsid w:val="108D190E"/>
    <w:rsid w:val="10B63710"/>
    <w:rsid w:val="10DA3A38"/>
    <w:rsid w:val="11157C4F"/>
    <w:rsid w:val="111C2F7A"/>
    <w:rsid w:val="113013DE"/>
    <w:rsid w:val="11440900"/>
    <w:rsid w:val="11B969D0"/>
    <w:rsid w:val="122B06C2"/>
    <w:rsid w:val="123C0C33"/>
    <w:rsid w:val="12442D06"/>
    <w:rsid w:val="137E1D4F"/>
    <w:rsid w:val="1380330A"/>
    <w:rsid w:val="13951726"/>
    <w:rsid w:val="139E3F72"/>
    <w:rsid w:val="13FD3CDB"/>
    <w:rsid w:val="14396509"/>
    <w:rsid w:val="143B6155"/>
    <w:rsid w:val="1447165C"/>
    <w:rsid w:val="146379D2"/>
    <w:rsid w:val="148C44AE"/>
    <w:rsid w:val="14943583"/>
    <w:rsid w:val="14CD1CB4"/>
    <w:rsid w:val="15687618"/>
    <w:rsid w:val="15AC7766"/>
    <w:rsid w:val="16BB0975"/>
    <w:rsid w:val="16F5303A"/>
    <w:rsid w:val="17236D87"/>
    <w:rsid w:val="176C4AE8"/>
    <w:rsid w:val="17735226"/>
    <w:rsid w:val="178B7B4F"/>
    <w:rsid w:val="179E2131"/>
    <w:rsid w:val="17B74A43"/>
    <w:rsid w:val="17C455E1"/>
    <w:rsid w:val="17FC0591"/>
    <w:rsid w:val="18141055"/>
    <w:rsid w:val="182C1EB8"/>
    <w:rsid w:val="18D5423B"/>
    <w:rsid w:val="18F22608"/>
    <w:rsid w:val="195E54CB"/>
    <w:rsid w:val="19951BD4"/>
    <w:rsid w:val="199F72DD"/>
    <w:rsid w:val="19AC5077"/>
    <w:rsid w:val="1A1C66C0"/>
    <w:rsid w:val="1A42393B"/>
    <w:rsid w:val="1A4B55A5"/>
    <w:rsid w:val="1A563F78"/>
    <w:rsid w:val="1A9F05BC"/>
    <w:rsid w:val="1AC512E4"/>
    <w:rsid w:val="1ADD126F"/>
    <w:rsid w:val="1AF03B10"/>
    <w:rsid w:val="1B046F80"/>
    <w:rsid w:val="1B3267B5"/>
    <w:rsid w:val="1B7B3422"/>
    <w:rsid w:val="1B9E178E"/>
    <w:rsid w:val="1BC25DC8"/>
    <w:rsid w:val="1BFF7F30"/>
    <w:rsid w:val="1C2B40CE"/>
    <w:rsid w:val="1C511E83"/>
    <w:rsid w:val="1C5E7925"/>
    <w:rsid w:val="1C61021D"/>
    <w:rsid w:val="1C887FC8"/>
    <w:rsid w:val="1CDE306A"/>
    <w:rsid w:val="1D0174AD"/>
    <w:rsid w:val="1D5F6196"/>
    <w:rsid w:val="1D6132A5"/>
    <w:rsid w:val="1D6F4541"/>
    <w:rsid w:val="1D7E57FB"/>
    <w:rsid w:val="1D8E56D5"/>
    <w:rsid w:val="1E150B68"/>
    <w:rsid w:val="1E5435A1"/>
    <w:rsid w:val="1E5D6E87"/>
    <w:rsid w:val="1E7A43DA"/>
    <w:rsid w:val="1E8A47A7"/>
    <w:rsid w:val="1EB277FE"/>
    <w:rsid w:val="1EDA5513"/>
    <w:rsid w:val="1F140A8B"/>
    <w:rsid w:val="1F3713CF"/>
    <w:rsid w:val="1F637CFB"/>
    <w:rsid w:val="1F730585"/>
    <w:rsid w:val="1F872D79"/>
    <w:rsid w:val="1F9F2314"/>
    <w:rsid w:val="1FA20BD2"/>
    <w:rsid w:val="1FE7539E"/>
    <w:rsid w:val="20902B53"/>
    <w:rsid w:val="20963CB8"/>
    <w:rsid w:val="20B07FB6"/>
    <w:rsid w:val="211F249D"/>
    <w:rsid w:val="213B74B1"/>
    <w:rsid w:val="213F115A"/>
    <w:rsid w:val="215A2310"/>
    <w:rsid w:val="21B74211"/>
    <w:rsid w:val="21DE318A"/>
    <w:rsid w:val="21EF5B80"/>
    <w:rsid w:val="2201173B"/>
    <w:rsid w:val="22020B72"/>
    <w:rsid w:val="22187C49"/>
    <w:rsid w:val="22397D58"/>
    <w:rsid w:val="22576990"/>
    <w:rsid w:val="229C4EAB"/>
    <w:rsid w:val="22B716F9"/>
    <w:rsid w:val="22FC3570"/>
    <w:rsid w:val="23083AC3"/>
    <w:rsid w:val="237D5147"/>
    <w:rsid w:val="247D30A0"/>
    <w:rsid w:val="249E038B"/>
    <w:rsid w:val="24B12336"/>
    <w:rsid w:val="24EC167B"/>
    <w:rsid w:val="25081C61"/>
    <w:rsid w:val="252D53FE"/>
    <w:rsid w:val="25682363"/>
    <w:rsid w:val="259F7FE3"/>
    <w:rsid w:val="25BF0841"/>
    <w:rsid w:val="25EB1889"/>
    <w:rsid w:val="25EC2D81"/>
    <w:rsid w:val="25F4327F"/>
    <w:rsid w:val="25F515B7"/>
    <w:rsid w:val="264254F7"/>
    <w:rsid w:val="264528BD"/>
    <w:rsid w:val="265230BB"/>
    <w:rsid w:val="265E685B"/>
    <w:rsid w:val="2662380B"/>
    <w:rsid w:val="266C3252"/>
    <w:rsid w:val="26A04699"/>
    <w:rsid w:val="26A22677"/>
    <w:rsid w:val="26A44369"/>
    <w:rsid w:val="26D10005"/>
    <w:rsid w:val="26E42C77"/>
    <w:rsid w:val="27452387"/>
    <w:rsid w:val="27AF0DEC"/>
    <w:rsid w:val="27D15DD1"/>
    <w:rsid w:val="27E032BF"/>
    <w:rsid w:val="28032558"/>
    <w:rsid w:val="281226FE"/>
    <w:rsid w:val="284D5ECD"/>
    <w:rsid w:val="286D7741"/>
    <w:rsid w:val="28884063"/>
    <w:rsid w:val="28A76295"/>
    <w:rsid w:val="28AB695F"/>
    <w:rsid w:val="28CC7D60"/>
    <w:rsid w:val="29206EB8"/>
    <w:rsid w:val="29434A31"/>
    <w:rsid w:val="29617689"/>
    <w:rsid w:val="296A2B8A"/>
    <w:rsid w:val="29764F03"/>
    <w:rsid w:val="29BC4F88"/>
    <w:rsid w:val="29E325E0"/>
    <w:rsid w:val="2A1E1B47"/>
    <w:rsid w:val="2A3A7F93"/>
    <w:rsid w:val="2A452503"/>
    <w:rsid w:val="2A501C03"/>
    <w:rsid w:val="2A61155F"/>
    <w:rsid w:val="2AA17A4A"/>
    <w:rsid w:val="2AA4222A"/>
    <w:rsid w:val="2AE83667"/>
    <w:rsid w:val="2B090AA1"/>
    <w:rsid w:val="2B157061"/>
    <w:rsid w:val="2BA936A8"/>
    <w:rsid w:val="2BF27098"/>
    <w:rsid w:val="2C0630F8"/>
    <w:rsid w:val="2C315A5A"/>
    <w:rsid w:val="2C393649"/>
    <w:rsid w:val="2C803D54"/>
    <w:rsid w:val="2CA846AF"/>
    <w:rsid w:val="2CD204F6"/>
    <w:rsid w:val="2CF625C6"/>
    <w:rsid w:val="2D643D0A"/>
    <w:rsid w:val="2D8369DE"/>
    <w:rsid w:val="2D9E56F5"/>
    <w:rsid w:val="2DCF7D01"/>
    <w:rsid w:val="2DD72447"/>
    <w:rsid w:val="2E667F96"/>
    <w:rsid w:val="2E8226AB"/>
    <w:rsid w:val="2E9C42A1"/>
    <w:rsid w:val="2EA33161"/>
    <w:rsid w:val="2EFE1F25"/>
    <w:rsid w:val="2F355548"/>
    <w:rsid w:val="2F670BBA"/>
    <w:rsid w:val="2F6A27D7"/>
    <w:rsid w:val="2F6D1904"/>
    <w:rsid w:val="2F732C1A"/>
    <w:rsid w:val="2F832C79"/>
    <w:rsid w:val="2F8F5929"/>
    <w:rsid w:val="2FEF2D58"/>
    <w:rsid w:val="30014D16"/>
    <w:rsid w:val="30274161"/>
    <w:rsid w:val="30580BC9"/>
    <w:rsid w:val="306727B0"/>
    <w:rsid w:val="309A2C35"/>
    <w:rsid w:val="30DC2E45"/>
    <w:rsid w:val="311E2ED7"/>
    <w:rsid w:val="31445DB2"/>
    <w:rsid w:val="315C449C"/>
    <w:rsid w:val="31B82709"/>
    <w:rsid w:val="31B87338"/>
    <w:rsid w:val="31F831EB"/>
    <w:rsid w:val="3222594C"/>
    <w:rsid w:val="323B07FF"/>
    <w:rsid w:val="32400B34"/>
    <w:rsid w:val="329E6876"/>
    <w:rsid w:val="32AC3D5C"/>
    <w:rsid w:val="33147C19"/>
    <w:rsid w:val="33296CDF"/>
    <w:rsid w:val="33301D0B"/>
    <w:rsid w:val="33302038"/>
    <w:rsid w:val="33694F1B"/>
    <w:rsid w:val="33D934D4"/>
    <w:rsid w:val="33EF4F89"/>
    <w:rsid w:val="33FE2F6A"/>
    <w:rsid w:val="3438738C"/>
    <w:rsid w:val="343C52E3"/>
    <w:rsid w:val="349A7F37"/>
    <w:rsid w:val="34A12E66"/>
    <w:rsid w:val="34E84094"/>
    <w:rsid w:val="3530036D"/>
    <w:rsid w:val="354D6802"/>
    <w:rsid w:val="35F642FB"/>
    <w:rsid w:val="36074A7F"/>
    <w:rsid w:val="362D1F99"/>
    <w:rsid w:val="36614F99"/>
    <w:rsid w:val="36923549"/>
    <w:rsid w:val="369D61E3"/>
    <w:rsid w:val="36B75FBF"/>
    <w:rsid w:val="36D72A86"/>
    <w:rsid w:val="36EE667A"/>
    <w:rsid w:val="36FB4891"/>
    <w:rsid w:val="37875813"/>
    <w:rsid w:val="37BB5E2D"/>
    <w:rsid w:val="37CC0F52"/>
    <w:rsid w:val="385C389F"/>
    <w:rsid w:val="38F12CD3"/>
    <w:rsid w:val="38F94775"/>
    <w:rsid w:val="392971ED"/>
    <w:rsid w:val="3936473A"/>
    <w:rsid w:val="397247B3"/>
    <w:rsid w:val="3A6149BA"/>
    <w:rsid w:val="3B1A7ED8"/>
    <w:rsid w:val="3B250B17"/>
    <w:rsid w:val="3B345DFE"/>
    <w:rsid w:val="3B3763D1"/>
    <w:rsid w:val="3B563B4D"/>
    <w:rsid w:val="3B7C5AF4"/>
    <w:rsid w:val="3BBB7DB9"/>
    <w:rsid w:val="3C223052"/>
    <w:rsid w:val="3C42061F"/>
    <w:rsid w:val="3C9A5714"/>
    <w:rsid w:val="3CDA245A"/>
    <w:rsid w:val="3CDD1BE1"/>
    <w:rsid w:val="3CEE0A37"/>
    <w:rsid w:val="3D1F6592"/>
    <w:rsid w:val="3D3B52B6"/>
    <w:rsid w:val="3D3F3DA4"/>
    <w:rsid w:val="3D7D2F20"/>
    <w:rsid w:val="3DD6592F"/>
    <w:rsid w:val="3E033032"/>
    <w:rsid w:val="3E054530"/>
    <w:rsid w:val="3E3919DE"/>
    <w:rsid w:val="3E6040C2"/>
    <w:rsid w:val="3E6E62F3"/>
    <w:rsid w:val="3E710AC0"/>
    <w:rsid w:val="3E7762B4"/>
    <w:rsid w:val="3EFB1BC4"/>
    <w:rsid w:val="3F660E74"/>
    <w:rsid w:val="3F996DE7"/>
    <w:rsid w:val="3FBF629C"/>
    <w:rsid w:val="3FEC5D4E"/>
    <w:rsid w:val="40057B96"/>
    <w:rsid w:val="40145A13"/>
    <w:rsid w:val="405125B2"/>
    <w:rsid w:val="40791FCB"/>
    <w:rsid w:val="407A6407"/>
    <w:rsid w:val="40800484"/>
    <w:rsid w:val="40E01BE4"/>
    <w:rsid w:val="40E37C31"/>
    <w:rsid w:val="4110734D"/>
    <w:rsid w:val="412773B4"/>
    <w:rsid w:val="4218760A"/>
    <w:rsid w:val="423A3BCC"/>
    <w:rsid w:val="429645BE"/>
    <w:rsid w:val="429F4E38"/>
    <w:rsid w:val="42CC403E"/>
    <w:rsid w:val="42E2273D"/>
    <w:rsid w:val="42E4617E"/>
    <w:rsid w:val="430B11D3"/>
    <w:rsid w:val="433A6FE6"/>
    <w:rsid w:val="4350713C"/>
    <w:rsid w:val="43537A29"/>
    <w:rsid w:val="435B1A11"/>
    <w:rsid w:val="436653E0"/>
    <w:rsid w:val="439C027C"/>
    <w:rsid w:val="43E6119E"/>
    <w:rsid w:val="44691173"/>
    <w:rsid w:val="44CD14E0"/>
    <w:rsid w:val="458946E9"/>
    <w:rsid w:val="45BE5DEB"/>
    <w:rsid w:val="46130F12"/>
    <w:rsid w:val="462367B6"/>
    <w:rsid w:val="464C4642"/>
    <w:rsid w:val="46570FD3"/>
    <w:rsid w:val="46764FE0"/>
    <w:rsid w:val="46C00ADD"/>
    <w:rsid w:val="46C64922"/>
    <w:rsid w:val="46CF2D28"/>
    <w:rsid w:val="46D955A7"/>
    <w:rsid w:val="46DD0700"/>
    <w:rsid w:val="46DD5122"/>
    <w:rsid w:val="46E61F62"/>
    <w:rsid w:val="46FC1236"/>
    <w:rsid w:val="47133957"/>
    <w:rsid w:val="47182D5F"/>
    <w:rsid w:val="472C7AC8"/>
    <w:rsid w:val="47332F94"/>
    <w:rsid w:val="473641E8"/>
    <w:rsid w:val="4779329E"/>
    <w:rsid w:val="47A07E0C"/>
    <w:rsid w:val="47A73327"/>
    <w:rsid w:val="47DA0772"/>
    <w:rsid w:val="47E33C1F"/>
    <w:rsid w:val="47E441B6"/>
    <w:rsid w:val="47E926D2"/>
    <w:rsid w:val="47F723EA"/>
    <w:rsid w:val="48017C7C"/>
    <w:rsid w:val="48626B16"/>
    <w:rsid w:val="48633CC1"/>
    <w:rsid w:val="4870272E"/>
    <w:rsid w:val="494C5D34"/>
    <w:rsid w:val="497D3D9F"/>
    <w:rsid w:val="49DC7715"/>
    <w:rsid w:val="4A023139"/>
    <w:rsid w:val="4A2208C6"/>
    <w:rsid w:val="4A4C6847"/>
    <w:rsid w:val="4A7B576F"/>
    <w:rsid w:val="4A820238"/>
    <w:rsid w:val="4A9C27B2"/>
    <w:rsid w:val="4AD359CF"/>
    <w:rsid w:val="4B23051E"/>
    <w:rsid w:val="4B610285"/>
    <w:rsid w:val="4B81706C"/>
    <w:rsid w:val="4B857651"/>
    <w:rsid w:val="4B900F1C"/>
    <w:rsid w:val="4B9F3E1E"/>
    <w:rsid w:val="4BD6507A"/>
    <w:rsid w:val="4BDB3B20"/>
    <w:rsid w:val="4BF700B0"/>
    <w:rsid w:val="4C3752D5"/>
    <w:rsid w:val="4C4A0649"/>
    <w:rsid w:val="4C8277C3"/>
    <w:rsid w:val="4CD01252"/>
    <w:rsid w:val="4CE470D3"/>
    <w:rsid w:val="4D400C4A"/>
    <w:rsid w:val="4D763C76"/>
    <w:rsid w:val="4D7762C7"/>
    <w:rsid w:val="4DEC4FB0"/>
    <w:rsid w:val="4E075D8A"/>
    <w:rsid w:val="4E3B3BC6"/>
    <w:rsid w:val="4E5A3C0D"/>
    <w:rsid w:val="4E9A2CAB"/>
    <w:rsid w:val="4EA57275"/>
    <w:rsid w:val="4FB141FB"/>
    <w:rsid w:val="4FBD54F5"/>
    <w:rsid w:val="4FC62A8C"/>
    <w:rsid w:val="4FD01459"/>
    <w:rsid w:val="4FE1620B"/>
    <w:rsid w:val="4FE20F0D"/>
    <w:rsid w:val="50504C4B"/>
    <w:rsid w:val="509C6E7C"/>
    <w:rsid w:val="50AD5D08"/>
    <w:rsid w:val="50B936B2"/>
    <w:rsid w:val="50E0102A"/>
    <w:rsid w:val="5162104E"/>
    <w:rsid w:val="517254A3"/>
    <w:rsid w:val="51906045"/>
    <w:rsid w:val="51E50451"/>
    <w:rsid w:val="51FF7A36"/>
    <w:rsid w:val="52544CF9"/>
    <w:rsid w:val="526A5302"/>
    <w:rsid w:val="52877018"/>
    <w:rsid w:val="52991654"/>
    <w:rsid w:val="52BE405A"/>
    <w:rsid w:val="52CC3A8B"/>
    <w:rsid w:val="52D2758B"/>
    <w:rsid w:val="52D93700"/>
    <w:rsid w:val="53A039CC"/>
    <w:rsid w:val="53A1505A"/>
    <w:rsid w:val="53F003AD"/>
    <w:rsid w:val="54063E08"/>
    <w:rsid w:val="543437E8"/>
    <w:rsid w:val="545A4C47"/>
    <w:rsid w:val="549C0392"/>
    <w:rsid w:val="54AC7708"/>
    <w:rsid w:val="550E208D"/>
    <w:rsid w:val="551A06CD"/>
    <w:rsid w:val="551D6150"/>
    <w:rsid w:val="558F79D1"/>
    <w:rsid w:val="559B174B"/>
    <w:rsid w:val="55C442DE"/>
    <w:rsid w:val="55CE0CF4"/>
    <w:rsid w:val="562D14EB"/>
    <w:rsid w:val="5656342D"/>
    <w:rsid w:val="565C178A"/>
    <w:rsid w:val="568E252F"/>
    <w:rsid w:val="569C6088"/>
    <w:rsid w:val="56B22A9C"/>
    <w:rsid w:val="56F21A8E"/>
    <w:rsid w:val="574862D7"/>
    <w:rsid w:val="57780712"/>
    <w:rsid w:val="57B72A76"/>
    <w:rsid w:val="5818419F"/>
    <w:rsid w:val="581D5B34"/>
    <w:rsid w:val="5847592C"/>
    <w:rsid w:val="584E07D4"/>
    <w:rsid w:val="58BA491F"/>
    <w:rsid w:val="58F60C7D"/>
    <w:rsid w:val="59090A71"/>
    <w:rsid w:val="593A4A69"/>
    <w:rsid w:val="59873C68"/>
    <w:rsid w:val="59956A89"/>
    <w:rsid w:val="59B407D0"/>
    <w:rsid w:val="59D82B73"/>
    <w:rsid w:val="59F75526"/>
    <w:rsid w:val="5A3C747D"/>
    <w:rsid w:val="5ABC3561"/>
    <w:rsid w:val="5ABE2233"/>
    <w:rsid w:val="5AEB0AFC"/>
    <w:rsid w:val="5B023735"/>
    <w:rsid w:val="5B211C11"/>
    <w:rsid w:val="5B276D18"/>
    <w:rsid w:val="5B2954E9"/>
    <w:rsid w:val="5B6C3FA6"/>
    <w:rsid w:val="5BA1665D"/>
    <w:rsid w:val="5BDF5D95"/>
    <w:rsid w:val="5BE73454"/>
    <w:rsid w:val="5C602107"/>
    <w:rsid w:val="5CAC0AB6"/>
    <w:rsid w:val="5D0F3000"/>
    <w:rsid w:val="5D6557EA"/>
    <w:rsid w:val="5D710DD3"/>
    <w:rsid w:val="5DCD5481"/>
    <w:rsid w:val="5DEF288C"/>
    <w:rsid w:val="5DF87A0F"/>
    <w:rsid w:val="5E474E6F"/>
    <w:rsid w:val="5EBB7783"/>
    <w:rsid w:val="5F1124FC"/>
    <w:rsid w:val="5F1A2B43"/>
    <w:rsid w:val="5F255F80"/>
    <w:rsid w:val="5F8F109C"/>
    <w:rsid w:val="5FAB3562"/>
    <w:rsid w:val="5FB837BB"/>
    <w:rsid w:val="60710045"/>
    <w:rsid w:val="60742B07"/>
    <w:rsid w:val="609D2788"/>
    <w:rsid w:val="60B82951"/>
    <w:rsid w:val="618D3B9E"/>
    <w:rsid w:val="622231F3"/>
    <w:rsid w:val="62364782"/>
    <w:rsid w:val="623C5489"/>
    <w:rsid w:val="62A839DE"/>
    <w:rsid w:val="62C45506"/>
    <w:rsid w:val="62CF55DF"/>
    <w:rsid w:val="63250DA7"/>
    <w:rsid w:val="632B079F"/>
    <w:rsid w:val="639D3402"/>
    <w:rsid w:val="63BB5FBC"/>
    <w:rsid w:val="63D40BE9"/>
    <w:rsid w:val="63D77528"/>
    <w:rsid w:val="63E0211F"/>
    <w:rsid w:val="63F336A7"/>
    <w:rsid w:val="643843B9"/>
    <w:rsid w:val="646F12F6"/>
    <w:rsid w:val="647F14B1"/>
    <w:rsid w:val="6480384A"/>
    <w:rsid w:val="64D671A4"/>
    <w:rsid w:val="652579A9"/>
    <w:rsid w:val="65373578"/>
    <w:rsid w:val="65513CF0"/>
    <w:rsid w:val="6615753F"/>
    <w:rsid w:val="669715B9"/>
    <w:rsid w:val="66E64FE4"/>
    <w:rsid w:val="66F476BD"/>
    <w:rsid w:val="67156787"/>
    <w:rsid w:val="671D183F"/>
    <w:rsid w:val="6737724C"/>
    <w:rsid w:val="673F2C7A"/>
    <w:rsid w:val="67545ECB"/>
    <w:rsid w:val="675C6F1A"/>
    <w:rsid w:val="67CC4460"/>
    <w:rsid w:val="67F54396"/>
    <w:rsid w:val="681F6961"/>
    <w:rsid w:val="68610A2F"/>
    <w:rsid w:val="68805514"/>
    <w:rsid w:val="68937A38"/>
    <w:rsid w:val="694E2071"/>
    <w:rsid w:val="697A3B33"/>
    <w:rsid w:val="699E2456"/>
    <w:rsid w:val="69B26642"/>
    <w:rsid w:val="69EA2439"/>
    <w:rsid w:val="69EB649E"/>
    <w:rsid w:val="69ED7058"/>
    <w:rsid w:val="6A4A4926"/>
    <w:rsid w:val="6B2F7ADD"/>
    <w:rsid w:val="6B322639"/>
    <w:rsid w:val="6B4C729C"/>
    <w:rsid w:val="6C0026BA"/>
    <w:rsid w:val="6C2907B4"/>
    <w:rsid w:val="6C4476DD"/>
    <w:rsid w:val="6C4730FB"/>
    <w:rsid w:val="6C636C38"/>
    <w:rsid w:val="6CB15744"/>
    <w:rsid w:val="6CBB7CD2"/>
    <w:rsid w:val="6D7401A1"/>
    <w:rsid w:val="6DA35705"/>
    <w:rsid w:val="6DA91380"/>
    <w:rsid w:val="6DB34098"/>
    <w:rsid w:val="6DB4457F"/>
    <w:rsid w:val="6DB545B6"/>
    <w:rsid w:val="6DC36782"/>
    <w:rsid w:val="6DE00D42"/>
    <w:rsid w:val="6DE2064C"/>
    <w:rsid w:val="6E211C99"/>
    <w:rsid w:val="6E4375A0"/>
    <w:rsid w:val="6E514CED"/>
    <w:rsid w:val="6E580DBB"/>
    <w:rsid w:val="6E79491A"/>
    <w:rsid w:val="6E7D00FB"/>
    <w:rsid w:val="6EB563D5"/>
    <w:rsid w:val="6EE51B8B"/>
    <w:rsid w:val="6F225983"/>
    <w:rsid w:val="6F23248A"/>
    <w:rsid w:val="6FD7239E"/>
    <w:rsid w:val="6FE44EB3"/>
    <w:rsid w:val="6FE84C95"/>
    <w:rsid w:val="6FFC5590"/>
    <w:rsid w:val="70301DA3"/>
    <w:rsid w:val="70400FD0"/>
    <w:rsid w:val="706D1DD0"/>
    <w:rsid w:val="70787698"/>
    <w:rsid w:val="70856B87"/>
    <w:rsid w:val="70D527EE"/>
    <w:rsid w:val="70D7620D"/>
    <w:rsid w:val="70EC6E02"/>
    <w:rsid w:val="7139389F"/>
    <w:rsid w:val="715B5300"/>
    <w:rsid w:val="715F4BD7"/>
    <w:rsid w:val="716F772A"/>
    <w:rsid w:val="71D27F8A"/>
    <w:rsid w:val="71F744C6"/>
    <w:rsid w:val="71F960CF"/>
    <w:rsid w:val="720E3EBF"/>
    <w:rsid w:val="720F7A49"/>
    <w:rsid w:val="722749D4"/>
    <w:rsid w:val="731F5D5E"/>
    <w:rsid w:val="734D34CF"/>
    <w:rsid w:val="73726E51"/>
    <w:rsid w:val="739C5AC0"/>
    <w:rsid w:val="73C70821"/>
    <w:rsid w:val="73D655B4"/>
    <w:rsid w:val="741E793C"/>
    <w:rsid w:val="74456324"/>
    <w:rsid w:val="74510351"/>
    <w:rsid w:val="74692370"/>
    <w:rsid w:val="74744571"/>
    <w:rsid w:val="74B0671E"/>
    <w:rsid w:val="74DE3AD0"/>
    <w:rsid w:val="753123BE"/>
    <w:rsid w:val="75644ADD"/>
    <w:rsid w:val="758D75E2"/>
    <w:rsid w:val="759C199E"/>
    <w:rsid w:val="75D56CF3"/>
    <w:rsid w:val="76062B1F"/>
    <w:rsid w:val="765B74CF"/>
    <w:rsid w:val="76A92328"/>
    <w:rsid w:val="77001EAB"/>
    <w:rsid w:val="77762421"/>
    <w:rsid w:val="77791B0E"/>
    <w:rsid w:val="77A12142"/>
    <w:rsid w:val="77B57573"/>
    <w:rsid w:val="780F09F4"/>
    <w:rsid w:val="783F628E"/>
    <w:rsid w:val="789C4F47"/>
    <w:rsid w:val="78A50F92"/>
    <w:rsid w:val="78A90480"/>
    <w:rsid w:val="78C92784"/>
    <w:rsid w:val="78F45DCB"/>
    <w:rsid w:val="79004485"/>
    <w:rsid w:val="790D1953"/>
    <w:rsid w:val="792D6BB7"/>
    <w:rsid w:val="795A1B09"/>
    <w:rsid w:val="79811327"/>
    <w:rsid w:val="79AA6729"/>
    <w:rsid w:val="79D46C10"/>
    <w:rsid w:val="79D52DF1"/>
    <w:rsid w:val="79DF76B6"/>
    <w:rsid w:val="7A364017"/>
    <w:rsid w:val="7A473D31"/>
    <w:rsid w:val="7A645B58"/>
    <w:rsid w:val="7A8265E1"/>
    <w:rsid w:val="7A923986"/>
    <w:rsid w:val="7ABD6D7C"/>
    <w:rsid w:val="7AC747B7"/>
    <w:rsid w:val="7B004F45"/>
    <w:rsid w:val="7B686D42"/>
    <w:rsid w:val="7B841746"/>
    <w:rsid w:val="7BCB58A8"/>
    <w:rsid w:val="7C101B67"/>
    <w:rsid w:val="7CA940AA"/>
    <w:rsid w:val="7CBF773D"/>
    <w:rsid w:val="7CE65E08"/>
    <w:rsid w:val="7CEB1200"/>
    <w:rsid w:val="7D0239FF"/>
    <w:rsid w:val="7D5E40CD"/>
    <w:rsid w:val="7D693BED"/>
    <w:rsid w:val="7DAD7BBE"/>
    <w:rsid w:val="7E3E606D"/>
    <w:rsid w:val="7E4B37EF"/>
    <w:rsid w:val="7ED818A9"/>
    <w:rsid w:val="7F050470"/>
    <w:rsid w:val="7F1A265B"/>
    <w:rsid w:val="7F2376ED"/>
    <w:rsid w:val="7F46485B"/>
    <w:rsid w:val="7FD178C3"/>
    <w:rsid w:val="7FD6615B"/>
    <w:rsid w:val="7FDE7BF4"/>
    <w:rsid w:val="7FE47E50"/>
  </w:rsids>
  <w:docVars>
    <w:docVar w:name="commondata" w:val="eyJoZGlkIjoiOWI5MmEzNDM0ODI0OGFmMzM3MmU2Y2M5Y2JkMmZkODY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qFormat="1"/>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uiPriority="0" w:unhideWhenUsed="0" w:qFormat="1"/>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qFormat="1"/>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NormalIndent"/>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Heading2">
    <w:name w:val="heading 2"/>
    <w:basedOn w:val="Normal"/>
    <w:next w:val="Normal"/>
    <w:qFormat/>
    <w:pPr>
      <w:keepNext/>
      <w:adjustRightInd w:val="0"/>
      <w:snapToGrid w:val="0"/>
      <w:ind w:firstLine="560"/>
      <w:outlineLvl w:val="1"/>
    </w:pPr>
    <w:rPr>
      <w:rFonts w:ascii="Times New Roman" w:eastAsia="宋体" w:hAnsi="Times New Roman"/>
      <w:sz w:val="30"/>
      <w:szCs w:val="24"/>
    </w:rPr>
  </w:style>
  <w:style w:type="paragraph" w:styleId="Heading4">
    <w:name w:val="heading 4"/>
    <w:basedOn w:val="Normal"/>
    <w:next w:val="Normal"/>
    <w:qFormat/>
    <w:pPr>
      <w:keepNext/>
      <w:keepLines/>
      <w:ind w:firstLine="0" w:firstLineChars="0"/>
      <w:outlineLvl w:val="3"/>
    </w:pPr>
    <w:rPr>
      <w:rFonts w:ascii="Times New Roman" w:eastAsia="宋体" w:hAnsi="Times New Roman"/>
      <w:b/>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Indent">
    <w:name w:val="Normal Indent"/>
    <w:basedOn w:val="Normal"/>
    <w:next w:val="Heading4"/>
    <w:qFormat/>
    <w:pPr>
      <w:adjustRightInd w:val="0"/>
      <w:snapToGrid w:val="0"/>
      <w:spacing w:line="360" w:lineRule="auto"/>
      <w:ind w:firstLine="560" w:firstLineChars="200"/>
    </w:pPr>
    <w:rPr>
      <w:rFonts w:ascii="Times New Roman" w:eastAsia="宋体" w:hAnsi="Times New Roman"/>
      <w:sz w:val="24"/>
    </w:rPr>
  </w:style>
  <w:style w:type="paragraph" w:styleId="Caption">
    <w:name w:val="caption"/>
    <w:basedOn w:val="Normal"/>
    <w:next w:val="Normal"/>
    <w:qFormat/>
    <w:pPr>
      <w:widowControl/>
      <w:spacing w:before="152" w:after="160"/>
      <w:jc w:val="left"/>
    </w:pPr>
    <w:rPr>
      <w:rFonts w:ascii="Arial" w:eastAsia="黑体" w:hAnsi="Arial" w:cs="Arial"/>
      <w:kern w:val="0"/>
      <w:sz w:val="20"/>
    </w:rPr>
  </w:style>
  <w:style w:type="paragraph" w:styleId="CommentText">
    <w:name w:val="annotation text"/>
    <w:basedOn w:val="Normal"/>
    <w:link w:val="Char1"/>
    <w:semiHidden/>
    <w:qFormat/>
    <w:pPr>
      <w:jc w:val="left"/>
    </w:pPr>
    <w:rPr>
      <w:kern w:val="0"/>
      <w:sz w:val="20"/>
    </w:rPr>
  </w:style>
  <w:style w:type="paragraph" w:styleId="BodyText">
    <w:name w:val="Body Text"/>
    <w:basedOn w:val="Normal"/>
    <w:next w:val="xl27"/>
    <w:link w:val="Char5"/>
    <w:qFormat/>
    <w:pPr>
      <w:widowControl/>
      <w:snapToGrid w:val="0"/>
      <w:spacing w:before="60" w:after="160" w:line="259" w:lineRule="auto"/>
      <w:ind w:right="113"/>
    </w:pPr>
    <w:rPr>
      <w:kern w:val="0"/>
      <w:sz w:val="18"/>
      <w:szCs w:val="18"/>
    </w:rPr>
  </w:style>
  <w:style w:type="paragraph" w:customStyle="1" w:styleId="xl27">
    <w:name w:val="xl27"/>
    <w:basedOn w:val="Normal"/>
    <w:qFormat/>
    <w:pPr>
      <w:widowControl/>
      <w:pBdr>
        <w:bottom w:val="single" w:sz="4" w:space="0" w:color="auto"/>
        <w:right w:val="single" w:sz="4" w:space="0" w:color="auto"/>
      </w:pBdr>
      <w:spacing w:before="100" w:beforeLines="0" w:beforeAutospacing="1" w:after="100" w:afterLines="0" w:afterAutospacing="1"/>
      <w:jc w:val="center"/>
    </w:pPr>
    <w:rPr>
      <w:kern w:val="0"/>
    </w:rPr>
  </w:style>
  <w:style w:type="paragraph" w:styleId="BodyTextIndent">
    <w:name w:val="Body Text Indent"/>
    <w:basedOn w:val="Normal"/>
    <w:link w:val="Char2"/>
    <w:semiHidden/>
    <w:qFormat/>
    <w:pPr>
      <w:spacing w:after="120"/>
      <w:ind w:left="420" w:leftChars="200"/>
    </w:pPr>
  </w:style>
  <w:style w:type="paragraph" w:styleId="BlockText">
    <w:name w:val="Block Text"/>
    <w:basedOn w:val="Normal"/>
    <w:qFormat/>
    <w:pPr>
      <w:widowControl/>
      <w:spacing w:line="360" w:lineRule="auto"/>
      <w:ind w:left="87" w:firstLine="585" w:rightChars="2"/>
    </w:pPr>
    <w:rPr>
      <w:rFonts w:ascii="仿宋_GB2312" w:eastAsia="仿宋_GB2312"/>
      <w:kern w:val="0"/>
      <w:sz w:val="28"/>
      <w:szCs w:val="21"/>
    </w:rPr>
  </w:style>
  <w:style w:type="paragraph" w:styleId="PlainText">
    <w:name w:val="Plain Text"/>
    <w:basedOn w:val="Normal"/>
    <w:qFormat/>
    <w:rPr>
      <w:rFonts w:ascii="宋体" w:hAnsi="Courier New"/>
      <w:szCs w:val="24"/>
    </w:rPr>
  </w:style>
  <w:style w:type="paragraph" w:styleId="Date">
    <w:name w:val="Date"/>
    <w:basedOn w:val="Normal"/>
    <w:next w:val="Normal"/>
    <w:link w:val="Char6"/>
    <w:qFormat/>
    <w:pPr>
      <w:ind w:left="100" w:leftChars="2500"/>
    </w:pPr>
    <w:rPr>
      <w:kern w:val="0"/>
      <w:sz w:val="20"/>
    </w:rPr>
  </w:style>
  <w:style w:type="paragraph" w:styleId="BodyTextIndent2">
    <w:name w:val="Body Text Indent 2"/>
    <w:basedOn w:val="Normal"/>
    <w:qFormat/>
    <w:pPr>
      <w:spacing w:before="15" w:beforeLines="0" w:line="480" w:lineRule="exact"/>
      <w:ind w:firstLine="496" w:firstLineChars="200"/>
    </w:pPr>
    <w:rPr>
      <w:rFonts w:ascii="宋体" w:hAnsi="宋体"/>
      <w:spacing w:val="4"/>
      <w:sz w:val="24"/>
    </w:rPr>
  </w:style>
  <w:style w:type="paragraph" w:styleId="BalloonText">
    <w:name w:val="Balloon Text"/>
    <w:basedOn w:val="Normal"/>
    <w:link w:val="Char7"/>
    <w:semiHidden/>
    <w:qFormat/>
    <w:rPr>
      <w:sz w:val="18"/>
      <w:szCs w:val="18"/>
    </w:r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IndexHeading">
    <w:name w:val="index heading"/>
    <w:basedOn w:val="Normal"/>
    <w:next w:val="Index1"/>
    <w:semiHidden/>
    <w:qFormat/>
    <w:rPr>
      <w:rFonts w:ascii="Arial" w:hAnsi="Arial" w:cs="Arial"/>
      <w:b/>
      <w:bCs/>
    </w:rPr>
  </w:style>
  <w:style w:type="paragraph" w:styleId="Index1">
    <w:name w:val="index 1"/>
    <w:basedOn w:val="Normal"/>
    <w:next w:val="Normal"/>
    <w:qFormat/>
    <w:pPr>
      <w:adjustRightInd w:val="0"/>
      <w:snapToGrid w:val="0"/>
      <w:spacing w:line="340" w:lineRule="exact"/>
    </w:pPr>
    <w:rPr>
      <w:rFonts w:ascii="Times New Roman" w:hAnsi="Times New Roman"/>
    </w:rPr>
  </w:style>
  <w:style w:type="paragraph" w:styleId="NormalWeb">
    <w:name w:val="Normal (Web)"/>
    <w:basedOn w:val="Normal"/>
    <w:link w:val="Char10"/>
    <w:qFormat/>
    <w:pPr>
      <w:widowControl/>
      <w:spacing w:before="100" w:beforeAutospacing="1" w:after="100" w:afterAutospacing="1"/>
      <w:jc w:val="left"/>
    </w:pPr>
    <w:rPr>
      <w:rFonts w:ascii="宋体" w:hAnsi="宋体"/>
      <w:kern w:val="0"/>
      <w:sz w:val="24"/>
    </w:rPr>
  </w:style>
  <w:style w:type="paragraph" w:styleId="CommentSubject">
    <w:name w:val="annotation subject"/>
    <w:basedOn w:val="CommentText"/>
    <w:next w:val="CommentText"/>
    <w:link w:val="Char4"/>
    <w:semiHidden/>
    <w:qFormat/>
    <w:rPr>
      <w:b/>
      <w:bCs/>
    </w:rPr>
  </w:style>
  <w:style w:type="table" w:styleId="TableGrid">
    <w:name w:val="Table Grid"/>
    <w:basedOn w:val="TableNormal"/>
    <w:qFormat/>
    <w:rPr>
      <w:lang w:val="en-US" w:eastAsia="zh-CN"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PageNumber">
    <w:name w:val="page number"/>
    <w:basedOn w:val="DefaultParagraphFont"/>
    <w:qFormat/>
  </w:style>
  <w:style w:type="character" w:styleId="Emphasis">
    <w:name w:val="Emphasis"/>
    <w:basedOn w:val="DefaultParagraphFont"/>
    <w:qFormat/>
    <w:rPr>
      <w:i/>
    </w:rPr>
  </w:style>
  <w:style w:type="character" w:styleId="CommentReference">
    <w:name w:val="annotation reference"/>
    <w:semiHidden/>
    <w:qFormat/>
    <w:rPr>
      <w:sz w:val="21"/>
    </w:rPr>
  </w:style>
  <w:style w:type="paragraph" w:customStyle="1" w:styleId="Default">
    <w:name w:val="Default"/>
    <w:basedOn w:val="1"/>
    <w:next w:val="10"/>
    <w:qFormat/>
    <w:pPr>
      <w:widowControl w:val="0"/>
      <w:autoSpaceDE w:val="0"/>
      <w:autoSpaceDN w:val="0"/>
      <w:adjustRightInd w:val="0"/>
    </w:pPr>
    <w:rPr>
      <w:rFonts w:ascii="宋体" w:eastAsia="宋体" w:hAnsi="Calibri" w:cs="Times New Roman"/>
      <w:color w:val="000000"/>
      <w:sz w:val="24"/>
      <w:szCs w:val="24"/>
      <w:lang w:val="en-US" w:eastAsia="zh-CN" w:bidi="ar-SA"/>
    </w:rPr>
  </w:style>
  <w:style w:type="paragraph" w:customStyle="1" w:styleId="1">
    <w:name w:val="纯文本1"/>
    <w:basedOn w:val="Normal"/>
    <w:qFormat/>
    <w:pPr>
      <w:adjustRightInd w:val="0"/>
    </w:pPr>
    <w:rPr>
      <w:rFonts w:ascii="宋体" w:hAnsi="Courier New"/>
      <w:szCs w:val="20"/>
    </w:rPr>
  </w:style>
  <w:style w:type="paragraph" w:customStyle="1" w:styleId="10">
    <w:name w:val="样式1"/>
    <w:basedOn w:val="IndexHeading"/>
    <w:next w:val="BlockText"/>
    <w:qFormat/>
    <w:pPr>
      <w:snapToGrid w:val="0"/>
      <w:jc w:val="center"/>
    </w:pPr>
    <w:rPr>
      <w:rFonts w:ascii="宋体" w:eastAsia="宋体"/>
      <w:sz w:val="21"/>
    </w:rPr>
  </w:style>
  <w:style w:type="paragraph" w:customStyle="1" w:styleId="a">
    <w:name w:val="!正文"/>
    <w:qFormat/>
    <w:pPr>
      <w:widowControl w:val="0"/>
      <w:spacing w:line="360" w:lineRule="auto"/>
      <w:ind w:firstLine="200" w:firstLineChars="200"/>
      <w:jc w:val="both"/>
    </w:pPr>
    <w:rPr>
      <w:rFonts w:ascii="Calibri" w:eastAsia="仿宋_GB2312" w:hAnsi="Calibri" w:cs="Times New Roman"/>
      <w:kern w:val="2"/>
      <w:sz w:val="21"/>
      <w:szCs w:val="28"/>
      <w:lang w:val="en-US" w:eastAsia="zh-CN" w:bidi="ar-SA"/>
    </w:rPr>
  </w:style>
  <w:style w:type="character" w:customStyle="1" w:styleId="Char">
    <w:name w:val="页眉 Char"/>
    <w:link w:val="Header"/>
    <w:qFormat/>
    <w:rPr>
      <w:rFonts w:cs="Times New Roman"/>
      <w:sz w:val="18"/>
      <w:szCs w:val="18"/>
    </w:rPr>
  </w:style>
  <w:style w:type="character" w:customStyle="1" w:styleId="a0">
    <w:name w:val="日期 字符"/>
    <w:semiHidden/>
    <w:qFormat/>
    <w:rPr>
      <w:rFonts w:ascii="Times New Roman" w:eastAsia="宋体" w:hAnsi="Times New Roman" w:cs="Times New Roman"/>
      <w:sz w:val="24"/>
      <w:szCs w:val="24"/>
    </w:rPr>
  </w:style>
  <w:style w:type="character" w:customStyle="1" w:styleId="Char0">
    <w:name w:val="页脚 Char"/>
    <w:link w:val="Footer"/>
    <w:qFormat/>
    <w:rPr>
      <w:rFonts w:cs="Times New Roman"/>
      <w:sz w:val="18"/>
      <w:szCs w:val="18"/>
    </w:rPr>
  </w:style>
  <w:style w:type="character" w:customStyle="1" w:styleId="font31">
    <w:name w:val="font31"/>
    <w:qFormat/>
    <w:rPr>
      <w:rFonts w:ascii="Times New Roman" w:hAnsi="Times New Roman" w:cs="Times New Roman" w:hint="default"/>
      <w:color w:val="000000"/>
      <w:sz w:val="21"/>
      <w:szCs w:val="21"/>
      <w:u w:val="none"/>
    </w:rPr>
  </w:style>
  <w:style w:type="character" w:customStyle="1" w:styleId="Char1">
    <w:name w:val="批注文字 Char"/>
    <w:link w:val="CommentText"/>
    <w:qFormat/>
    <w:rPr>
      <w:rFonts w:ascii="Times New Roman" w:eastAsia="宋体" w:hAnsi="Times New Roman"/>
      <w:sz w:val="24"/>
    </w:rPr>
  </w:style>
  <w:style w:type="character" w:customStyle="1" w:styleId="Char2">
    <w:name w:val="正文文本缩进 Char"/>
    <w:link w:val="BodyTextIndent"/>
    <w:semiHidden/>
    <w:qFormat/>
    <w:rPr>
      <w:rFonts w:ascii="Times New Roman" w:eastAsia="宋体" w:hAnsi="Times New Roman" w:cs="Times New Roman"/>
      <w:sz w:val="24"/>
      <w:szCs w:val="24"/>
    </w:rPr>
  </w:style>
  <w:style w:type="character" w:customStyle="1" w:styleId="Char3">
    <w:name w:val="表格 Char"/>
    <w:link w:val="a1"/>
    <w:qFormat/>
    <w:rPr>
      <w:rFonts w:ascii="宋体"/>
      <w:sz w:val="21"/>
    </w:rPr>
  </w:style>
  <w:style w:type="paragraph" w:customStyle="1" w:styleId="a1">
    <w:name w:val="表格"/>
    <w:basedOn w:val="Normal"/>
    <w:next w:val="Normal"/>
    <w:link w:val="Char3"/>
    <w:qFormat/>
    <w:pPr>
      <w:adjustRightInd w:val="0"/>
      <w:snapToGrid w:val="0"/>
      <w:spacing w:beforeLines="10" w:afterLines="10" w:line="259" w:lineRule="auto"/>
      <w:jc w:val="center"/>
    </w:pPr>
    <w:rPr>
      <w:rFonts w:ascii="宋体"/>
      <w:kern w:val="0"/>
      <w:sz w:val="20"/>
      <w:szCs w:val="21"/>
    </w:rPr>
  </w:style>
  <w:style w:type="character" w:customStyle="1" w:styleId="Char4">
    <w:name w:val="批注主题 Char"/>
    <w:link w:val="CommentSubject"/>
    <w:semiHidden/>
    <w:qFormat/>
    <w:rPr>
      <w:rFonts w:ascii="Times New Roman" w:eastAsia="宋体" w:hAnsi="Times New Roman" w:cs="Times New Roman"/>
      <w:b/>
      <w:bCs/>
      <w:kern w:val="2"/>
      <w:sz w:val="24"/>
      <w:szCs w:val="24"/>
    </w:rPr>
  </w:style>
  <w:style w:type="character" w:customStyle="1" w:styleId="Char5">
    <w:name w:val="正文文本 Char"/>
    <w:link w:val="BodyText"/>
    <w:qFormat/>
    <w:rPr>
      <w:sz w:val="18"/>
    </w:rPr>
  </w:style>
  <w:style w:type="character" w:customStyle="1" w:styleId="Char6">
    <w:name w:val="日期 Char"/>
    <w:link w:val="Date"/>
    <w:qFormat/>
    <w:rPr>
      <w:rFonts w:ascii="Times New Roman" w:eastAsia="宋体" w:hAnsi="Times New Roman"/>
      <w:sz w:val="24"/>
    </w:rPr>
  </w:style>
  <w:style w:type="character" w:customStyle="1" w:styleId="font11">
    <w:name w:val="font11"/>
    <w:qFormat/>
    <w:rPr>
      <w:rFonts w:ascii="Times New Roman" w:hAnsi="Times New Roman" w:cs="Times New Roman" w:hint="default"/>
      <w:color w:val="000000"/>
      <w:sz w:val="20"/>
      <w:szCs w:val="20"/>
      <w:u w:val="none"/>
    </w:rPr>
  </w:style>
  <w:style w:type="character" w:customStyle="1" w:styleId="font41">
    <w:name w:val="font41"/>
    <w:qFormat/>
    <w:rPr>
      <w:rFonts w:ascii="宋体" w:eastAsia="宋体" w:hAnsi="宋体" w:cs="宋体" w:hint="eastAsia"/>
      <w:color w:val="000000"/>
      <w:sz w:val="21"/>
      <w:szCs w:val="21"/>
      <w:u w:val="none"/>
    </w:rPr>
  </w:style>
  <w:style w:type="character" w:customStyle="1" w:styleId="Char10">
    <w:name w:val="普通(网站) Char1"/>
    <w:link w:val="NormalWeb"/>
    <w:qFormat/>
    <w:rPr>
      <w:rFonts w:ascii="宋体" w:eastAsia="宋体" w:hAnsi="宋体"/>
      <w:sz w:val="24"/>
    </w:rPr>
  </w:style>
  <w:style w:type="character" w:customStyle="1" w:styleId="11">
    <w:name w:val="批注文字 字符1"/>
    <w:semiHidden/>
    <w:qFormat/>
    <w:rPr>
      <w:rFonts w:ascii="Times New Roman" w:eastAsia="宋体" w:hAnsi="Times New Roman" w:cs="Times New Roman"/>
      <w:sz w:val="24"/>
      <w:szCs w:val="24"/>
    </w:rPr>
  </w:style>
  <w:style w:type="character" w:customStyle="1" w:styleId="font21">
    <w:name w:val="font21"/>
    <w:qFormat/>
    <w:rPr>
      <w:rFonts w:ascii="宋体" w:eastAsia="宋体" w:hAnsi="宋体" w:cs="宋体" w:hint="eastAsia"/>
      <w:color w:val="000000"/>
      <w:sz w:val="20"/>
      <w:szCs w:val="20"/>
      <w:u w:val="none"/>
    </w:rPr>
  </w:style>
  <w:style w:type="character" w:customStyle="1" w:styleId="Char7">
    <w:name w:val="批注框文本 Char"/>
    <w:link w:val="BalloonText"/>
    <w:semiHidden/>
    <w:qFormat/>
    <w:rPr>
      <w:rFonts w:ascii="Times New Roman" w:eastAsia="宋体" w:hAnsi="Times New Roman" w:cs="Times New Roman"/>
      <w:sz w:val="18"/>
      <w:szCs w:val="18"/>
    </w:rPr>
  </w:style>
  <w:style w:type="character" w:customStyle="1" w:styleId="Char8">
    <w:name w:val="普通(网站) Char"/>
    <w:qFormat/>
    <w:rPr>
      <w:rFonts w:ascii="宋体" w:eastAsia="宋体" w:hAnsi="宋体"/>
      <w:sz w:val="24"/>
    </w:rPr>
  </w:style>
  <w:style w:type="character" w:customStyle="1" w:styleId="12">
    <w:name w:val="正文文本 字符1"/>
    <w:semiHidden/>
    <w:qFormat/>
    <w:rPr>
      <w:rFonts w:ascii="Times New Roman" w:eastAsia="宋体" w:hAnsi="Times New Roman" w:cs="Times New Roman"/>
      <w:sz w:val="24"/>
      <w:szCs w:val="24"/>
    </w:rPr>
  </w:style>
  <w:style w:type="paragraph" w:customStyle="1" w:styleId="2">
    <w:name w:val="普通(网站)2"/>
    <w:basedOn w:val="Normal"/>
    <w:qFormat/>
    <w:pPr>
      <w:widowControl/>
      <w:spacing w:before="100" w:beforeAutospacing="1" w:after="100" w:afterAutospacing="1"/>
      <w:jc w:val="left"/>
    </w:pPr>
    <w:rPr>
      <w:rFonts w:ascii="宋体" w:hAnsi="宋体"/>
      <w:sz w:val="24"/>
      <w:szCs w:val="20"/>
    </w:rPr>
  </w:style>
  <w:style w:type="paragraph" w:customStyle="1" w:styleId="jophy">
    <w:name w:val="表标头jophy"/>
    <w:qFormat/>
    <w:pPr>
      <w:adjustRightInd w:val="0"/>
      <w:snapToGrid w:val="0"/>
      <w:jc w:val="center"/>
    </w:pPr>
    <w:rPr>
      <w:rFonts w:ascii="Calibri" w:eastAsia="宋体" w:hAnsi="Calibri" w:cs="Times New Roman"/>
      <w:b/>
      <w:bCs/>
      <w:sz w:val="24"/>
      <w:szCs w:val="28"/>
      <w:lang w:val="en-US" w:eastAsia="zh-CN" w:bidi="ar-SA"/>
    </w:rPr>
  </w:style>
  <w:style w:type="paragraph" w:customStyle="1" w:styleId="a2">
    <w:name w:val="主体文字"/>
    <w:basedOn w:val="PlainText"/>
    <w:qFormat/>
    <w:pPr>
      <w:spacing w:line="360" w:lineRule="auto"/>
      <w:ind w:firstLine="540" w:firstLineChars="225"/>
    </w:pPr>
    <w:rPr>
      <w:sz w:val="24"/>
      <w:szCs w:val="21"/>
    </w:rPr>
  </w:style>
  <w:style w:type="paragraph" w:customStyle="1" w:styleId="a3">
    <w:name w:val="项目编号"/>
    <w:basedOn w:val="Normal"/>
    <w:next w:val="Normal"/>
    <w:qFormat/>
    <w:pPr>
      <w:spacing w:before="120" w:beforeLines="0" w:after="120" w:afterLines="0" w:line="360" w:lineRule="auto"/>
    </w:pPr>
    <w:rPr>
      <w:rFonts w:ascii="Times New Roman"/>
      <w:sz w:val="24"/>
      <w:szCs w:val="20"/>
    </w:rPr>
  </w:style>
  <w:style w:type="paragraph" w:customStyle="1" w:styleId="13">
    <w:name w:val="段落1"/>
    <w:basedOn w:val="Normal"/>
    <w:qFormat/>
    <w:pPr>
      <w:spacing w:line="480" w:lineRule="exact"/>
      <w:ind w:firstLine="200" w:firstLineChars="200"/>
    </w:pPr>
    <w:rPr>
      <w:sz w:val="28"/>
    </w:rPr>
  </w:style>
  <w:style w:type="character" w:customStyle="1" w:styleId="1Char">
    <w:name w:val="标题 1 Char"/>
    <w:basedOn w:val="DefaultParagraphFont"/>
    <w:link w:val="Heading1"/>
    <w:qFormat/>
    <w:rPr>
      <w:rFonts w:eastAsia="黑体"/>
      <w:b/>
      <w:bCs/>
      <w:color w:val="000000"/>
      <w:kern w:val="44"/>
      <w:sz w:val="30"/>
      <w:szCs w:val="30"/>
    </w:rPr>
  </w:style>
  <w:style w:type="paragraph" w:customStyle="1" w:styleId="CharChar">
    <w:name w:val="正文 Char Char"/>
    <w:basedOn w:val="Normal"/>
    <w:qFormat/>
    <w:pPr>
      <w:adjustRightInd w:val="0"/>
      <w:snapToGrid w:val="0"/>
      <w:spacing w:line="360" w:lineRule="auto"/>
      <w:ind w:firstLine="480" w:firstLineChars="200"/>
    </w:pPr>
    <w:rPr>
      <w:rFonts w:eastAsia="宋体"/>
      <w:kern w:val="0"/>
      <w:sz w:val="24"/>
      <w:szCs w:val="24"/>
    </w:rPr>
  </w:style>
  <w:style w:type="table" w:customStyle="1" w:styleId="TableGrid0">
    <w:name w:val="Table Grid_0"/>
    <w:basedOn w:val="TableNormal"/>
    <w:qFormat/>
    <w:rPr>
      <w:lang w:val="en-US" w:eastAsia="zh-CN"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rPr>
      <w:lang w:val="en-US" w:eastAsia="zh-CN"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rPr>
      <w:lang w:val="en-US" w:eastAsia="zh-CN"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qFormat/>
    <w:rPr>
      <w:lang w:val="en-US" w:eastAsia="zh-CN"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qFormat/>
    <w:rPr>
      <w:lang w:val="en-US" w:eastAsia="zh-CN"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qFormat/>
    <w:rPr>
      <w:lang w:val="en-US" w:eastAsia="zh-CN"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image" Target="media/image1.png" /><Relationship Id="rId34" Type="http://schemas.openxmlformats.org/officeDocument/2006/relationships/footer" Target="footer29.xml" /><Relationship Id="rId35" Type="http://schemas.openxmlformats.org/officeDocument/2006/relationships/footer" Target="footer30.xml" /><Relationship Id="rId36" Type="http://schemas.openxmlformats.org/officeDocument/2006/relationships/footer" Target="footer31.xml" /><Relationship Id="rId37" Type="http://schemas.openxmlformats.org/officeDocument/2006/relationships/footer" Target="footer32.xml" /><Relationship Id="rId38" Type="http://schemas.openxmlformats.org/officeDocument/2006/relationships/footer" Target="footer33.xml" /><Relationship Id="rId39" Type="http://schemas.openxmlformats.org/officeDocument/2006/relationships/footer" Target="footer34.xml" /><Relationship Id="rId4" Type="http://schemas.openxmlformats.org/officeDocument/2006/relationships/customXml" Target="../customXml/item1.xml" /><Relationship Id="rId40" Type="http://schemas.openxmlformats.org/officeDocument/2006/relationships/footer" Target="footer35.xml" /><Relationship Id="rId41" Type="http://schemas.openxmlformats.org/officeDocument/2006/relationships/footer" Target="footer36.xml" /><Relationship Id="rId42" Type="http://schemas.openxmlformats.org/officeDocument/2006/relationships/footer" Target="footer37.xml" /><Relationship Id="rId43" Type="http://schemas.openxmlformats.org/officeDocument/2006/relationships/footer" Target="footer38.xml" /><Relationship Id="rId44" Type="http://schemas.openxmlformats.org/officeDocument/2006/relationships/footer" Target="footer39.xml" /><Relationship Id="rId45" Type="http://schemas.openxmlformats.org/officeDocument/2006/relationships/footer" Target="footer40.xml" /><Relationship Id="rId46" Type="http://schemas.openxmlformats.org/officeDocument/2006/relationships/footer" Target="footer41.xml" /><Relationship Id="rId47" Type="http://schemas.openxmlformats.org/officeDocument/2006/relationships/footer" Target="footer42.xml" /><Relationship Id="rId48" Type="http://schemas.openxmlformats.org/officeDocument/2006/relationships/footer" Target="footer43.xml" /><Relationship Id="rId49" Type="http://schemas.openxmlformats.org/officeDocument/2006/relationships/footer" Target="footer44.xml" /><Relationship Id="rId5" Type="http://schemas.openxmlformats.org/officeDocument/2006/relationships/footer" Target="footer1.xml" /><Relationship Id="rId50" Type="http://schemas.openxmlformats.org/officeDocument/2006/relationships/footer" Target="footer45.xml" /><Relationship Id="rId51" Type="http://schemas.openxmlformats.org/officeDocument/2006/relationships/footer" Target="footer46.xml" /><Relationship Id="rId52" Type="http://schemas.openxmlformats.org/officeDocument/2006/relationships/footer" Target="footer47.xml" /><Relationship Id="rId53" Type="http://schemas.openxmlformats.org/officeDocument/2006/relationships/footer" Target="footer48.xml" /><Relationship Id="rId54" Type="http://schemas.openxmlformats.org/officeDocument/2006/relationships/footer" Target="footer49.xml" /><Relationship Id="rId55" Type="http://schemas.openxmlformats.org/officeDocument/2006/relationships/footer" Target="footer50.xml" /><Relationship Id="rId56" Type="http://schemas.openxmlformats.org/officeDocument/2006/relationships/hyperlink" Target="https://d.book118.com/026113153125010055" TargetMode="External" /><Relationship Id="rId57" Type="http://schemas.openxmlformats.org/officeDocument/2006/relationships/footer" Target="footer51.xml" /><Relationship Id="rId58" Type="http://schemas.openxmlformats.org/officeDocument/2006/relationships/footer" Target="footer52.xml" /><Relationship Id="rId59" Type="http://schemas.openxmlformats.org/officeDocument/2006/relationships/theme" Target="theme/theme1.xml" /><Relationship Id="rId6" Type="http://schemas.openxmlformats.org/officeDocument/2006/relationships/footer" Target="footer2.xml" /><Relationship Id="rId60" Type="http://schemas.openxmlformats.org/officeDocument/2006/relationships/styles" Target="styles.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32374</Words>
  <Characters>35146</Characters>
  <Application>Microsoft Office Word</Application>
  <DocSecurity>0</DocSecurity>
  <Lines>117</Lines>
  <Paragraphs>33</Paragraphs>
  <ScaleCrop>false</ScaleCrop>
  <Company>微软中国</Company>
  <LinksUpToDate>false</LinksUpToDate>
  <CharactersWithSpaces>35647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lhj</dc:creator>
  <cp:lastModifiedBy>委员</cp:lastModifiedBy>
  <cp:revision>4</cp:revision>
  <cp:lastPrinted>2020-12-24T01:50:00Z</cp:lastPrinted>
  <dcterms:created xsi:type="dcterms:W3CDTF">2020-12-24T01:42:00Z</dcterms:created>
  <dcterms:modified xsi:type="dcterms:W3CDTF">2024-03-05T13:17:29Z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325A1D3D0F484E688E816C7EDA37C6B4</vt:lpwstr>
  </property>
  <property fmtid="{D5CDD505-2E9C-101B-9397-08002B2CF9AE}" pid="3" name="KSOProductBuildVer">
    <vt:lpwstr>2052-12.1.0.15712</vt:lpwstr>
  </property>
</Properties>
</file>