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2018-2023年唐山职业技术学院高职单招（数学／语文／英语）历年常考试题库含答案解析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《短歌行》中化用《诗经·郑风·子衿》中的一句是（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A.何以解忧？唯有杜康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B.青青子衿，悠悠我心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C.山不厌高，水不厌深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D.呦呦鹿鸣，食野之萍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《五代史伶官传序》是一篇史论典范，其作者是（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下列关于文学常识的表述，完全正确的一项是（）。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A.《蚀》《子夜》《林家铺子》《寒夜》都是茅盾的代表作品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B.《雷雨》《日出》《原野》《北京人》都是曹禺的话剧作品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C.“爱情三部曲”“农村三部曲”“激流三部曲”的作者是巴金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D.郭沫若的历史剧《屈原》《虎符》《蔡文姬》写于抗战时期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下列诗句中化用了《诗经》中诗句的是（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A.对酒当歌，人生几何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B.山不厌高，海不厌深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C.呦呦鹿鸣，食野之苹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D.周公吐哺，天下归心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《张中丞传后叙》中抨击的人物是（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B.许远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D.贺兰进明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李白《行路难》中，情感抒发的特点是（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A.逐层递进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B.逐层递退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C.平缓舒展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D.起伏跌宕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C.感叹知音难觅，忧从中来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以下诗句中，化用《诗经》诗句的为（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A.周公吐哺，天下归心。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B.对酒当歌，人生几何。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C.山不厌高，海不厌深。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D.呦呦鹿鸣，食野之苹。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https://d.book118.com/026114122230010052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2611412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