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1、[单选题]应激性高血糖症原因是()。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A.高热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B.严重感染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C.手术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D.头部外伤。E,以上均是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2、[题干]患者颈前喉结两旁结块，大小约1.5cm×2cm，质软，病起较缓，心悸不宁，心烦少寐，易出汗，手指颤动，眼干，目眩，倦怠乏力，舌质红，苔少，舌体颤动，脉弦细数，诊断为瘿病。其证候是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A.气郁痰阻证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B.痰结血瘀证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C.肝火旺盛证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D.心肝阴虚证。E,风阳内动证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3、[题干]小儿贫血的临床表现可有()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A.皮肤、黏膜苍白为突出表现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B.可有肝脾和淋巴结肿大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C.食欲不振、易疲倦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D.头晕、耳鸣、注意力不集中。E,均有发热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4、[题干]女，2个月，确诊早期先天性梅毒，哪些为其特点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A.低热、哭声低、苍白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B.时有黄疸，肝、脾肿大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C.有鼻炎、流涕、鼻塞、出血或脓性分泌物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D.有畏光、流泪。E,有天疱疮样皮肤损害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5、[题干]结核分枝杆菌的病理学特征中，错误的描述是：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A.结核杆菌是不运动杆菌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B.结核杆菌是不产生芽孢的杆菌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C.结核杆菌是抗酸染色阳性杆菌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D.结核杆菌培养至少需要3～6个月才可见菌落。E,结核杆菌是专性需氧杆菌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6、[多选题]治疗痰火内扰心悸的代表方为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https://d.book118.com/027006045023006043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27006045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