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1、[单选题]既能化湿行气，又能温中止呕的药物是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A.藿香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B.佩兰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C.白豆蔻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D.厚朴。E,苍术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2、下列各经病证中，可用大柴胡汤治疗的是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A.少阳、太阳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B.少阳、阳明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C.少阳、太阴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D.少阴、太阴。E,阳明、少阴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【解析】大柴胡汤和解与通下并行，双解少阳、阳明之邪。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3、流行性感冒外感风热证，宜选用(　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A.银翘散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B.荆防败毒散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C.藿香正气散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D.新加香薷饮。E,桑杏汤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【解析】流行性感冒外感风热—辛凉解表—银翘散。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4、[题干]某女性患者，36岁，疟疾发作时热少寒多，口不渴，胸闷脘痞，神疲体倦，舌苔白腻，脉弦。其诊断是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A.温疟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B.寒疟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C.瘴虐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D.正虐。E,劳虐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5、[多选]咯脓血痰的疾病是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A.慢性支气管炎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B.支气管哮喘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C.支气管扩张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D.肺炎球菌肺炎。E,支气管肺癌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https://d.book118.com/027011151023006043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02701115102300604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