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2" w:beforeLines="100" w:after="312" w:afterLines="100" w:line="360" w:lineRule="auto"/>
        <w:ind w:firstLine="723"/>
        <w:jc w:val="center"/>
        <w:rPr>
          <w:rFonts w:ascii="幼圆" w:eastAsia="幼圆" w:hAnsi="幼圆" w:cs="幼圆" w:hint="eastAsia"/>
          <w:b/>
          <w:bCs/>
          <w:sz w:val="36"/>
          <w:szCs w:val="36"/>
        </w:rPr>
      </w:pPr>
      <w:bookmarkStart w:id="0" w:name="_GoBack"/>
      <w:r>
        <w:rPr>
          <w:rFonts w:ascii="幼圆" w:eastAsia="幼圆" w:hAnsi="幼圆" w:cs="幼圆" w:hint="eastAsia"/>
          <w:b/>
          <w:bCs/>
          <w:sz w:val="24"/>
          <w:szCs w:val="24"/>
        </w:rPr>
        <w:t>杜邦分析体系下X公司盈利能力分析</w:t>
      </w:r>
    </w:p>
    <w:bookmarkEnd w:id="0"/>
    <w:p>
      <w:pPr>
        <w:pStyle w:val="TOC1"/>
        <w:tabs>
          <w:tab w:val="clear" w:pos="9344"/>
          <w:tab w:val="right" w:leader="dot" w:pos="9354"/>
        </w:tabs>
        <w:spacing w:line="360" w:lineRule="auto"/>
        <w:rPr>
          <w:rFonts w:ascii="幼圆" w:eastAsia="幼圆" w:hAnsi="幼圆" w:cs="幼圆" w:hint="eastAsia"/>
        </w:rPr>
      </w:pPr>
      <w:r>
        <w:rPr>
          <w:rFonts w:ascii="幼圆" w:eastAsia="幼圆" w:hAnsi="幼圆" w:cs="幼圆" w:hint="eastAsia"/>
          <w:b w:val="0"/>
          <w:bCs w:val="0"/>
          <w:caps w:val="0"/>
          <w:sz w:val="24"/>
          <w:szCs w:val="24"/>
        </w:rPr>
        <w:fldChar w:fldCharType="begin"/>
      </w:r>
      <w:r>
        <w:rPr>
          <w:rFonts w:ascii="幼圆" w:eastAsia="幼圆" w:hAnsi="幼圆" w:cs="幼圆" w:hint="eastAsia"/>
          <w:b w:val="0"/>
          <w:bCs w:val="0"/>
          <w:caps w:val="0"/>
          <w:sz w:val="24"/>
          <w:szCs w:val="24"/>
        </w:rPr>
        <w:instrText xml:space="preserve"> </w:instrText>
      </w:r>
      <w:r>
        <w:rPr>
          <w:rFonts w:ascii="幼圆" w:eastAsia="幼圆" w:hAnsi="幼圆" w:cs="幼圆" w:hint="eastAsia"/>
          <w:b w:val="0"/>
          <w:bCs w:val="0"/>
          <w:caps w:val="0"/>
          <w:sz w:val="24"/>
          <w:szCs w:val="24"/>
        </w:rPr>
        <w:instrText>TOC \o "1-2" \h \z \u</w:instrText>
      </w:r>
      <w:r>
        <w:rPr>
          <w:rFonts w:ascii="幼圆" w:eastAsia="幼圆" w:hAnsi="幼圆" w:cs="幼圆" w:hint="eastAsia"/>
          <w:b w:val="0"/>
          <w:bCs w:val="0"/>
          <w:caps w:val="0"/>
          <w:sz w:val="24"/>
          <w:szCs w:val="24"/>
        </w:rPr>
        <w:instrText xml:space="preserve"> </w:instrText>
      </w:r>
      <w:r>
        <w:rPr>
          <w:rFonts w:ascii="幼圆" w:eastAsia="幼圆" w:hAnsi="幼圆" w:cs="幼圆" w:hint="eastAsia"/>
          <w:b w:val="0"/>
          <w:bCs w:val="0"/>
          <w:caps w:val="0"/>
          <w:sz w:val="24"/>
          <w:szCs w:val="24"/>
        </w:rPr>
        <w:fldChar w:fldCharType="separate"/>
      </w:r>
    </w:p>
    <w:p>
      <w:pPr>
        <w:pStyle w:val="TOC1"/>
        <w:tabs>
          <w:tab w:val="clear" w:pos="9344"/>
          <w:tab w:val="right" w:leader="dot" w:pos="9354"/>
        </w:tabs>
        <w:spacing w:line="360" w:lineRule="auto"/>
        <w:rPr>
          <w:rFonts w:ascii="幼圆" w:eastAsia="幼圆" w:hAnsi="幼圆" w:cs="幼圆" w:hint="eastAsia"/>
          <w:sz w:val="24"/>
          <w:szCs w:val="24"/>
        </w:rPr>
      </w:pPr>
      <w:hyperlink w:anchor="_Toc9076" w:history="1">
        <w:r>
          <w:rPr>
            <w:rFonts w:ascii="幼圆" w:eastAsia="幼圆" w:hAnsi="幼圆" w:cs="幼圆" w:hint="eastAsia"/>
            <w:sz w:val="24"/>
            <w:szCs w:val="24"/>
          </w:rPr>
          <w:t>1 导  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_Toc9076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29964" w:history="1">
        <w:r>
          <w:rPr>
            <w:rFonts w:ascii="幼圆" w:eastAsia="幼圆" w:hAnsi="幼圆" w:cs="幼圆" w:hint="eastAsia"/>
            <w:sz w:val="24"/>
            <w:szCs w:val="24"/>
          </w:rPr>
          <w:t>1.1 选题背景与意义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_Toc29964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9329" w:history="1">
        <w:r>
          <w:rPr>
            <w:rFonts w:ascii="幼圆" w:eastAsia="幼圆" w:hAnsi="幼圆" w:cs="幼圆" w:hint="eastAsia"/>
            <w:sz w:val="24"/>
            <w:szCs w:val="24"/>
          </w:rPr>
          <w:t>1.2 国内外文献综述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_Toc9329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2279" w:history="1">
        <w:r>
          <w:rPr>
            <w:rFonts w:ascii="幼圆" w:eastAsia="幼圆" w:hAnsi="幼圆" w:cs="幼圆" w:hint="eastAsia"/>
            <w:sz w:val="24"/>
            <w:szCs w:val="24"/>
          </w:rPr>
          <w:t xml:space="preserve">1.3 </w:t>
        </w:r>
        <w:r>
          <w:rPr>
            <w:rFonts w:ascii="幼圆" w:eastAsia="幼圆" w:hAnsi="幼圆" w:cs="幼圆" w:hint="eastAsia"/>
            <w:sz w:val="24"/>
            <w:szCs w:val="24"/>
          </w:rPr>
          <w:t>论文</w:t>
        </w:r>
        <w:r>
          <w:rPr>
            <w:rFonts w:ascii="幼圆" w:eastAsia="幼圆" w:hAnsi="幼圆" w:cs="幼圆" w:hint="eastAsia"/>
            <w:sz w:val="24"/>
            <w:szCs w:val="24"/>
          </w:rPr>
          <w:t>的结构</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_Toc2279 \h </w:instrText>
        </w:r>
        <w:r>
          <w:rPr>
            <w:rFonts w:ascii="幼圆" w:eastAsia="幼圆" w:hAnsi="幼圆" w:cs="幼圆" w:hint="eastAsia"/>
            <w:sz w:val="24"/>
            <w:szCs w:val="24"/>
          </w:rPr>
          <w:fldChar w:fldCharType="separate"/>
        </w:r>
        <w:r>
          <w:rPr>
            <w:rFonts w:ascii="幼圆" w:eastAsia="幼圆" w:hAnsi="幼圆" w:cs="幼圆" w:hint="eastAsia"/>
            <w:sz w:val="24"/>
            <w:szCs w:val="24"/>
          </w:rPr>
          <w:t>3</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9732" w:history="1">
        <w:r>
          <w:rPr>
            <w:rFonts w:ascii="幼圆" w:eastAsia="幼圆" w:hAnsi="幼圆" w:cs="幼圆" w:hint="eastAsia"/>
            <w:sz w:val="24"/>
            <w:szCs w:val="24"/>
          </w:rPr>
          <w:t>1.4 论文的研究方法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_Toc9732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tabs>
          <w:tab w:val="clear" w:pos="9344"/>
          <w:tab w:val="right" w:leader="dot" w:pos="9354"/>
        </w:tabs>
        <w:spacing w:line="360" w:lineRule="auto"/>
        <w:rPr>
          <w:rFonts w:ascii="幼圆" w:eastAsia="幼圆" w:hAnsi="幼圆" w:cs="幼圆" w:hint="eastAsia"/>
          <w:sz w:val="24"/>
          <w:szCs w:val="24"/>
        </w:rPr>
      </w:pPr>
      <w:hyperlink w:anchor="_Toc18402" w:history="1">
        <w:r>
          <w:rPr>
            <w:rFonts w:ascii="幼圆" w:eastAsia="幼圆" w:hAnsi="幼圆" w:cs="幼圆" w:hint="eastAsia"/>
            <w:sz w:val="24"/>
            <w:szCs w:val="24"/>
          </w:rPr>
          <w:t>2 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_Toc18402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1418" w:history="1">
        <w:r>
          <w:rPr>
            <w:rFonts w:ascii="幼圆" w:eastAsia="幼圆" w:hAnsi="幼圆" w:cs="幼圆" w:hint="eastAsia"/>
            <w:sz w:val="24"/>
            <w:szCs w:val="24"/>
          </w:rPr>
          <w:t>2.1 盈利能力的定义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_Toc11418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5788" w:history="1">
        <w:r>
          <w:rPr>
            <w:rFonts w:ascii="幼圆" w:eastAsia="幼圆" w:hAnsi="幼圆" w:cs="幼圆" w:hint="eastAsia"/>
            <w:sz w:val="24"/>
            <w:szCs w:val="24"/>
          </w:rPr>
          <w:t>2.2 盈利能力的分析方法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_Toc15788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2852" w:history="1">
        <w:r>
          <w:rPr>
            <w:rFonts w:ascii="幼圆" w:eastAsia="幼圆" w:hAnsi="幼圆" w:cs="幼圆" w:hint="eastAsia"/>
            <w:sz w:val="24"/>
            <w:szCs w:val="24"/>
          </w:rPr>
          <w:t>2.3 杜邦分析法的内涵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_Toc12852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27916" w:history="1">
        <w:r>
          <w:rPr>
            <w:rFonts w:ascii="幼圆" w:eastAsia="幼圆" w:hAnsi="幼圆" w:cs="幼圆" w:hint="eastAsia"/>
            <w:sz w:val="24"/>
            <w:szCs w:val="24"/>
          </w:rPr>
          <w:t>2.4 杜邦分析法的因素分析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_Toc27916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1"/>
        <w:tabs>
          <w:tab w:val="clear" w:pos="9344"/>
          <w:tab w:val="right" w:leader="dot" w:pos="9354"/>
        </w:tabs>
        <w:spacing w:line="360" w:lineRule="auto"/>
        <w:rPr>
          <w:rFonts w:ascii="幼圆" w:eastAsia="幼圆" w:hAnsi="幼圆" w:cs="幼圆" w:hint="eastAsia"/>
          <w:sz w:val="24"/>
          <w:szCs w:val="24"/>
        </w:rPr>
      </w:pPr>
      <w:hyperlink w:anchor="_Toc1063" w:history="1">
        <w:r>
          <w:rPr>
            <w:rFonts w:ascii="幼圆" w:eastAsia="幼圆" w:hAnsi="幼圆" w:cs="幼圆" w:hint="eastAsia"/>
            <w:sz w:val="24"/>
            <w:szCs w:val="24"/>
          </w:rPr>
          <w:t xml:space="preserve">3 </w:t>
        </w:r>
        <w:r>
          <w:rPr>
            <w:rFonts w:ascii="幼圆" w:eastAsia="幼圆" w:hAnsi="幼圆" w:cs="幼圆" w:hint="eastAsia"/>
            <w:sz w:val="24"/>
            <w:szCs w:val="24"/>
          </w:rPr>
          <w:t>X</w:t>
        </w:r>
        <w:r>
          <w:rPr>
            <w:rFonts w:ascii="幼圆" w:eastAsia="幼圆" w:hAnsi="幼圆" w:cs="幼圆" w:hint="eastAsia"/>
            <w:sz w:val="24"/>
            <w:szCs w:val="24"/>
          </w:rPr>
          <w:t>公司概况及基本财务分析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_Toc1063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29985" w:history="1">
        <w:r>
          <w:rPr>
            <w:rFonts w:ascii="幼圆" w:eastAsia="幼圆" w:hAnsi="幼圆" w:cs="幼圆" w:hint="eastAsia"/>
            <w:sz w:val="24"/>
            <w:szCs w:val="24"/>
          </w:rPr>
          <w:t xml:space="preserve">3.1 </w:t>
        </w:r>
        <w:r>
          <w:rPr>
            <w:rFonts w:ascii="幼圆" w:eastAsia="幼圆" w:hAnsi="幼圆" w:cs="幼圆" w:hint="eastAsia"/>
            <w:sz w:val="24"/>
            <w:szCs w:val="24"/>
          </w:rPr>
          <w:t>X</w:t>
        </w:r>
        <w:r>
          <w:rPr>
            <w:rFonts w:ascii="幼圆" w:eastAsia="幼圆" w:hAnsi="幼圆" w:cs="幼圆" w:hint="eastAsia"/>
            <w:sz w:val="24"/>
            <w:szCs w:val="24"/>
          </w:rPr>
          <w:t>公司的概况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_Toc29985 \h </w:instrText>
        </w:r>
        <w:r>
          <w:rPr>
            <w:rFonts w:ascii="幼圆" w:eastAsia="幼圆" w:hAnsi="幼圆" w:cs="幼圆" w:hint="eastAsia"/>
            <w:sz w:val="24"/>
            <w:szCs w:val="24"/>
          </w:rPr>
          <w:fldChar w:fldCharType="separate"/>
        </w:r>
        <w:r>
          <w:rPr>
            <w:rFonts w:ascii="幼圆" w:eastAsia="幼圆" w:hAnsi="幼圆" w:cs="幼圆" w:hint="eastAsia"/>
            <w:sz w:val="24"/>
            <w:szCs w:val="24"/>
          </w:rPr>
          <w:t>5</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6080" w:history="1">
        <w:r>
          <w:rPr>
            <w:rFonts w:ascii="幼圆" w:eastAsia="幼圆" w:hAnsi="幼圆" w:cs="幼圆" w:hint="eastAsia"/>
            <w:sz w:val="24"/>
            <w:szCs w:val="24"/>
          </w:rPr>
          <w:t>3.2 X公司的基本财务信息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_Toc6080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7898" w:history="1">
        <w:r>
          <w:rPr>
            <w:rFonts w:ascii="幼圆" w:eastAsia="幼圆" w:hAnsi="幼圆" w:cs="幼圆" w:hint="eastAsia"/>
            <w:sz w:val="24"/>
            <w:szCs w:val="24"/>
          </w:rPr>
          <w:t>3.3 X公司基本财务状况分析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_Toc17898 \h </w:instrText>
        </w:r>
        <w:r>
          <w:rPr>
            <w:rFonts w:ascii="幼圆" w:eastAsia="幼圆" w:hAnsi="幼圆" w:cs="幼圆" w:hint="eastAsia"/>
            <w:sz w:val="24"/>
            <w:szCs w:val="24"/>
          </w:rPr>
          <w:fldChar w:fldCharType="separate"/>
        </w:r>
        <w:r>
          <w:rPr>
            <w:rFonts w:ascii="幼圆" w:eastAsia="幼圆" w:hAnsi="幼圆" w:cs="幼圆" w:hint="eastAsia"/>
            <w:sz w:val="24"/>
            <w:szCs w:val="24"/>
          </w:rPr>
          <w:t>8</w:t>
        </w:r>
        <w:r>
          <w:rPr>
            <w:rFonts w:ascii="幼圆" w:eastAsia="幼圆" w:hAnsi="幼圆" w:cs="幼圆" w:hint="eastAsia"/>
            <w:sz w:val="24"/>
            <w:szCs w:val="24"/>
          </w:rPr>
          <w:fldChar w:fldCharType="end"/>
        </w:r>
      </w:hyperlink>
    </w:p>
    <w:p>
      <w:pPr>
        <w:pStyle w:val="TOC1"/>
        <w:tabs>
          <w:tab w:val="clear" w:pos="9344"/>
          <w:tab w:val="right" w:leader="dot" w:pos="9354"/>
        </w:tabs>
        <w:spacing w:line="360" w:lineRule="auto"/>
        <w:rPr>
          <w:rFonts w:ascii="幼圆" w:eastAsia="幼圆" w:hAnsi="幼圆" w:cs="幼圆" w:hint="eastAsia"/>
          <w:sz w:val="24"/>
          <w:szCs w:val="24"/>
        </w:rPr>
      </w:pPr>
      <w:hyperlink w:anchor="_Toc21835" w:history="1">
        <w:r>
          <w:rPr>
            <w:rFonts w:ascii="幼圆" w:eastAsia="幼圆" w:hAnsi="幼圆" w:cs="幼圆" w:hint="eastAsia"/>
            <w:sz w:val="24"/>
            <w:szCs w:val="24"/>
          </w:rPr>
          <w:t>4 杜邦分析体系下</w:t>
        </w:r>
        <w:r>
          <w:rPr>
            <w:rFonts w:ascii="幼圆" w:eastAsia="幼圆" w:hAnsi="幼圆" w:cs="幼圆" w:hint="eastAsia"/>
            <w:sz w:val="24"/>
            <w:szCs w:val="24"/>
          </w:rPr>
          <w:t>X公司</w:t>
        </w:r>
        <w:r>
          <w:rPr>
            <w:rFonts w:ascii="幼圆" w:eastAsia="幼圆" w:hAnsi="幼圆" w:cs="幼圆" w:hint="eastAsia"/>
            <w:sz w:val="24"/>
            <w:szCs w:val="24"/>
          </w:rPr>
          <w:t>盈利能力分析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_Toc21835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471" w:history="1">
        <w:r>
          <w:rPr>
            <w:rFonts w:ascii="幼圆" w:eastAsia="幼圆" w:hAnsi="幼圆" w:cs="幼圆" w:hint="eastAsia"/>
            <w:sz w:val="24"/>
            <w:szCs w:val="24"/>
          </w:rPr>
          <w:t>4.1 权益净利率变动分析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_Toc1471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5129" w:history="1">
        <w:r>
          <w:rPr>
            <w:rFonts w:ascii="幼圆" w:eastAsia="幼圆" w:hAnsi="幼圆" w:cs="幼圆" w:hint="eastAsia"/>
            <w:sz w:val="24"/>
            <w:szCs w:val="24"/>
          </w:rPr>
          <w:t>4.2 营业净利率变动分析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_Toc5129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6116" w:history="1">
        <w:r>
          <w:rPr>
            <w:rFonts w:ascii="幼圆" w:eastAsia="幼圆" w:hAnsi="幼圆" w:cs="幼圆" w:hint="eastAsia"/>
            <w:sz w:val="24"/>
            <w:szCs w:val="24"/>
          </w:rPr>
          <w:t>4.3 资产周转率变动分析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_Toc6116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5913" w:history="1">
        <w:r>
          <w:rPr>
            <w:rFonts w:ascii="幼圆" w:eastAsia="幼圆" w:hAnsi="幼圆" w:cs="幼圆" w:hint="eastAsia"/>
            <w:sz w:val="24"/>
            <w:szCs w:val="24"/>
          </w:rPr>
          <w:t>4.4 权益乘数变动分析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_Toc5913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1"/>
        <w:tabs>
          <w:tab w:val="clear" w:pos="9344"/>
          <w:tab w:val="right" w:leader="dot" w:pos="9354"/>
        </w:tabs>
        <w:spacing w:line="360" w:lineRule="auto"/>
        <w:rPr>
          <w:rFonts w:ascii="幼圆" w:eastAsia="幼圆" w:hAnsi="幼圆" w:cs="幼圆" w:hint="eastAsia"/>
          <w:sz w:val="24"/>
          <w:szCs w:val="24"/>
        </w:rPr>
      </w:pPr>
      <w:hyperlink w:anchor="_Toc29789" w:history="1">
        <w:r>
          <w:rPr>
            <w:rFonts w:ascii="幼圆" w:eastAsia="幼圆" w:hAnsi="幼圆" w:cs="幼圆" w:hint="eastAsia"/>
            <w:sz w:val="24"/>
            <w:szCs w:val="24"/>
          </w:rPr>
          <w:t>5 X公司盈利</w:t>
        </w:r>
        <w:r>
          <w:rPr>
            <w:rFonts w:ascii="幼圆" w:eastAsia="幼圆" w:hAnsi="幼圆" w:cs="幼圆" w:hint="eastAsia"/>
            <w:sz w:val="24"/>
            <w:szCs w:val="24"/>
          </w:rPr>
          <w:t>能力存在的问题</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_Toc29789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6749" w:history="1">
        <w:r>
          <w:rPr>
            <w:rFonts w:ascii="幼圆" w:eastAsia="幼圆" w:hAnsi="幼圆" w:cs="幼圆" w:hint="eastAsia"/>
            <w:sz w:val="24"/>
            <w:szCs w:val="24"/>
          </w:rPr>
          <w:t>5.1 资产周转率较低</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_Toc6749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7316" w:history="1">
        <w:r>
          <w:rPr>
            <w:rFonts w:ascii="幼圆" w:eastAsia="幼圆" w:hAnsi="幼圆" w:cs="幼圆" w:hint="eastAsia"/>
            <w:sz w:val="24"/>
            <w:szCs w:val="24"/>
          </w:rPr>
          <w:t>5.2 营业</w:t>
        </w:r>
        <w:r>
          <w:rPr>
            <w:rFonts w:ascii="幼圆" w:eastAsia="幼圆" w:hAnsi="幼圆" w:cs="幼圆" w:hint="eastAsia"/>
            <w:sz w:val="24"/>
            <w:szCs w:val="24"/>
          </w:rPr>
          <w:t>收入增长</w:t>
        </w:r>
        <w:r>
          <w:rPr>
            <w:rFonts w:ascii="幼圆" w:eastAsia="幼圆" w:hAnsi="幼圆" w:cs="幼圆" w:hint="eastAsia"/>
            <w:sz w:val="24"/>
            <w:szCs w:val="24"/>
          </w:rPr>
          <w:t>过慢</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_Toc17316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tabs>
          <w:tab w:val="clear" w:pos="9344"/>
          <w:tab w:val="right" w:leader="dot" w:pos="9354"/>
        </w:tabs>
        <w:spacing w:line="360" w:lineRule="auto"/>
        <w:rPr>
          <w:rFonts w:ascii="幼圆" w:eastAsia="幼圆" w:hAnsi="幼圆" w:cs="幼圆" w:hint="eastAsia"/>
          <w:sz w:val="24"/>
          <w:szCs w:val="24"/>
        </w:rPr>
      </w:pPr>
      <w:hyperlink w:anchor="_Toc14313" w:history="1">
        <w:r>
          <w:rPr>
            <w:rFonts w:ascii="幼圆" w:eastAsia="幼圆" w:hAnsi="幼圆" w:cs="幼圆" w:hint="eastAsia"/>
            <w:sz w:val="24"/>
            <w:szCs w:val="24"/>
          </w:rPr>
          <w:t>6 提升X公司盈利</w:t>
        </w:r>
        <w:r>
          <w:rPr>
            <w:rFonts w:ascii="幼圆" w:eastAsia="幼圆" w:hAnsi="幼圆" w:cs="幼圆" w:hint="eastAsia"/>
            <w:sz w:val="24"/>
            <w:szCs w:val="24"/>
          </w:rPr>
          <w:t>能力的对策建议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_Toc14313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1280" w:history="1">
        <w:r>
          <w:rPr>
            <w:rFonts w:ascii="幼圆" w:eastAsia="幼圆" w:hAnsi="幼圆" w:cs="幼圆" w:hint="eastAsia"/>
            <w:sz w:val="24"/>
            <w:szCs w:val="24"/>
          </w:rPr>
          <w:t>6.1 加强存货管理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_Toc1280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pPr>
      <w:hyperlink w:anchor="_Toc29048" w:history="1">
        <w:r>
          <w:rPr>
            <w:rFonts w:ascii="幼圆" w:eastAsia="幼圆" w:hAnsi="幼圆" w:cs="幼圆" w:hint="eastAsia"/>
            <w:sz w:val="24"/>
            <w:szCs w:val="24"/>
          </w:rPr>
          <w:t>6.2 加强对应收账款的管理</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_Toc29048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2"/>
        <w:tabs>
          <w:tab w:val="clear" w:pos="9344"/>
          <w:tab w:val="right" w:leader="dot" w:pos="9354"/>
        </w:tabs>
        <w:spacing w:line="360" w:lineRule="auto"/>
        <w:rPr>
          <w:rFonts w:ascii="幼圆" w:eastAsia="幼圆" w:hAnsi="幼圆" w:cs="幼圆" w:hint="eastAsia"/>
          <w:sz w:val="24"/>
          <w:szCs w:val="24"/>
        </w:rPr>
        <w:sectPr>
          <w:headerReference w:type="even" r:id="rId7"/>
          <w:headerReference w:type="default" r:id="rId8"/>
          <w:footerReference w:type="even" r:id="rId9"/>
          <w:footerReference w:type="default" r:id="rId10"/>
          <w:footnotePr>
            <w:numRestart w:val="eachPage"/>
          </w:footnotePr>
          <w:pgSz w:w="11906" w:h="16838"/>
          <w:pgMar w:top="1361" w:right="1474" w:bottom="1361" w:left="1474" w:header="851" w:footer="992" w:gutter="0"/>
          <w:pgNumType w:start="1"/>
          <w:cols w:num="1" w:space="720"/>
          <w:docGrid w:type="linesAndChars" w:linePitch="312" w:charSpace="0"/>
        </w:sectPr>
      </w:pPr>
      <w:hyperlink w:anchor="_Toc31874" w:history="1">
        <w:r>
          <w:rPr>
            <w:rFonts w:ascii="幼圆" w:eastAsia="幼圆" w:hAnsi="幼圆" w:cs="幼圆" w:hint="eastAsia"/>
            <w:sz w:val="24"/>
            <w:szCs w:val="24"/>
          </w:rPr>
          <w:t>6.3 寻找</w:t>
        </w:r>
        <w:r>
          <w:rPr>
            <w:rFonts w:ascii="幼圆" w:eastAsia="幼圆" w:hAnsi="幼圆" w:cs="幼圆" w:hint="eastAsia"/>
            <w:sz w:val="24"/>
            <w:szCs w:val="24"/>
          </w:rPr>
          <w:t>新的营销模式</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_Toc31874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pStyle w:val="TOC1"/>
        <w:tabs>
          <w:tab w:val="clear" w:pos="9344"/>
          <w:tab w:val="right" w:leader="dot" w:pos="9354"/>
        </w:tabs>
        <w:spacing w:line="360" w:lineRule="auto"/>
        <w:rPr>
          <w:rFonts w:ascii="幼圆" w:eastAsia="幼圆" w:hAnsi="幼圆" w:cs="幼圆" w:hint="eastAsia"/>
        </w:rPr>
      </w:pPr>
      <w:hyperlink w:anchor="_Toc18173" w:history="1">
        <w:r>
          <w:rPr>
            <w:rFonts w:ascii="幼圆" w:eastAsia="幼圆" w:hAnsi="幼圆" w:cs="幼圆" w:hint="eastAsia"/>
            <w:sz w:val="24"/>
            <w:szCs w:val="24"/>
          </w:rPr>
          <w:t>7 研究结论与展望</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_Toc18173 \h </w:instrText>
        </w:r>
        <w:r>
          <w:rPr>
            <w:rFonts w:ascii="幼圆" w:eastAsia="幼圆" w:hAnsi="幼圆" w:cs="幼圆" w:hint="eastAsia"/>
            <w:sz w:val="24"/>
            <w:szCs w:val="24"/>
          </w:rPr>
          <w:fldChar w:fldCharType="separate"/>
        </w:r>
        <w:r>
          <w:rPr>
            <w:rFonts w:ascii="幼圆" w:eastAsia="幼圆" w:hAnsi="幼圆" w:cs="幼圆" w:hint="eastAsia"/>
            <w:sz w:val="24"/>
            <w:szCs w:val="24"/>
          </w:rPr>
          <w:t>14</w:t>
        </w:r>
        <w:r>
          <w:rPr>
            <w:rFonts w:ascii="幼圆" w:eastAsia="幼圆" w:hAnsi="幼圆" w:cs="幼圆" w:hint="eastAsia"/>
            <w:sz w:val="24"/>
            <w:szCs w:val="24"/>
          </w:rPr>
          <w:fldChar w:fldCharType="end"/>
        </w:r>
      </w:hyperlink>
    </w:p>
    <w:p>
      <w:pPr>
        <w:spacing w:before="312" w:beforeLines="100" w:line="360" w:lineRule="auto"/>
        <w:ind w:firstLine="480"/>
        <w:rPr>
          <w:rFonts w:ascii="幼圆" w:eastAsia="幼圆" w:hAnsi="幼圆" w:cs="幼圆" w:hint="eastAsia"/>
        </w:rPr>
      </w:pPr>
      <w:r>
        <w:rPr>
          <w:rFonts w:ascii="幼圆" w:eastAsia="幼圆" w:hAnsi="幼圆" w:cs="幼圆" w:hint="eastAsia"/>
        </w:rPr>
        <w:fldChar w:fldCharType="end"/>
      </w:r>
      <w:bookmarkStart w:id="1" w:name="_Toc9076"/>
      <w:r>
        <w:rPr>
          <w:rFonts w:ascii="幼圆" w:eastAsia="幼圆" w:hAnsi="幼圆" w:cs="幼圆" w:hint="eastAsia"/>
        </w:rPr>
        <w:t>导  论</w:t>
      </w:r>
      <w:bookmarkEnd w:id="1"/>
    </w:p>
    <w:p>
      <w:pPr>
        <w:pStyle w:val="Heading2"/>
        <w:spacing w:line="360" w:lineRule="auto"/>
        <w:ind w:firstLine="562"/>
        <w:rPr>
          <w:rFonts w:ascii="幼圆" w:eastAsia="幼圆" w:hAnsi="幼圆" w:cs="幼圆" w:hint="eastAsia"/>
        </w:rPr>
      </w:pPr>
      <w:bookmarkStart w:id="2" w:name="_Toc29964"/>
      <w:r>
        <w:rPr>
          <w:rFonts w:ascii="幼圆" w:eastAsia="幼圆" w:hAnsi="幼圆" w:cs="幼圆" w:hint="eastAsia"/>
        </w:rPr>
        <w:t>选题背景与意义</w:t>
      </w:r>
      <w:bookmarkEnd w:id="2"/>
    </w:p>
    <w:p>
      <w:pPr>
        <w:bidi w:val="0"/>
        <w:spacing w:line="360" w:lineRule="auto"/>
        <w:rPr>
          <w:rFonts w:ascii="幼圆" w:eastAsia="幼圆" w:hAnsi="幼圆" w:cs="幼圆" w:hint="eastAsia"/>
        </w:rPr>
      </w:pPr>
      <w:bookmarkStart w:id="3" w:name="_Toc9329"/>
      <w:r>
        <w:rPr>
          <w:rFonts w:ascii="幼圆" w:eastAsia="幼圆" w:hAnsi="幼圆" w:cs="幼圆" w:hint="eastAsia"/>
        </w:rPr>
        <w:t>白酒历史悠久,是我们中华民族从古至今在走亲访友、好朋友们相聚的重要交际场合上必备的重要礼品组成的一部分,随着现代我国特色社会主义经济的不断的迅猛的发展,人们的精神生活品质水平、消费接受能力都已经得到了很大的程度提高,对白酒的品味也有所提升,不知何时起,白酒不再仅仅只是一种饮料,更多的是其背后的内涵和价值。但2012年底,国家发布了"三公消费"的政策之后,在整个酒业引起了轩然大波,对高档白酒更是当头一棒,白酒销售渐渐进入停滞阶段。接下来的几年不少白酒纷纷开始自救,使用各种方法,最后在所有白酒企业的共同努力下,白酒行业逐渐复苏,在2019年重新走上辉煌。同年年底到2020年初,中国又爆发前所未有的新冠疫情,本是欢度春节,走亲访友,阖家团圆大家开心喝酒、送酒的日子,但所有民众在家呆好切勿聚集,导致白酒滞销,这给白酒行业再次带来严峻的考验。本文就是以山西知名企业我国酒业的领军企业之一的x公司作为主要的问题研究考察对象,利用美国杜邦分析法对x公司的近年实际经营盈利管理能力发展情况及其进行全面而具体针对地统计分析,看看X公司在2017年至2019年这个走向辉煌又再遇挑战的阶段是怎样走出困境,再创辉煌的,并找出该公司经营管理中还有哪些待改进的不足之处,以供大家学习参考共同进步,给整个酒行业起领导作用。</w:t>
      </w:r>
    </w:p>
    <w:p>
      <w:pPr>
        <w:pStyle w:val="Heading2"/>
        <w:spacing w:line="360" w:lineRule="auto"/>
        <w:ind w:firstLine="562"/>
        <w:rPr>
          <w:rFonts w:ascii="幼圆" w:eastAsia="幼圆" w:hAnsi="幼圆" w:cs="幼圆" w:hint="eastAsia"/>
        </w:rPr>
      </w:pPr>
      <w:r>
        <w:rPr>
          <w:rFonts w:ascii="幼圆" w:eastAsia="幼圆" w:hAnsi="幼圆" w:cs="幼圆" w:hint="eastAsia"/>
        </w:rPr>
        <w:t>国内外文献综述</w:t>
      </w:r>
      <w:bookmarkEnd w:id="3"/>
    </w:p>
    <w:p>
      <w:pPr>
        <w:pStyle w:val="Heading3"/>
        <w:numPr>
          <w:numId w:val="2"/>
        </w:numPr>
        <w:spacing w:line="360" w:lineRule="auto"/>
        <w:ind w:firstLine="482"/>
        <w:rPr>
          <w:rFonts w:ascii="幼圆" w:eastAsia="幼圆" w:hAnsi="幼圆" w:cs="幼圆" w:hint="eastAsia"/>
        </w:rPr>
      </w:pPr>
      <w:r>
        <w:rPr>
          <w:rFonts w:ascii="幼圆" w:eastAsia="幼圆" w:hAnsi="幼圆" w:cs="幼圆" w:hint="eastAsia"/>
        </w:rPr>
        <w:t>国外研究状况</w:t>
      </w:r>
    </w:p>
    <w:p>
      <w:pPr>
        <w:bidi w:val="0"/>
        <w:spacing w:line="360" w:lineRule="auto"/>
        <w:rPr>
          <w:rFonts w:ascii="幼圆" w:eastAsia="幼圆" w:hAnsi="幼圆" w:cs="幼圆" w:hint="eastAsia"/>
        </w:rPr>
      </w:pPr>
      <w:r>
        <w:rPr>
          <w:rFonts w:ascii="幼圆" w:eastAsia="幼圆" w:hAnsi="幼圆" w:cs="幼圆" w:hint="eastAsia"/>
        </w:rPr>
        <w:t>二十世纪20年代,美国的杜邦公司唐纳森布朗(Donaldson Brown)和皮尔杜邦(PierreDu Pont)一起创造了"杜邦分析法",是一种可以用来评价企业创造利润能力、收回股东的权益的能力的一种方法,能够站在财务角度对企业经营和管理进行全面具体地分析。</w:t>
      </w:r>
    </w:p>
    <w:p>
      <w:pPr>
        <w:bidi w:val="0"/>
        <w:spacing w:line="360" w:lineRule="auto"/>
        <w:rPr>
          <w:rFonts w:ascii="幼圆" w:eastAsia="幼圆" w:hAnsi="幼圆" w:cs="幼圆" w:hint="eastAsia"/>
        </w:rPr>
        <w:sectPr>
          <w:headerReference w:type="even" r:id="rId11"/>
          <w:headerReference w:type="default" r:id="rId12"/>
          <w:footerReference w:type="even" r:id="rId13"/>
          <w:footerReference w:type="default" r:id="rId14"/>
          <w:footnotePr>
            <w:numRestart w:val="eachPage"/>
          </w:footnotePr>
          <w:type w:val="nextPage"/>
          <w:pgSz w:w="11906" w:h="16838"/>
          <w:pgMar w:top="1361" w:right="1474" w:bottom="1361" w:left="1474" w:header="851" w:footer="992" w:gutter="0"/>
          <w:pgNumType w:start="2"/>
          <w:cols w:num="1" w:space="720"/>
          <w:titlePg w:val="0"/>
          <w:docGrid w:type="linesAndChars" w:linePitch="312" w:charSpace="0"/>
        </w:sectPr>
      </w:pPr>
      <w:r>
        <w:rPr>
          <w:rFonts w:ascii="幼圆" w:eastAsia="幼圆" w:hAnsi="幼圆" w:cs="幼圆" w:hint="eastAsia"/>
        </w:rPr>
        <w:t>2011年美国加利福尼亚大学凯恩教授和美国波士顿大学博迪教授共同提出把握率税收影响和利息收入融入杜邦分析体系之中,他认为财务费用这个指标也影响着资本结构的是否合理,即当融资需求不改变的情况下,资本成本如果可以越低,资本结构也就越合理。</w:t>
      </w:r>
    </w:p>
    <w:p>
      <w:pPr>
        <w:bidi w:val="0"/>
        <w:spacing w:line="360" w:lineRule="auto"/>
        <w:rPr>
          <w:rFonts w:ascii="幼圆" w:eastAsia="幼圆" w:hAnsi="幼圆" w:cs="幼圆" w:hint="eastAsia"/>
        </w:rPr>
      </w:pPr>
      <w:r>
        <w:rPr>
          <w:rFonts w:ascii="幼圆" w:eastAsia="幼圆" w:hAnsi="幼圆" w:cs="幼圆" w:hint="eastAsia"/>
        </w:rPr>
        <w:t>2015年Solim教授指出若是能在各种财务指标中去除其杠杆效应,并在杜邦分析体系下研究企业的财务状况,能更好地真实客观地反映公司的财务状况。</w:t>
      </w:r>
    </w:p>
    <w:p>
      <w:pPr>
        <w:bidi w:val="0"/>
        <w:spacing w:line="360" w:lineRule="auto"/>
        <w:rPr>
          <w:rFonts w:ascii="幼圆" w:eastAsia="幼圆" w:hAnsi="幼圆" w:cs="幼圆" w:hint="eastAsia"/>
        </w:rPr>
      </w:pPr>
      <w:r>
        <w:rPr>
          <w:rFonts w:ascii="幼圆" w:eastAsia="幼圆" w:hAnsi="幼圆" w:cs="幼圆" w:hint="eastAsia"/>
        </w:rPr>
        <w:t>2016年Hak-Seon Kim教授利用杜邦分析法分析了食品行业的财务状况,并利用表格统计权益净利率、总资产周转率的有规律的变化,最后得出衡量企业盈利能力最全面的指标是权益净利率和投资回报率的结论。</w:t>
      </w:r>
    </w:p>
    <w:p>
      <w:pPr>
        <w:bidi w:val="0"/>
        <w:spacing w:line="360" w:lineRule="auto"/>
        <w:rPr>
          <w:rFonts w:ascii="幼圆" w:eastAsia="幼圆" w:hAnsi="幼圆" w:cs="幼圆" w:hint="eastAsia"/>
        </w:rPr>
      </w:pPr>
      <w:r>
        <w:rPr>
          <w:rFonts w:ascii="幼圆" w:eastAsia="幼圆" w:hAnsi="幼圆" w:cs="幼圆" w:hint="eastAsia"/>
        </w:rPr>
        <w:t>2017年Yan Jin教授探索了是否可以在杜邦分析体系下研究企业未来的权益净利率,在此基础上改进了杜邦分析模型,并考察了权益净利率是否在改模型下持久,最终得出结论是可行的。</w:t>
      </w:r>
    </w:p>
    <w:p>
      <w:pPr>
        <w:pStyle w:val="Heading3"/>
        <w:spacing w:line="360" w:lineRule="auto"/>
        <w:ind w:firstLine="482"/>
        <w:rPr>
          <w:rFonts w:ascii="幼圆" w:eastAsia="幼圆" w:hAnsi="幼圆" w:cs="幼圆" w:hint="eastAsia"/>
        </w:rPr>
      </w:pPr>
      <w:r>
        <w:rPr>
          <w:rFonts w:ascii="幼圆" w:eastAsia="幼圆" w:hAnsi="幼圆" w:cs="幼圆" w:hint="eastAsia"/>
        </w:rPr>
        <w:t>国内研究状况</w:t>
      </w:r>
    </w:p>
    <w:p>
      <w:pPr>
        <w:bidi w:val="0"/>
        <w:spacing w:line="360" w:lineRule="auto"/>
        <w:rPr>
          <w:rFonts w:ascii="幼圆" w:eastAsia="幼圆" w:hAnsi="幼圆" w:cs="幼圆" w:hint="eastAsia"/>
        </w:rPr>
      </w:pPr>
      <w:r>
        <w:rPr>
          <w:rFonts w:ascii="幼圆" w:eastAsia="幼圆" w:hAnsi="幼圆" w:cs="幼圆" w:hint="eastAsia"/>
        </w:rPr>
        <w:t>二十世纪八十年初,随着社会经济环境的变化,公司运营的需要,中国学者逐渐认识到杜邦分析体系,开始了对其积极地研究与探索,不仅在报刊上发表文章向大家介绍推广杜邦分析体系,还通过实际情况对杜邦分析进行了改进。一直延续到了我国二十世纪末,各类跨国企业都广泛应用杜邦分析管理系统,分析了各类企业在国际市场中如何获取长期利润的三大能力,以此精准找出各类企业在市场经营和生产管理中存在可能仍然存在的重大问题,并为其企业提出了快速解决的有效对策。二十一世纪以来,因为经济的迅速发展,社会环境的巨大改变,企业也变得越来越高新、国际,为适应新的社会变革、企业变革,我国学者也根据企业的实际情况我国的实际国情对杜邦分析法进行了改变与创新,使其与当下的经济形势更为相符。</w:t>
      </w:r>
    </w:p>
    <w:p>
      <w:pPr>
        <w:bidi w:val="0"/>
        <w:spacing w:line="360" w:lineRule="auto"/>
        <w:rPr>
          <w:rFonts w:ascii="幼圆" w:eastAsia="幼圆" w:hAnsi="幼圆" w:cs="幼圆" w:hint="eastAsia"/>
        </w:rPr>
      </w:pPr>
      <w:r>
        <w:rPr>
          <w:rFonts w:ascii="幼圆" w:eastAsia="幼圆" w:hAnsi="幼圆" w:cs="幼圆" w:hint="eastAsia"/>
        </w:rPr>
        <w:t>2011年朱宏泉等研究学者将本次研究的课题的目光放在中国a股某些大型企业后者上市证券公司上,以此课题为理论基础研究讨论了基于杜邦理论的若干主要财务指标和其他主要财务指标的市场经济作用解读释义,用于深入验证杜邦财务制度管理体系对于中国证券市场的实际适应性和作用。</w:t>
      </w:r>
    </w:p>
    <w:p>
      <w:pPr>
        <w:bidi w:val="0"/>
        <w:spacing w:line="360" w:lineRule="auto"/>
        <w:rPr>
          <w:rFonts w:ascii="幼圆" w:eastAsia="幼圆" w:hAnsi="幼圆" w:cs="幼圆" w:hint="eastAsia"/>
        </w:rPr>
      </w:pPr>
      <w:r>
        <w:rPr>
          <w:rFonts w:ascii="幼圆" w:eastAsia="幼圆" w:hAnsi="幼圆" w:cs="幼圆" w:hint="eastAsia"/>
        </w:rPr>
        <w:t>同年,赵坤、朱戎等人运用杜邦分析法对宝钢公司的财务情况和经营成果情况进行了分析,利用2005年至2009年的财务资料数据综合地进行了计算和分解,找出了股东权益报酬率发生变化的根本原因,为宝钢公司企业的改善和经营管理工作提供了依据。</w:t>
      </w:r>
    </w:p>
    <w:p>
      <w:pPr>
        <w:bidi w:val="0"/>
        <w:spacing w:line="360" w:lineRule="auto"/>
        <w:rPr>
          <w:rFonts w:ascii="幼圆" w:eastAsia="幼圆" w:hAnsi="幼圆" w:cs="幼圆" w:hint="eastAsia"/>
        </w:rPr>
        <w:sectPr>
          <w:headerReference w:type="even" r:id="rId15"/>
          <w:headerReference w:type="default" r:id="rId16"/>
          <w:footerReference w:type="even" r:id="rId17"/>
          <w:footerReference w:type="default" r:id="rId18"/>
          <w:footnotePr>
            <w:numRestart w:val="eachPage"/>
          </w:footnotePr>
          <w:type w:val="nextPage"/>
          <w:pgSz w:w="11906" w:h="16838"/>
          <w:pgMar w:top="1361" w:right="1474" w:bottom="1361" w:left="1474" w:header="851" w:footer="992" w:gutter="0"/>
          <w:pgNumType w:start="3"/>
          <w:cols w:num="1" w:space="720"/>
          <w:titlePg w:val="0"/>
          <w:docGrid w:type="linesAndChars" w:linePitch="312" w:charSpace="0"/>
        </w:sectPr>
      </w:pPr>
    </w:p>
    <w:p>
      <w:pPr>
        <w:bidi w:val="0"/>
        <w:spacing w:line="360" w:lineRule="auto"/>
        <w:rPr>
          <w:rFonts w:ascii="幼圆" w:eastAsia="幼圆" w:hAnsi="幼圆" w:cs="幼圆" w:hint="eastAsia"/>
        </w:rPr>
      </w:pPr>
      <w:r>
        <w:rPr>
          <w:rFonts w:ascii="幼圆" w:eastAsia="幼圆" w:hAnsi="幼圆" w:cs="幼圆" w:hint="eastAsia"/>
        </w:rPr>
        <w:t>2013年郭晓蓓选择了在去年中国深圳证券交易所已成功挂牌交易并上市的三家中国电气设备制造公司企业作为主要综合研究和考察对象,包括其中国电南自、许继电气、国电南瑞,以杜邦分析法数据作为主要综合研究和分析工具,对这三家电气企业2011年的公司净资产和公司财务收益情况通过数据分析对其进行了一次综合比较分析,得出的主要研究成果结论</w:t>
      </w:r>
      <w:r>
        <w:rPr>
          <w:rFonts w:ascii="幼圆" w:eastAsia="幼圆" w:hAnsi="幼圆" w:cs="幼圆" w:hint="eastAsia"/>
          <w:lang w:eastAsia="zh-CN"/>
        </w:rPr>
        <w:t>：</w:t>
      </w:r>
      <w:r>
        <w:rPr>
          <w:rFonts w:ascii="幼圆" w:eastAsia="幼圆" w:hAnsi="幼圆" w:cs="幼圆" w:hint="eastAsia"/>
          <w:lang w:val="en-US" w:eastAsia="zh-CN"/>
        </w:rPr>
        <w:t>她</w:t>
      </w:r>
      <w:r>
        <w:rPr>
          <w:rFonts w:ascii="幼圆" w:eastAsia="幼圆" w:hAnsi="幼圆" w:cs="幼圆" w:hint="eastAsia"/>
        </w:rPr>
        <w:t>认为国中中电南瑞的公司净资产平均收益率在全国排名第一,国电南自略好,而其中许继电气则明显着收益偏低。通过这一个案例进行总结和分析并向大家建议:实际上中国电南自认为需要不断降低企业的资产负债率,并且认为有助于不断提高中国企业自有资产的资本运营和盈利管理水平能力;同时国际中电南瑞还有人认为他们觉得有必要进一步不断改善其资产盈利管理能力;此外许继电气还认为需要继续改善和不断提升中国企业的资产盈利管理能力与企业资产运营管理水平、负债负担能力,以便能够获取更多的营业收入。</w:t>
      </w:r>
    </w:p>
    <w:p>
      <w:pPr>
        <w:bidi w:val="0"/>
        <w:spacing w:line="360" w:lineRule="auto"/>
        <w:rPr>
          <w:rFonts w:ascii="幼圆" w:eastAsia="幼圆" w:hAnsi="幼圆" w:cs="幼圆" w:hint="eastAsia"/>
        </w:rPr>
      </w:pPr>
      <w:r>
        <w:rPr>
          <w:rFonts w:ascii="幼圆" w:eastAsia="幼圆" w:hAnsi="幼圆" w:cs="幼圆" w:hint="eastAsia"/>
        </w:rPr>
        <w:t>2014年尹高兰认为,杜邦分析法作为一种比较实用的企业财务流动性比率分解的方法,杜邦分析法能够对企业的管理和经营现状进行合理的分析,从而给企业管理和决策工作提供了相应的指导和参考。他使用杜邦分析法来分析建设银行公司的财务报表,并为他们发展创新战略提供必要的依据和参考。</w:t>
      </w:r>
    </w:p>
    <w:p>
      <w:pPr>
        <w:bidi w:val="0"/>
        <w:spacing w:line="360" w:lineRule="auto"/>
        <w:rPr>
          <w:rFonts w:ascii="幼圆" w:eastAsia="幼圆" w:hAnsi="幼圆" w:cs="幼圆" w:hint="eastAsia"/>
        </w:rPr>
      </w:pPr>
      <w:r>
        <w:rPr>
          <w:rFonts w:ascii="幼圆" w:eastAsia="幼圆" w:hAnsi="幼圆" w:cs="幼圆" w:hint="eastAsia"/>
        </w:rPr>
        <w:t>2014年张龙、陈丹丹等人通过结合中国医药生物制剂行业的总体财务报表,运用杜邦分析法,根据企业净资产收益率,探索了行业主要的财务指标之间的相互内在关系,将传统的横向和纵比较的方法应用于全面地评估该行业的整体财务情况与其经营业绩。</w:t>
      </w:r>
    </w:p>
    <w:p>
      <w:pPr>
        <w:bidi w:val="0"/>
        <w:spacing w:line="360" w:lineRule="auto"/>
        <w:rPr>
          <w:rFonts w:ascii="幼圆" w:eastAsia="幼圆" w:hAnsi="幼圆" w:cs="幼圆" w:hint="eastAsia"/>
        </w:rPr>
      </w:pPr>
      <w:r>
        <w:rPr>
          <w:rFonts w:ascii="幼圆" w:eastAsia="幼圆" w:hAnsi="幼圆" w:cs="幼圆" w:hint="eastAsia"/>
        </w:rPr>
        <w:t>2015年陈勇华利用杜邦分析法,全面、动态地准确分析和解剖了信息中的各种财务指标,以此为基础构建一套科学的民办高校企业财务风险评估管理体系,从而准确地揭示了民办高校在其日常经营、偿债、盈利和可持续发展方面的能力。</w:t>
      </w:r>
    </w:p>
    <w:p>
      <w:pPr>
        <w:bidi w:val="0"/>
        <w:spacing w:line="360" w:lineRule="auto"/>
        <w:rPr>
          <w:rFonts w:ascii="幼圆" w:eastAsia="幼圆" w:hAnsi="幼圆" w:cs="幼圆" w:hint="eastAsia"/>
        </w:rPr>
      </w:pPr>
      <w:r>
        <w:rPr>
          <w:rFonts w:ascii="幼圆" w:eastAsia="幼圆" w:hAnsi="幼圆" w:cs="幼圆" w:hint="eastAsia"/>
        </w:rPr>
        <w:t>2016年许彩玲将杜邦分析法应用于分析兴业银行2012年至2014年的长期财务数据,通过与其他大型国家股份制上市商业投资银行的数据分析和统计比较,找出了目前兴业银行眼下财务盈余运营能力管理水平等各个方面目前所可能存在的些许困难和热点问题,并针对目前行业存在的一些困难和热点问题,提出了一些相关政策建议。</w:t>
      </w:r>
    </w:p>
    <w:p>
      <w:pPr>
        <w:bidi w:val="0"/>
        <w:spacing w:line="360" w:lineRule="auto"/>
        <w:rPr>
          <w:rFonts w:ascii="幼圆" w:eastAsia="幼圆" w:hAnsi="幼圆" w:cs="幼圆" w:hint="eastAsia"/>
        </w:rPr>
      </w:pPr>
      <w:r>
        <w:rPr>
          <w:rFonts w:ascii="幼圆" w:eastAsia="幼圆" w:hAnsi="幼圆" w:cs="幼圆" w:hint="eastAsia"/>
        </w:rPr>
        <w:t>2017年葛勇结合杜邦模型并根据 s 高速集团2014年至2016年的总体财务数据,逐一详细的对每个指标比率都进行了客观的计算和解释,并明确地指出了在当前市场激烈的国际竞争环境中各个指标比率数值的变化程度及其大小如何会直接对公司的盈利管理能力造成影响,并通过使用因子分析方法,得出了财务分析的结论和有效地提高了盈利能力方案。</w:t>
      </w:r>
    </w:p>
    <w:p>
      <w:pPr>
        <w:bidi w:val="0"/>
        <w:spacing w:line="360" w:lineRule="auto"/>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ind w:firstLine="0" w:firstLineChar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https://d.book118.com/027036143050006035</w:t>
        </w:r>
      </w:hyperlink>
    </w:p>
    <w:p>
      <w:pPr>
        <w:bidi w:val="0"/>
        <w:spacing w:line="360" w:lineRule="auto"/>
        <w:rPr>
          <w:rFonts w:ascii="幼圆" w:eastAsia="幼圆" w:hAnsi="幼圆" w:cs="幼圆" w:hint="eastAsia"/>
        </w:rPr>
      </w:pPr>
    </w:p>
    <w:sectPr>
      <w:headerReference w:type="even" r:id="rId20"/>
      <w:headerReference w:type="default" r:id="rId21"/>
      <w:footerReference w:type="even" r:id="rId22"/>
      <w:footerReference w:type="default" r:id="rId23"/>
      <w:footnotePr>
        <w:numRestart w:val="eachPage"/>
      </w:footnotePr>
      <w:type w:val="nextPage"/>
      <w:pgSz w:w="11906" w:h="16838"/>
      <w:pgMar w:top="1361" w:right="1474" w:bottom="1361" w:left="1474" w:header="851" w:footer="992" w:gutter="0"/>
      <w:pgNumType w:start="4"/>
      <w:cols w:num="1" w:space="720"/>
      <w:titlePg w:val="0"/>
      <w:docGrid w:type="linesAndChar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ind w:firstLine="360"/>
      <w:rPr>
        <w:rStyle w:val="PageNumber"/>
      </w:rPr>
    </w:pPr>
    <w:r>
      <w:fldChar w:fldCharType="begin"/>
    </w:r>
    <w:r>
      <w:rPr>
        <w:rStyle w:val="PageNumber"/>
      </w:rPr>
      <w:instrText xml:space="preserve">PAGE  </w:instrText>
    </w:r>
    <w:r>
      <w:fldChar w:fldCharType="separate"/>
    </w:r>
    <w:r>
      <w:rPr>
        <w:rStyle w:val="PageNumber"/>
      </w:rPr>
      <w:t>20</w:t>
    </w:r>
    <w:r>
      <w:fldChar w:fldCharType="end"/>
    </w:r>
  </w:p>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ind w:firstLine="360"/>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ind w:firstLine="360"/>
      <w:rPr>
        <w:rStyle w:val="PageNumber"/>
      </w:rPr>
    </w:pPr>
    <w:r>
      <w:fldChar w:fldCharType="begin"/>
    </w:r>
    <w:r>
      <w:rPr>
        <w:rStyle w:val="PageNumber"/>
      </w:rPr>
      <w:instrText xml:space="preserve">PAGE  </w:instrText>
    </w:r>
    <w:r>
      <w:fldChar w:fldCharType="separate"/>
    </w:r>
    <w:r>
      <w:rPr>
        <w:rStyle w:val="PageNumber"/>
      </w:rPr>
      <w:t>20</w:t>
    </w:r>
    <w:r>
      <w:fldChar w:fldCharType="end"/>
    </w:r>
  </w:p>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ind w:firstLine="360"/>
      <w:rPr>
        <w:rStyle w:val="PageNumber"/>
      </w:rPr>
    </w:pPr>
    <w:r>
      <w:fldChar w:fldCharType="begin"/>
    </w:r>
    <w:r>
      <w:rPr>
        <w:rStyle w:val="PageNumber"/>
      </w:rPr>
      <w:instrText xml:space="preserve">PAGE  </w:instrText>
    </w:r>
    <w:r>
      <w:fldChar w:fldCharType="separate"/>
    </w:r>
    <w:r>
      <w:rPr>
        <w:rStyle w:val="PageNumber"/>
      </w:rPr>
      <w:t>4</w:t>
    </w:r>
    <w:r>
      <w:fldChar w:fldCharType="end"/>
    </w:r>
  </w:p>
  <w:p>
    <w:pPr>
      <w:pStyle w:val="Footer"/>
      <w:ind w:right="360"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1"/>
      <w:spacing w:before="240" w:after="240"/>
      <w:jc w:val="both"/>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1"/>
      <w:spacing w:before="240" w:after="240"/>
      <w:jc w:val="both"/>
      <w:rPr>
        <w:sz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1"/>
      <w:spacing w:before="240" w:after="240"/>
      <w:jc w:val="both"/>
      <w:rPr>
        <w:sz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1"/>
      <w:spacing w:before="240" w:after="240"/>
      <w:jc w:val="both"/>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3AC08D6"/>
    <w:multiLevelType w:val="multilevel"/>
    <w:tmpl w:val="33AC08D6"/>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eastAsia"/>
      </w:rPr>
    </w:lvl>
    <w:lvl w:ilvl="2">
      <w:start w:val="1"/>
      <w:numFmt w:val="decimal"/>
      <w:pStyle w:val="Heading3"/>
      <w:suff w:val="space"/>
      <w:lvlText w:val="%1.%2.%3"/>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0"/>
    <w:lvlOverride w:ilvl="0">
      <w:lvl w:ilvl="0" w:tentative="1">
        <w:start w:val="1"/>
        <w:numFmt w:val="decimal"/>
        <w:suff w:val="space"/>
        <w:lvlText w:val="%1"/>
        <w:lvlJc w:val="left"/>
        <w:pPr>
          <w:ind w:left="0" w:firstLine="0"/>
        </w:pPr>
        <w:rPr>
          <w:rFonts w:hint="eastAsia"/>
        </w:rPr>
      </w:lvl>
    </w:lvlOverride>
    <w:lvlOverride w:ilvl="1">
      <w:lvl w:ilvl="1" w:tentative="1">
        <w:start w:val="1"/>
        <w:numFmt w:val="decimal"/>
        <w:suff w:val="space"/>
        <w:lvlText w:val="%1.%2"/>
        <w:lvlJc w:val="left"/>
        <w:pPr>
          <w:ind w:left="0" w:firstLine="0"/>
        </w:pPr>
        <w:rPr>
          <w:rFonts w:hint="eastAsia"/>
        </w:rPr>
      </w:lvl>
    </w:lvlOverride>
    <w:lvlOverride w:ilvl="2">
      <w:lvl w:ilvl="2" w:tentative="1">
        <w:start w:val="1"/>
        <w:numFmt w:val="decimal"/>
        <w:suff w:val="space"/>
        <w:lvlText w:val="%1.%2.%3"/>
        <w:lvlJc w:val="left"/>
        <w:pPr>
          <w:ind w:left="0" w:firstLine="0"/>
        </w:pPr>
        <w:rPr>
          <w:rFonts w:hint="eastAsia"/>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VerticalSpacing w:val="156"/>
  <w:noPunctuationKerning/>
  <w:characterSpacingControl w:val="compressPunctuation"/>
  <w:footnotePr>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684"/>
    <w:rsid w:val="000067C1"/>
    <w:rsid w:val="00052FAC"/>
    <w:rsid w:val="000A7E46"/>
    <w:rsid w:val="000B50D0"/>
    <w:rsid w:val="000E1596"/>
    <w:rsid w:val="00121774"/>
    <w:rsid w:val="00130DD3"/>
    <w:rsid w:val="00174486"/>
    <w:rsid w:val="001A0896"/>
    <w:rsid w:val="001B02C7"/>
    <w:rsid w:val="001D28FA"/>
    <w:rsid w:val="001D7411"/>
    <w:rsid w:val="001F09B2"/>
    <w:rsid w:val="00210394"/>
    <w:rsid w:val="0023182F"/>
    <w:rsid w:val="002817B8"/>
    <w:rsid w:val="002A7A60"/>
    <w:rsid w:val="002B6546"/>
    <w:rsid w:val="002C48A1"/>
    <w:rsid w:val="002C6AAB"/>
    <w:rsid w:val="002F06E3"/>
    <w:rsid w:val="003165DD"/>
    <w:rsid w:val="00337E5D"/>
    <w:rsid w:val="0035045E"/>
    <w:rsid w:val="003735ED"/>
    <w:rsid w:val="003A17DD"/>
    <w:rsid w:val="00440038"/>
    <w:rsid w:val="00491128"/>
    <w:rsid w:val="004C226F"/>
    <w:rsid w:val="004C3975"/>
    <w:rsid w:val="004E14DF"/>
    <w:rsid w:val="00503B11"/>
    <w:rsid w:val="00511BB6"/>
    <w:rsid w:val="00524FE5"/>
    <w:rsid w:val="00531370"/>
    <w:rsid w:val="005370AB"/>
    <w:rsid w:val="00551599"/>
    <w:rsid w:val="00570D91"/>
    <w:rsid w:val="00573561"/>
    <w:rsid w:val="005804AE"/>
    <w:rsid w:val="00593247"/>
    <w:rsid w:val="005A00AB"/>
    <w:rsid w:val="005B3CAC"/>
    <w:rsid w:val="00611633"/>
    <w:rsid w:val="00620600"/>
    <w:rsid w:val="00633C90"/>
    <w:rsid w:val="00657C14"/>
    <w:rsid w:val="00675E71"/>
    <w:rsid w:val="006A5596"/>
    <w:rsid w:val="007034CE"/>
    <w:rsid w:val="00782684"/>
    <w:rsid w:val="007C76C6"/>
    <w:rsid w:val="00810012"/>
    <w:rsid w:val="0081765D"/>
    <w:rsid w:val="00820F5E"/>
    <w:rsid w:val="00871D64"/>
    <w:rsid w:val="008953ED"/>
    <w:rsid w:val="008A6B5B"/>
    <w:rsid w:val="008D2D40"/>
    <w:rsid w:val="008D6A65"/>
    <w:rsid w:val="00913907"/>
    <w:rsid w:val="009262B5"/>
    <w:rsid w:val="00930EC7"/>
    <w:rsid w:val="0094134A"/>
    <w:rsid w:val="00966F20"/>
    <w:rsid w:val="0099035E"/>
    <w:rsid w:val="00A427E0"/>
    <w:rsid w:val="00A60073"/>
    <w:rsid w:val="00A77493"/>
    <w:rsid w:val="00AC4A73"/>
    <w:rsid w:val="00AE108F"/>
    <w:rsid w:val="00B05533"/>
    <w:rsid w:val="00B45033"/>
    <w:rsid w:val="00B67A7F"/>
    <w:rsid w:val="00B739C9"/>
    <w:rsid w:val="00B82ABA"/>
    <w:rsid w:val="00B852B3"/>
    <w:rsid w:val="00B91482"/>
    <w:rsid w:val="00BA1D7D"/>
    <w:rsid w:val="00BA4B34"/>
    <w:rsid w:val="00BC2B76"/>
    <w:rsid w:val="00BD33E9"/>
    <w:rsid w:val="00BF4661"/>
    <w:rsid w:val="00C41CDC"/>
    <w:rsid w:val="00C44654"/>
    <w:rsid w:val="00C52841"/>
    <w:rsid w:val="00C77052"/>
    <w:rsid w:val="00C833C7"/>
    <w:rsid w:val="00C97478"/>
    <w:rsid w:val="00C97775"/>
    <w:rsid w:val="00CA298C"/>
    <w:rsid w:val="00CD04D8"/>
    <w:rsid w:val="00CE639B"/>
    <w:rsid w:val="00CE64FE"/>
    <w:rsid w:val="00CF69CD"/>
    <w:rsid w:val="00D37B62"/>
    <w:rsid w:val="00D632EB"/>
    <w:rsid w:val="00D67AE7"/>
    <w:rsid w:val="00D7718E"/>
    <w:rsid w:val="00D8070C"/>
    <w:rsid w:val="00D81B39"/>
    <w:rsid w:val="00D87F57"/>
    <w:rsid w:val="00D9021C"/>
    <w:rsid w:val="00D922A7"/>
    <w:rsid w:val="00D97919"/>
    <w:rsid w:val="00DC3582"/>
    <w:rsid w:val="00DC4298"/>
    <w:rsid w:val="00E15CC5"/>
    <w:rsid w:val="00E26F11"/>
    <w:rsid w:val="00E359F7"/>
    <w:rsid w:val="00E76D94"/>
    <w:rsid w:val="00E82370"/>
    <w:rsid w:val="00E8326C"/>
    <w:rsid w:val="00EA3AD0"/>
    <w:rsid w:val="00EA424F"/>
    <w:rsid w:val="00ED03AE"/>
    <w:rsid w:val="00EE5E17"/>
    <w:rsid w:val="00EF215E"/>
    <w:rsid w:val="00EF7390"/>
    <w:rsid w:val="00F30F44"/>
    <w:rsid w:val="00F32820"/>
    <w:rsid w:val="00F84410"/>
    <w:rsid w:val="00F9153C"/>
    <w:rsid w:val="00FA2217"/>
    <w:rsid w:val="00FA3E43"/>
    <w:rsid w:val="00FA7CDD"/>
    <w:rsid w:val="00FF30F0"/>
    <w:rsid w:val="00FF4E0D"/>
    <w:rsid w:val="00FF5923"/>
    <w:rsid w:val="03E71AC5"/>
    <w:rsid w:val="05247B51"/>
    <w:rsid w:val="0DED260E"/>
    <w:rsid w:val="1BDD32A7"/>
    <w:rsid w:val="1CD035C6"/>
    <w:rsid w:val="1CFD46BD"/>
    <w:rsid w:val="20A9344B"/>
    <w:rsid w:val="2623689C"/>
    <w:rsid w:val="27102C0B"/>
    <w:rsid w:val="37387EDE"/>
    <w:rsid w:val="38D25463"/>
    <w:rsid w:val="3AD32D95"/>
    <w:rsid w:val="3AF16F09"/>
    <w:rsid w:val="3F6F7B55"/>
    <w:rsid w:val="3F9C728E"/>
    <w:rsid w:val="44C5178A"/>
    <w:rsid w:val="45C05CA1"/>
    <w:rsid w:val="47D32A3C"/>
    <w:rsid w:val="494D405C"/>
    <w:rsid w:val="4AD34252"/>
    <w:rsid w:val="59DE49ED"/>
    <w:rsid w:val="5C03401E"/>
    <w:rsid w:val="62205A89"/>
    <w:rsid w:val="65B434E4"/>
    <w:rsid w:val="661569AF"/>
    <w:rsid w:val="6BD00079"/>
    <w:rsid w:val="6EFE1EA0"/>
    <w:rsid w:val="70CC3935"/>
    <w:rsid w:val="75C1002D"/>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ind w:firstLine="200" w:firstLineChars="200"/>
    </w:pPr>
    <w:rPr>
      <w:rFonts w:ascii="宋体" w:eastAsia="宋体" w:hAnsi="宋体" w:cs="宋体"/>
      <w:sz w:val="24"/>
      <w:szCs w:val="24"/>
      <w:lang w:val="en-US" w:eastAsia="zh-CN" w:bidi="ar-SA"/>
    </w:rPr>
  </w:style>
  <w:style w:type="paragraph" w:styleId="Heading1">
    <w:name w:val="heading 1"/>
    <w:next w:val="Normal"/>
    <w:link w:val="10"/>
    <w:autoRedefine/>
    <w:uiPriority w:val="9"/>
    <w:qFormat/>
    <w:pPr>
      <w:keepNext/>
      <w:keepLines/>
      <w:numPr>
        <w:ilvl w:val="0"/>
        <w:numId w:val="1"/>
      </w:numPr>
      <w:spacing w:before="100" w:beforeLines="100" w:after="100" w:afterLines="100"/>
      <w:jc w:val="center"/>
      <w:outlineLvl w:val="0"/>
    </w:pPr>
    <w:rPr>
      <w:rFonts w:ascii="黑体" w:eastAsia="黑体" w:hAnsi="黑体" w:cs="宋体"/>
      <w:kern w:val="44"/>
      <w:sz w:val="32"/>
      <w:lang w:val="en-US" w:eastAsia="zh-CN" w:bidi="ar-SA"/>
    </w:rPr>
  </w:style>
  <w:style w:type="paragraph" w:styleId="Heading2">
    <w:name w:val="heading 2"/>
    <w:basedOn w:val="Normal"/>
    <w:next w:val="Normal"/>
    <w:link w:val="2"/>
    <w:autoRedefine/>
    <w:uiPriority w:val="9"/>
    <w:unhideWhenUsed/>
    <w:qFormat/>
    <w:pPr>
      <w:keepNext/>
      <w:keepLines/>
      <w:numPr>
        <w:ilvl w:val="1"/>
        <w:numId w:val="1"/>
      </w:numPr>
      <w:outlineLvl w:val="1"/>
    </w:pPr>
    <w:rPr>
      <w:rFonts w:asciiTheme="majorHAnsi" w:hAnsiTheme="majorHAnsi" w:cstheme="majorBidi"/>
      <w:b/>
      <w:bCs/>
      <w:sz w:val="28"/>
      <w:szCs w:val="32"/>
    </w:rPr>
  </w:style>
  <w:style w:type="paragraph" w:styleId="Heading3">
    <w:name w:val="heading 3"/>
    <w:basedOn w:val="Normal"/>
    <w:next w:val="Normal"/>
    <w:link w:val="3"/>
    <w:autoRedefine/>
    <w:uiPriority w:val="9"/>
    <w:unhideWhenUsed/>
    <w:qFormat/>
    <w:pPr>
      <w:keepNext/>
      <w:keepLines/>
      <w:numPr>
        <w:ilvl w:val="2"/>
        <w:numId w:val="1"/>
      </w:numPr>
      <w:outlineLvl w:val="2"/>
    </w:pPr>
    <w:rPr>
      <w:b/>
      <w:bCs/>
      <w:szCs w:val="32"/>
    </w:rPr>
  </w:style>
  <w:style w:type="paragraph" w:styleId="Heading4">
    <w:name w:val="heading 4"/>
    <w:basedOn w:val="Normal"/>
    <w:next w:val="Normal"/>
    <w:link w:val="4"/>
    <w:autoRedefine/>
    <w:uiPriority w:val="9"/>
    <w:unhideWhenUsed/>
    <w:qFormat/>
    <w:pPr>
      <w:keepNext/>
      <w:keepLines/>
      <w:spacing w:after="50" w:afterLines="50"/>
      <w:jc w:val="center"/>
      <w:outlineLvl w:val="3"/>
    </w:pPr>
    <w:rPr>
      <w:rFonts w:eastAsia="仿宋" w:asciiTheme="majorHAnsi" w:hAnsiTheme="majorHAnsi" w:cstheme="majorBidi"/>
      <w:bCs/>
      <w:sz w:val="21"/>
      <w:szCs w:val="28"/>
    </w:rPr>
  </w:style>
  <w:style w:type="paragraph" w:styleId="Heading5">
    <w:name w:val="heading 5"/>
    <w:basedOn w:val="Normal"/>
    <w:next w:val="Normal"/>
    <w:link w:val="5"/>
    <w:autoRedefine/>
    <w:uiPriority w:val="9"/>
    <w:unhideWhenUsed/>
    <w:qFormat/>
    <w:pPr>
      <w:keepNext/>
      <w:keepLines/>
      <w:spacing w:before="280" w:after="290" w:line="376" w:lineRule="auto"/>
      <w:outlineLvl w:val="4"/>
    </w:pPr>
    <w:rPr>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ind w:left="1440"/>
    </w:pPr>
    <w:rPr>
      <w:rFonts w:asciiTheme="minorHAnsi" w:eastAsiaTheme="minorHAnsi"/>
      <w:sz w:val="18"/>
      <w:szCs w:val="18"/>
    </w:rPr>
  </w:style>
  <w:style w:type="paragraph" w:styleId="BodyTextIndent">
    <w:name w:val="Body Text Indent"/>
    <w:basedOn w:val="Normal"/>
    <w:link w:val="1"/>
    <w:autoRedefine/>
    <w:semiHidden/>
    <w:qFormat/>
    <w:pPr>
      <w:ind w:firstLine="480"/>
    </w:pPr>
    <w:rPr>
      <w:rFonts w:eastAsiaTheme="minorEastAsia" w:cstheme="minorBidi"/>
    </w:rPr>
  </w:style>
  <w:style w:type="paragraph" w:styleId="TOC5">
    <w:name w:val="toc 5"/>
    <w:basedOn w:val="Normal"/>
    <w:next w:val="Normal"/>
    <w:autoRedefine/>
    <w:uiPriority w:val="39"/>
    <w:unhideWhenUsed/>
    <w:qFormat/>
    <w:pPr>
      <w:ind w:left="960"/>
    </w:pPr>
    <w:rPr>
      <w:rFonts w:asciiTheme="minorHAnsi" w:eastAsiaTheme="minorHAnsi"/>
      <w:sz w:val="18"/>
      <w:szCs w:val="18"/>
    </w:rPr>
  </w:style>
  <w:style w:type="paragraph" w:styleId="TOC3">
    <w:name w:val="toc 3"/>
    <w:basedOn w:val="Normal"/>
    <w:next w:val="Normal"/>
    <w:autoRedefine/>
    <w:uiPriority w:val="39"/>
    <w:unhideWhenUsed/>
    <w:qFormat/>
    <w:pPr>
      <w:ind w:left="480"/>
    </w:pPr>
    <w:rPr>
      <w:rFonts w:asciiTheme="minorHAnsi" w:eastAsiaTheme="minorHAnsi"/>
      <w:i/>
      <w:iCs/>
      <w:sz w:val="20"/>
      <w:szCs w:val="20"/>
    </w:rPr>
  </w:style>
  <w:style w:type="paragraph" w:styleId="TOC8">
    <w:name w:val="toc 8"/>
    <w:basedOn w:val="Normal"/>
    <w:next w:val="Normal"/>
    <w:autoRedefine/>
    <w:uiPriority w:val="39"/>
    <w:unhideWhenUsed/>
    <w:qFormat/>
    <w:pPr>
      <w:ind w:left="1680"/>
    </w:pPr>
    <w:rPr>
      <w:rFonts w:asciiTheme="minorHAnsi" w:eastAsiaTheme="minorHAnsi"/>
      <w:sz w:val="18"/>
      <w:szCs w:val="18"/>
    </w:rPr>
  </w:style>
  <w:style w:type="paragraph" w:styleId="Footer">
    <w:name w:val="footer"/>
    <w:basedOn w:val="Normal"/>
    <w:link w:val="a2"/>
    <w:autoRedefine/>
    <w:uiPriority w:val="99"/>
    <w:unhideWhenUsed/>
    <w:qFormat/>
    <w:pPr>
      <w:tabs>
        <w:tab w:val="center" w:pos="4153"/>
        <w:tab w:val="right" w:pos="8306"/>
      </w:tabs>
      <w:snapToGrid w:val="0"/>
    </w:pPr>
    <w:rPr>
      <w:sz w:val="18"/>
      <w:szCs w:val="18"/>
    </w:rPr>
  </w:style>
  <w:style w:type="paragraph" w:styleId="Header">
    <w:name w:val="header"/>
    <w:basedOn w:val="Normal"/>
    <w:link w:val="a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9344"/>
      </w:tabs>
    </w:pPr>
    <w:rPr>
      <w:rFonts w:asciiTheme="minorHAnsi" w:eastAsiaTheme="minorHAnsi"/>
      <w:b/>
      <w:bCs/>
      <w:caps/>
      <w:sz w:val="20"/>
      <w:szCs w:val="20"/>
    </w:rPr>
  </w:style>
  <w:style w:type="paragraph" w:styleId="TOC4">
    <w:name w:val="toc 4"/>
    <w:basedOn w:val="Normal"/>
    <w:next w:val="Normal"/>
    <w:autoRedefine/>
    <w:uiPriority w:val="39"/>
    <w:unhideWhenUsed/>
    <w:qFormat/>
    <w:pPr>
      <w:ind w:left="720"/>
    </w:pPr>
    <w:rPr>
      <w:rFonts w:asciiTheme="minorHAnsi" w:eastAsiaTheme="minorHAnsi"/>
      <w:sz w:val="18"/>
      <w:szCs w:val="18"/>
    </w:rPr>
  </w:style>
  <w:style w:type="paragraph" w:styleId="TOC6">
    <w:name w:val="toc 6"/>
    <w:basedOn w:val="Normal"/>
    <w:next w:val="Normal"/>
    <w:autoRedefine/>
    <w:uiPriority w:val="39"/>
    <w:unhideWhenUsed/>
    <w:qFormat/>
    <w:pPr>
      <w:ind w:left="1200"/>
    </w:pPr>
    <w:rPr>
      <w:rFonts w:asciiTheme="minorHAnsi" w:eastAsiaTheme="minorHAnsi"/>
      <w:sz w:val="18"/>
      <w:szCs w:val="18"/>
    </w:rPr>
  </w:style>
  <w:style w:type="paragraph" w:styleId="TOC2">
    <w:name w:val="toc 2"/>
    <w:basedOn w:val="Normal"/>
    <w:next w:val="Normal"/>
    <w:autoRedefine/>
    <w:uiPriority w:val="39"/>
    <w:unhideWhenUsed/>
    <w:qFormat/>
    <w:pPr>
      <w:tabs>
        <w:tab w:val="right" w:leader="dot" w:pos="9344"/>
      </w:tabs>
      <w:ind w:firstLine="480"/>
    </w:pPr>
    <w:rPr>
      <w:rFonts w:asciiTheme="minorHAnsi" w:eastAsiaTheme="minorHAnsi"/>
      <w:smallCaps/>
      <w:sz w:val="20"/>
      <w:szCs w:val="20"/>
    </w:rPr>
  </w:style>
  <w:style w:type="paragraph" w:styleId="TOC9">
    <w:name w:val="toc 9"/>
    <w:basedOn w:val="Normal"/>
    <w:next w:val="Normal"/>
    <w:autoRedefine/>
    <w:uiPriority w:val="39"/>
    <w:unhideWhenUsed/>
    <w:qFormat/>
    <w:pPr>
      <w:ind w:left="1920"/>
    </w:pPr>
    <w:rPr>
      <w:rFonts w:asciiTheme="minorHAnsi" w:eastAsiaTheme="minorHAnsi"/>
      <w:sz w:val="18"/>
      <w:szCs w:val="18"/>
    </w:rPr>
  </w:style>
  <w:style w:type="paragraph" w:styleId="HTMLPreformatted">
    <w:name w:val="HTML Preformatted"/>
    <w:basedOn w:val="Normal"/>
    <w:link w:val="HTM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2"/>
    </w:pPr>
    <w:rPr>
      <w:rFonts w:ascii="黑体" w:eastAsia="黑体" w:hAnsi="Courier New" w:cs="Courier New"/>
      <w:sz w:val="20"/>
      <w:szCs w:val="20"/>
    </w:rPr>
  </w:style>
  <w:style w:type="paragraph" w:styleId="Title">
    <w:name w:val="Title"/>
    <w:basedOn w:val="Normal"/>
    <w:next w:val="Normal"/>
    <w:link w:val="a0"/>
    <w:autoRedefine/>
    <w:uiPriority w:val="10"/>
    <w:qFormat/>
    <w:pPr>
      <w:outlineLvl w:val="0"/>
    </w:pPr>
    <w:rPr>
      <w:rFonts w:asciiTheme="majorHAnsi" w:hAnsiTheme="majorHAnsi" w:cstheme="majorBidi"/>
      <w:b/>
      <w:bCs/>
      <w:szCs w:val="32"/>
    </w:rPr>
  </w:style>
  <w:style w:type="table" w:styleId="TableGrid">
    <w:name w:val="Table Grid"/>
    <w:basedOn w:val="TableNormal"/>
    <w:autoRedefine/>
    <w:uiPriority w:val="39"/>
    <w:qFormat/>
    <w:rPr>
      <w:rFonts w:ascii="Calibri" w:hAnsi="Calibri"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semiHidden/>
    <w:qFormat/>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customStyle="1" w:styleId="1">
    <w:name w:val="正文文本缩进 字符1"/>
    <w:link w:val="BodyTextIndent"/>
    <w:autoRedefine/>
    <w:semiHidden/>
    <w:qFormat/>
    <w:rPr>
      <w:rFonts w:ascii="宋体" w:hAnsi="宋体"/>
      <w:sz w:val="24"/>
      <w:szCs w:val="24"/>
    </w:rPr>
  </w:style>
  <w:style w:type="character" w:customStyle="1" w:styleId="a">
    <w:name w:val="正文文本缩进 字符"/>
    <w:basedOn w:val="DefaultParagraphFont"/>
    <w:autoRedefine/>
    <w:uiPriority w:val="99"/>
    <w:semiHidden/>
    <w:qFormat/>
    <w:rPr>
      <w:rFonts w:ascii="Times New Roman" w:eastAsia="宋体" w:hAnsi="Times New Roman" w:cs="Times New Roman"/>
      <w:szCs w:val="24"/>
    </w:rPr>
  </w:style>
  <w:style w:type="character" w:customStyle="1" w:styleId="10">
    <w:name w:val="标题 1 字符"/>
    <w:basedOn w:val="DefaultParagraphFont"/>
    <w:link w:val="Heading1"/>
    <w:autoRedefine/>
    <w:uiPriority w:val="9"/>
    <w:qFormat/>
    <w:rPr>
      <w:rFonts w:ascii="黑体" w:eastAsia="黑体" w:hAnsi="黑体" w:cs="宋体"/>
      <w:kern w:val="44"/>
      <w:sz w:val="32"/>
      <w:szCs w:val="20"/>
    </w:rPr>
  </w:style>
  <w:style w:type="character" w:customStyle="1" w:styleId="2">
    <w:name w:val="标题 2 字符"/>
    <w:basedOn w:val="DefaultParagraphFont"/>
    <w:link w:val="Heading2"/>
    <w:autoRedefine/>
    <w:uiPriority w:val="9"/>
    <w:qFormat/>
    <w:rPr>
      <w:rFonts w:eastAsia="宋体" w:asciiTheme="majorHAnsi" w:hAnsiTheme="majorHAnsi" w:cstheme="majorBidi"/>
      <w:b/>
      <w:bCs/>
      <w:sz w:val="28"/>
      <w:szCs w:val="32"/>
    </w:rPr>
  </w:style>
  <w:style w:type="character" w:customStyle="1" w:styleId="a0">
    <w:name w:val="标题 字符"/>
    <w:basedOn w:val="DefaultParagraphFont"/>
    <w:link w:val="Title"/>
    <w:autoRedefine/>
    <w:uiPriority w:val="10"/>
    <w:qFormat/>
    <w:rPr>
      <w:rFonts w:eastAsia="宋体" w:asciiTheme="majorHAnsi" w:hAnsiTheme="majorHAnsi" w:cstheme="majorBidi"/>
      <w:b/>
      <w:bCs/>
      <w:sz w:val="24"/>
      <w:szCs w:val="32"/>
    </w:rPr>
  </w:style>
  <w:style w:type="character" w:customStyle="1" w:styleId="3">
    <w:name w:val="标题 3 字符"/>
    <w:basedOn w:val="DefaultParagraphFont"/>
    <w:link w:val="Heading3"/>
    <w:autoRedefine/>
    <w:uiPriority w:val="9"/>
    <w:qFormat/>
    <w:rPr>
      <w:rFonts w:ascii="Times New Roman" w:eastAsia="宋体" w:hAnsi="Times New Roman" w:cs="Times New Roman"/>
      <w:b/>
      <w:bCs/>
      <w:sz w:val="24"/>
      <w:szCs w:val="32"/>
    </w:rPr>
  </w:style>
  <w:style w:type="character" w:customStyle="1" w:styleId="ts-alignment-element">
    <w:name w:val="ts-alignment-element"/>
    <w:basedOn w:val="DefaultParagraphFont"/>
    <w:autoRedefine/>
    <w:qFormat/>
  </w:style>
  <w:style w:type="character" w:customStyle="1" w:styleId="ts-alignment-element-highlighted">
    <w:name w:val="ts-alignment-element-highlighted"/>
    <w:basedOn w:val="DefaultParagraphFont"/>
    <w:autoRedefine/>
    <w:qFormat/>
  </w:style>
  <w:style w:type="character" w:customStyle="1" w:styleId="HTML">
    <w:name w:val="HTML 预设格式 字符"/>
    <w:basedOn w:val="DefaultParagraphFont"/>
    <w:link w:val="HTMLPreformatted"/>
    <w:autoRedefine/>
    <w:qFormat/>
    <w:rPr>
      <w:rFonts w:ascii="黑体" w:eastAsia="黑体" w:hAnsi="Courier New" w:cs="Courier New"/>
      <w:kern w:val="0"/>
      <w:sz w:val="20"/>
      <w:szCs w:val="20"/>
    </w:rPr>
  </w:style>
  <w:style w:type="character" w:customStyle="1" w:styleId="a1">
    <w:name w:val="页眉 字符"/>
    <w:basedOn w:val="DefaultParagraphFont"/>
    <w:link w:val="Header"/>
    <w:autoRedefine/>
    <w:uiPriority w:val="99"/>
    <w:qFormat/>
    <w:rPr>
      <w:rFonts w:ascii="Times New Roman" w:eastAsia="宋体" w:hAnsi="Times New Roman" w:cs="Times New Roman"/>
      <w:sz w:val="18"/>
      <w:szCs w:val="18"/>
    </w:rPr>
  </w:style>
  <w:style w:type="character" w:customStyle="1" w:styleId="a2">
    <w:name w:val="页脚 字符"/>
    <w:basedOn w:val="DefaultParagraphFont"/>
    <w:link w:val="Footer"/>
    <w:autoRedefine/>
    <w:uiPriority w:val="99"/>
    <w:qFormat/>
    <w:rPr>
      <w:rFonts w:ascii="Times New Roman" w:eastAsia="宋体" w:hAnsi="Times New Roman" w:cs="Times New Roman"/>
      <w:sz w:val="18"/>
      <w:szCs w:val="18"/>
    </w:rPr>
  </w:style>
  <w:style w:type="character" w:customStyle="1" w:styleId="4">
    <w:name w:val="标题 4 字符"/>
    <w:basedOn w:val="DefaultParagraphFont"/>
    <w:link w:val="Heading4"/>
    <w:autoRedefine/>
    <w:uiPriority w:val="9"/>
    <w:qFormat/>
    <w:rPr>
      <w:rFonts w:eastAsia="仿宋" w:asciiTheme="majorHAnsi" w:hAnsiTheme="majorHAnsi" w:cstheme="majorBidi"/>
      <w:bCs/>
      <w:szCs w:val="28"/>
    </w:rPr>
  </w:style>
  <w:style w:type="character" w:customStyle="1" w:styleId="5">
    <w:name w:val="标题 5 字符"/>
    <w:basedOn w:val="DefaultParagraphFont"/>
    <w:link w:val="Heading5"/>
    <w:autoRedefine/>
    <w:uiPriority w:val="9"/>
    <w:qFormat/>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yperlink" Target="https://d.book118.com/027036143050006035" TargetMode="Externa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293437-B2BF-4C99-ACC7-16843F6FEBA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2397</Words>
  <Characters>13663</Characters>
  <Application>Microsoft Office Word</Application>
  <DocSecurity>0</DocSecurity>
  <Lines>113</Lines>
  <Paragraphs>32</Paragraphs>
  <ScaleCrop>false</ScaleCrop>
  <Company>Microsoft</Company>
  <LinksUpToDate>false</LinksUpToDate>
  <CharactersWithSpaces>16028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郝 晟德</dc:creator>
  <cp:lastModifiedBy>ABEEL</cp:lastModifiedBy>
  <cp:revision>2</cp:revision>
  <dcterms:created xsi:type="dcterms:W3CDTF">2021-05-08T13:57:00Z</dcterms:created>
  <dcterms:modified xsi:type="dcterms:W3CDTF">2024-01-28T16:00:27Z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9A1DF11BCCF64C81B72FCD6277DD055D_13</vt:lpwstr>
  </property>
  <property fmtid="{D5CDD505-2E9C-101B-9397-08002B2CF9AE}" pid="3" name="KSOProductBuildVer">
    <vt:lpwstr>2052-12.1.0.16120</vt:lpwstr>
  </property>
</Properties>
</file>