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2018-2023年四川邮电职业技术学院高职单招（数学／语文／英语）历年常考试题库含答案解析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马致远的《天净沙·秋思》中紧接“枯藤老树昏鸦”的句子是（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A.小桥流水人家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B.古道西风瘦马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C.夕阳西下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D.断肠人在天涯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下列关于文学常识的表述，完全正确的一项是（）。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A.《蚀》《子夜》《林家铺子》《寒夜》都是茅盾的代表作品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B.《雷雨》《日出》《原野》《北京人》都是曹禺的话剧作品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C.“爱情三部曲”“农村三部曲”“激流三部曲”的作者是巴金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D.郭沫若的历史剧《屈原》《虎符》《蔡文姬》写于抗战时期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屠格涅夫的成名作是（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A.《罗亭》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B.《猎人笔记》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C.《木木》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D.《阿霞》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朱自清《背影》一文的结构线索是（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A.横式结构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B.纵式结构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C.纵横结构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D.自由结构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《米龙老爹》在叙述方法上的特点是（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A.顺叙方式和第一人称与第三人称叙述方式交互使用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B.顺叙之中有插叙和第三人称叙述方式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C.倒叙方式和第一人称叙述方式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D.倒叙方式和第一人称与第三人称叙述方式交互使用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spacing w:after="200" w:line="276" w:lineRule="atLeast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李斯的《谏逐客书》选自（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A.《左传》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B.《史记》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C.《战国策》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spacing w:after="200" w:line="276" w:lineRule="atLeast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D.《国语》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spacing w:after="200" w:line="276" w:lineRule="auto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苏轼《前赤壁赋》中“哀吾生之须臾，羡长江之无穷”所运用的手法有（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A.比喻、对偶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B.对比、比喻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C.对偶、对比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D.拟人、对比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《选择与安排》一文提出完美的作品在结构上须具备的条件有（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A.要有头有尾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B.层次清楚、轻重分明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C.有贯穿的主旨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D.首尾呼应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从内容上说，《氓》是一首（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A.战争诗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B.劳动诗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C.祭祀诗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D.弃妇诗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7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曹雪芹是（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A.宋代文学家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B.明代文学家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C.清代文学家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D.元代现实主义作家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成语“夙兴夜寐”、“日薄西山”、“路不拾遗”依次出自（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A.《诗经·氓》、《陈情表》、《季氏将伐颛臾》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B.《诗经·氓》、《陈情表》、《礼记·大同》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C.《郑伯克段于鄢》、《礼记·大同》、《陈情表》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D.《季氏将伐颛臾》、《诗经·氓》、《礼记·大同》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李商隐的《无题》（相见时难别亦难）表达相思之苦的名句是（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A.东风无力百花残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B.晓镜但愁云鬓改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C.相见时难别亦难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D.春蚕到死丝方尽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>在屠格涅夫《门槛》中，“门槛”的象征意义是（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A.革命事业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B.参加革命的条件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C.革命征途上的艰难险阻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D.革命者的献身精神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14.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下列句中加横线的词属意动用法的是（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A.左右皆笑之，以告。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B.冯谖客孟尝君。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https://d.book118.com/027060031156006044</w:t>
        </w:r>
      </w:hyperlink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9"/>
      <w:type w:val="nextPage"/>
      <w:pgSz w:w="11906" w:h="16838" w:code="9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ja-JP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yperlink" Target="https://d.book118.com/027060031156006044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