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sdt>
      <w:sdtPr>
        <w:rPr>
          <w:rFonts w:ascii="宋体" w:hAnsi="宋体" w:eastAsiaTheme="minorEastAsia" w:cstheme="minorBidi"/>
          <w:sz w:val="20"/>
        </w:rPr>
        <w:id w:val="-38603006"/>
        <w:docPartObj>
          <w:docPartGallery w:val="Table of Contents"/>
          <w:docPartUnique/>
        </w:docPartObj>
      </w:sdtPr>
      <w:sdtEndPr>
        <w:rPr>
          <w:rFonts w:ascii="Times New Roman" w:hAnsi="Times New Roman" w:eastAsiaTheme="minorEastAsia" w:cstheme="minorBidi"/>
          <w:b/>
          <w:bCs/>
          <w:sz w:val="28"/>
          <w:szCs w:val="28"/>
        </w:rPr>
      </w:sdtEndPr>
      <w:sdtContent>
        <w:p>
          <w:pPr>
            <w:spacing w:line="360" w:lineRule="auto"/>
            <w:jc w:val="center"/>
            <w:rPr>
              <w:b/>
              <w:bCs/>
              <w:sz w:val="28"/>
              <w:szCs w:val="28"/>
            </w:rPr>
          </w:pPr>
          <w:bookmarkStart w:id="0" w:name="_Toc10330_WPSOffice_Type1"/>
          <w:r>
            <w:rPr>
              <w:b/>
              <w:bCs/>
              <w:sz w:val="28"/>
              <w:szCs w:val="28"/>
            </w:rPr>
            <w:t>目录</w:t>
          </w:r>
        </w:p>
        <w:p>
          <w:pPr>
            <w:pStyle w:val="WPSOffice1"/>
            <w:tabs>
              <w:tab w:val="right" w:leader="dot" w:pos="8958"/>
            </w:tabs>
            <w:spacing w:line="360" w:lineRule="auto"/>
            <w:jc w:val="center"/>
            <w:rPr>
              <w:rFonts w:ascii="Times New Roman" w:hAnsi="Times New Roman" w:cs="Times New Roman"/>
              <w:b/>
              <w:bCs/>
              <w:sz w:val="28"/>
              <w:szCs w:val="28"/>
            </w:rPr>
          </w:pPr>
          <w:hyperlink w:anchor="_Toc7740_WPSOffice_Level1" w:history="1">
            <w:sdt>
              <w:sdtPr>
                <w:rPr>
                  <w:rFonts w:ascii="Times New Roman" w:eastAsia="宋体" w:hAnsi="Times New Roman" w:cs="Times New Roman"/>
                  <w:b/>
                  <w:bCs/>
                  <w:sz w:val="28"/>
                  <w:szCs w:val="28"/>
                </w:rPr>
                <w:id w:val="147455631"/>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建设项目基本情况</w:t>
                </w:r>
              </w:sdtContent>
            </w:sdt>
            <w:r>
              <w:rPr>
                <w:rFonts w:ascii="Times New Roman" w:hAnsi="Times New Roman" w:cs="Times New Roman"/>
                <w:b/>
                <w:bCs/>
                <w:sz w:val="28"/>
                <w:szCs w:val="28"/>
              </w:rPr>
              <w:tab/>
            </w:r>
            <w:r>
              <w:rPr>
                <w:rFonts w:ascii="Times New Roman" w:hAnsi="Times New Roman" w:cs="Times New Roman"/>
                <w:b/>
                <w:bCs/>
                <w:sz w:val="28"/>
                <w:szCs w:val="28"/>
              </w:rPr>
              <w:t>1</w:t>
            </w:r>
          </w:hyperlink>
        </w:p>
        <w:p>
          <w:pPr>
            <w:pStyle w:val="WPSOffice1"/>
            <w:tabs>
              <w:tab w:val="right" w:leader="dot" w:pos="8958"/>
            </w:tabs>
            <w:spacing w:line="360" w:lineRule="auto"/>
            <w:jc w:val="center"/>
            <w:rPr>
              <w:rFonts w:ascii="Times New Roman" w:hAnsi="Times New Roman" w:cs="Times New Roman"/>
              <w:b/>
              <w:bCs/>
              <w:sz w:val="28"/>
              <w:szCs w:val="28"/>
            </w:rPr>
          </w:pPr>
          <w:hyperlink w:anchor="_Toc10330_WPSOffice_Level1" w:history="1">
            <w:sdt>
              <w:sdtPr>
                <w:rPr>
                  <w:rFonts w:ascii="Times New Roman" w:eastAsia="宋体" w:hAnsi="Times New Roman" w:cs="Times New Roman"/>
                  <w:b/>
                  <w:bCs/>
                  <w:sz w:val="28"/>
                  <w:szCs w:val="28"/>
                </w:rPr>
                <w:id w:val="-995408548"/>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建设项目所在地自然环境社会环境简况</w:t>
                </w:r>
              </w:sdtContent>
            </w:sdt>
            <w:r>
              <w:rPr>
                <w:rFonts w:ascii="Times New Roman" w:hAnsi="Times New Roman" w:cs="Times New Roman"/>
                <w:b/>
                <w:bCs/>
                <w:sz w:val="28"/>
                <w:szCs w:val="28"/>
              </w:rPr>
              <w:tab/>
            </w:r>
            <w:bookmarkStart w:id="1" w:name="_Toc10330_WPSOffice_Level1Page"/>
            <w:r>
              <w:rPr>
                <w:rFonts w:ascii="Times New Roman" w:hAnsi="Times New Roman" w:cs="Times New Roman"/>
                <w:b/>
                <w:bCs/>
                <w:sz w:val="28"/>
                <w:szCs w:val="28"/>
              </w:rPr>
              <w:t>12</w:t>
            </w:r>
            <w:bookmarkEnd w:id="1"/>
          </w:hyperlink>
        </w:p>
        <w:p>
          <w:pPr>
            <w:pStyle w:val="WPSOffice1"/>
            <w:tabs>
              <w:tab w:val="right" w:leader="dot" w:pos="8958"/>
            </w:tabs>
            <w:spacing w:line="360" w:lineRule="auto"/>
            <w:jc w:val="center"/>
            <w:rPr>
              <w:rFonts w:ascii="Times New Roman" w:hAnsi="Times New Roman" w:cs="Times New Roman"/>
              <w:b/>
              <w:bCs/>
              <w:sz w:val="28"/>
              <w:szCs w:val="28"/>
            </w:rPr>
          </w:pPr>
          <w:hyperlink w:anchor="_Toc18282_WPSOffice_Level1" w:history="1">
            <w:sdt>
              <w:sdtPr>
                <w:rPr>
                  <w:rFonts w:ascii="Times New Roman" w:eastAsia="宋体" w:hAnsi="Times New Roman" w:cs="Times New Roman"/>
                  <w:b/>
                  <w:bCs/>
                  <w:sz w:val="28"/>
                  <w:szCs w:val="28"/>
                </w:rPr>
                <w:id w:val="502633460"/>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评价适用标准</w:t>
                </w:r>
              </w:sdtContent>
            </w:sdt>
            <w:r>
              <w:rPr>
                <w:rFonts w:ascii="Times New Roman" w:hAnsi="Times New Roman" w:cs="Times New Roman"/>
                <w:b/>
                <w:bCs/>
                <w:sz w:val="28"/>
                <w:szCs w:val="28"/>
              </w:rPr>
              <w:tab/>
            </w:r>
            <w:r>
              <w:rPr>
                <w:rFonts w:ascii="Times New Roman" w:hAnsi="Times New Roman" w:cs="Times New Roman"/>
                <w:b/>
                <w:bCs/>
                <w:sz w:val="28"/>
                <w:szCs w:val="28"/>
              </w:rPr>
              <w:t>20</w:t>
            </w:r>
          </w:hyperlink>
        </w:p>
        <w:p>
          <w:pPr>
            <w:pStyle w:val="WPSOffice1"/>
            <w:tabs>
              <w:tab w:val="right" w:leader="dot" w:pos="8958"/>
            </w:tabs>
            <w:spacing w:line="360" w:lineRule="auto"/>
            <w:jc w:val="center"/>
            <w:rPr>
              <w:rFonts w:ascii="Times New Roman" w:hAnsi="Times New Roman" w:cs="Times New Roman"/>
              <w:b/>
              <w:bCs/>
              <w:sz w:val="28"/>
              <w:szCs w:val="28"/>
            </w:rPr>
          </w:pPr>
          <w:hyperlink w:anchor="_Toc22341_WPSOffice_Level1" w:history="1">
            <w:sdt>
              <w:sdtPr>
                <w:rPr>
                  <w:rFonts w:ascii="Times New Roman" w:eastAsia="宋体" w:hAnsi="Times New Roman" w:cs="Times New Roman"/>
                  <w:b/>
                  <w:bCs/>
                  <w:sz w:val="28"/>
                  <w:szCs w:val="28"/>
                </w:rPr>
                <w:id w:val="1690871300"/>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建设项目工程分析</w:t>
                </w:r>
              </w:sdtContent>
            </w:sdt>
            <w:r>
              <w:rPr>
                <w:rFonts w:ascii="Times New Roman" w:hAnsi="Times New Roman" w:cs="Times New Roman"/>
                <w:b/>
                <w:bCs/>
                <w:sz w:val="28"/>
                <w:szCs w:val="28"/>
              </w:rPr>
              <w:tab/>
            </w:r>
            <w:bookmarkStart w:id="2" w:name="_Toc22341_WPSOffice_Level1Page"/>
            <w:r>
              <w:rPr>
                <w:rFonts w:ascii="Times New Roman" w:hAnsi="Times New Roman" w:cs="Times New Roman"/>
                <w:b/>
                <w:bCs/>
                <w:sz w:val="28"/>
                <w:szCs w:val="28"/>
              </w:rPr>
              <w:t>2</w:t>
            </w:r>
            <w:bookmarkEnd w:id="2"/>
            <w:r>
              <w:rPr>
                <w:rFonts w:ascii="Times New Roman" w:hAnsi="Times New Roman" w:cs="Times New Roman"/>
                <w:b/>
                <w:bCs/>
                <w:sz w:val="28"/>
                <w:szCs w:val="28"/>
              </w:rPr>
              <w:t>3</w:t>
            </w:r>
          </w:hyperlink>
        </w:p>
        <w:p>
          <w:pPr>
            <w:pStyle w:val="WPSOffice1"/>
            <w:tabs>
              <w:tab w:val="right" w:leader="dot" w:pos="8958"/>
            </w:tabs>
            <w:spacing w:line="360" w:lineRule="auto"/>
            <w:jc w:val="center"/>
            <w:rPr>
              <w:rFonts w:ascii="Times New Roman" w:hAnsi="Times New Roman" w:cs="Times New Roman"/>
              <w:b/>
              <w:bCs/>
              <w:sz w:val="28"/>
              <w:szCs w:val="28"/>
            </w:rPr>
          </w:pPr>
          <w:hyperlink w:anchor="_Toc2884_WPSOffice_Level1" w:history="1">
            <w:sdt>
              <w:sdtPr>
                <w:rPr>
                  <w:rFonts w:ascii="Times New Roman" w:eastAsia="宋体" w:hAnsi="Times New Roman" w:cs="Times New Roman"/>
                  <w:b/>
                  <w:bCs/>
                  <w:sz w:val="28"/>
                  <w:szCs w:val="28"/>
                </w:rPr>
                <w:id w:val="1213692319"/>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项目主要污染物产生及预计排放情况</w:t>
                </w:r>
              </w:sdtContent>
            </w:sdt>
            <w:r>
              <w:rPr>
                <w:rFonts w:ascii="Times New Roman" w:hAnsi="Times New Roman" w:cs="Times New Roman"/>
                <w:b/>
                <w:bCs/>
                <w:sz w:val="28"/>
                <w:szCs w:val="28"/>
              </w:rPr>
              <w:tab/>
            </w:r>
            <w:r>
              <w:rPr>
                <w:rFonts w:ascii="Times New Roman" w:hAnsi="Times New Roman" w:cs="Times New Roman"/>
                <w:b/>
                <w:bCs/>
                <w:sz w:val="28"/>
                <w:szCs w:val="28"/>
              </w:rPr>
              <w:t>35</w:t>
            </w:r>
          </w:hyperlink>
        </w:p>
        <w:p>
          <w:pPr>
            <w:pStyle w:val="WPSOffice1"/>
            <w:tabs>
              <w:tab w:val="right" w:leader="dot" w:pos="8958"/>
            </w:tabs>
            <w:spacing w:line="360" w:lineRule="auto"/>
            <w:jc w:val="center"/>
            <w:rPr>
              <w:rFonts w:ascii="Times New Roman" w:hAnsi="Times New Roman" w:cs="Times New Roman"/>
              <w:b/>
              <w:bCs/>
              <w:sz w:val="28"/>
              <w:szCs w:val="28"/>
            </w:rPr>
          </w:pPr>
          <w:hyperlink w:anchor="_Toc1161_WPSOffice_Level1" w:history="1">
            <w:sdt>
              <w:sdtPr>
                <w:rPr>
                  <w:rFonts w:ascii="Times New Roman" w:eastAsia="宋体" w:hAnsi="Times New Roman" w:cs="Times New Roman"/>
                  <w:b/>
                  <w:bCs/>
                  <w:sz w:val="28"/>
                  <w:szCs w:val="28"/>
                </w:rPr>
                <w:id w:val="523452026"/>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环境影响分析</w:t>
                </w:r>
              </w:sdtContent>
            </w:sdt>
            <w:r>
              <w:rPr>
                <w:rFonts w:ascii="Times New Roman" w:hAnsi="Times New Roman" w:cs="Times New Roman"/>
                <w:b/>
                <w:bCs/>
                <w:sz w:val="28"/>
                <w:szCs w:val="28"/>
              </w:rPr>
              <w:tab/>
            </w:r>
            <w:bookmarkStart w:id="3" w:name="_Toc1161_WPSOffice_Level1Page"/>
            <w:r>
              <w:rPr>
                <w:rFonts w:ascii="Times New Roman" w:hAnsi="Times New Roman" w:cs="Times New Roman"/>
                <w:b/>
                <w:bCs/>
                <w:sz w:val="28"/>
                <w:szCs w:val="28"/>
              </w:rPr>
              <w:t>3</w:t>
            </w:r>
            <w:bookmarkEnd w:id="3"/>
            <w:r>
              <w:rPr>
                <w:rFonts w:ascii="Times New Roman" w:hAnsi="Times New Roman" w:cs="Times New Roman"/>
                <w:b/>
                <w:bCs/>
                <w:sz w:val="28"/>
                <w:szCs w:val="28"/>
              </w:rPr>
              <w:t>7</w:t>
            </w:r>
          </w:hyperlink>
        </w:p>
        <w:p>
          <w:pPr>
            <w:pStyle w:val="WPSOffice1"/>
            <w:tabs>
              <w:tab w:val="right" w:leader="dot" w:pos="8958"/>
            </w:tabs>
            <w:spacing w:line="360" w:lineRule="auto"/>
            <w:jc w:val="center"/>
            <w:rPr>
              <w:rFonts w:ascii="Times New Roman" w:hAnsi="Times New Roman" w:cs="Times New Roman"/>
              <w:b/>
              <w:bCs/>
              <w:sz w:val="28"/>
              <w:szCs w:val="28"/>
            </w:rPr>
          </w:pPr>
          <w:hyperlink w:anchor="_Toc22818_WPSOffice_Level1" w:history="1">
            <w:sdt>
              <w:sdtPr>
                <w:rPr>
                  <w:rFonts w:ascii="Times New Roman" w:eastAsia="宋体" w:hAnsi="Times New Roman" w:cs="Times New Roman"/>
                  <w:b/>
                  <w:bCs/>
                  <w:sz w:val="28"/>
                  <w:szCs w:val="28"/>
                </w:rPr>
                <w:id w:val="530233230"/>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建设项目拟采取的防治措施及预期治理效果</w:t>
                </w:r>
              </w:sdtContent>
            </w:sdt>
            <w:r>
              <w:rPr>
                <w:rFonts w:ascii="Times New Roman" w:hAnsi="Times New Roman" w:cs="Times New Roman"/>
                <w:b/>
                <w:bCs/>
                <w:sz w:val="28"/>
                <w:szCs w:val="28"/>
              </w:rPr>
              <w:tab/>
            </w:r>
            <w:r>
              <w:rPr>
                <w:rFonts w:ascii="Times New Roman" w:hAnsi="Times New Roman" w:cs="Times New Roman"/>
                <w:b/>
                <w:bCs/>
                <w:sz w:val="28"/>
                <w:szCs w:val="28"/>
              </w:rPr>
              <w:t>59</w:t>
            </w:r>
          </w:hyperlink>
        </w:p>
        <w:p>
          <w:pPr>
            <w:pStyle w:val="WPSOffice1"/>
            <w:tabs>
              <w:tab w:val="right" w:leader="dot" w:pos="8958"/>
            </w:tabs>
            <w:spacing w:line="360" w:lineRule="auto"/>
            <w:jc w:val="center"/>
            <w:rPr>
              <w:rFonts w:ascii="Times New Roman" w:hAnsi="Times New Roman" w:cs="Times New Roman"/>
              <w:b/>
              <w:bCs/>
              <w:sz w:val="28"/>
              <w:szCs w:val="28"/>
            </w:rPr>
          </w:pPr>
          <w:hyperlink w:anchor="_Toc22924_WPSOffice_Level1" w:history="1">
            <w:sdt>
              <w:sdtPr>
                <w:rPr>
                  <w:rFonts w:ascii="Times New Roman" w:eastAsia="宋体" w:hAnsi="Times New Roman" w:cs="Times New Roman"/>
                  <w:b/>
                  <w:bCs/>
                  <w:sz w:val="28"/>
                  <w:szCs w:val="28"/>
                </w:rPr>
                <w:id w:val="577407071"/>
                <w:richText/>
              </w:sdtPr>
              <w:sdtEndPr>
                <w:rPr>
                  <w:rFonts w:ascii="Times New Roman" w:eastAsia="宋体" w:hAnsi="Times New Roman" w:cs="Times New Roman"/>
                  <w:b/>
                  <w:bCs/>
                  <w:sz w:val="28"/>
                  <w:szCs w:val="28"/>
                </w:rPr>
              </w:sdtEndPr>
              <w:sdtContent>
                <w:r>
                  <w:rPr>
                    <w:rFonts w:ascii="Times New Roman" w:eastAsia="宋体" w:hAnsi="Times New Roman" w:cs="Times New Roman"/>
                    <w:b/>
                    <w:bCs/>
                    <w:sz w:val="28"/>
                    <w:szCs w:val="28"/>
                  </w:rPr>
                  <w:t>结论与建议</w:t>
                </w:r>
              </w:sdtContent>
            </w:sdt>
            <w:r>
              <w:rPr>
                <w:rFonts w:ascii="Times New Roman" w:hAnsi="Times New Roman" w:cs="Times New Roman"/>
                <w:b/>
                <w:bCs/>
                <w:sz w:val="28"/>
                <w:szCs w:val="28"/>
              </w:rPr>
              <w:tab/>
            </w:r>
            <w:r>
              <w:rPr>
                <w:rFonts w:ascii="Times New Roman" w:hAnsi="Times New Roman" w:cs="Times New Roman"/>
                <w:b/>
                <w:bCs/>
                <w:sz w:val="28"/>
                <w:szCs w:val="28"/>
              </w:rPr>
              <w:t>61</w:t>
            </w:r>
          </w:hyperlink>
        </w:p>
      </w:sdtContent>
    </w:sdt>
    <w:bookmarkEnd w:id="0"/>
    <w:p>
      <w:pPr>
        <w:pStyle w:val="Default"/>
        <w:adjustRightInd/>
        <w:spacing w:line="360" w:lineRule="auto"/>
        <w:jc w:val="both"/>
        <w:rPr>
          <w:rFonts w:ascii="Times New Roman" w:eastAsia="宋体" w:hAnsi="Times New Roman" w:hint="default"/>
          <w:b/>
          <w:color w:val="auto"/>
        </w:rPr>
      </w:pPr>
      <w:r>
        <w:rPr>
          <w:rFonts w:ascii="宋体" w:eastAsia="宋体" w:hAnsi="宋体" w:cs="宋体"/>
          <w:b/>
          <w:color w:val="auto"/>
        </w:rPr>
        <w:t>附</w:t>
      </w:r>
      <w:r>
        <w:rPr>
          <w:rFonts w:ascii="Times New Roman" w:eastAsia="宋体" w:hAnsi="Times New Roman" w:hint="default"/>
          <w:b/>
          <w:color w:val="auto"/>
        </w:rPr>
        <w:t>图：</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附图1  项目地理位置图</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附图2  项目周边关系及敏感点示意图</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附图3  项目平面布置图</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 xml:space="preserve">附图4  </w:t>
      </w:r>
      <w:r>
        <w:rPr>
          <w:rFonts w:ascii="Times New Roman" w:eastAsia="宋体" w:hAnsi="Times New Roman"/>
          <w:color w:val="auto"/>
          <w:sz w:val="21"/>
          <w:szCs w:val="21"/>
        </w:rPr>
        <w:t>临川区生态红线</w:t>
      </w:r>
      <w:r>
        <w:rPr>
          <w:rFonts w:ascii="Times New Roman" w:eastAsia="宋体" w:hAnsi="Times New Roman" w:hint="default"/>
          <w:color w:val="auto"/>
          <w:sz w:val="21"/>
          <w:szCs w:val="21"/>
        </w:rPr>
        <w:t>图</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附图5  项目</w:t>
      </w:r>
      <w:r>
        <w:rPr>
          <w:rFonts w:ascii="Times New Roman" w:eastAsia="宋体" w:hAnsi="Times New Roman"/>
          <w:color w:val="auto"/>
          <w:sz w:val="21"/>
          <w:szCs w:val="21"/>
        </w:rPr>
        <w:t>所在位置地表水功能区划</w:t>
      </w:r>
      <w:r>
        <w:rPr>
          <w:rFonts w:ascii="Times New Roman" w:eastAsia="宋体" w:hAnsi="Times New Roman" w:hint="default"/>
          <w:color w:val="auto"/>
          <w:sz w:val="21"/>
          <w:szCs w:val="21"/>
        </w:rPr>
        <w:t>图</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 xml:space="preserve">附图6  </w:t>
      </w:r>
      <w:r>
        <w:rPr>
          <w:rFonts w:ascii="Times New Roman" w:eastAsia="宋体" w:hAnsi="Times New Roman"/>
          <w:color w:val="auto"/>
          <w:sz w:val="21"/>
          <w:szCs w:val="21"/>
        </w:rPr>
        <w:t>抚州市城市总体规划图</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 xml:space="preserve">附图7  </w:t>
      </w:r>
      <w:bookmarkStart w:id="4" w:name="_Hlk23323563"/>
      <w:r>
        <w:rPr>
          <w:rFonts w:ascii="Times New Roman" w:eastAsia="宋体" w:hAnsi="Times New Roman"/>
          <w:color w:val="auto"/>
          <w:sz w:val="21"/>
          <w:szCs w:val="21"/>
        </w:rPr>
        <w:t>抚州高新技术产业园污水工程规划图</w:t>
      </w:r>
    </w:p>
    <w:bookmarkEnd w:id="4"/>
    <w:p>
      <w:pPr>
        <w:pStyle w:val="Default"/>
        <w:adjustRightInd/>
        <w:spacing w:line="360" w:lineRule="auto"/>
        <w:jc w:val="both"/>
        <w:rPr>
          <w:rFonts w:ascii="Times New Roman" w:eastAsia="宋体" w:hAnsi="Times New Roman" w:hint="default"/>
          <w:b/>
          <w:color w:val="auto"/>
        </w:rPr>
      </w:pPr>
      <w:r>
        <w:rPr>
          <w:rFonts w:ascii="Times New Roman" w:eastAsia="宋体" w:hAnsi="Times New Roman" w:hint="default"/>
          <w:b/>
          <w:color w:val="auto"/>
        </w:rPr>
        <w:t>附件：</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附件1  环评委托书</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附件2  项目备案通知书</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 xml:space="preserve">附件3  </w:t>
      </w:r>
      <w:r>
        <w:rPr>
          <w:rFonts w:ascii="Times New Roman" w:eastAsia="宋体" w:hAnsi="Times New Roman"/>
          <w:color w:val="auto"/>
          <w:sz w:val="21"/>
          <w:szCs w:val="21"/>
        </w:rPr>
        <w:t>原环评批复</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 xml:space="preserve">附件4  </w:t>
      </w:r>
      <w:r>
        <w:rPr>
          <w:rFonts w:ascii="Times New Roman" w:eastAsia="宋体" w:hAnsi="Times New Roman"/>
          <w:color w:val="auto"/>
          <w:sz w:val="21"/>
          <w:szCs w:val="21"/>
        </w:rPr>
        <w:t>原环评变更说明批复</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hint="default"/>
          <w:color w:val="auto"/>
          <w:sz w:val="21"/>
          <w:szCs w:val="21"/>
        </w:rPr>
        <w:t xml:space="preserve">附件5  </w:t>
      </w:r>
      <w:r>
        <w:rPr>
          <w:rFonts w:ascii="Times New Roman" w:eastAsia="宋体" w:hAnsi="Times New Roman"/>
          <w:color w:val="auto"/>
          <w:sz w:val="21"/>
          <w:szCs w:val="21"/>
        </w:rPr>
        <w:t>汝水生态水厂冠名文件</w:t>
      </w:r>
    </w:p>
    <w:p>
      <w:pPr>
        <w:pStyle w:val="Default"/>
        <w:adjustRightInd/>
        <w:spacing w:line="360" w:lineRule="auto"/>
        <w:ind w:firstLine="420" w:firstLineChars="200"/>
        <w:jc w:val="both"/>
        <w:rPr>
          <w:rFonts w:ascii="Times New Roman" w:eastAsia="宋体" w:hAnsi="Times New Roman" w:hint="default"/>
          <w:color w:themeColor="text1"/>
          <w:sz w:val="21"/>
          <w:szCs w:val="21"/>
          <w14:textFill>
            <w14:solidFill>
              <w14:schemeClr w14:val="tx1"/>
            </w14:solidFill>
          </w14:textFill>
        </w:rPr>
      </w:pPr>
      <w:r>
        <w:rPr>
          <w:rFonts w:ascii="Times New Roman" w:eastAsia="宋体" w:hAnsi="Times New Roman" w:hint="default"/>
          <w:color w:val="000000" w:themeColor="text1"/>
          <w:sz w:val="21"/>
          <w:szCs w:val="21"/>
          <w14:textFill>
            <w14:solidFill>
              <w14:schemeClr w14:val="tx1"/>
            </w14:solidFill>
          </w14:textFill>
        </w:rPr>
        <w:t xml:space="preserve">附件6  </w:t>
      </w:r>
      <w:r>
        <w:rPr>
          <w:rFonts w:ascii="Times New Roman" w:eastAsia="宋体" w:hAnsi="Times New Roman"/>
          <w:color w:val="000000" w:themeColor="text1"/>
          <w:sz w:val="21"/>
          <w:szCs w:val="21"/>
          <w14:textFill>
            <w14:solidFill>
              <w14:schemeClr w14:val="tx1"/>
            </w14:solidFill>
          </w14:textFill>
        </w:rPr>
        <w:t>用地文件</w:t>
      </w:r>
    </w:p>
    <w:p>
      <w:pPr>
        <w:pStyle w:val="Default"/>
        <w:adjustRightInd/>
        <w:spacing w:line="360" w:lineRule="auto"/>
        <w:ind w:firstLine="420" w:firstLineChars="200"/>
        <w:jc w:val="both"/>
        <w:rPr>
          <w:rFonts w:ascii="Times New Roman" w:eastAsia="宋体" w:hAnsi="Times New Roman" w:hint="default"/>
          <w:color w:themeColor="text1"/>
          <w:sz w:val="21"/>
          <w:szCs w:val="21"/>
          <w14:textFill>
            <w14:solidFill>
              <w14:schemeClr w14:val="tx1"/>
            </w14:solidFill>
          </w14:textFill>
        </w:rPr>
      </w:pPr>
      <w:r>
        <w:rPr>
          <w:rFonts w:ascii="Times New Roman" w:eastAsia="宋体" w:hAnsi="Times New Roman" w:hint="default"/>
          <w:color w:val="000000" w:themeColor="text1"/>
          <w:sz w:val="21"/>
          <w:szCs w:val="21"/>
          <w14:textFill>
            <w14:solidFill>
              <w14:schemeClr w14:val="tx1"/>
            </w14:solidFill>
          </w14:textFill>
        </w:rPr>
        <w:t xml:space="preserve">附件7  </w:t>
      </w:r>
      <w:r>
        <w:rPr>
          <w:rFonts w:ascii="Times New Roman" w:eastAsia="宋体" w:hAnsi="Times New Roman"/>
          <w:color w:val="000000" w:themeColor="text1"/>
          <w:sz w:val="21"/>
          <w:szCs w:val="21"/>
          <w14:textFill>
            <w14:solidFill>
              <w14:schemeClr w14:val="tx1"/>
            </w14:solidFill>
          </w14:textFill>
        </w:rPr>
        <w:t>水资源论证审批意见函</w:t>
      </w:r>
    </w:p>
    <w:p>
      <w:pPr>
        <w:pStyle w:val="Default"/>
        <w:adjustRightInd/>
        <w:spacing w:line="360" w:lineRule="auto"/>
        <w:ind w:firstLine="420" w:firstLineChars="200"/>
        <w:jc w:val="both"/>
        <w:rPr>
          <w:rFonts w:ascii="Times New Roman" w:eastAsia="宋体" w:hAnsi="Times New Roman" w:hint="default"/>
          <w:color w:themeColor="text1"/>
          <w:sz w:val="21"/>
          <w:szCs w:val="21"/>
          <w14:textFill>
            <w14:solidFill>
              <w14:schemeClr w14:val="tx1"/>
            </w14:solidFill>
          </w14:textFill>
        </w:rPr>
      </w:pPr>
      <w:r>
        <w:rPr>
          <w:rFonts w:ascii="Times New Roman" w:eastAsia="宋体" w:hAnsi="Times New Roman" w:hint="default"/>
          <w:color w:val="000000" w:themeColor="text1"/>
          <w:sz w:val="21"/>
          <w:szCs w:val="21"/>
          <w14:textFill>
            <w14:solidFill>
              <w14:schemeClr w14:val="tx1"/>
            </w14:solidFill>
          </w14:textFill>
        </w:rPr>
        <w:t xml:space="preserve">附件8  </w:t>
      </w:r>
      <w:r>
        <w:rPr>
          <w:rFonts w:ascii="Times New Roman" w:eastAsia="宋体" w:hAnsi="Times New Roman"/>
          <w:color w:val="000000" w:themeColor="text1"/>
          <w:sz w:val="21"/>
          <w:szCs w:val="21"/>
          <w14:textFill>
            <w14:solidFill>
              <w14:schemeClr w14:val="tx1"/>
            </w14:solidFill>
          </w14:textFill>
        </w:rPr>
        <w:t>原水监测报告</w:t>
      </w:r>
    </w:p>
    <w:p>
      <w:pPr>
        <w:pStyle w:val="Default"/>
        <w:adjustRightInd/>
        <w:spacing w:line="360" w:lineRule="auto"/>
        <w:ind w:firstLine="420" w:firstLineChars="200"/>
        <w:jc w:val="both"/>
        <w:rPr>
          <w:rFonts w:ascii="Times New Roman" w:eastAsia="宋体" w:hAnsi="Times New Roman" w:hint="default"/>
          <w:color w:themeColor="text1"/>
          <w:sz w:val="21"/>
          <w:szCs w:val="21"/>
          <w14:textFill>
            <w14:solidFill>
              <w14:schemeClr w14:val="tx1"/>
            </w14:solidFill>
          </w14:textFill>
        </w:rPr>
      </w:pPr>
      <w:r>
        <w:rPr>
          <w:rFonts w:ascii="Times New Roman" w:eastAsia="宋体" w:hAnsi="Times New Roman"/>
          <w:color w:val="000000" w:themeColor="text1"/>
          <w:sz w:val="21"/>
          <w:szCs w:val="21"/>
          <w14:textFill>
            <w14:solidFill>
              <w14:schemeClr w14:val="tx1"/>
            </w14:solidFill>
          </w14:textFill>
        </w:rPr>
        <w:t>附件9</w:t>
      </w:r>
      <w:r>
        <w:rPr>
          <w:rFonts w:ascii="Times New Roman" w:eastAsia="宋体" w:hAnsi="Times New Roman" w:hint="default"/>
          <w:color w:val="000000" w:themeColor="text1"/>
          <w:sz w:val="21"/>
          <w:szCs w:val="21"/>
          <w14:textFill>
            <w14:solidFill>
              <w14:schemeClr w14:val="tx1"/>
            </w14:solidFill>
          </w14:textFill>
        </w:rPr>
        <w:t xml:space="preserve">  </w:t>
      </w:r>
      <w:r>
        <w:rPr>
          <w:rFonts w:ascii="Times New Roman" w:eastAsia="宋体" w:hAnsi="Times New Roman"/>
          <w:color w:val="000000" w:themeColor="text1"/>
          <w:sz w:val="21"/>
          <w:szCs w:val="21"/>
          <w14:textFill>
            <w14:solidFill>
              <w14:schemeClr w14:val="tx1"/>
            </w14:solidFill>
          </w14:textFill>
        </w:rPr>
        <w:t>地表水环境评价自查表</w:t>
      </w:r>
    </w:p>
    <w:p>
      <w:pPr>
        <w:pStyle w:val="Default"/>
        <w:adjustRightInd/>
        <w:spacing w:line="360" w:lineRule="auto"/>
        <w:ind w:firstLine="420" w:firstLineChars="200"/>
        <w:jc w:val="both"/>
        <w:rPr>
          <w:rFonts w:ascii="Times New Roman" w:eastAsia="宋体" w:hAnsi="Times New Roman" w:hint="default"/>
          <w:color w:themeColor="text1"/>
          <w:sz w:val="21"/>
          <w:szCs w:val="21"/>
          <w14:textFill>
            <w14:solidFill>
              <w14:schemeClr w14:val="tx1"/>
            </w14:solidFill>
          </w14:textFill>
        </w:rPr>
      </w:pPr>
      <w:r>
        <w:rPr>
          <w:rFonts w:ascii="Times New Roman" w:eastAsia="宋体" w:hAnsi="Times New Roman"/>
          <w:color w:val="000000" w:themeColor="text1"/>
          <w:sz w:val="21"/>
          <w:szCs w:val="21"/>
          <w14:textFill>
            <w14:solidFill>
              <w14:schemeClr w14:val="tx1"/>
            </w14:solidFill>
          </w14:textFill>
        </w:rPr>
        <w:t>附件1</w:t>
      </w:r>
      <w:r>
        <w:rPr>
          <w:rFonts w:ascii="Times New Roman" w:eastAsia="宋体" w:hAnsi="Times New Roman" w:hint="default"/>
          <w:color w:val="000000" w:themeColor="text1"/>
          <w:sz w:val="21"/>
          <w:szCs w:val="21"/>
          <w14:textFill>
            <w14:solidFill>
              <w14:schemeClr w14:val="tx1"/>
            </w14:solidFill>
          </w14:textFill>
        </w:rPr>
        <w:t xml:space="preserve">0 </w:t>
      </w:r>
      <w:r>
        <w:rPr>
          <w:rFonts w:ascii="Times New Roman" w:eastAsia="宋体" w:hAnsi="Times New Roman"/>
          <w:color w:val="000000" w:themeColor="text1"/>
          <w:sz w:val="21"/>
          <w:szCs w:val="21"/>
          <w14:textFill>
            <w14:solidFill>
              <w14:schemeClr w14:val="tx1"/>
            </w14:solidFill>
          </w14:textFill>
        </w:rPr>
        <w:t>环境风险自查表</w:t>
      </w:r>
    </w:p>
    <w:p>
      <w:pPr>
        <w:pStyle w:val="Default"/>
        <w:adjustRightInd/>
        <w:spacing w:line="360" w:lineRule="auto"/>
        <w:ind w:firstLine="420" w:firstLineChars="200"/>
        <w:jc w:val="both"/>
        <w:rPr>
          <w:rFonts w:ascii="Times New Roman" w:eastAsia="宋体" w:hAnsi="Times New Roman" w:hint="default"/>
          <w:color w:val="auto"/>
          <w:sz w:val="21"/>
          <w:szCs w:val="21"/>
        </w:rPr>
      </w:pPr>
      <w:r>
        <w:rPr>
          <w:rFonts w:ascii="Times New Roman" w:eastAsia="宋体" w:hAnsi="Times New Roman"/>
          <w:color w:val="auto"/>
          <w:sz w:val="21"/>
          <w:szCs w:val="21"/>
        </w:rPr>
        <w:t>附件</w:t>
      </w:r>
      <w:r>
        <w:rPr>
          <w:rFonts w:ascii="Times New Roman" w:eastAsia="宋体" w:hAnsi="Times New Roman" w:hint="default"/>
          <w:color w:val="auto"/>
          <w:sz w:val="21"/>
          <w:szCs w:val="21"/>
        </w:rPr>
        <w:t>11</w:t>
      </w:r>
      <w:r>
        <w:rPr>
          <w:rFonts w:ascii="Times New Roman" w:eastAsia="宋体" w:hAnsi="Times New Roman"/>
          <w:color w:val="auto"/>
          <w:sz w:val="21"/>
          <w:szCs w:val="21"/>
        </w:rPr>
        <w:t xml:space="preserve"> 标准确认表</w:t>
      </w:r>
    </w:p>
    <w:p>
      <w:pPr>
        <w:spacing w:line="360" w:lineRule="auto"/>
        <w:rPr>
          <w:b/>
          <w:kern w:val="21"/>
          <w:sz w:val="22"/>
          <w:szCs w:val="28"/>
        </w:rPr>
      </w:pPr>
      <w:r>
        <w:rPr>
          <w:b/>
          <w:kern w:val="21"/>
          <w:sz w:val="24"/>
          <w:szCs w:val="28"/>
        </w:rPr>
        <w:t>附表：</w:t>
      </w:r>
    </w:p>
    <w:p>
      <w:pPr>
        <w:spacing w:line="360" w:lineRule="auto"/>
        <w:ind w:firstLine="420" w:firstLineChars="200"/>
        <w:rPr>
          <w:szCs w:val="21"/>
        </w:rPr>
        <w:sectPr>
          <w:footerReference w:type="even" r:id="rId6"/>
          <w:footerReference w:type="default" r:id="rId7"/>
          <w:footerReference w:type="first" r:id="rId8"/>
          <w:pgSz w:w="11907" w:h="16840"/>
          <w:pgMar w:top="1418" w:right="1418" w:bottom="1418" w:left="1418" w:header="851" w:footer="680" w:gutter="113"/>
          <w:pgNumType w:start="1"/>
          <w:cols w:num="1" w:space="720"/>
          <w:titlePg/>
          <w:docGrid w:linePitch="286" w:charSpace="0"/>
        </w:sectPr>
      </w:pPr>
      <w:r>
        <w:rPr>
          <w:szCs w:val="21"/>
        </w:rPr>
        <w:t>建设项目环评审批基础信息表</w:t>
      </w:r>
    </w:p>
    <w:p>
      <w:pPr>
        <w:pStyle w:val="Default"/>
        <w:rPr>
          <w:rFonts w:hint="default"/>
        </w:rPr>
      </w:pPr>
    </w:p>
    <w:p>
      <w:pPr>
        <w:pStyle w:val="Default"/>
        <w:rPr>
          <w:rFonts w:hint="default"/>
        </w:rPr>
      </w:pPr>
    </w:p>
    <w:p>
      <w:pPr>
        <w:pStyle w:val="Default"/>
        <w:rPr>
          <w:rFonts w:hint="default"/>
        </w:rPr>
      </w:pPr>
    </w:p>
    <w:p>
      <w:pPr>
        <w:pStyle w:val="Default"/>
        <w:rPr>
          <w:rFonts w:hint="default"/>
        </w:rPr>
        <w:sectPr>
          <w:footerReference w:type="even" r:id="rId9"/>
          <w:footerReference w:type="default" r:id="rId10"/>
          <w:footerReference w:type="first" r:id="rId11"/>
          <w:type w:val="nextPage"/>
          <w:pgSz w:w="11907" w:h="16840"/>
          <w:pgMar w:top="1418" w:right="1418" w:bottom="1418" w:left="1418" w:header="851" w:footer="680" w:gutter="113"/>
          <w:pgNumType w:start="2"/>
          <w:cols w:num="1" w:space="720"/>
          <w:titlePg w:val="0"/>
          <w:docGrid w:linePitch="286" w:charSpace="0"/>
        </w:sectPr>
      </w:pPr>
    </w:p>
    <w:p>
      <w:pPr>
        <w:spacing w:line="240" w:lineRule="auto"/>
        <w:outlineLvl w:val="0"/>
        <w:rPr>
          <w:kern w:val="21"/>
          <w:sz w:val="28"/>
        </w:rPr>
      </w:pPr>
      <w:bookmarkStart w:id="5" w:name="_Toc7740_WPSOffice_Level1"/>
      <w:r>
        <w:rPr>
          <w:b/>
          <w:kern w:val="21"/>
          <w:sz w:val="32"/>
        </w:rPr>
        <w:t>建设项目基本情况</w:t>
      </w: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1545"/>
        <w:gridCol w:w="1612"/>
        <w:gridCol w:w="1518"/>
        <w:gridCol w:w="1247"/>
        <w:gridCol w:w="1413"/>
        <w:gridCol w:w="364"/>
        <w:gridCol w:w="1217"/>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454"/>
          <w:jc w:val="center"/>
        </w:trPr>
        <w:tc>
          <w:tcPr>
            <w:tcW w:w="1545" w:type="dxa"/>
            <w:vAlign w:val="center"/>
          </w:tcPr>
          <w:p>
            <w:pPr>
              <w:snapToGrid w:val="0"/>
              <w:spacing w:line="240" w:lineRule="auto"/>
              <w:jc w:val="center"/>
              <w:rPr>
                <w:rFonts w:cs="宋体"/>
                <w:b/>
                <w:kern w:val="21"/>
                <w:sz w:val="24"/>
                <w:szCs w:val="24"/>
              </w:rPr>
            </w:pPr>
            <w:bookmarkEnd w:id="5"/>
            <w:r>
              <w:rPr>
                <w:rFonts w:cs="宋体" w:hint="eastAsia"/>
                <w:b/>
                <w:kern w:val="21"/>
                <w:sz w:val="24"/>
                <w:szCs w:val="24"/>
              </w:rPr>
              <w:t>项目名称</w:t>
            </w:r>
          </w:p>
        </w:tc>
        <w:tc>
          <w:tcPr>
            <w:tcW w:w="7371" w:type="dxa"/>
            <w:gridSpan w:val="6"/>
            <w:vAlign w:val="center"/>
          </w:tcPr>
          <w:p>
            <w:pPr>
              <w:snapToGrid w:val="0"/>
              <w:spacing w:line="240" w:lineRule="auto"/>
              <w:jc w:val="center"/>
              <w:rPr>
                <w:rFonts w:cs="宋体"/>
                <w:snapToGrid w:val="0"/>
                <w:spacing w:val="10"/>
                <w:kern w:val="2"/>
                <w:sz w:val="24"/>
                <w:szCs w:val="24"/>
              </w:rPr>
            </w:pPr>
            <w:r>
              <w:rPr>
                <w:rFonts w:hint="eastAsia"/>
                <w:snapToGrid w:val="0"/>
                <w:spacing w:val="10"/>
                <w:kern w:val="2"/>
                <w:sz w:val="24"/>
                <w:szCs w:val="22"/>
              </w:rPr>
              <w:t>抚州市汝水生态水厂扩建工程</w:t>
            </w:r>
          </w:p>
        </w:tc>
      </w:tr>
      <w:tr>
        <w:tblPrEx>
          <w:tblW w:w="8916" w:type="dxa"/>
          <w:jc w:val="center"/>
          <w:tblLayout w:type="fixed"/>
          <w:tblCellMar>
            <w:top w:w="0" w:type="dxa"/>
            <w:left w:w="108" w:type="dxa"/>
            <w:bottom w:w="0" w:type="dxa"/>
            <w:right w:w="108" w:type="dxa"/>
          </w:tblCellMar>
        </w:tblPrEx>
        <w:trPr>
          <w:trHeight w:val="454"/>
          <w:jc w:val="center"/>
        </w:trPr>
        <w:tc>
          <w:tcPr>
            <w:tcW w:w="1545" w:type="dxa"/>
            <w:vAlign w:val="center"/>
          </w:tcPr>
          <w:p>
            <w:pPr>
              <w:snapToGrid w:val="0"/>
              <w:spacing w:line="240" w:lineRule="auto"/>
              <w:jc w:val="center"/>
              <w:rPr>
                <w:rFonts w:cs="宋体"/>
                <w:b/>
                <w:kern w:val="21"/>
                <w:sz w:val="24"/>
                <w:szCs w:val="24"/>
                <w:u w:val="single"/>
              </w:rPr>
            </w:pPr>
            <w:r>
              <w:rPr>
                <w:rFonts w:cs="宋体" w:hint="eastAsia"/>
                <w:b/>
                <w:kern w:val="21"/>
                <w:sz w:val="24"/>
                <w:szCs w:val="24"/>
              </w:rPr>
              <w:t>建设单位</w:t>
            </w:r>
          </w:p>
        </w:tc>
        <w:tc>
          <w:tcPr>
            <w:tcW w:w="7371" w:type="dxa"/>
            <w:gridSpan w:val="6"/>
            <w:vAlign w:val="center"/>
          </w:tcPr>
          <w:p>
            <w:pPr>
              <w:snapToGrid w:val="0"/>
              <w:spacing w:line="240" w:lineRule="auto"/>
              <w:jc w:val="center"/>
              <w:rPr>
                <w:rFonts w:cs="宋体"/>
                <w:snapToGrid w:val="0"/>
                <w:spacing w:val="10"/>
                <w:kern w:val="2"/>
                <w:sz w:val="24"/>
                <w:szCs w:val="24"/>
              </w:rPr>
            </w:pPr>
            <w:r>
              <w:rPr>
                <w:rFonts w:ascii="宋体" w:hAnsi="宋体" w:hint="eastAsia"/>
                <w:kern w:val="2"/>
                <w:sz w:val="24"/>
                <w:szCs w:val="24"/>
              </w:rPr>
              <w:t>抚州市投资发展（集团）有限公司</w:t>
            </w:r>
          </w:p>
        </w:tc>
      </w:tr>
      <w:tr>
        <w:tblPrEx>
          <w:tblW w:w="8916" w:type="dxa"/>
          <w:jc w:val="center"/>
          <w:tblLayout w:type="fixed"/>
          <w:tblCellMar>
            <w:top w:w="0" w:type="dxa"/>
            <w:left w:w="108" w:type="dxa"/>
            <w:bottom w:w="0" w:type="dxa"/>
            <w:right w:w="108" w:type="dxa"/>
          </w:tblCellMar>
        </w:tblPrEx>
        <w:trPr>
          <w:trHeight w:val="454"/>
          <w:jc w:val="center"/>
        </w:trPr>
        <w:tc>
          <w:tcPr>
            <w:tcW w:w="1545" w:type="dxa"/>
            <w:vAlign w:val="center"/>
          </w:tcPr>
          <w:p>
            <w:pPr>
              <w:snapToGrid w:val="0"/>
              <w:spacing w:line="240" w:lineRule="auto"/>
              <w:jc w:val="center"/>
              <w:rPr>
                <w:rFonts w:cs="宋体"/>
                <w:b/>
                <w:kern w:val="21"/>
                <w:sz w:val="24"/>
                <w:szCs w:val="24"/>
                <w:u w:val="single"/>
              </w:rPr>
            </w:pPr>
            <w:r>
              <w:rPr>
                <w:rFonts w:cs="宋体" w:hint="eastAsia"/>
                <w:b/>
                <w:kern w:val="21"/>
                <w:sz w:val="24"/>
                <w:szCs w:val="24"/>
              </w:rPr>
              <w:t>法人代表</w:t>
            </w:r>
          </w:p>
        </w:tc>
        <w:tc>
          <w:tcPr>
            <w:tcW w:w="3130" w:type="dxa"/>
            <w:gridSpan w:val="2"/>
            <w:vAlign w:val="center"/>
          </w:tcPr>
          <w:p>
            <w:pPr>
              <w:pStyle w:val="211"/>
              <w:snapToGrid w:val="0"/>
              <w:rPr>
                <w:rFonts w:cs="宋体"/>
                <w:snapToGrid w:val="0"/>
                <w:color w:val="000000" w:themeColor="text1"/>
                <w:spacing w:val="10"/>
                <w:kern w:val="0"/>
                <w:szCs w:val="24"/>
                <w14:textFill>
                  <w14:solidFill>
                    <w14:schemeClr w14:val="tx1"/>
                  </w14:solidFill>
                </w14:textFill>
              </w:rPr>
            </w:pPr>
          </w:p>
        </w:tc>
        <w:tc>
          <w:tcPr>
            <w:tcW w:w="1247" w:type="dxa"/>
            <w:vAlign w:val="center"/>
          </w:tcPr>
          <w:p>
            <w:pPr>
              <w:snapToGrid w:val="0"/>
              <w:spacing w:line="240" w:lineRule="auto"/>
              <w:jc w:val="center"/>
              <w:rPr>
                <w:rFonts w:cs="宋体"/>
                <w:b/>
                <w:color w:val="000000" w:themeColor="text1"/>
                <w:kern w:val="21"/>
                <w:sz w:val="24"/>
                <w:szCs w:val="24"/>
                <w:u w:val="single"/>
                <w14:textFill>
                  <w14:solidFill>
                    <w14:schemeClr w14:val="tx1"/>
                  </w14:solidFill>
                </w14:textFill>
              </w:rPr>
            </w:pPr>
          </w:p>
        </w:tc>
        <w:tc>
          <w:tcPr>
            <w:tcW w:w="2994" w:type="dxa"/>
            <w:gridSpan w:val="3"/>
            <w:vAlign w:val="center"/>
          </w:tcPr>
          <w:p>
            <w:pPr>
              <w:pStyle w:val="211"/>
              <w:snapToGrid w:val="0"/>
              <w:rPr>
                <w:rFonts w:cs="宋体"/>
                <w:snapToGrid w:val="0"/>
                <w:color w:val="000000" w:themeColor="text1"/>
                <w:spacing w:val="10"/>
                <w:kern w:val="0"/>
                <w:szCs w:val="24"/>
                <w14:textFill>
                  <w14:solidFill>
                    <w14:schemeClr w14:val="tx1"/>
                  </w14:solidFill>
                </w14:textFill>
              </w:rPr>
            </w:pPr>
          </w:p>
        </w:tc>
      </w:tr>
      <w:tr>
        <w:tblPrEx>
          <w:tblW w:w="8916" w:type="dxa"/>
          <w:jc w:val="center"/>
          <w:tblLayout w:type="fixed"/>
          <w:tblCellMar>
            <w:top w:w="0" w:type="dxa"/>
            <w:left w:w="108" w:type="dxa"/>
            <w:bottom w:w="0" w:type="dxa"/>
            <w:right w:w="108" w:type="dxa"/>
          </w:tblCellMar>
        </w:tblPrEx>
        <w:trPr>
          <w:trHeight w:val="454"/>
          <w:jc w:val="center"/>
        </w:trPr>
        <w:tc>
          <w:tcPr>
            <w:tcW w:w="1545" w:type="dxa"/>
            <w:vAlign w:val="center"/>
          </w:tcPr>
          <w:p>
            <w:pPr>
              <w:snapToGrid w:val="0"/>
              <w:spacing w:line="240" w:lineRule="auto"/>
              <w:jc w:val="center"/>
              <w:rPr>
                <w:rFonts w:cs="宋体"/>
                <w:b/>
                <w:kern w:val="21"/>
                <w:sz w:val="24"/>
                <w:szCs w:val="24"/>
              </w:rPr>
            </w:pPr>
            <w:r>
              <w:rPr>
                <w:rFonts w:cs="宋体" w:hint="eastAsia"/>
                <w:b/>
                <w:kern w:val="21"/>
                <w:sz w:val="24"/>
                <w:szCs w:val="24"/>
              </w:rPr>
              <w:t>通讯地址</w:t>
            </w:r>
          </w:p>
        </w:tc>
        <w:tc>
          <w:tcPr>
            <w:tcW w:w="7371" w:type="dxa"/>
            <w:gridSpan w:val="6"/>
            <w:vAlign w:val="center"/>
          </w:tcPr>
          <w:p>
            <w:pPr>
              <w:snapToGrid w:val="0"/>
              <w:spacing w:line="240" w:lineRule="auto"/>
              <w:jc w:val="center"/>
              <w:rPr>
                <w:rFonts w:cs="宋体"/>
                <w:snapToGrid w:val="0"/>
                <w:color w:val="000000" w:themeColor="text1"/>
                <w:spacing w:val="10"/>
                <w:kern w:val="2"/>
                <w:sz w:val="24"/>
                <w:szCs w:val="24"/>
                <w14:textFill>
                  <w14:solidFill>
                    <w14:schemeClr w14:val="tx1"/>
                  </w14:solidFill>
                </w14:textFill>
              </w:rPr>
            </w:pPr>
            <w:r>
              <w:rPr>
                <w:rFonts w:cs="宋体" w:hint="eastAsia"/>
                <w:snapToGrid w:val="0"/>
                <w:color w:val="000000" w:themeColor="text1"/>
                <w:spacing w:val="10"/>
                <w:kern w:val="2"/>
                <w:sz w:val="24"/>
                <w:szCs w:val="24"/>
                <w14:textFill>
                  <w14:solidFill>
                    <w14:schemeClr w14:val="tx1"/>
                  </w14:solidFill>
                </w14:textFill>
              </w:rPr>
              <w:t>江西省抚州市市直机关办公楼2号楼8楼</w:t>
            </w:r>
          </w:p>
        </w:tc>
      </w:tr>
      <w:tr>
        <w:tblPrEx>
          <w:tblW w:w="8916" w:type="dxa"/>
          <w:jc w:val="center"/>
          <w:tblLayout w:type="fixed"/>
          <w:tblCellMar>
            <w:top w:w="0" w:type="dxa"/>
            <w:left w:w="108" w:type="dxa"/>
            <w:bottom w:w="0" w:type="dxa"/>
            <w:right w:w="108" w:type="dxa"/>
          </w:tblCellMar>
        </w:tblPrEx>
        <w:trPr>
          <w:trHeight w:val="454"/>
          <w:jc w:val="center"/>
        </w:trPr>
        <w:tc>
          <w:tcPr>
            <w:tcW w:w="1545" w:type="dxa"/>
            <w:vAlign w:val="center"/>
          </w:tcPr>
          <w:p>
            <w:pPr>
              <w:snapToGrid w:val="0"/>
              <w:spacing w:line="240" w:lineRule="auto"/>
              <w:jc w:val="center"/>
              <w:rPr>
                <w:rFonts w:cs="宋体"/>
                <w:b/>
                <w:kern w:val="21"/>
                <w:sz w:val="24"/>
                <w:szCs w:val="24"/>
                <w:u w:val="single"/>
              </w:rPr>
            </w:pPr>
            <w:r>
              <w:rPr>
                <w:rFonts w:cs="宋体" w:hint="eastAsia"/>
                <w:b/>
                <w:kern w:val="21"/>
                <w:sz w:val="24"/>
                <w:szCs w:val="24"/>
              </w:rPr>
              <w:t>联系电话</w:t>
            </w:r>
          </w:p>
        </w:tc>
        <w:tc>
          <w:tcPr>
            <w:tcW w:w="1612" w:type="dxa"/>
            <w:vAlign w:val="center"/>
          </w:tcPr>
          <w:p>
            <w:pPr>
              <w:snapToGrid w:val="0"/>
              <w:spacing w:line="240" w:lineRule="auto"/>
              <w:jc w:val="center"/>
              <w:rPr>
                <w:rFonts w:cs="宋体"/>
                <w:color w:val="000000" w:themeColor="text1"/>
                <w:kern w:val="2"/>
                <w:sz w:val="24"/>
                <w:szCs w:val="24"/>
                <w14:textFill>
                  <w14:solidFill>
                    <w14:schemeClr w14:val="tx1"/>
                  </w14:solidFill>
                </w14:textFill>
              </w:rPr>
            </w:pPr>
            <w:bookmarkStart w:id="6" w:name="_GoBack"/>
            <w:bookmarkEnd w:id="6"/>
          </w:p>
        </w:tc>
        <w:tc>
          <w:tcPr>
            <w:tcW w:w="1518" w:type="dxa"/>
            <w:vAlign w:val="center"/>
          </w:tcPr>
          <w:p>
            <w:pPr>
              <w:snapToGrid w:val="0"/>
              <w:spacing w:line="240" w:lineRule="auto"/>
              <w:jc w:val="center"/>
              <w:rPr>
                <w:rFonts w:cs="宋体"/>
                <w:b/>
                <w:color w:val="000000" w:themeColor="text1"/>
                <w:kern w:val="21"/>
                <w:sz w:val="24"/>
                <w:szCs w:val="24"/>
                <w:u w:val="single"/>
                <w14:textFill>
                  <w14:solidFill>
                    <w14:schemeClr w14:val="tx1"/>
                  </w14:solidFill>
                </w14:textFill>
              </w:rPr>
            </w:pPr>
            <w:r>
              <w:rPr>
                <w:rFonts w:cs="宋体" w:hint="eastAsia"/>
                <w:b/>
                <w:color w:val="000000" w:themeColor="text1"/>
                <w:kern w:val="21"/>
                <w:sz w:val="24"/>
                <w:szCs w:val="24"/>
                <w14:textFill>
                  <w14:solidFill>
                    <w14:schemeClr w14:val="tx1"/>
                  </w14:solidFill>
                </w14:textFill>
              </w:rPr>
              <w:t>传  真</w:t>
            </w:r>
          </w:p>
        </w:tc>
        <w:tc>
          <w:tcPr>
            <w:tcW w:w="1247" w:type="dxa"/>
            <w:vAlign w:val="center"/>
          </w:tcPr>
          <w:p>
            <w:pPr>
              <w:pStyle w:val="211"/>
              <w:snapToGrid w:val="0"/>
              <w:rPr>
                <w:rFonts w:cs="宋体"/>
                <w:color w:val="000000" w:themeColor="text1"/>
                <w:kern w:val="21"/>
                <w:szCs w:val="24"/>
                <w14:textFill>
                  <w14:solidFill>
                    <w14:schemeClr w14:val="tx1"/>
                  </w14:solidFill>
                </w14:textFill>
              </w:rPr>
            </w:pPr>
            <w:r>
              <w:rPr>
                <w:rFonts w:cs="宋体" w:hint="eastAsia"/>
                <w:color w:val="000000" w:themeColor="text1"/>
                <w:kern w:val="21"/>
                <w:szCs w:val="24"/>
                <w14:textFill>
                  <w14:solidFill>
                    <w14:schemeClr w14:val="tx1"/>
                  </w14:solidFill>
                </w14:textFill>
              </w:rPr>
              <w:t>/</w:t>
            </w:r>
          </w:p>
        </w:tc>
        <w:tc>
          <w:tcPr>
            <w:tcW w:w="1413" w:type="dxa"/>
            <w:vAlign w:val="center"/>
          </w:tcPr>
          <w:p>
            <w:pPr>
              <w:snapToGrid w:val="0"/>
              <w:spacing w:line="240" w:lineRule="auto"/>
              <w:jc w:val="center"/>
              <w:rPr>
                <w:rFonts w:cs="宋体"/>
                <w:b/>
                <w:color w:val="000000" w:themeColor="text1"/>
                <w:kern w:val="21"/>
                <w:sz w:val="24"/>
                <w:szCs w:val="24"/>
                <w14:textFill>
                  <w14:solidFill>
                    <w14:schemeClr w14:val="tx1"/>
                  </w14:solidFill>
                </w14:textFill>
              </w:rPr>
            </w:pPr>
            <w:r>
              <w:rPr>
                <w:rFonts w:cs="宋体" w:hint="eastAsia"/>
                <w:b/>
                <w:color w:val="000000" w:themeColor="text1"/>
                <w:kern w:val="21"/>
                <w:sz w:val="24"/>
                <w:szCs w:val="24"/>
                <w14:textFill>
                  <w14:solidFill>
                    <w14:schemeClr w14:val="tx1"/>
                  </w14:solidFill>
                </w14:textFill>
              </w:rPr>
              <w:t>邮政编码</w:t>
            </w:r>
          </w:p>
        </w:tc>
        <w:tc>
          <w:tcPr>
            <w:tcW w:w="1581" w:type="dxa"/>
            <w:gridSpan w:val="2"/>
            <w:vAlign w:val="center"/>
          </w:tcPr>
          <w:p>
            <w:pPr>
              <w:snapToGrid w:val="0"/>
              <w:spacing w:line="240" w:lineRule="auto"/>
              <w:jc w:val="center"/>
              <w:rPr>
                <w:rFonts w:cs="宋体"/>
                <w:color w:val="000000" w:themeColor="text1"/>
                <w:kern w:val="21"/>
                <w:sz w:val="24"/>
                <w:szCs w:val="24"/>
                <w14:textFill>
                  <w14:solidFill>
                    <w14:schemeClr w14:val="tx1"/>
                  </w14:solidFill>
                </w14:textFill>
              </w:rPr>
            </w:pPr>
            <w:r>
              <w:rPr>
                <w:rFonts w:cs="宋体"/>
                <w:color w:val="000000" w:themeColor="text1"/>
                <w:kern w:val="21"/>
                <w:sz w:val="24"/>
                <w:szCs w:val="24"/>
                <w14:textFill>
                  <w14:solidFill>
                    <w14:schemeClr w14:val="tx1"/>
                  </w14:solidFill>
                </w14:textFill>
              </w:rPr>
              <w:t>344000</w:t>
            </w:r>
          </w:p>
        </w:tc>
      </w:tr>
      <w:tr>
        <w:tblPrEx>
          <w:tblW w:w="8916" w:type="dxa"/>
          <w:jc w:val="center"/>
          <w:tblLayout w:type="fixed"/>
          <w:tblCellMar>
            <w:top w:w="0" w:type="dxa"/>
            <w:left w:w="108" w:type="dxa"/>
            <w:bottom w:w="0" w:type="dxa"/>
            <w:right w:w="108" w:type="dxa"/>
          </w:tblCellMar>
        </w:tblPrEx>
        <w:trPr>
          <w:trHeight w:val="454"/>
          <w:jc w:val="center"/>
        </w:trPr>
        <w:tc>
          <w:tcPr>
            <w:tcW w:w="1545" w:type="dxa"/>
            <w:vAlign w:val="center"/>
          </w:tcPr>
          <w:p>
            <w:pPr>
              <w:snapToGrid w:val="0"/>
              <w:spacing w:line="240" w:lineRule="auto"/>
              <w:jc w:val="center"/>
              <w:rPr>
                <w:rFonts w:cs="宋体"/>
                <w:b/>
                <w:kern w:val="21"/>
                <w:sz w:val="24"/>
                <w:szCs w:val="24"/>
              </w:rPr>
            </w:pPr>
            <w:r>
              <w:rPr>
                <w:rFonts w:cs="宋体" w:hint="eastAsia"/>
                <w:b/>
                <w:kern w:val="21"/>
                <w:sz w:val="24"/>
                <w:szCs w:val="24"/>
              </w:rPr>
              <w:t>建设地点</w:t>
            </w:r>
          </w:p>
        </w:tc>
        <w:tc>
          <w:tcPr>
            <w:tcW w:w="7371" w:type="dxa"/>
            <w:gridSpan w:val="6"/>
            <w:vAlign w:val="center"/>
          </w:tcPr>
          <w:p>
            <w:pPr>
              <w:snapToGrid w:val="0"/>
              <w:spacing w:line="240" w:lineRule="auto"/>
              <w:jc w:val="center"/>
              <w:rPr>
                <w:rFonts w:cs="宋体"/>
                <w:color w:val="000000" w:themeColor="text1"/>
                <w:kern w:val="21"/>
                <w:sz w:val="24"/>
                <w:szCs w:val="24"/>
                <w14:textFill>
                  <w14:solidFill>
                    <w14:schemeClr w14:val="tx1"/>
                  </w14:solidFill>
                </w14:textFill>
              </w:rPr>
            </w:pPr>
            <w:bookmarkStart w:id="7" w:name="_Hlk33693001"/>
            <w:r>
              <w:rPr>
                <w:rFonts w:cs="宋体" w:hint="eastAsia"/>
                <w:color w:val="000000" w:themeColor="text1"/>
                <w:kern w:val="21"/>
                <w:sz w:val="24"/>
                <w:szCs w:val="24"/>
                <w14:textFill>
                  <w14:solidFill>
                    <w14:schemeClr w14:val="tx1"/>
                  </w14:solidFill>
                </w14:textFill>
              </w:rPr>
              <w:t>抚州市高新技术产业开发区抚州公用水务有限公司汝水大道6</w:t>
            </w:r>
            <w:r>
              <w:rPr>
                <w:rFonts w:cs="宋体"/>
                <w:color w:val="000000" w:themeColor="text1"/>
                <w:kern w:val="21"/>
                <w:sz w:val="24"/>
                <w:szCs w:val="24"/>
                <w14:textFill>
                  <w14:solidFill>
                    <w14:schemeClr w14:val="tx1"/>
                  </w14:solidFill>
                </w14:textFill>
              </w:rPr>
              <w:t>909</w:t>
            </w:r>
            <w:r>
              <w:rPr>
                <w:rFonts w:cs="宋体" w:hint="eastAsia"/>
                <w:color w:val="000000" w:themeColor="text1"/>
                <w:kern w:val="21"/>
                <w:sz w:val="24"/>
                <w:szCs w:val="24"/>
                <w14:textFill>
                  <w14:solidFill>
                    <w14:schemeClr w14:val="tx1"/>
                  </w14:solidFill>
                </w14:textFill>
              </w:rPr>
              <w:t>号</w:t>
            </w:r>
            <w:bookmarkEnd w:id="7"/>
          </w:p>
        </w:tc>
      </w:tr>
      <w:tr>
        <w:tblPrEx>
          <w:tblW w:w="8916" w:type="dxa"/>
          <w:jc w:val="center"/>
          <w:tblLayout w:type="fixed"/>
          <w:tblCellMar>
            <w:top w:w="0" w:type="dxa"/>
            <w:left w:w="108" w:type="dxa"/>
            <w:bottom w:w="0" w:type="dxa"/>
            <w:right w:w="108" w:type="dxa"/>
          </w:tblCellMar>
        </w:tblPrEx>
        <w:trPr>
          <w:trHeight w:val="397"/>
          <w:jc w:val="center"/>
        </w:trPr>
        <w:tc>
          <w:tcPr>
            <w:tcW w:w="1545" w:type="dxa"/>
            <w:vAlign w:val="center"/>
          </w:tcPr>
          <w:p>
            <w:pPr>
              <w:snapToGrid w:val="0"/>
              <w:spacing w:line="240" w:lineRule="auto"/>
              <w:ind w:left="-105" w:right="-105" w:leftChars="-50" w:rightChars="-50"/>
              <w:jc w:val="center"/>
              <w:rPr>
                <w:rFonts w:cs="宋体"/>
                <w:b/>
                <w:kern w:val="21"/>
                <w:sz w:val="24"/>
                <w:szCs w:val="24"/>
              </w:rPr>
            </w:pPr>
            <w:r>
              <w:rPr>
                <w:rFonts w:cs="宋体" w:hint="eastAsia"/>
                <w:b/>
                <w:kern w:val="21"/>
                <w:sz w:val="24"/>
                <w:szCs w:val="24"/>
              </w:rPr>
              <w:t>立项审批</w:t>
            </w:r>
          </w:p>
          <w:p>
            <w:pPr>
              <w:snapToGrid w:val="0"/>
              <w:spacing w:line="240" w:lineRule="auto"/>
              <w:ind w:left="-105" w:right="-105" w:leftChars="-50" w:rightChars="-50"/>
              <w:jc w:val="center"/>
              <w:rPr>
                <w:rFonts w:cs="宋体"/>
                <w:b/>
                <w:kern w:val="21"/>
                <w:sz w:val="24"/>
                <w:szCs w:val="24"/>
              </w:rPr>
            </w:pPr>
            <w:r>
              <w:rPr>
                <w:rFonts w:cs="宋体" w:hint="eastAsia"/>
                <w:b/>
                <w:kern w:val="21"/>
                <w:sz w:val="24"/>
                <w:szCs w:val="24"/>
              </w:rPr>
              <w:t>部门</w:t>
            </w:r>
          </w:p>
        </w:tc>
        <w:tc>
          <w:tcPr>
            <w:tcW w:w="3130" w:type="dxa"/>
            <w:gridSpan w:val="2"/>
            <w:tcBorders>
              <w:bottom w:val="single" w:sz="4" w:space="0" w:color="auto"/>
            </w:tcBorders>
            <w:vAlign w:val="center"/>
          </w:tcPr>
          <w:p>
            <w:pPr>
              <w:snapToGrid w:val="0"/>
              <w:spacing w:line="240" w:lineRule="auto"/>
              <w:jc w:val="center"/>
              <w:rPr>
                <w:rFonts w:cs="宋体"/>
                <w:kern w:val="21"/>
                <w:sz w:val="24"/>
                <w:szCs w:val="24"/>
              </w:rPr>
            </w:pPr>
            <w:r>
              <w:rPr>
                <w:rFonts w:cs="宋体" w:hint="eastAsia"/>
                <w:kern w:val="21"/>
                <w:sz w:val="24"/>
                <w:szCs w:val="24"/>
              </w:rPr>
              <w:t>抚州市高新技术产业开发区经济发展与科技创新局</w:t>
            </w:r>
          </w:p>
        </w:tc>
        <w:tc>
          <w:tcPr>
            <w:tcW w:w="1247" w:type="dxa"/>
            <w:vAlign w:val="center"/>
          </w:tcPr>
          <w:p>
            <w:pPr>
              <w:snapToGrid w:val="0"/>
              <w:spacing w:line="240" w:lineRule="auto"/>
              <w:ind w:left="-105" w:right="-105" w:leftChars="-50" w:rightChars="-50"/>
              <w:jc w:val="center"/>
              <w:rPr>
                <w:rFonts w:cs="宋体"/>
                <w:b/>
                <w:kern w:val="21"/>
                <w:sz w:val="24"/>
                <w:szCs w:val="24"/>
              </w:rPr>
            </w:pPr>
            <w:r>
              <w:rPr>
                <w:rFonts w:cs="宋体" w:hint="eastAsia"/>
                <w:b/>
                <w:kern w:val="21"/>
                <w:sz w:val="24"/>
                <w:szCs w:val="24"/>
              </w:rPr>
              <w:t>批准文号</w:t>
            </w:r>
          </w:p>
        </w:tc>
        <w:tc>
          <w:tcPr>
            <w:tcW w:w="2994" w:type="dxa"/>
            <w:gridSpan w:val="3"/>
            <w:vAlign w:val="center"/>
          </w:tcPr>
          <w:p>
            <w:pPr>
              <w:snapToGrid w:val="0"/>
              <w:spacing w:line="240" w:lineRule="auto"/>
              <w:jc w:val="center"/>
              <w:rPr>
                <w:rFonts w:cs="宋体"/>
                <w:kern w:val="21"/>
                <w:sz w:val="24"/>
                <w:szCs w:val="24"/>
              </w:rPr>
            </w:pPr>
            <w:r>
              <w:rPr>
                <w:snapToGrid w:val="0"/>
                <w:spacing w:val="10"/>
                <w:kern w:val="2"/>
                <w:sz w:val="24"/>
                <w:szCs w:val="22"/>
              </w:rPr>
              <w:t>2019-361099-46-03-011664</w:t>
            </w:r>
          </w:p>
        </w:tc>
      </w:tr>
      <w:tr>
        <w:tblPrEx>
          <w:tblW w:w="8916" w:type="dxa"/>
          <w:jc w:val="center"/>
          <w:tblLayout w:type="fixed"/>
          <w:tblCellMar>
            <w:top w:w="0" w:type="dxa"/>
            <w:left w:w="108" w:type="dxa"/>
            <w:bottom w:w="0" w:type="dxa"/>
            <w:right w:w="108" w:type="dxa"/>
          </w:tblCellMar>
        </w:tblPrEx>
        <w:trPr>
          <w:trHeight w:val="397"/>
          <w:jc w:val="center"/>
        </w:trPr>
        <w:tc>
          <w:tcPr>
            <w:tcW w:w="1545" w:type="dxa"/>
            <w:vAlign w:val="center"/>
          </w:tcPr>
          <w:p>
            <w:pPr>
              <w:snapToGrid w:val="0"/>
              <w:spacing w:line="240" w:lineRule="auto"/>
              <w:jc w:val="center"/>
              <w:rPr>
                <w:rFonts w:cs="宋体"/>
                <w:b/>
                <w:kern w:val="21"/>
                <w:sz w:val="24"/>
                <w:szCs w:val="24"/>
              </w:rPr>
            </w:pPr>
            <w:r>
              <w:rPr>
                <w:rFonts w:cs="宋体" w:hint="eastAsia"/>
                <w:b/>
                <w:kern w:val="21"/>
                <w:sz w:val="24"/>
                <w:szCs w:val="24"/>
              </w:rPr>
              <w:t>建设性质</w:t>
            </w:r>
          </w:p>
        </w:tc>
        <w:tc>
          <w:tcPr>
            <w:tcW w:w="3130" w:type="dxa"/>
            <w:gridSpan w:val="2"/>
            <w:tcBorders>
              <w:top w:val="single" w:sz="4" w:space="0" w:color="auto"/>
              <w:bottom w:val="single" w:sz="4" w:space="0" w:color="auto"/>
            </w:tcBorders>
            <w:vAlign w:val="center"/>
          </w:tcPr>
          <w:p>
            <w:pPr>
              <w:snapToGrid w:val="0"/>
              <w:spacing w:line="240" w:lineRule="auto"/>
              <w:jc w:val="center"/>
              <w:rPr>
                <w:rFonts w:cs="宋体"/>
                <w:snapToGrid w:val="0"/>
                <w:spacing w:val="10"/>
                <w:kern w:val="2"/>
                <w:sz w:val="24"/>
                <w:szCs w:val="24"/>
              </w:rPr>
            </w:pPr>
            <w:r>
              <w:rPr>
                <w:rFonts w:cs="宋体" w:hint="eastAsia"/>
                <w:snapToGrid w:val="0"/>
                <w:spacing w:val="10"/>
                <w:kern w:val="2"/>
                <w:sz w:val="24"/>
                <w:szCs w:val="24"/>
              </w:rPr>
              <w:t>扩建</w:t>
            </w:r>
          </w:p>
        </w:tc>
        <w:tc>
          <w:tcPr>
            <w:tcW w:w="1247" w:type="dxa"/>
            <w:vAlign w:val="center"/>
          </w:tcPr>
          <w:p>
            <w:pPr>
              <w:snapToGrid w:val="0"/>
              <w:spacing w:line="240" w:lineRule="auto"/>
              <w:ind w:left="-105" w:right="-105" w:leftChars="-50" w:rightChars="-50"/>
              <w:jc w:val="center"/>
              <w:rPr>
                <w:rFonts w:cs="宋体"/>
                <w:b/>
                <w:kern w:val="21"/>
                <w:sz w:val="24"/>
                <w:szCs w:val="24"/>
              </w:rPr>
            </w:pPr>
            <w:r>
              <w:rPr>
                <w:rFonts w:cs="宋体" w:hint="eastAsia"/>
                <w:b/>
                <w:kern w:val="21"/>
                <w:sz w:val="24"/>
                <w:szCs w:val="24"/>
              </w:rPr>
              <w:t>行业类别</w:t>
            </w:r>
          </w:p>
          <w:p>
            <w:pPr>
              <w:snapToGrid w:val="0"/>
              <w:spacing w:line="240" w:lineRule="auto"/>
              <w:ind w:left="-105" w:right="-105" w:leftChars="-50" w:rightChars="-50"/>
              <w:jc w:val="center"/>
              <w:rPr>
                <w:rFonts w:cs="宋体"/>
                <w:b/>
                <w:kern w:val="21"/>
                <w:sz w:val="24"/>
                <w:szCs w:val="24"/>
              </w:rPr>
            </w:pPr>
            <w:r>
              <w:rPr>
                <w:rFonts w:cs="宋体" w:hint="eastAsia"/>
                <w:b/>
                <w:kern w:val="21"/>
                <w:sz w:val="24"/>
                <w:szCs w:val="24"/>
              </w:rPr>
              <w:t>及代码</w:t>
            </w:r>
          </w:p>
        </w:tc>
        <w:tc>
          <w:tcPr>
            <w:tcW w:w="2994" w:type="dxa"/>
            <w:gridSpan w:val="3"/>
            <w:vAlign w:val="center"/>
          </w:tcPr>
          <w:p>
            <w:pPr>
              <w:snapToGrid w:val="0"/>
              <w:spacing w:line="240" w:lineRule="auto"/>
              <w:jc w:val="center"/>
              <w:rPr>
                <w:rFonts w:ascii="宋体" w:hAnsi="宋体" w:cs="宋体"/>
                <w:kern w:val="2"/>
                <w:sz w:val="24"/>
                <w:szCs w:val="24"/>
              </w:rPr>
            </w:pPr>
            <w:r>
              <w:rPr>
                <w:rFonts w:ascii="宋体" w:hAnsi="宋体" w:cs="宋体" w:hint="eastAsia"/>
                <w:kern w:val="2"/>
                <w:sz w:val="24"/>
                <w:szCs w:val="24"/>
              </w:rPr>
              <w:t>自来水生产和供应</w:t>
            </w:r>
          </w:p>
          <w:p>
            <w:pPr>
              <w:pStyle w:val="Default"/>
              <w:jc w:val="center"/>
              <w:rPr>
                <w:rFonts w:ascii="Times New Roman" w:eastAsia="宋体" w:hAnsi="Times New Roman" w:cs="宋体" w:hint="default"/>
                <w:color w:val="auto"/>
                <w:kern w:val="2"/>
                <w:szCs w:val="24"/>
              </w:rPr>
            </w:pPr>
            <w:r>
              <w:rPr>
                <w:rFonts w:ascii="Times New Roman" w:hAnsi="Times New Roman" w:cs="宋体" w:hint="default"/>
                <w:color w:val="auto"/>
                <w:kern w:val="2"/>
                <w:szCs w:val="24"/>
              </w:rPr>
              <w:t>D4610</w:t>
            </w:r>
          </w:p>
        </w:tc>
      </w:tr>
      <w:tr>
        <w:tblPrEx>
          <w:tblW w:w="8916" w:type="dxa"/>
          <w:jc w:val="center"/>
          <w:tblLayout w:type="fixed"/>
          <w:tblCellMar>
            <w:top w:w="0" w:type="dxa"/>
            <w:left w:w="108" w:type="dxa"/>
            <w:bottom w:w="0" w:type="dxa"/>
            <w:right w:w="108" w:type="dxa"/>
          </w:tblCellMar>
        </w:tblPrEx>
        <w:trPr>
          <w:trHeight w:val="680"/>
          <w:jc w:val="center"/>
        </w:trPr>
        <w:tc>
          <w:tcPr>
            <w:tcW w:w="1545" w:type="dxa"/>
            <w:vAlign w:val="center"/>
          </w:tcPr>
          <w:p>
            <w:pPr>
              <w:snapToGrid w:val="0"/>
              <w:spacing w:line="240" w:lineRule="auto"/>
              <w:jc w:val="center"/>
              <w:rPr>
                <w:rFonts w:cs="宋体"/>
                <w:b/>
                <w:kern w:val="21"/>
                <w:sz w:val="24"/>
                <w:szCs w:val="24"/>
              </w:rPr>
            </w:pPr>
            <w:r>
              <w:rPr>
                <w:rFonts w:cs="宋体" w:hint="eastAsia"/>
                <w:b/>
                <w:kern w:val="21"/>
                <w:sz w:val="24"/>
                <w:szCs w:val="24"/>
              </w:rPr>
              <w:t>占地面积</w:t>
            </w:r>
          </w:p>
          <w:p>
            <w:pPr>
              <w:snapToGrid w:val="0"/>
              <w:spacing w:line="240" w:lineRule="auto"/>
              <w:jc w:val="center"/>
              <w:rPr>
                <w:rFonts w:cs="宋体"/>
                <w:b/>
                <w:kern w:val="21"/>
                <w:sz w:val="24"/>
                <w:szCs w:val="24"/>
              </w:rPr>
            </w:pPr>
            <w:r>
              <w:rPr>
                <w:rFonts w:cs="宋体" w:hint="eastAsia"/>
                <w:b/>
                <w:kern w:val="21"/>
                <w:sz w:val="24"/>
                <w:szCs w:val="24"/>
              </w:rPr>
              <w:t>（平方米）</w:t>
            </w:r>
          </w:p>
        </w:tc>
        <w:tc>
          <w:tcPr>
            <w:tcW w:w="3130" w:type="dxa"/>
            <w:gridSpan w:val="2"/>
            <w:tcBorders>
              <w:top w:val="single" w:sz="4" w:space="0" w:color="auto"/>
            </w:tcBorders>
            <w:vAlign w:val="center"/>
          </w:tcPr>
          <w:p>
            <w:pPr>
              <w:snapToGrid w:val="0"/>
              <w:spacing w:line="240" w:lineRule="auto"/>
              <w:jc w:val="center"/>
              <w:rPr>
                <w:rFonts w:cs="宋体"/>
                <w:kern w:val="21"/>
                <w:sz w:val="24"/>
                <w:szCs w:val="24"/>
              </w:rPr>
            </w:pPr>
            <w:r>
              <w:rPr>
                <w:rFonts w:cs="宋体"/>
                <w:kern w:val="21"/>
                <w:sz w:val="24"/>
                <w:szCs w:val="24"/>
              </w:rPr>
              <w:t>66667.00</w:t>
            </w:r>
          </w:p>
        </w:tc>
        <w:tc>
          <w:tcPr>
            <w:tcW w:w="1247" w:type="dxa"/>
            <w:vAlign w:val="center"/>
          </w:tcPr>
          <w:p>
            <w:pPr>
              <w:snapToGrid w:val="0"/>
              <w:spacing w:line="240" w:lineRule="auto"/>
              <w:ind w:left="-105" w:right="-105" w:leftChars="-50" w:rightChars="-50"/>
              <w:jc w:val="center"/>
              <w:rPr>
                <w:rFonts w:cs="宋体"/>
                <w:b/>
                <w:kern w:val="21"/>
                <w:sz w:val="24"/>
                <w:szCs w:val="24"/>
              </w:rPr>
            </w:pPr>
            <w:r>
              <w:rPr>
                <w:rFonts w:cs="宋体" w:hint="eastAsia"/>
                <w:b/>
                <w:kern w:val="21"/>
                <w:sz w:val="24"/>
                <w:szCs w:val="24"/>
              </w:rPr>
              <w:t>建筑面积</w:t>
            </w:r>
          </w:p>
          <w:p>
            <w:pPr>
              <w:snapToGrid w:val="0"/>
              <w:spacing w:line="240" w:lineRule="auto"/>
              <w:ind w:left="-105" w:right="-105" w:leftChars="-50" w:rightChars="-50"/>
              <w:jc w:val="center"/>
              <w:rPr>
                <w:rFonts w:cs="宋体"/>
                <w:b/>
                <w:kern w:val="21"/>
                <w:sz w:val="24"/>
                <w:szCs w:val="24"/>
              </w:rPr>
            </w:pPr>
            <w:r>
              <w:rPr>
                <w:rFonts w:cs="宋体" w:hint="eastAsia"/>
                <w:b/>
                <w:kern w:val="21"/>
                <w:sz w:val="24"/>
                <w:szCs w:val="24"/>
              </w:rPr>
              <w:t>（平方米）</w:t>
            </w:r>
          </w:p>
        </w:tc>
        <w:tc>
          <w:tcPr>
            <w:tcW w:w="2994" w:type="dxa"/>
            <w:gridSpan w:val="3"/>
            <w:vAlign w:val="center"/>
          </w:tcPr>
          <w:p>
            <w:pPr>
              <w:pStyle w:val="211"/>
              <w:snapToGrid w:val="0"/>
              <w:rPr>
                <w:rFonts w:cs="宋体"/>
                <w:kern w:val="21"/>
                <w:szCs w:val="24"/>
              </w:rPr>
            </w:pPr>
            <w:r>
              <w:rPr>
                <w:rFonts w:hint="eastAsia"/>
                <w:kern w:val="21"/>
                <w:szCs w:val="24"/>
              </w:rPr>
              <w:t>4</w:t>
            </w:r>
            <w:r>
              <w:rPr>
                <w:kern w:val="21"/>
                <w:szCs w:val="24"/>
              </w:rPr>
              <w:t>628.78</w:t>
            </w:r>
          </w:p>
        </w:tc>
      </w:tr>
      <w:tr>
        <w:tblPrEx>
          <w:tblW w:w="8916" w:type="dxa"/>
          <w:jc w:val="center"/>
          <w:tblLayout w:type="fixed"/>
          <w:tblCellMar>
            <w:top w:w="0" w:type="dxa"/>
            <w:left w:w="108" w:type="dxa"/>
            <w:bottom w:w="0" w:type="dxa"/>
            <w:right w:w="108" w:type="dxa"/>
          </w:tblCellMar>
        </w:tblPrEx>
        <w:trPr>
          <w:trHeight w:val="680"/>
          <w:jc w:val="center"/>
        </w:trPr>
        <w:tc>
          <w:tcPr>
            <w:tcW w:w="1545" w:type="dxa"/>
            <w:vAlign w:val="center"/>
          </w:tcPr>
          <w:p>
            <w:pPr>
              <w:snapToGrid w:val="0"/>
              <w:spacing w:line="240" w:lineRule="auto"/>
              <w:jc w:val="center"/>
              <w:rPr>
                <w:rFonts w:cs="宋体"/>
                <w:b/>
                <w:kern w:val="21"/>
                <w:sz w:val="24"/>
                <w:szCs w:val="24"/>
              </w:rPr>
            </w:pPr>
            <w:r>
              <w:rPr>
                <w:rFonts w:cs="宋体" w:hint="eastAsia"/>
                <w:b/>
                <w:kern w:val="21"/>
                <w:sz w:val="24"/>
                <w:szCs w:val="24"/>
              </w:rPr>
              <w:t>总投资</w:t>
            </w:r>
          </w:p>
          <w:p>
            <w:pPr>
              <w:snapToGrid w:val="0"/>
              <w:spacing w:line="240" w:lineRule="auto"/>
              <w:jc w:val="center"/>
              <w:rPr>
                <w:rFonts w:cs="宋体"/>
                <w:b/>
                <w:kern w:val="21"/>
                <w:sz w:val="24"/>
                <w:szCs w:val="24"/>
              </w:rPr>
            </w:pPr>
            <w:r>
              <w:rPr>
                <w:rFonts w:cs="宋体" w:hint="eastAsia"/>
                <w:b/>
                <w:kern w:val="21"/>
                <w:sz w:val="24"/>
                <w:szCs w:val="24"/>
              </w:rPr>
              <w:t>（万元）</w:t>
            </w:r>
          </w:p>
        </w:tc>
        <w:tc>
          <w:tcPr>
            <w:tcW w:w="1612" w:type="dxa"/>
            <w:vAlign w:val="center"/>
          </w:tcPr>
          <w:p>
            <w:pPr>
              <w:snapToGrid w:val="0"/>
              <w:spacing w:line="240" w:lineRule="auto"/>
              <w:jc w:val="center"/>
              <w:rPr>
                <w:rFonts w:cs="宋体"/>
                <w:kern w:val="21"/>
                <w:sz w:val="24"/>
                <w:szCs w:val="24"/>
              </w:rPr>
            </w:pPr>
            <w:r>
              <w:rPr>
                <w:rFonts w:cs="宋体"/>
                <w:kern w:val="21"/>
                <w:sz w:val="24"/>
                <w:szCs w:val="24"/>
              </w:rPr>
              <w:t>5268.44</w:t>
            </w:r>
          </w:p>
        </w:tc>
        <w:tc>
          <w:tcPr>
            <w:tcW w:w="1518" w:type="dxa"/>
            <w:vAlign w:val="center"/>
          </w:tcPr>
          <w:p>
            <w:pPr>
              <w:snapToGrid w:val="0"/>
              <w:spacing w:line="240" w:lineRule="auto"/>
              <w:jc w:val="center"/>
              <w:rPr>
                <w:rFonts w:cs="宋体"/>
                <w:b/>
                <w:kern w:val="21"/>
                <w:sz w:val="24"/>
                <w:szCs w:val="24"/>
              </w:rPr>
            </w:pPr>
            <w:r>
              <w:rPr>
                <w:rFonts w:cs="宋体" w:hint="eastAsia"/>
                <w:b/>
                <w:kern w:val="21"/>
                <w:sz w:val="24"/>
                <w:szCs w:val="24"/>
              </w:rPr>
              <w:t>其中环保投资（万元）</w:t>
            </w:r>
          </w:p>
        </w:tc>
        <w:tc>
          <w:tcPr>
            <w:tcW w:w="1247" w:type="dxa"/>
            <w:vAlign w:val="center"/>
          </w:tcPr>
          <w:p>
            <w:pPr>
              <w:pStyle w:val="211"/>
              <w:snapToGrid w:val="0"/>
              <w:rPr>
                <w:rFonts w:cs="宋体"/>
                <w:snapToGrid w:val="0"/>
                <w:spacing w:val="10"/>
                <w:kern w:val="0"/>
                <w:szCs w:val="24"/>
              </w:rPr>
            </w:pPr>
            <w:r>
              <w:rPr>
                <w:rFonts w:cs="宋体"/>
                <w:snapToGrid w:val="0"/>
                <w:spacing w:val="10"/>
                <w:kern w:val="0"/>
                <w:szCs w:val="24"/>
              </w:rPr>
              <w:t>50</w:t>
            </w:r>
          </w:p>
        </w:tc>
        <w:tc>
          <w:tcPr>
            <w:tcW w:w="1777" w:type="dxa"/>
            <w:gridSpan w:val="2"/>
            <w:vAlign w:val="center"/>
          </w:tcPr>
          <w:p>
            <w:pPr>
              <w:snapToGrid w:val="0"/>
              <w:spacing w:line="240" w:lineRule="auto"/>
              <w:jc w:val="center"/>
              <w:rPr>
                <w:rFonts w:cs="宋体"/>
                <w:b/>
                <w:kern w:val="21"/>
                <w:sz w:val="24"/>
                <w:szCs w:val="24"/>
              </w:rPr>
            </w:pPr>
            <w:r>
              <w:rPr>
                <w:rFonts w:cs="宋体" w:hint="eastAsia"/>
                <w:b/>
                <w:kern w:val="21"/>
                <w:sz w:val="24"/>
                <w:szCs w:val="24"/>
              </w:rPr>
              <w:t>环保投资占总投资比例</w:t>
            </w:r>
          </w:p>
        </w:tc>
        <w:tc>
          <w:tcPr>
            <w:tcW w:w="1217" w:type="dxa"/>
            <w:vAlign w:val="center"/>
          </w:tcPr>
          <w:p>
            <w:pPr>
              <w:pStyle w:val="211"/>
              <w:snapToGrid w:val="0"/>
              <w:rPr>
                <w:rFonts w:cs="宋体"/>
                <w:kern w:val="21"/>
                <w:szCs w:val="24"/>
              </w:rPr>
            </w:pPr>
            <w:r>
              <w:rPr>
                <w:rFonts w:cs="宋体"/>
                <w:kern w:val="21"/>
                <w:szCs w:val="24"/>
              </w:rPr>
              <w:t>0.95</w:t>
            </w:r>
            <w:r>
              <w:rPr>
                <w:rFonts w:cs="宋体" w:hint="eastAsia"/>
                <w:kern w:val="21"/>
                <w:szCs w:val="24"/>
              </w:rPr>
              <w:t>%</w:t>
            </w:r>
          </w:p>
        </w:tc>
      </w:tr>
      <w:tr>
        <w:tblPrEx>
          <w:tblW w:w="8916" w:type="dxa"/>
          <w:jc w:val="center"/>
          <w:tblLayout w:type="fixed"/>
          <w:tblCellMar>
            <w:top w:w="0" w:type="dxa"/>
            <w:left w:w="108" w:type="dxa"/>
            <w:bottom w:w="0" w:type="dxa"/>
            <w:right w:w="108" w:type="dxa"/>
          </w:tblCellMar>
        </w:tblPrEx>
        <w:trPr>
          <w:trHeight w:val="680"/>
          <w:jc w:val="center"/>
        </w:trPr>
        <w:tc>
          <w:tcPr>
            <w:tcW w:w="1545" w:type="dxa"/>
          </w:tcPr>
          <w:p>
            <w:pPr>
              <w:snapToGrid w:val="0"/>
              <w:spacing w:line="240" w:lineRule="auto"/>
              <w:jc w:val="center"/>
              <w:rPr>
                <w:rFonts w:cs="宋体"/>
                <w:b/>
                <w:kern w:val="21"/>
                <w:sz w:val="24"/>
                <w:szCs w:val="24"/>
              </w:rPr>
            </w:pPr>
            <w:r>
              <w:rPr>
                <w:rFonts w:cs="宋体" w:hint="eastAsia"/>
                <w:b/>
                <w:kern w:val="21"/>
                <w:sz w:val="24"/>
                <w:szCs w:val="24"/>
              </w:rPr>
              <w:t>评价经费</w:t>
            </w:r>
          </w:p>
          <w:p>
            <w:pPr>
              <w:snapToGrid w:val="0"/>
              <w:spacing w:line="240" w:lineRule="auto"/>
              <w:jc w:val="center"/>
              <w:rPr>
                <w:rFonts w:cs="宋体"/>
                <w:b/>
                <w:kern w:val="21"/>
                <w:sz w:val="24"/>
                <w:szCs w:val="24"/>
              </w:rPr>
            </w:pPr>
            <w:r>
              <w:rPr>
                <w:rFonts w:cs="宋体" w:hint="eastAsia"/>
                <w:b/>
                <w:kern w:val="21"/>
                <w:sz w:val="24"/>
                <w:szCs w:val="24"/>
              </w:rPr>
              <w:t>（万元）</w:t>
            </w:r>
          </w:p>
        </w:tc>
        <w:tc>
          <w:tcPr>
            <w:tcW w:w="1612" w:type="dxa"/>
            <w:vAlign w:val="center"/>
          </w:tcPr>
          <w:p>
            <w:pPr>
              <w:snapToGrid w:val="0"/>
              <w:spacing w:line="240" w:lineRule="auto"/>
              <w:jc w:val="center"/>
              <w:rPr>
                <w:rFonts w:cs="宋体"/>
                <w:kern w:val="21"/>
                <w:sz w:val="24"/>
                <w:szCs w:val="24"/>
              </w:rPr>
            </w:pPr>
            <w:r>
              <w:rPr>
                <w:rFonts w:cs="宋体" w:hint="eastAsia"/>
                <w:kern w:val="21"/>
                <w:sz w:val="24"/>
                <w:szCs w:val="24"/>
              </w:rPr>
              <w:t>/</w:t>
            </w:r>
          </w:p>
        </w:tc>
        <w:tc>
          <w:tcPr>
            <w:tcW w:w="1518" w:type="dxa"/>
            <w:vAlign w:val="center"/>
          </w:tcPr>
          <w:p>
            <w:pPr>
              <w:snapToGrid w:val="0"/>
              <w:spacing w:line="240" w:lineRule="auto"/>
              <w:jc w:val="center"/>
              <w:rPr>
                <w:rFonts w:cs="宋体"/>
                <w:b/>
                <w:kern w:val="21"/>
                <w:sz w:val="24"/>
                <w:szCs w:val="24"/>
              </w:rPr>
            </w:pPr>
            <w:r>
              <w:rPr>
                <w:rFonts w:cs="宋体" w:hint="eastAsia"/>
                <w:b/>
                <w:kern w:val="21"/>
                <w:sz w:val="24"/>
                <w:szCs w:val="24"/>
              </w:rPr>
              <w:t>预期投产日期</w:t>
            </w:r>
          </w:p>
        </w:tc>
        <w:tc>
          <w:tcPr>
            <w:tcW w:w="4241" w:type="dxa"/>
            <w:gridSpan w:val="4"/>
            <w:vAlign w:val="center"/>
          </w:tcPr>
          <w:p>
            <w:pPr>
              <w:pStyle w:val="211"/>
              <w:snapToGrid w:val="0"/>
              <w:rPr>
                <w:rFonts w:cs="宋体"/>
                <w:color w:val="000000" w:themeColor="text1"/>
                <w:kern w:val="21"/>
                <w:szCs w:val="24"/>
                <w14:textFill>
                  <w14:solidFill>
                    <w14:schemeClr w14:val="tx1"/>
                  </w14:solidFill>
                </w14:textFill>
              </w:rPr>
            </w:pPr>
            <w:r>
              <w:rPr>
                <w:rFonts w:cs="宋体" w:hint="eastAsia"/>
                <w:color w:val="000000" w:themeColor="text1"/>
                <w:kern w:val="21"/>
                <w:szCs w:val="24"/>
                <w14:textFill>
                  <w14:solidFill>
                    <w14:schemeClr w14:val="tx1"/>
                  </w14:solidFill>
                </w14:textFill>
              </w:rPr>
              <w:t>202</w:t>
            </w:r>
            <w:r>
              <w:rPr>
                <w:rFonts w:cs="宋体"/>
                <w:color w:val="000000" w:themeColor="text1"/>
                <w:kern w:val="21"/>
                <w:szCs w:val="24"/>
                <w14:textFill>
                  <w14:solidFill>
                    <w14:schemeClr w14:val="tx1"/>
                  </w14:solidFill>
                </w14:textFill>
              </w:rPr>
              <w:t>1</w:t>
            </w:r>
            <w:r>
              <w:rPr>
                <w:rFonts w:cs="宋体" w:hint="eastAsia"/>
                <w:color w:val="000000" w:themeColor="text1"/>
                <w:kern w:val="21"/>
                <w:szCs w:val="24"/>
                <w14:textFill>
                  <w14:solidFill>
                    <w14:schemeClr w14:val="tx1"/>
                  </w14:solidFill>
                </w14:textFill>
              </w:rPr>
              <w:t>年</w:t>
            </w:r>
            <w:r>
              <w:rPr>
                <w:rFonts w:cs="宋体"/>
                <w:color w:val="000000" w:themeColor="text1"/>
                <w:kern w:val="21"/>
                <w:szCs w:val="24"/>
                <w14:textFill>
                  <w14:solidFill>
                    <w14:schemeClr w14:val="tx1"/>
                  </w14:solidFill>
                </w14:textFill>
              </w:rPr>
              <w:t>1</w:t>
            </w:r>
            <w:r>
              <w:rPr>
                <w:rFonts w:cs="宋体" w:hint="eastAsia"/>
                <w:color w:val="000000" w:themeColor="text1"/>
                <w:kern w:val="21"/>
                <w:szCs w:val="24"/>
                <w14:textFill>
                  <w14:solidFill>
                    <w14:schemeClr w14:val="tx1"/>
                  </w14:solidFill>
                </w14:textFill>
              </w:rPr>
              <w:t>月</w:t>
            </w:r>
          </w:p>
        </w:tc>
      </w:tr>
      <w:tr>
        <w:tblPrEx>
          <w:tblW w:w="8916" w:type="dxa"/>
          <w:jc w:val="center"/>
          <w:tblLayout w:type="fixed"/>
          <w:tblCellMar>
            <w:top w:w="0" w:type="dxa"/>
            <w:left w:w="108" w:type="dxa"/>
            <w:bottom w:w="0" w:type="dxa"/>
            <w:right w:w="108" w:type="dxa"/>
          </w:tblCellMar>
        </w:tblPrEx>
        <w:trPr>
          <w:trHeight w:val="542"/>
          <w:jc w:val="center"/>
        </w:trPr>
        <w:tc>
          <w:tcPr>
            <w:tcW w:w="8916" w:type="dxa"/>
            <w:gridSpan w:val="7"/>
          </w:tcPr>
          <w:p>
            <w:pPr>
              <w:spacing w:line="360" w:lineRule="auto"/>
              <w:rPr>
                <w:b/>
                <w:kern w:val="2"/>
                <w:sz w:val="24"/>
                <w:szCs w:val="22"/>
              </w:rPr>
            </w:pPr>
            <w:r>
              <w:rPr>
                <w:b/>
                <w:kern w:val="2"/>
                <w:sz w:val="24"/>
                <w:szCs w:val="22"/>
              </w:rPr>
              <w:t>工程内容及规模：</w:t>
            </w:r>
          </w:p>
          <w:p>
            <w:pPr>
              <w:spacing w:line="360" w:lineRule="auto"/>
              <w:ind w:firstLine="480" w:firstLineChars="200"/>
              <w:rPr>
                <w:b/>
                <w:kern w:val="2"/>
                <w:sz w:val="24"/>
                <w:szCs w:val="22"/>
              </w:rPr>
            </w:pPr>
            <w:r>
              <w:rPr>
                <w:b/>
                <w:kern w:val="2"/>
                <w:sz w:val="24"/>
                <w:szCs w:val="22"/>
              </w:rPr>
              <w:t>一、建设项目由来</w:t>
            </w:r>
          </w:p>
          <w:p>
            <w:pPr>
              <w:pStyle w:val="a29"/>
              <w:framePr w:wrap="auto" w:vAnchor="margin" w:hAnchor="text" w:yAlign="inline"/>
              <w:ind w:firstLine="480"/>
              <w:rPr>
                <w:rFonts w:hint="eastAsia"/>
                <w:kern w:val="2"/>
              </w:rPr>
            </w:pPr>
            <w:r>
              <w:rPr>
                <w:rFonts w:hint="eastAsia"/>
                <w:kern w:val="2"/>
              </w:rPr>
              <w:t>1、项目由来</w:t>
            </w:r>
          </w:p>
          <w:p>
            <w:pPr>
              <w:pStyle w:val="a29"/>
              <w:framePr w:wrap="auto" w:vAnchor="margin" w:hAnchor="text" w:yAlign="inline"/>
              <w:ind w:firstLine="480"/>
              <w:rPr>
                <w:kern w:val="2"/>
              </w:rPr>
            </w:pPr>
            <w:r>
              <w:rPr>
                <w:kern w:val="2"/>
              </w:rPr>
              <w:t>随着抚州市城市经济建设的高速发展和城市人口的不断增加，城市自来水需求量也逐年增加，城市供水紧张，严重制约了城市经济的进一步发展。由于荆公路水厂和原南区水厂的关停，抚州市主城区现有钟岭水厂、汝水生态水厂、抚北水厂和临川水厂四座水厂，均已满负荷运行，中心城区供水量总规模已滞后于城市的发展，根据《抚州市临川主城区给水专项规划（2017～2030年）》，汝水生态水厂的扩建十分必要。</w:t>
            </w:r>
          </w:p>
          <w:p>
            <w:pPr>
              <w:pStyle w:val="a29"/>
              <w:spacing w:after="0"/>
              <w:ind w:firstLine="480"/>
              <w:rPr>
                <w:color w:val="000000" w:themeColor="text1"/>
                <w14:textFill>
                  <w14:solidFill>
                    <w14:schemeClr w14:val="tx1"/>
                  </w14:solidFill>
                </w14:textFill>
              </w:rPr>
            </w:pPr>
            <w:r>
              <w:rPr>
                <w:rFonts w:hint="eastAsia"/>
                <w:kern w:val="2"/>
              </w:rPr>
              <w:t>2</w:t>
            </w:r>
            <w:r>
              <w:rPr>
                <w:kern w:val="2"/>
              </w:rPr>
              <w:t>010</w:t>
            </w:r>
            <w:r>
              <w:rPr>
                <w:rFonts w:hint="eastAsia"/>
                <w:kern w:val="2"/>
              </w:rPr>
              <w:t>年3月8日抚州市环保局出具了关于《抚州市南区水厂扩建改造工程环境影响报告表》审批意见的函（抚环函字【2</w:t>
            </w:r>
            <w:r>
              <w:rPr>
                <w:kern w:val="2"/>
              </w:rPr>
              <w:t>010</w:t>
            </w:r>
            <w:r>
              <w:rPr>
                <w:rFonts w:hint="eastAsia"/>
                <w:kern w:val="2"/>
              </w:rPr>
              <w:t>】5</w:t>
            </w:r>
            <w:r>
              <w:rPr>
                <w:kern w:val="2"/>
              </w:rPr>
              <w:t>0</w:t>
            </w:r>
            <w:r>
              <w:rPr>
                <w:rFonts w:hint="eastAsia"/>
                <w:kern w:val="2"/>
              </w:rPr>
              <w:t>号）。因为抚州市南区水厂扩建改造工程选址变更，2</w:t>
            </w:r>
            <w:r>
              <w:rPr>
                <w:kern w:val="2"/>
              </w:rPr>
              <w:t>012</w:t>
            </w:r>
            <w:r>
              <w:rPr>
                <w:rFonts w:hint="eastAsia"/>
                <w:kern w:val="2"/>
              </w:rPr>
              <w:t>年1</w:t>
            </w:r>
            <w:r>
              <w:rPr>
                <w:kern w:val="2"/>
              </w:rPr>
              <w:t>0</w:t>
            </w:r>
            <w:r>
              <w:rPr>
                <w:rFonts w:hint="eastAsia"/>
                <w:kern w:val="2"/>
              </w:rPr>
              <w:t>月1</w:t>
            </w:r>
            <w:r>
              <w:rPr>
                <w:kern w:val="2"/>
              </w:rPr>
              <w:t>9</w:t>
            </w:r>
            <w:r>
              <w:rPr>
                <w:rFonts w:hint="eastAsia"/>
                <w:kern w:val="2"/>
              </w:rPr>
              <w:t>日抚州市环保局出具了关于《抚州市南区水厂扩建改造工程环评变更》的复函（抚环函字【2</w:t>
            </w:r>
            <w:r>
              <w:rPr>
                <w:kern w:val="2"/>
              </w:rPr>
              <w:t>012</w:t>
            </w:r>
            <w:r>
              <w:rPr>
                <w:rFonts w:hint="eastAsia"/>
                <w:kern w:val="2"/>
              </w:rPr>
              <w:t>】1</w:t>
            </w:r>
            <w:r>
              <w:rPr>
                <w:kern w:val="2"/>
              </w:rPr>
              <w:t>95</w:t>
            </w:r>
            <w:r>
              <w:rPr>
                <w:rFonts w:hint="eastAsia"/>
                <w:kern w:val="2"/>
              </w:rPr>
              <w:t>号）</w:t>
            </w:r>
            <w:r>
              <w:rPr>
                <w:rFonts w:hint="eastAsia"/>
                <w:color w:val="000000" w:themeColor="text1"/>
                <w:kern w:val="2"/>
                <w14:textFill>
                  <w14:solidFill>
                    <w14:schemeClr w14:val="tx1"/>
                  </w14:solidFill>
                </w14:textFill>
              </w:rPr>
              <w:t>。2</w:t>
            </w:r>
            <w:r>
              <w:rPr>
                <w:color w:val="000000" w:themeColor="text1"/>
                <w:kern w:val="2"/>
                <w14:textFill>
                  <w14:solidFill>
                    <w14:schemeClr w14:val="tx1"/>
                  </w14:solidFill>
                </w14:textFill>
              </w:rPr>
              <w:t>017</w:t>
            </w:r>
            <w:r>
              <w:rPr>
                <w:rFonts w:hint="eastAsia"/>
                <w:color w:val="000000" w:themeColor="text1"/>
                <w:kern w:val="2"/>
                <w14:textFill>
                  <w14:solidFill>
                    <w14:schemeClr w14:val="tx1"/>
                  </w14:solidFill>
                </w14:textFill>
              </w:rPr>
              <w:t>年2月2</w:t>
            </w:r>
            <w:r>
              <w:rPr>
                <w:color w:val="000000" w:themeColor="text1"/>
                <w:kern w:val="2"/>
                <w14:textFill>
                  <w14:solidFill>
                    <w14:schemeClr w14:val="tx1"/>
                  </w14:solidFill>
                </w14:textFill>
              </w:rPr>
              <w:t>2</w:t>
            </w:r>
            <w:r>
              <w:rPr>
                <w:rFonts w:hint="eastAsia"/>
                <w:color w:val="000000" w:themeColor="text1"/>
                <w:kern w:val="2"/>
                <w14:textFill>
                  <w14:solidFill>
                    <w14:schemeClr w14:val="tx1"/>
                  </w14:solidFill>
                </w14:textFill>
              </w:rPr>
              <w:t>日，抚州市民政局文件出具《关于对市中心城区新建水厂冠名的意见报告》（抚民文【2</w:t>
            </w:r>
            <w:r>
              <w:rPr>
                <w:color w:val="000000" w:themeColor="text1"/>
                <w:kern w:val="2"/>
                <w14:textFill>
                  <w14:solidFill>
                    <w14:schemeClr w14:val="tx1"/>
                  </w14:solidFill>
                </w14:textFill>
              </w:rPr>
              <w:t>017</w:t>
            </w:r>
            <w:r>
              <w:rPr>
                <w:rFonts w:hint="eastAsia"/>
                <w:color w:val="000000" w:themeColor="text1"/>
                <w:kern w:val="2"/>
                <w14:textFill>
                  <w14:solidFill>
                    <w14:schemeClr w14:val="tx1"/>
                  </w14:solidFill>
                </w14:textFill>
              </w:rPr>
              <w:t>】9号）新建水厂正式命名为“抚州汝水生态水厂”。同时，</w:t>
            </w:r>
            <w:r>
              <w:rPr>
                <w:color w:val="000000" w:themeColor="text1"/>
                <w14:textFill>
                  <w14:solidFill>
                    <w14:schemeClr w14:val="tx1"/>
                  </w14:solidFill>
                </w14:textFill>
              </w:rPr>
              <w:t>汝水生态水厂</w:t>
            </w:r>
          </w:p>
        </w:tc>
      </w:tr>
    </w:tbl>
    <w:p>
      <w:pPr>
        <w:sectPr>
          <w:footerReference w:type="even" r:id="rId12"/>
          <w:footerReference w:type="default" r:id="rId13"/>
          <w:footerReference w:type="first" r:id="rId14"/>
          <w:pgSz w:w="11907" w:h="16840"/>
          <w:pgMar w:top="1418" w:right="1418" w:bottom="1418" w:left="1418" w:header="851" w:footer="680" w:gutter="113"/>
          <w:pgNumType w:start="1"/>
          <w:cols w:num="1" w:space="720"/>
          <w:titlePg/>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pStyle w:val="a29"/>
              <w:spacing w:before="0"/>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正式</w:t>
            </w:r>
            <w:r>
              <w:rPr>
                <w:color w:val="000000" w:themeColor="text1"/>
                <w14:textFill>
                  <w14:solidFill>
                    <w14:schemeClr w14:val="tx1"/>
                  </w14:solidFill>
                </w14:textFill>
              </w:rPr>
              <w:t>投产</w:t>
            </w:r>
            <w:r>
              <w:rPr>
                <w:rFonts w:hint="eastAsia"/>
                <w:color w:val="000000" w:themeColor="text1"/>
                <w14:textFill>
                  <w14:solidFill>
                    <w14:schemeClr w14:val="tx1"/>
                  </w14:solidFill>
                </w14:textFill>
              </w:rPr>
              <w:t>。</w:t>
            </w:r>
          </w:p>
          <w:p>
            <w:pPr>
              <w:pStyle w:val="a29"/>
              <w:ind w:firstLine="480"/>
              <w:rPr>
                <w:color w:val="000000" w:themeColor="text1"/>
                <w:kern w:val="2"/>
                <w14:textFill>
                  <w14:solidFill>
                    <w14:schemeClr w14:val="tx1"/>
                  </w14:solidFill>
                </w14:textFill>
              </w:rPr>
            </w:pPr>
            <w:r>
              <w:rPr>
                <w:rFonts w:hint="eastAsia"/>
                <w:color w:val="000000" w:themeColor="text1"/>
                <w14:textFill>
                  <w14:solidFill>
                    <w14:schemeClr w14:val="tx1"/>
                  </w14:solidFill>
                </w14:textFill>
              </w:rPr>
              <w:t>抚州汝水生态水厂位于抚州</w:t>
            </w:r>
            <w:r>
              <w:rPr>
                <w:rFonts w:cs="宋体" w:hint="eastAsia"/>
                <w:color w:val="000000" w:themeColor="text1"/>
                <w:kern w:val="21"/>
                <w14:textFill>
                  <w14:solidFill>
                    <w14:schemeClr w14:val="tx1"/>
                  </w14:solidFill>
                </w14:textFill>
              </w:rPr>
              <w:t>市高新技术产业开发区抚州公用水务有限公司汝水大道6</w:t>
            </w:r>
            <w:r>
              <w:rPr>
                <w:rFonts w:cs="宋体"/>
                <w:color w:val="000000" w:themeColor="text1"/>
                <w:kern w:val="21"/>
                <w14:textFill>
                  <w14:solidFill>
                    <w14:schemeClr w14:val="tx1"/>
                  </w14:solidFill>
                </w14:textFill>
              </w:rPr>
              <w:t>909</w:t>
            </w:r>
            <w:r>
              <w:rPr>
                <w:rFonts w:cs="宋体" w:hint="eastAsia"/>
                <w:color w:val="000000" w:themeColor="text1"/>
                <w:kern w:val="21"/>
                <w14:textFill>
                  <w14:solidFill>
                    <w14:schemeClr w14:val="tx1"/>
                  </w14:solidFill>
                </w14:textFill>
              </w:rPr>
              <w:t>号</w:t>
            </w:r>
            <w:r>
              <w:rPr>
                <w:rFonts w:hint="eastAsia"/>
                <w:color w:val="000000" w:themeColor="text1"/>
                <w:kern w:val="2"/>
                <w:szCs w:val="22"/>
                <w14:textFill>
                  <w14:solidFill>
                    <w14:schemeClr w14:val="tx1"/>
                  </w14:solidFill>
                </w14:textFill>
              </w:rPr>
              <w:t>，</w:t>
            </w:r>
            <w:r>
              <w:rPr>
                <w:rFonts w:hint="eastAsia"/>
                <w:color w:val="000000" w:themeColor="text1"/>
                <w14:textFill>
                  <w14:solidFill>
                    <w14:schemeClr w14:val="tx1"/>
                  </w14:solidFill>
                </w14:textFill>
              </w:rPr>
              <w:t>规划供水规模为1</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万m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/d，现在供水规模为1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万m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/d，按净水规模为1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万m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/d，厂区建设了相应的净水单元、排泥系统、加药消毒间及供水设施。抚州汝水生态水厂取水口位于抚河，取水泵房及设施按1</w:t>
            </w:r>
            <w:r>
              <w:rPr>
                <w:color w:val="000000" w:themeColor="text1"/>
                <w14:textFill>
                  <w14:solidFill>
                    <w14:schemeClr w14:val="tx1"/>
                  </w14:solidFill>
                </w14:textFill>
              </w:rPr>
              <w:t>5万m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/d建设，主要供水范围为抚州市中心城区</w:t>
            </w:r>
            <w:r>
              <w:rPr>
                <w:color w:val="000000" w:themeColor="text1"/>
                <w:kern w:val="2"/>
                <w14:textFill>
                  <w14:solidFill>
                    <w14:schemeClr w14:val="tx1"/>
                  </w14:solidFill>
                </w14:textFill>
              </w:rPr>
              <w:t>。</w:t>
            </w:r>
          </w:p>
          <w:p>
            <w:pPr>
              <w:pStyle w:val="a29"/>
              <w:ind w:firstLine="480"/>
              <w:rPr>
                <w:color w:val="000000" w:themeColor="text1"/>
                <w:kern w:val="2"/>
                <w14:textFill>
                  <w14:solidFill>
                    <w14:schemeClr w14:val="tx1"/>
                  </w14:solidFill>
                </w14:textFill>
              </w:rPr>
            </w:pPr>
            <w:r>
              <w:rPr>
                <w:rFonts w:ascii="宋体" w:hAnsi="宋体"/>
                <w:color w:val="000000" w:themeColor="text1"/>
                <w:kern w:val="2"/>
                <w14:textFill>
                  <w14:solidFill>
                    <w14:schemeClr w14:val="tx1"/>
                  </w14:solidFill>
                </w14:textFill>
              </w:rPr>
              <w:t>根据《中华人民共和国环境影响评价法</w:t>
            </w:r>
            <w:r>
              <w:rPr>
                <w:rFonts w:ascii="宋体" w:hAnsi="宋体" w:hint="eastAsia"/>
                <w:color w:val="000000" w:themeColor="text1"/>
                <w:kern w:val="2"/>
                <w14:textFill>
                  <w14:solidFill>
                    <w14:schemeClr w14:val="tx1"/>
                  </w14:solidFill>
                </w14:textFill>
              </w:rPr>
              <w:t>》和中华人民共和国国</w:t>
            </w:r>
            <w:r>
              <w:rPr>
                <w:rFonts w:hint="eastAsia"/>
                <w:color w:val="000000" w:themeColor="text1"/>
                <w:kern w:val="2"/>
                <w14:textFill>
                  <w14:solidFill>
                    <w14:schemeClr w14:val="tx1"/>
                  </w14:solidFill>
                </w14:textFill>
              </w:rPr>
              <w:t>务院令第</w:t>
            </w:r>
            <w:r>
              <w:rPr>
                <w:color w:val="000000" w:themeColor="text1"/>
                <w:kern w:val="2"/>
                <w14:textFill>
                  <w14:solidFill>
                    <w14:schemeClr w14:val="tx1"/>
                  </w14:solidFill>
                </w14:textFill>
              </w:rPr>
              <w:t>682</w:t>
            </w:r>
            <w:r>
              <w:rPr>
                <w:rFonts w:hint="eastAsia"/>
                <w:color w:val="000000" w:themeColor="text1"/>
                <w:kern w:val="2"/>
                <w14:textFill>
                  <w14:solidFill>
                    <w14:schemeClr w14:val="tx1"/>
                  </w14:solidFill>
                </w14:textFill>
              </w:rPr>
              <w:t>号《建设项目环境保护管理条例》有关规定，建设项目须履行环境影响评价制度。根据《建设项目环境影响评价分类管理名录》修改单，本项目属于“三十三、水的生产和供应业”“</w:t>
            </w:r>
            <w:r>
              <w:rPr>
                <w:color w:val="000000" w:themeColor="text1"/>
                <w:kern w:val="2"/>
                <w14:textFill>
                  <w14:solidFill>
                    <w14:schemeClr w14:val="tx1"/>
                  </w14:solidFill>
                </w14:textFill>
              </w:rPr>
              <w:t>95</w:t>
            </w:r>
            <w:r>
              <w:rPr>
                <w:rFonts w:hint="eastAsia"/>
                <w:color w:val="000000" w:themeColor="text1"/>
                <w:kern w:val="2"/>
                <w14:textFill>
                  <w14:solidFill>
                    <w14:schemeClr w14:val="tx1"/>
                  </w14:solidFill>
                </w14:textFill>
              </w:rPr>
              <w:t>、自来水生产和供应工程”“全部”，因此本项目应编制环境影响评价报告表。为此，</w:t>
            </w:r>
            <w:r>
              <w:rPr>
                <w:rFonts w:ascii="宋体" w:hAnsi="宋体" w:hint="eastAsia"/>
                <w:color w:val="000000" w:themeColor="text1"/>
                <w:kern w:val="2"/>
                <w14:textFill>
                  <w14:solidFill>
                    <w14:schemeClr w14:val="tx1"/>
                  </w14:solidFill>
                </w14:textFill>
              </w:rPr>
              <w:t>抚州市投资发展（集团）有限公司</w:t>
            </w:r>
            <w:r>
              <w:rPr>
                <w:rFonts w:hint="eastAsia"/>
                <w:color w:val="000000" w:themeColor="text1"/>
                <w:kern w:val="2"/>
                <w14:textFill>
                  <w14:solidFill>
                    <w14:schemeClr w14:val="tx1"/>
                  </w14:solidFill>
                </w14:textFill>
              </w:rPr>
              <w:t>委托江西南大融汇环境技术有限公司承担该建设项目的环境影响评价工作。本</w:t>
            </w:r>
            <w:r>
              <w:rPr>
                <w:color w:val="000000" w:themeColor="text1"/>
                <w:kern w:val="2"/>
                <w14:textFill>
                  <w14:solidFill>
                    <w14:schemeClr w14:val="tx1"/>
                  </w14:solidFill>
                </w14:textFill>
              </w:rPr>
              <w:t>环评单位接受委托后，对周围环境进行了详细的实地勘查和相关资料的收集、核实与分析工作，在此基础上，</w:t>
            </w:r>
            <w:r>
              <w:rPr>
                <w:rFonts w:hint="eastAsia"/>
                <w:color w:val="000000" w:themeColor="text1"/>
                <w:kern w:val="2"/>
                <w14:textFill>
                  <w14:solidFill>
                    <w14:schemeClr w14:val="tx1"/>
                  </w14:solidFill>
                </w14:textFill>
              </w:rPr>
              <w:t>按照环境</w:t>
            </w:r>
            <w:r>
              <w:rPr>
                <w:color w:val="000000" w:themeColor="text1"/>
                <w:kern w:val="2"/>
                <w14:textFill>
                  <w14:solidFill>
                    <w14:schemeClr w14:val="tx1"/>
                  </w14:solidFill>
                </w14:textFill>
              </w:rPr>
              <w:t>影响评价技术导则所规定的原则、方法、内容及要求，编制了本建设项目环境影响报告表，供环保主管部门审查批准</w:t>
            </w:r>
            <w:r>
              <w:rPr>
                <w:rFonts w:hint="eastAsia"/>
                <w:color w:val="000000" w:themeColor="text1"/>
                <w:kern w:val="2"/>
                <w14:textFill>
                  <w14:solidFill>
                    <w14:schemeClr w14:val="tx1"/>
                  </w14:solidFill>
                </w14:textFill>
              </w:rPr>
              <w:t>。根据现场踏勘情况，本项目还未开工建设</w:t>
            </w:r>
            <w:r>
              <w:rPr>
                <w:color w:val="000000" w:themeColor="text1"/>
                <w:kern w:val="2"/>
                <w14:textFill>
                  <w14:solidFill>
                    <w14:schemeClr w14:val="tx1"/>
                  </w14:solidFill>
                </w14:textFill>
              </w:rPr>
              <w:t>。</w:t>
            </w:r>
          </w:p>
          <w:p>
            <w:pPr>
              <w:snapToGrid w:val="0"/>
              <w:spacing w:line="360" w:lineRule="auto"/>
              <w:ind w:firstLine="480" w:firstLineChars="200"/>
            </w:pPr>
            <w:r>
              <w:rPr>
                <w:bCs/>
                <w:sz w:val="24"/>
              </w:rPr>
              <w:t>2、编制依据</w:t>
            </w:r>
          </w:p>
          <w:p>
            <w:pPr>
              <w:spacing w:line="360" w:lineRule="auto"/>
              <w:ind w:left="420" w:leftChars="200"/>
              <w:jc w:val="left"/>
              <w:rPr>
                <w:sz w:val="24"/>
              </w:rPr>
            </w:pPr>
            <w:r>
              <w:rPr>
                <w:sz w:val="24"/>
              </w:rPr>
              <w:t>（1）法律法规</w:t>
            </w:r>
          </w:p>
          <w:p>
            <w:pPr>
              <w:pStyle w:val="a35"/>
              <w:ind w:firstLine="560"/>
              <w:rPr>
                <w:kern w:val="2"/>
              </w:rPr>
            </w:pPr>
            <w:r>
              <w:rPr>
                <w:rFonts w:ascii="宋体" w:hAnsi="宋体" w:cs="宋体" w:hint="eastAsia"/>
                <w:kern w:val="2"/>
              </w:rPr>
              <w:t>①</w:t>
            </w:r>
            <w:r>
              <w:rPr>
                <w:kern w:val="2"/>
              </w:rPr>
              <w:t>《中华人民共和国环境保护法》（主席令2014年第9号）；</w:t>
            </w:r>
          </w:p>
          <w:p>
            <w:pPr>
              <w:pStyle w:val="a35"/>
              <w:ind w:firstLine="560"/>
              <w:rPr>
                <w:kern w:val="2"/>
              </w:rPr>
            </w:pPr>
            <w:r>
              <w:rPr>
                <w:rFonts w:ascii="宋体" w:hAnsi="宋体" w:cs="宋体" w:hint="eastAsia"/>
                <w:kern w:val="2"/>
              </w:rPr>
              <w:t>②</w:t>
            </w:r>
            <w:r>
              <w:rPr>
                <w:kern w:val="2"/>
              </w:rPr>
              <w:t>《中华人民共和国环境影响评价法》（2018修正）；</w:t>
            </w:r>
          </w:p>
          <w:p>
            <w:pPr>
              <w:pStyle w:val="a35"/>
              <w:ind w:firstLine="560"/>
              <w:rPr>
                <w:kern w:val="2"/>
              </w:rPr>
            </w:pPr>
            <w:r>
              <w:rPr>
                <w:rFonts w:ascii="宋体" w:hAnsi="宋体" w:cs="宋体" w:hint="eastAsia"/>
                <w:kern w:val="2"/>
              </w:rPr>
              <w:t>③</w:t>
            </w:r>
            <w:r>
              <w:rPr>
                <w:kern w:val="2"/>
              </w:rPr>
              <w:t>《中华人民共和国水污染防治法》（2017修正）；</w:t>
            </w:r>
          </w:p>
          <w:p>
            <w:pPr>
              <w:pStyle w:val="a35"/>
              <w:ind w:firstLine="560"/>
              <w:rPr>
                <w:kern w:val="2"/>
              </w:rPr>
            </w:pPr>
            <w:r>
              <w:rPr>
                <w:rFonts w:ascii="宋体" w:hAnsi="宋体" w:cs="宋体" w:hint="eastAsia"/>
                <w:kern w:val="2"/>
              </w:rPr>
              <w:t>④</w:t>
            </w:r>
            <w:r>
              <w:rPr>
                <w:kern w:val="2"/>
              </w:rPr>
              <w:t>《中华人民共和国大气污染防治法》（2018修正）；</w:t>
            </w:r>
          </w:p>
          <w:p>
            <w:pPr>
              <w:pStyle w:val="a35"/>
              <w:ind w:firstLine="560"/>
              <w:rPr>
                <w:kern w:val="2"/>
              </w:rPr>
            </w:pPr>
            <w:r>
              <w:rPr>
                <w:rFonts w:ascii="宋体" w:hAnsi="宋体" w:cs="宋体" w:hint="eastAsia"/>
                <w:kern w:val="2"/>
              </w:rPr>
              <w:t>⑤</w:t>
            </w:r>
            <w:r>
              <w:rPr>
                <w:kern w:val="2"/>
              </w:rPr>
              <w:t>《中华人民共和国固体废物污染环境防治法》（201</w:t>
            </w:r>
            <w:r>
              <w:rPr>
                <w:rFonts w:hint="eastAsia"/>
                <w:kern w:val="2"/>
              </w:rPr>
              <w:t>9</w:t>
            </w:r>
            <w:r>
              <w:rPr>
                <w:kern w:val="2"/>
              </w:rPr>
              <w:t>年修正）；</w:t>
            </w:r>
          </w:p>
          <w:p>
            <w:pPr>
              <w:pStyle w:val="a35"/>
              <w:ind w:firstLine="560"/>
              <w:rPr>
                <w:kern w:val="2"/>
              </w:rPr>
            </w:pPr>
            <w:r>
              <w:rPr>
                <w:rFonts w:ascii="宋体" w:hAnsi="宋体" w:cs="宋体" w:hint="eastAsia"/>
                <w:kern w:val="2"/>
              </w:rPr>
              <w:t>⑥</w:t>
            </w:r>
            <w:r>
              <w:rPr>
                <w:kern w:val="2"/>
              </w:rPr>
              <w:t>《中华人民共和国环境噪声污染防治法》（2018年修正）；</w:t>
            </w:r>
          </w:p>
          <w:p>
            <w:pPr>
              <w:pStyle w:val="a35"/>
              <w:ind w:firstLine="560"/>
              <w:rPr>
                <w:kern w:val="2"/>
              </w:rPr>
            </w:pPr>
            <w:r>
              <w:rPr>
                <w:kern w:val="2"/>
              </w:rPr>
              <w:fldChar w:fldCharType="begin"/>
            </w:r>
            <w:r>
              <w:rPr>
                <w:kern w:val="2"/>
              </w:rPr>
              <w:instrText xml:space="preserve"> = 7 \* GB3 \* MERGEFORMAT </w:instrText>
            </w:r>
            <w:r>
              <w:rPr>
                <w:kern w:val="2"/>
              </w:rPr>
              <w:fldChar w:fldCharType="separate"/>
            </w:r>
            <w:r>
              <w:rPr>
                <w:rFonts w:ascii="宋体" w:hAnsi="宋体" w:cs="宋体" w:hint="eastAsia"/>
              </w:rPr>
              <w:t>⑦</w:t>
            </w:r>
            <w:r>
              <w:rPr>
                <w:kern w:val="2"/>
              </w:rPr>
              <w:fldChar w:fldCharType="end"/>
            </w:r>
            <w:r>
              <w:rPr>
                <w:kern w:val="2"/>
              </w:rPr>
              <w:t>《建设项目环境保护管理条例》（2017修正）；</w:t>
            </w:r>
          </w:p>
          <w:p>
            <w:pPr>
              <w:pStyle w:val="a35"/>
              <w:ind w:firstLine="560"/>
              <w:rPr>
                <w:kern w:val="2"/>
              </w:rPr>
            </w:pPr>
            <w:r>
              <w:rPr>
                <w:kern w:val="2"/>
              </w:rPr>
              <w:fldChar w:fldCharType="begin"/>
            </w:r>
            <w:r>
              <w:rPr>
                <w:kern w:val="2"/>
              </w:rPr>
              <w:instrText xml:space="preserve"> = 8 \* GB3 \* MERGEFORMAT </w:instrText>
            </w:r>
            <w:r>
              <w:rPr>
                <w:kern w:val="2"/>
              </w:rPr>
              <w:fldChar w:fldCharType="separate"/>
            </w:r>
            <w:r>
              <w:rPr>
                <w:rFonts w:ascii="宋体" w:hAnsi="宋体" w:cs="宋体" w:hint="eastAsia"/>
              </w:rPr>
              <w:t>⑧</w:t>
            </w:r>
            <w:r>
              <w:rPr>
                <w:kern w:val="2"/>
              </w:rPr>
              <w:fldChar w:fldCharType="end"/>
            </w:r>
            <w:r>
              <w:rPr>
                <w:kern w:val="2"/>
              </w:rPr>
              <w:t>《建设项目环境影响评价分类管理名录》（2018修正）；</w:t>
            </w:r>
          </w:p>
          <w:p>
            <w:pPr>
              <w:pStyle w:val="a35"/>
              <w:ind w:firstLine="560"/>
              <w:rPr>
                <w:kern w:val="2"/>
              </w:rPr>
            </w:pPr>
            <w:r>
              <w:rPr>
                <w:rFonts w:ascii="宋体" w:hAnsi="宋体" w:cs="宋体" w:hint="eastAsia"/>
                <w:kern w:val="2"/>
              </w:rPr>
              <w:t>⑨</w:t>
            </w:r>
            <w:r>
              <w:rPr>
                <w:kern w:val="2"/>
              </w:rPr>
              <w:t>《</w:t>
            </w:r>
            <w:r>
              <w:t>江西省建设项目环境保护条例</w:t>
            </w:r>
            <w:r>
              <w:rPr>
                <w:kern w:val="2"/>
              </w:rPr>
              <w:t>》（2010修正）。</w:t>
            </w:r>
          </w:p>
          <w:p>
            <w:pPr>
              <w:pStyle w:val="a35"/>
              <w:ind w:firstLine="480" w:firstLineChars="200"/>
              <w:rPr>
                <w:kern w:val="2"/>
              </w:rPr>
            </w:pPr>
            <w:r>
              <w:rPr>
                <w:kern w:val="2"/>
              </w:rPr>
              <w:t>（2）技术规范</w:t>
            </w:r>
          </w:p>
          <w:p>
            <w:pPr>
              <w:pStyle w:val="a35"/>
              <w:ind w:firstLine="560"/>
              <w:rPr>
                <w:kern w:val="2"/>
              </w:rPr>
            </w:pPr>
            <w:r>
              <w:rPr>
                <w:rFonts w:ascii="宋体" w:hAnsi="宋体" w:cs="宋体" w:hint="eastAsia"/>
                <w:kern w:val="2"/>
              </w:rPr>
              <w:t>①</w:t>
            </w:r>
            <w:r>
              <w:rPr>
                <w:kern w:val="2"/>
              </w:rPr>
              <w:t>HJ2.1-2016《环境影响评价技术导则—总纲》；</w:t>
            </w:r>
          </w:p>
        </w:tc>
      </w:tr>
    </w:tbl>
    <w:p>
      <w:pPr>
        <w:sectPr>
          <w:footerReference w:type="even" r:id="rId15"/>
          <w:footerReference w:type="default" r:id="rId16"/>
          <w:footerReference w:type="first" r:id="rId17"/>
          <w:type w:val="nextPage"/>
          <w:pgSz w:w="11907" w:h="16840"/>
          <w:pgMar w:top="1418" w:right="1418" w:bottom="1418" w:left="1418" w:header="851" w:footer="680" w:gutter="113"/>
          <w:pgNumType w:start="2"/>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pStyle w:val="a35"/>
              <w:ind w:firstLine="560"/>
              <w:rPr>
                <w:kern w:val="2"/>
              </w:rPr>
            </w:pPr>
            <w:r>
              <w:rPr>
                <w:rFonts w:ascii="宋体" w:hAnsi="宋体" w:cs="宋体" w:hint="eastAsia"/>
                <w:kern w:val="2"/>
              </w:rPr>
              <w:t>②</w:t>
            </w:r>
            <w:r>
              <w:rPr>
                <w:kern w:val="2"/>
              </w:rPr>
              <w:t>HJ2.2-2018《环境影响评价技术导则—大气环境》；</w:t>
            </w:r>
          </w:p>
          <w:p>
            <w:pPr>
              <w:pStyle w:val="a35"/>
              <w:ind w:firstLine="560"/>
              <w:rPr>
                <w:kern w:val="2"/>
              </w:rPr>
            </w:pPr>
            <w:r>
              <w:rPr>
                <w:rFonts w:ascii="宋体" w:hAnsi="宋体" w:cs="宋体" w:hint="eastAsia"/>
                <w:kern w:val="2"/>
              </w:rPr>
              <w:t>③</w:t>
            </w:r>
            <w:r>
              <w:rPr>
                <w:kern w:val="2"/>
              </w:rPr>
              <w:t>HJ2.3-2018《环境影响评价技术导则—地表水环境》；</w:t>
            </w:r>
          </w:p>
          <w:p>
            <w:pPr>
              <w:pStyle w:val="a35"/>
              <w:ind w:firstLine="560"/>
              <w:rPr>
                <w:kern w:val="2"/>
              </w:rPr>
            </w:pPr>
            <w:r>
              <w:rPr>
                <w:rFonts w:ascii="宋体" w:hAnsi="宋体" w:cs="宋体" w:hint="eastAsia"/>
                <w:kern w:val="2"/>
              </w:rPr>
              <w:t>④</w:t>
            </w:r>
            <w:r>
              <w:rPr>
                <w:kern w:val="2"/>
              </w:rPr>
              <w:t>HJ2.4-2009《环境影响评价技术导则—声环境》；</w:t>
            </w:r>
          </w:p>
          <w:p>
            <w:pPr>
              <w:pStyle w:val="a35"/>
              <w:ind w:firstLine="560"/>
              <w:rPr>
                <w:kern w:val="2"/>
              </w:rPr>
            </w:pPr>
            <w:r>
              <w:rPr>
                <w:kern w:val="2"/>
              </w:rPr>
              <w:fldChar w:fldCharType="begin"/>
            </w:r>
            <w:r>
              <w:rPr>
                <w:kern w:val="2"/>
              </w:rPr>
              <w:instrText xml:space="preserve"> = 5 \* GB3 \* MERGEFORMAT </w:instrText>
            </w:r>
            <w:r>
              <w:rPr>
                <w:kern w:val="2"/>
              </w:rPr>
              <w:fldChar w:fldCharType="separate"/>
            </w:r>
            <w:r>
              <w:rPr>
                <w:rFonts w:ascii="宋体" w:hAnsi="宋体" w:cs="宋体" w:hint="eastAsia"/>
              </w:rPr>
              <w:t>⑤</w:t>
            </w:r>
            <w:r>
              <w:rPr>
                <w:kern w:val="2"/>
              </w:rPr>
              <w:fldChar w:fldCharType="end"/>
            </w:r>
            <w:r>
              <w:rPr>
                <w:kern w:val="2"/>
              </w:rPr>
              <w:t>HJ610-2016《环境影响评价技术导则－地下水环境》；</w:t>
            </w:r>
          </w:p>
          <w:p>
            <w:pPr>
              <w:pStyle w:val="a35"/>
              <w:ind w:firstLine="560"/>
              <w:rPr>
                <w:kern w:val="2"/>
              </w:rPr>
            </w:pPr>
            <w:r>
              <w:rPr>
                <w:rFonts w:ascii="宋体" w:hAnsi="宋体" w:cs="宋体" w:hint="eastAsia"/>
                <w:kern w:val="2"/>
              </w:rPr>
              <w:t>⑥</w:t>
            </w:r>
            <w:r>
              <w:rPr>
                <w:kern w:val="2"/>
              </w:rPr>
              <w:t>HJ19-2011《环境影响评价技术导则－生态影响》；</w:t>
            </w:r>
          </w:p>
          <w:p>
            <w:pPr>
              <w:pStyle w:val="a35"/>
              <w:ind w:firstLine="560"/>
              <w:rPr>
                <w:kern w:val="2"/>
              </w:rPr>
            </w:pPr>
            <w:r>
              <w:rPr>
                <w:kern w:val="2"/>
              </w:rPr>
              <w:fldChar w:fldCharType="begin"/>
            </w:r>
            <w:r>
              <w:rPr>
                <w:kern w:val="2"/>
              </w:rPr>
              <w:instrText xml:space="preserve"> = 7 \* GB3 \* MERGEFORMAT </w:instrText>
            </w:r>
            <w:r>
              <w:rPr>
                <w:kern w:val="2"/>
              </w:rPr>
              <w:fldChar w:fldCharType="separate"/>
            </w:r>
            <w:r>
              <w:rPr>
                <w:rFonts w:ascii="宋体" w:hAnsi="宋体" w:cs="宋体" w:hint="eastAsia"/>
              </w:rPr>
              <w:t>⑦</w:t>
            </w:r>
            <w:r>
              <w:rPr>
                <w:kern w:val="2"/>
              </w:rPr>
              <w:fldChar w:fldCharType="end"/>
            </w:r>
            <w:r>
              <w:rPr>
                <w:kern w:val="2"/>
              </w:rPr>
              <w:t>HJ964-2018《环境影响评价技术导则－土壤环境》（试行）；</w:t>
            </w:r>
          </w:p>
          <w:p>
            <w:pPr>
              <w:pStyle w:val="a35"/>
              <w:ind w:firstLine="560"/>
              <w:rPr>
                <w:kern w:val="2"/>
              </w:rPr>
            </w:pPr>
            <w:r>
              <w:rPr>
                <w:kern w:val="2"/>
              </w:rPr>
              <w:fldChar w:fldCharType="begin"/>
            </w:r>
            <w:r>
              <w:rPr>
                <w:kern w:val="2"/>
              </w:rPr>
              <w:instrText xml:space="preserve"> = 8 \* GB3 \* MERGEFORMAT </w:instrText>
            </w:r>
            <w:r>
              <w:rPr>
                <w:kern w:val="2"/>
              </w:rPr>
              <w:fldChar w:fldCharType="separate"/>
            </w:r>
            <w:r>
              <w:rPr>
                <w:rFonts w:ascii="宋体" w:hAnsi="宋体" w:cs="宋体" w:hint="eastAsia"/>
              </w:rPr>
              <w:t>⑧</w:t>
            </w:r>
            <w:r>
              <w:rPr>
                <w:kern w:val="2"/>
              </w:rPr>
              <w:fldChar w:fldCharType="end"/>
            </w:r>
            <w:r>
              <w:rPr>
                <w:kern w:val="2"/>
              </w:rPr>
              <w:t>HJ169-2018《建设项目环境风险评价技术导则》。</w:t>
            </w:r>
          </w:p>
          <w:p>
            <w:pPr>
              <w:pStyle w:val="a35"/>
              <w:ind w:firstLine="560"/>
              <w:rPr>
                <w:rFonts w:hint="eastAsia"/>
                <w:kern w:val="2"/>
              </w:rPr>
            </w:pPr>
            <w:r>
              <w:rPr>
                <w:kern w:val="2"/>
              </w:rPr>
              <w:t>（3）委托方提供的项目可研、文件、数据资料和图纸。</w:t>
            </w:r>
          </w:p>
          <w:p>
            <w:pPr>
              <w:spacing w:line="360" w:lineRule="auto"/>
              <w:ind w:firstLine="480" w:firstLineChars="200"/>
              <w:rPr>
                <w:b/>
                <w:color w:val="000000" w:themeColor="text1"/>
                <w:kern w:val="2"/>
                <w:sz w:val="24"/>
                <w:szCs w:val="22"/>
                <w14:textFill>
                  <w14:solidFill>
                    <w14:schemeClr w14:val="tx1"/>
                  </w14:solidFill>
                </w14:textFill>
              </w:rPr>
            </w:pPr>
            <w:r>
              <w:rPr>
                <w:b/>
                <w:color w:val="000000" w:themeColor="text1"/>
                <w:kern w:val="2"/>
                <w:sz w:val="24"/>
                <w:szCs w:val="22"/>
                <w14:textFill>
                  <w14:solidFill>
                    <w14:schemeClr w14:val="tx1"/>
                  </w14:solidFill>
                </w14:textFill>
              </w:rPr>
              <w:t>二、建设项目概况</w:t>
            </w:r>
          </w:p>
          <w:p>
            <w:pPr>
              <w:adjustRightInd/>
              <w:spacing w:line="360" w:lineRule="auto"/>
              <w:ind w:firstLine="480" w:firstLineChars="200"/>
              <w:rPr>
                <w:b/>
                <w:color w:val="000000" w:themeColor="text1"/>
                <w:kern w:val="2"/>
                <w:sz w:val="24"/>
                <w:szCs w:val="22"/>
                <w14:textFill>
                  <w14:solidFill>
                    <w14:schemeClr w14:val="tx1"/>
                  </w14:solidFill>
                </w14:textFill>
              </w:rPr>
            </w:pPr>
            <w:r>
              <w:rPr>
                <w:b/>
                <w:color w:val="000000" w:themeColor="text1"/>
                <w:kern w:val="2"/>
                <w:sz w:val="24"/>
                <w:szCs w:val="22"/>
                <w14:textFill>
                  <w14:solidFill>
                    <w14:schemeClr w14:val="tx1"/>
                  </w14:solidFill>
                </w14:textFill>
              </w:rPr>
              <w:t>1、项目名称、地点、建设性质</w:t>
            </w:r>
          </w:p>
          <w:p>
            <w:pPr>
              <w:adjustRightInd/>
              <w:spacing w:line="360" w:lineRule="auto"/>
              <w:ind w:firstLine="480" w:firstLineChars="200"/>
              <w:rPr>
                <w:kern w:val="2"/>
                <w:sz w:val="24"/>
                <w:szCs w:val="22"/>
              </w:rPr>
            </w:pPr>
            <w:r>
              <w:rPr>
                <w:kern w:val="2"/>
                <w:sz w:val="24"/>
                <w:szCs w:val="22"/>
              </w:rPr>
              <w:t>项目名称：</w:t>
            </w:r>
            <w:r>
              <w:rPr>
                <w:rFonts w:hint="eastAsia"/>
                <w:snapToGrid w:val="0"/>
                <w:spacing w:val="10"/>
                <w:kern w:val="2"/>
                <w:sz w:val="24"/>
                <w:szCs w:val="22"/>
              </w:rPr>
              <w:t>抚州市汝水生态水厂扩建工程</w:t>
            </w:r>
            <w:r>
              <w:rPr>
                <w:snapToGrid w:val="0"/>
                <w:spacing w:val="10"/>
                <w:kern w:val="2"/>
                <w:sz w:val="24"/>
                <w:szCs w:val="24"/>
              </w:rPr>
              <w:t>；</w:t>
            </w:r>
          </w:p>
          <w:p>
            <w:pPr>
              <w:tabs>
                <w:tab w:val="left" w:pos="0"/>
              </w:tabs>
              <w:adjustRightInd/>
              <w:spacing w:line="360" w:lineRule="auto"/>
              <w:ind w:firstLine="480" w:firstLineChars="200"/>
              <w:rPr>
                <w:kern w:val="2"/>
                <w:sz w:val="24"/>
                <w:szCs w:val="22"/>
              </w:rPr>
            </w:pPr>
            <w:r>
              <w:rPr>
                <w:kern w:val="2"/>
                <w:sz w:val="24"/>
                <w:szCs w:val="22"/>
              </w:rPr>
              <w:t>建设地点：</w:t>
            </w:r>
            <w:r>
              <w:rPr>
                <w:rFonts w:cs="宋体" w:hint="eastAsia"/>
                <w:kern w:val="21"/>
                <w:sz w:val="24"/>
                <w:szCs w:val="24"/>
              </w:rPr>
              <w:t>抚州市高新技术产业开发区抚州公用水务有限公司汝水大道6</w:t>
            </w:r>
            <w:r>
              <w:rPr>
                <w:rFonts w:cs="宋体"/>
                <w:kern w:val="21"/>
                <w:sz w:val="24"/>
                <w:szCs w:val="24"/>
              </w:rPr>
              <w:t>909</w:t>
            </w:r>
            <w:r>
              <w:rPr>
                <w:rFonts w:cs="宋体" w:hint="eastAsia"/>
                <w:kern w:val="21"/>
                <w:sz w:val="24"/>
                <w:szCs w:val="24"/>
              </w:rPr>
              <w:t>号</w:t>
            </w:r>
            <w:r>
              <w:rPr>
                <w:kern w:val="2"/>
                <w:sz w:val="24"/>
                <w:szCs w:val="22"/>
              </w:rPr>
              <w:t>。中心位置地理坐标：115°32′41.24″E，28°46′14.77″N，详见附图</w:t>
            </w:r>
            <w:r>
              <w:rPr>
                <w:rFonts w:hint="eastAsia"/>
                <w:kern w:val="2"/>
                <w:sz w:val="24"/>
                <w:szCs w:val="22"/>
              </w:rPr>
              <w:t>1</w:t>
            </w:r>
            <w:r>
              <w:rPr>
                <w:kern w:val="2"/>
                <w:sz w:val="24"/>
                <w:szCs w:val="22"/>
              </w:rPr>
              <w:t>；</w:t>
            </w:r>
          </w:p>
          <w:p>
            <w:pPr>
              <w:adjustRightInd/>
              <w:spacing w:line="360" w:lineRule="auto"/>
              <w:ind w:firstLine="480" w:firstLineChars="200"/>
              <w:rPr>
                <w:kern w:val="2"/>
                <w:sz w:val="24"/>
                <w:szCs w:val="22"/>
              </w:rPr>
            </w:pPr>
            <w:r>
              <w:rPr>
                <w:kern w:val="2"/>
                <w:sz w:val="24"/>
                <w:szCs w:val="22"/>
              </w:rPr>
              <w:t>建设单位：</w:t>
            </w:r>
            <w:r>
              <w:rPr>
                <w:rFonts w:ascii="宋体" w:hAnsi="宋体" w:hint="eastAsia"/>
                <w:kern w:val="2"/>
                <w:sz w:val="24"/>
                <w:szCs w:val="24"/>
              </w:rPr>
              <w:t>抚州市投资发展（集团）有限公司</w:t>
            </w:r>
            <w:r>
              <w:rPr>
                <w:snapToGrid w:val="0"/>
                <w:spacing w:val="10"/>
                <w:kern w:val="2"/>
                <w:sz w:val="24"/>
                <w:szCs w:val="24"/>
              </w:rPr>
              <w:t>；</w:t>
            </w:r>
          </w:p>
          <w:p>
            <w:pPr>
              <w:adjustRightInd/>
              <w:spacing w:line="360" w:lineRule="auto"/>
              <w:ind w:firstLine="480" w:firstLineChars="200"/>
              <w:rPr>
                <w:kern w:val="2"/>
                <w:sz w:val="24"/>
                <w:szCs w:val="22"/>
              </w:rPr>
            </w:pPr>
            <w:r>
              <w:rPr>
                <w:kern w:val="2"/>
                <w:sz w:val="24"/>
                <w:szCs w:val="22"/>
              </w:rPr>
              <w:t>建设性质：</w:t>
            </w:r>
            <w:r>
              <w:rPr>
                <w:rFonts w:hint="eastAsia"/>
                <w:kern w:val="2"/>
                <w:sz w:val="24"/>
                <w:szCs w:val="22"/>
              </w:rPr>
              <w:t>改扩建；</w:t>
            </w:r>
          </w:p>
          <w:p>
            <w:pPr>
              <w:adjustRightInd/>
              <w:spacing w:line="360" w:lineRule="auto"/>
              <w:ind w:firstLine="480" w:firstLineChars="200"/>
              <w:rPr>
                <w:b/>
                <w:bCs/>
                <w:snapToGrid w:val="0"/>
                <w:kern w:val="11"/>
                <w:sz w:val="24"/>
                <w:szCs w:val="22"/>
              </w:rPr>
            </w:pPr>
            <w:r>
              <w:rPr>
                <w:kern w:val="2"/>
                <w:sz w:val="24"/>
                <w:szCs w:val="22"/>
              </w:rPr>
              <w:t>四至情况：</w:t>
            </w:r>
            <w:r>
              <w:rPr>
                <w:rFonts w:hint="eastAsia"/>
                <w:kern w:val="2"/>
                <w:sz w:val="24"/>
                <w:szCs w:val="22"/>
              </w:rPr>
              <w:t>项目用地东侧为汝水大道，南侧隔道路为学校，西侧、北侧为住宅居民区</w:t>
            </w:r>
            <w:r>
              <w:rPr>
                <w:kern w:val="2"/>
                <w:sz w:val="24"/>
                <w:szCs w:val="22"/>
              </w:rPr>
              <w:t>。</w:t>
            </w:r>
            <w:r>
              <w:rPr>
                <w:rFonts w:hint="eastAsia"/>
                <w:kern w:val="2"/>
                <w:sz w:val="24"/>
                <w:szCs w:val="22"/>
              </w:rPr>
              <w:t>项目四至情况见图1。</w:t>
            </w:r>
          </w:p>
          <w:p>
            <w:pPr>
              <w:pStyle w:val="Default"/>
              <w:jc w:val="center"/>
              <w:rPr>
                <w:rFonts w:ascii="Times New Roman" w:hAnsi="Times New Roman" w:hint="default"/>
                <w:snapToGrid w:val="0"/>
                <w:color w:val="auto"/>
                <w:kern w:val="11"/>
              </w:rPr>
            </w:pPr>
            <w:r>
              <w:rPr>
                <w:rFonts w:ascii="Times New Roman" w:hAnsi="Times New Roman"/>
                <w:snapToGrid w:val="0"/>
                <w:color w:val="auto"/>
                <w:kern w:val="11"/>
              </w:rPr>
              <w:drawing>
                <wp:inline distT="0" distB="0" distL="0" distR="0">
                  <wp:extent cx="1925955" cy="1443990"/>
                  <wp:effectExtent l="0" t="0" r="0" b="381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2"/>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26000" cy="1444500"/>
                          </a:xfrm>
                          <a:prstGeom prst="rect">
                            <a:avLst/>
                          </a:prstGeom>
                          <a:noFill/>
                          <a:ln>
                            <a:noFill/>
                          </a:ln>
                        </pic:spPr>
                      </pic:pic>
                    </a:graphicData>
                  </a:graphic>
                </wp:inline>
              </w:drawing>
            </w:r>
            <w:r>
              <w:rPr>
                <w:rFonts w:ascii="Times New Roman" w:hAnsi="Times New Roman"/>
                <w:snapToGrid w:val="0"/>
                <w:color w:val="auto"/>
                <w:kern w:val="11"/>
              </w:rPr>
              <w:t xml:space="preserve"> </w:t>
            </w:r>
            <w:r>
              <w:rPr>
                <w:rFonts w:ascii="Times New Roman" w:hAnsi="Times New Roman" w:hint="default"/>
                <w:snapToGrid w:val="0"/>
                <w:color w:val="auto"/>
                <w:kern w:val="11"/>
              </w:rPr>
              <w:t xml:space="preserve">      </w:t>
            </w:r>
            <w:r>
              <w:rPr>
                <w:rFonts w:ascii="Times New Roman" w:hAnsi="Times New Roman"/>
                <w:snapToGrid w:val="0"/>
                <w:color w:val="auto"/>
                <w:kern w:val="11"/>
              </w:rPr>
              <w:drawing>
                <wp:inline distT="0" distB="0" distL="0" distR="0">
                  <wp:extent cx="1925955" cy="1443990"/>
                  <wp:effectExtent l="0" t="0" r="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26000" cy="1444500"/>
                          </a:xfrm>
                          <a:prstGeom prst="rect">
                            <a:avLst/>
                          </a:prstGeom>
                          <a:noFill/>
                          <a:ln>
                            <a:noFill/>
                          </a:ln>
                        </pic:spPr>
                      </pic:pic>
                    </a:graphicData>
                  </a:graphic>
                </wp:inline>
              </w:drawing>
            </w:r>
          </w:p>
          <w:p>
            <w:pPr>
              <w:pStyle w:val="aa"/>
              <w:ind w:firstLine="0" w:firstLineChars="0"/>
              <w:jc w:val="center"/>
              <w:rPr>
                <w:snapToGrid w:val="0"/>
                <w:kern w:val="11"/>
                <w:szCs w:val="22"/>
              </w:rPr>
            </w:pPr>
            <w:r>
              <w:rPr>
                <w:rFonts w:hint="eastAsia"/>
                <w:snapToGrid w:val="0"/>
                <w:kern w:val="11"/>
                <w:szCs w:val="22"/>
              </w:rPr>
              <w:t>东面                           南面</w:t>
            </w:r>
          </w:p>
          <w:p>
            <w:pPr>
              <w:pStyle w:val="aa"/>
              <w:ind w:firstLine="0" w:firstLineChars="0"/>
              <w:jc w:val="center"/>
              <w:rPr>
                <w:snapToGrid w:val="0"/>
                <w:kern w:val="11"/>
                <w:szCs w:val="22"/>
              </w:rPr>
            </w:pPr>
            <w:r>
              <w:rPr>
                <w:snapToGrid w:val="0"/>
                <w:kern w:val="11"/>
                <w:szCs w:val="22"/>
              </w:rPr>
              <w:drawing>
                <wp:inline distT="0" distB="0" distL="0" distR="0">
                  <wp:extent cx="1925955" cy="1443990"/>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26000" cy="1444500"/>
                          </a:xfrm>
                          <a:prstGeom prst="rect">
                            <a:avLst/>
                          </a:prstGeom>
                          <a:noFill/>
                          <a:ln>
                            <a:noFill/>
                          </a:ln>
                        </pic:spPr>
                      </pic:pic>
                    </a:graphicData>
                  </a:graphic>
                </wp:inline>
              </w:drawing>
            </w:r>
            <w:r>
              <w:rPr>
                <w:rFonts w:hint="eastAsia"/>
                <w:snapToGrid w:val="0"/>
                <w:kern w:val="11"/>
                <w:szCs w:val="22"/>
              </w:rPr>
              <w:t xml:space="preserve"> </w:t>
            </w:r>
            <w:r>
              <w:rPr>
                <w:snapToGrid w:val="0"/>
                <w:kern w:val="11"/>
                <w:szCs w:val="22"/>
              </w:rPr>
              <w:t xml:space="preserve">      </w:t>
            </w:r>
            <w:r>
              <w:rPr>
                <w:snapToGrid w:val="0"/>
                <w:kern w:val="11"/>
                <w:szCs w:val="22"/>
              </w:rPr>
              <w:drawing>
                <wp:inline distT="0" distB="0" distL="0" distR="0">
                  <wp:extent cx="1925955" cy="144399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26000" cy="1444500"/>
                          </a:xfrm>
                          <a:prstGeom prst="rect">
                            <a:avLst/>
                          </a:prstGeom>
                          <a:noFill/>
                          <a:ln>
                            <a:noFill/>
                          </a:ln>
                        </pic:spPr>
                      </pic:pic>
                    </a:graphicData>
                  </a:graphic>
                </wp:inline>
              </w:drawing>
            </w:r>
          </w:p>
          <w:p>
            <w:pPr>
              <w:pStyle w:val="aa"/>
              <w:spacing w:line="240" w:lineRule="auto"/>
              <w:ind w:firstLine="240" w:firstLineChars="100"/>
              <w:jc w:val="center"/>
              <w:rPr>
                <w:snapToGrid w:val="0"/>
                <w:kern w:val="11"/>
                <w:szCs w:val="22"/>
              </w:rPr>
            </w:pPr>
            <w:r>
              <w:rPr>
                <w:rFonts w:hint="eastAsia"/>
                <w:snapToGrid w:val="0"/>
                <w:kern w:val="11"/>
                <w:szCs w:val="22"/>
              </w:rPr>
              <w:t xml:space="preserve">西面            </w:t>
            </w:r>
            <w:r>
              <w:rPr>
                <w:snapToGrid w:val="0"/>
                <w:kern w:val="11"/>
                <w:szCs w:val="22"/>
              </w:rPr>
              <w:t xml:space="preserve">  </w:t>
            </w:r>
            <w:r>
              <w:rPr>
                <w:rFonts w:hint="eastAsia"/>
                <w:snapToGrid w:val="0"/>
                <w:kern w:val="11"/>
                <w:szCs w:val="22"/>
              </w:rPr>
              <w:t xml:space="preserve">             北面</w:t>
            </w:r>
          </w:p>
          <w:p>
            <w:pPr>
              <w:pStyle w:val="aa"/>
              <w:adjustRightInd/>
              <w:snapToGrid/>
              <w:ind w:firstLine="0" w:firstLineChars="0"/>
              <w:jc w:val="center"/>
              <w:rPr>
                <w:b/>
                <w:bCs/>
                <w:snapToGrid w:val="0"/>
                <w:kern w:val="11"/>
                <w:sz w:val="21"/>
                <w:szCs w:val="21"/>
              </w:rPr>
            </w:pPr>
            <w:r>
              <w:rPr>
                <w:rFonts w:hint="eastAsia"/>
                <w:b/>
                <w:bCs/>
                <w:snapToGrid w:val="0"/>
                <w:kern w:val="11"/>
                <w:sz w:val="21"/>
                <w:szCs w:val="21"/>
              </w:rPr>
              <w:t>图1  项目四至情况图</w:t>
            </w:r>
          </w:p>
        </w:tc>
      </w:tr>
    </w:tbl>
    <w:p>
      <w:pPr>
        <w:sectPr>
          <w:footerReference w:type="even" r:id="rId22"/>
          <w:footerReference w:type="default" r:id="rId23"/>
          <w:footerReference w:type="first" r:id="rId24"/>
          <w:type w:val="nextPage"/>
          <w:pgSz w:w="11907" w:h="16840"/>
          <w:pgMar w:top="1418" w:right="1418" w:bottom="1418" w:left="1418" w:header="851" w:footer="680" w:gutter="113"/>
          <w:pgNumType w:start="3"/>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tabs>
                <w:tab w:val="left" w:pos="0"/>
              </w:tabs>
              <w:spacing w:line="360" w:lineRule="auto"/>
              <w:ind w:firstLine="720" w:firstLineChars="300"/>
              <w:rPr>
                <w:b/>
                <w:kern w:val="2"/>
                <w:sz w:val="24"/>
                <w:szCs w:val="22"/>
              </w:rPr>
            </w:pPr>
            <w:r>
              <w:rPr>
                <w:b/>
                <w:kern w:val="2"/>
                <w:sz w:val="24"/>
                <w:szCs w:val="22"/>
              </w:rPr>
              <w:t>2、工程建设规模及组成</w:t>
            </w:r>
          </w:p>
          <w:p>
            <w:pPr>
              <w:tabs>
                <w:tab w:val="left" w:pos="0"/>
              </w:tabs>
              <w:adjustRightInd/>
              <w:spacing w:line="360" w:lineRule="auto"/>
              <w:ind w:firstLine="480" w:firstLineChars="200"/>
              <w:rPr>
                <w:color w:val="000000" w:themeColor="text1"/>
                <w:kern w:val="21"/>
                <w:sz w:val="24"/>
                <w:szCs w:val="22"/>
                <w14:textFill>
                  <w14:solidFill>
                    <w14:schemeClr w14:val="tx1"/>
                  </w14:solidFill>
                </w14:textFill>
              </w:rPr>
            </w:pPr>
            <w:r>
              <w:rPr>
                <w:rFonts w:ascii="宋体" w:hAnsi="宋体" w:hint="eastAsia"/>
                <w:kern w:val="2"/>
                <w:sz w:val="24"/>
                <w:szCs w:val="24"/>
              </w:rPr>
              <w:t>抚州</w:t>
            </w:r>
            <w:r>
              <w:rPr>
                <w:rFonts w:ascii="宋体" w:hAnsi="宋体" w:hint="eastAsia"/>
                <w:color w:val="000000" w:themeColor="text1"/>
                <w:kern w:val="2"/>
                <w:sz w:val="24"/>
                <w:szCs w:val="24"/>
                <w14:textFill>
                  <w14:solidFill>
                    <w14:schemeClr w14:val="tx1"/>
                  </w14:solidFill>
                </w14:textFill>
              </w:rPr>
              <w:t>市投资发展（集团）有限公司</w:t>
            </w:r>
            <w:r>
              <w:rPr>
                <w:color w:val="000000" w:themeColor="text1"/>
                <w:kern w:val="21"/>
                <w:sz w:val="24"/>
                <w:szCs w:val="22"/>
                <w14:textFill>
                  <w14:solidFill>
                    <w14:schemeClr w14:val="tx1"/>
                  </w14:solidFill>
                </w14:textFill>
              </w:rPr>
              <w:t>拟投资</w:t>
            </w:r>
            <w:r>
              <w:rPr>
                <w:rFonts w:cs="宋体" w:hint="eastAsia"/>
                <w:color w:val="000000" w:themeColor="text1"/>
                <w:kern w:val="21"/>
                <w:sz w:val="24"/>
                <w:szCs w:val="24"/>
                <w14:textFill>
                  <w14:solidFill>
                    <w14:schemeClr w14:val="tx1"/>
                  </w14:solidFill>
                </w14:textFill>
              </w:rPr>
              <w:t>5268.44万元</w:t>
            </w:r>
            <w:r>
              <w:rPr>
                <w:color w:val="000000" w:themeColor="text1"/>
                <w:kern w:val="21"/>
                <w:sz w:val="24"/>
                <w:szCs w:val="22"/>
                <w14:textFill>
                  <w14:solidFill>
                    <w14:schemeClr w14:val="tx1"/>
                  </w14:solidFill>
                </w14:textFill>
              </w:rPr>
              <w:t>建设</w:t>
            </w:r>
            <w:r>
              <w:rPr>
                <w:rFonts w:hint="eastAsia"/>
                <w:color w:val="000000" w:themeColor="text1"/>
                <w:kern w:val="21"/>
                <w:sz w:val="24"/>
                <w:szCs w:val="22"/>
                <w14:textFill>
                  <w14:solidFill>
                    <w14:schemeClr w14:val="tx1"/>
                  </w14:solidFill>
                </w14:textFill>
              </w:rPr>
              <w:t>抚州汝水生态水厂扩建工程</w:t>
            </w:r>
            <w:r>
              <w:rPr>
                <w:color w:val="000000" w:themeColor="text1"/>
                <w:kern w:val="21"/>
                <w:sz w:val="24"/>
                <w:szCs w:val="22"/>
                <w14:textFill>
                  <w14:solidFill>
                    <w14:schemeClr w14:val="tx1"/>
                  </w14:solidFill>
                </w14:textFill>
              </w:rPr>
              <w:t>。</w:t>
            </w:r>
            <w:r>
              <w:rPr>
                <w:rFonts w:hint="eastAsia"/>
                <w:color w:val="000000" w:themeColor="text1"/>
                <w:kern w:val="21"/>
                <w:sz w:val="24"/>
                <w:szCs w:val="22"/>
                <w14:textFill>
                  <w14:solidFill>
                    <w14:schemeClr w14:val="tx1"/>
                  </w14:solidFill>
                </w14:textFill>
              </w:rPr>
              <w:t>抚州汝水生态水厂现有已建成1</w:t>
            </w:r>
            <w:r>
              <w:rPr>
                <w:color w:val="000000" w:themeColor="text1"/>
                <w:kern w:val="21"/>
                <w:sz w:val="24"/>
                <w:szCs w:val="22"/>
                <w14:textFill>
                  <w14:solidFill>
                    <w14:schemeClr w14:val="tx1"/>
                  </w14:solidFill>
                </w14:textFill>
              </w:rPr>
              <w:t>0</w:t>
            </w:r>
            <w:r>
              <w:rPr>
                <w:rFonts w:hint="eastAsia"/>
                <w:color w:val="000000" w:themeColor="text1"/>
                <w:kern w:val="21"/>
                <w:sz w:val="24"/>
                <w:szCs w:val="22"/>
                <w14:textFill>
                  <w14:solidFill>
                    <w14:schemeClr w14:val="tx1"/>
                  </w14:solidFill>
                </w14:textFill>
              </w:rPr>
              <w:t>万</w:t>
            </w:r>
            <w:r>
              <w:rPr>
                <w:color w:val="000000" w:themeColor="text1"/>
                <w:kern w:val="21"/>
                <w:sz w:val="24"/>
                <w:szCs w:val="22"/>
                <w14:textFill>
                  <w14:solidFill>
                    <w14:schemeClr w14:val="tx1"/>
                  </w14:solidFill>
                </w14:textFill>
              </w:rPr>
              <w:t>m</w:t>
            </w:r>
            <w:r>
              <w:rPr>
                <w:color w:val="000000" w:themeColor="text1"/>
                <w:kern w:val="21"/>
                <w:sz w:val="24"/>
                <w:szCs w:val="22"/>
                <w:vertAlign w:val="superscript"/>
                <w14:textFill>
                  <w14:solidFill>
                    <w14:schemeClr w14:val="tx1"/>
                  </w14:solidFill>
                </w14:textFill>
              </w:rPr>
              <w:t>3</w:t>
            </w:r>
            <w:r>
              <w:rPr>
                <w:color w:val="000000" w:themeColor="text1"/>
                <w:kern w:val="21"/>
                <w:sz w:val="24"/>
                <w:szCs w:val="22"/>
                <w14:textFill>
                  <w14:solidFill>
                    <w14:schemeClr w14:val="tx1"/>
                  </w14:solidFill>
                </w14:textFill>
              </w:rPr>
              <w:t>/d</w:t>
            </w:r>
            <w:r>
              <w:rPr>
                <w:rFonts w:hint="eastAsia"/>
                <w:color w:val="000000" w:themeColor="text1"/>
                <w:kern w:val="21"/>
                <w:sz w:val="24"/>
                <w:szCs w:val="22"/>
                <w14:textFill>
                  <w14:solidFill>
                    <w14:schemeClr w14:val="tx1"/>
                  </w14:solidFill>
                </w14:textFill>
              </w:rPr>
              <w:t>的供水规模，</w:t>
            </w:r>
            <w:r>
              <w:rPr>
                <w:color w:val="000000" w:themeColor="text1"/>
                <w:kern w:val="21"/>
                <w:sz w:val="24"/>
                <w:szCs w:val="22"/>
                <w14:textFill>
                  <w14:solidFill>
                    <w14:schemeClr w14:val="tx1"/>
                  </w14:solidFill>
                </w14:textFill>
              </w:rPr>
              <w:t>本项目</w:t>
            </w:r>
            <w:r>
              <w:rPr>
                <w:rFonts w:hint="eastAsia"/>
                <w:color w:val="000000" w:themeColor="text1"/>
                <w:kern w:val="21"/>
                <w:sz w:val="24"/>
                <w:szCs w:val="22"/>
                <w14:textFill>
                  <w14:solidFill>
                    <w14:schemeClr w14:val="tx1"/>
                  </w14:solidFill>
                </w14:textFill>
              </w:rPr>
              <w:t>在现有厂区改扩建，扩建5万</w:t>
            </w:r>
            <w:r>
              <w:rPr>
                <w:color w:val="000000" w:themeColor="text1"/>
                <w:kern w:val="21"/>
                <w:sz w:val="24"/>
                <w:szCs w:val="22"/>
                <w14:textFill>
                  <w14:solidFill>
                    <w14:schemeClr w14:val="tx1"/>
                  </w14:solidFill>
                </w14:textFill>
              </w:rPr>
              <w:t>m</w:t>
            </w:r>
            <w:r>
              <w:rPr>
                <w:color w:val="000000" w:themeColor="text1"/>
                <w:kern w:val="21"/>
                <w:sz w:val="24"/>
                <w:szCs w:val="22"/>
                <w:vertAlign w:val="superscript"/>
                <w14:textFill>
                  <w14:solidFill>
                    <w14:schemeClr w14:val="tx1"/>
                  </w14:solidFill>
                </w14:textFill>
              </w:rPr>
              <w:t>3</w:t>
            </w:r>
            <w:r>
              <w:rPr>
                <w:color w:val="000000" w:themeColor="text1"/>
                <w:kern w:val="21"/>
                <w:sz w:val="24"/>
                <w:szCs w:val="22"/>
                <w14:textFill>
                  <w14:solidFill>
                    <w14:schemeClr w14:val="tx1"/>
                  </w14:solidFill>
                </w14:textFill>
              </w:rPr>
              <w:t>/d</w:t>
            </w:r>
            <w:r>
              <w:rPr>
                <w:rFonts w:hint="eastAsia"/>
                <w:color w:val="000000" w:themeColor="text1"/>
                <w:kern w:val="21"/>
                <w:sz w:val="24"/>
                <w:szCs w:val="22"/>
                <w14:textFill>
                  <w14:solidFill>
                    <w14:schemeClr w14:val="tx1"/>
                  </w14:solidFill>
                </w14:textFill>
              </w:rPr>
              <w:t>的供水规模，扩建完成后全厂供水规模为1</w:t>
            </w:r>
            <w:r>
              <w:rPr>
                <w:color w:val="000000" w:themeColor="text1"/>
                <w:kern w:val="21"/>
                <w:sz w:val="24"/>
                <w:szCs w:val="22"/>
                <w14:textFill>
                  <w14:solidFill>
                    <w14:schemeClr w14:val="tx1"/>
                  </w14:solidFill>
                </w14:textFill>
              </w:rPr>
              <w:t>5</w:t>
            </w:r>
            <w:r>
              <w:rPr>
                <w:rFonts w:hint="eastAsia"/>
                <w:color w:val="000000" w:themeColor="text1"/>
                <w:kern w:val="21"/>
                <w:sz w:val="24"/>
                <w:szCs w:val="22"/>
                <w14:textFill>
                  <w14:solidFill>
                    <w14:schemeClr w14:val="tx1"/>
                  </w14:solidFill>
                </w14:textFill>
              </w:rPr>
              <w:t>万</w:t>
            </w:r>
            <w:r>
              <w:rPr>
                <w:color w:val="000000" w:themeColor="text1"/>
                <w:kern w:val="21"/>
                <w:sz w:val="24"/>
                <w:szCs w:val="22"/>
                <w14:textFill>
                  <w14:solidFill>
                    <w14:schemeClr w14:val="tx1"/>
                  </w14:solidFill>
                </w14:textFill>
              </w:rPr>
              <w:t>m</w:t>
            </w:r>
            <w:r>
              <w:rPr>
                <w:color w:val="000000" w:themeColor="text1"/>
                <w:kern w:val="21"/>
                <w:sz w:val="24"/>
                <w:szCs w:val="22"/>
                <w:vertAlign w:val="superscript"/>
                <w14:textFill>
                  <w14:solidFill>
                    <w14:schemeClr w14:val="tx1"/>
                  </w14:solidFill>
                </w14:textFill>
              </w:rPr>
              <w:t>3</w:t>
            </w:r>
            <w:r>
              <w:rPr>
                <w:color w:val="000000" w:themeColor="text1"/>
                <w:kern w:val="21"/>
                <w:sz w:val="24"/>
                <w:szCs w:val="22"/>
                <w14:textFill>
                  <w14:solidFill>
                    <w14:schemeClr w14:val="tx1"/>
                  </w14:solidFill>
                </w14:textFill>
              </w:rPr>
              <w:t>/d</w:t>
            </w:r>
            <w:r>
              <w:rPr>
                <w:rFonts w:hint="eastAsia"/>
                <w:color w:val="000000" w:themeColor="text1"/>
                <w:kern w:val="21"/>
                <w:sz w:val="24"/>
                <w:szCs w:val="22"/>
                <w14:textFill>
                  <w14:solidFill>
                    <w14:schemeClr w14:val="tx1"/>
                  </w14:solidFill>
                </w14:textFill>
              </w:rPr>
              <w:t>。现有厂区总占地</w:t>
            </w:r>
            <w:r>
              <w:rPr>
                <w:color w:val="000000" w:themeColor="text1"/>
                <w:kern w:val="21"/>
                <w:sz w:val="24"/>
                <w:szCs w:val="22"/>
                <w14:textFill>
                  <w14:solidFill>
                    <w14:schemeClr w14:val="tx1"/>
                  </w14:solidFill>
                </w14:textFill>
              </w:rPr>
              <w:t>面积为</w:t>
            </w:r>
            <w:r>
              <w:rPr>
                <w:rFonts w:cs="宋体"/>
                <w:color w:val="000000" w:themeColor="text1"/>
                <w:kern w:val="21"/>
                <w:sz w:val="24"/>
                <w:szCs w:val="24"/>
                <w14:textFill>
                  <w14:solidFill>
                    <w14:schemeClr w14:val="tx1"/>
                  </w14:solidFill>
                </w14:textFill>
              </w:rPr>
              <w:t>66667.00</w:t>
            </w:r>
            <w:r>
              <w:rPr>
                <w:color w:val="000000" w:themeColor="text1"/>
                <w:kern w:val="21"/>
                <w:sz w:val="24"/>
                <w:szCs w:val="22"/>
                <w14:textFill>
                  <w14:solidFill>
                    <w14:schemeClr w14:val="tx1"/>
                  </w14:solidFill>
                </w14:textFill>
              </w:rPr>
              <w:t>m</w:t>
            </w:r>
            <w:r>
              <w:rPr>
                <w:color w:val="000000" w:themeColor="text1"/>
                <w:kern w:val="21"/>
                <w:sz w:val="24"/>
                <w:szCs w:val="22"/>
                <w:vertAlign w:val="superscript"/>
                <w14:textFill>
                  <w14:solidFill>
                    <w14:schemeClr w14:val="tx1"/>
                  </w14:solidFill>
                </w14:textFill>
              </w:rPr>
              <w:t>2</w:t>
            </w:r>
            <w:r>
              <w:rPr>
                <w:color w:val="000000" w:themeColor="text1"/>
                <w:kern w:val="21"/>
                <w:sz w:val="24"/>
                <w:szCs w:val="22"/>
                <w14:textFill>
                  <w14:solidFill>
                    <w14:schemeClr w14:val="tx1"/>
                  </w14:solidFill>
                </w14:textFill>
              </w:rPr>
              <w:t>，</w:t>
            </w:r>
            <w:r>
              <w:rPr>
                <w:rFonts w:hint="eastAsia"/>
                <w:color w:val="000000" w:themeColor="text1"/>
                <w:kern w:val="21"/>
                <w:sz w:val="24"/>
                <w:szCs w:val="22"/>
                <w14:textFill>
                  <w14:solidFill>
                    <w14:schemeClr w14:val="tx1"/>
                  </w14:solidFill>
                </w14:textFill>
              </w:rPr>
              <w:t>本项目扩建使用厂区</w:t>
            </w:r>
            <w:r>
              <w:rPr>
                <w:color w:val="000000" w:themeColor="text1"/>
                <w:kern w:val="21"/>
                <w:sz w:val="24"/>
                <w:szCs w:val="24"/>
                <w14:textFill>
                  <w14:solidFill>
                    <w14:schemeClr w14:val="tx1"/>
                  </w14:solidFill>
                </w14:textFill>
              </w:rPr>
              <w:t>面积</w:t>
            </w:r>
            <w:r>
              <w:rPr>
                <w:rFonts w:hint="eastAsia"/>
                <w:color w:val="000000" w:themeColor="text1"/>
                <w:kern w:val="21"/>
                <w:sz w:val="24"/>
                <w:szCs w:val="24"/>
                <w14:textFill>
                  <w14:solidFill>
                    <w14:schemeClr w14:val="tx1"/>
                  </w14:solidFill>
                </w14:textFill>
              </w:rPr>
              <w:t>约</w:t>
            </w:r>
            <w:r>
              <w:rPr>
                <w:color w:val="000000" w:themeColor="text1"/>
                <w:kern w:val="21"/>
                <w:sz w:val="24"/>
                <w:szCs w:val="24"/>
                <w14:textFill>
                  <w14:solidFill>
                    <w14:schemeClr w14:val="tx1"/>
                  </w14:solidFill>
                </w14:textFill>
              </w:rPr>
              <w:t>为</w:t>
            </w:r>
            <w:r>
              <w:rPr>
                <w:rFonts w:hint="eastAsia"/>
                <w:color w:val="000000" w:themeColor="text1"/>
                <w:kern w:val="21"/>
                <w:sz w:val="24"/>
                <w:szCs w:val="24"/>
                <w14:textFill>
                  <w14:solidFill>
                    <w14:schemeClr w14:val="tx1"/>
                  </w14:solidFill>
                </w14:textFill>
              </w:rPr>
              <w:t>4</w:t>
            </w:r>
            <w:r>
              <w:rPr>
                <w:color w:val="000000" w:themeColor="text1"/>
                <w:kern w:val="21"/>
                <w:sz w:val="24"/>
                <w:szCs w:val="24"/>
                <w14:textFill>
                  <w14:solidFill>
                    <w14:schemeClr w14:val="tx1"/>
                  </w14:solidFill>
                </w14:textFill>
              </w:rPr>
              <w:t>628.78m</w:t>
            </w:r>
            <w:r>
              <w:rPr>
                <w:color w:val="000000" w:themeColor="text1"/>
                <w:kern w:val="21"/>
                <w:sz w:val="24"/>
                <w:szCs w:val="24"/>
                <w:vertAlign w:val="superscript"/>
                <w14:textFill>
                  <w14:solidFill>
                    <w14:schemeClr w14:val="tx1"/>
                  </w14:solidFill>
                </w14:textFill>
              </w:rPr>
              <w:t>2</w:t>
            </w:r>
            <w:r>
              <w:rPr>
                <w:rFonts w:hint="eastAsia"/>
                <w:color w:val="000000" w:themeColor="text1"/>
                <w:kern w:val="21"/>
                <w:sz w:val="24"/>
                <w:szCs w:val="24"/>
                <w14:textFill>
                  <w14:solidFill>
                    <w14:schemeClr w14:val="tx1"/>
                  </w14:solidFill>
                </w14:textFill>
              </w:rPr>
              <w:t>，本项目主要建设沉淀池、反冲洗池、清水池、电气及自控设备、水质应急处理设施等</w:t>
            </w:r>
            <w:r>
              <w:rPr>
                <w:rFonts w:hint="eastAsia"/>
                <w:color w:val="000000" w:themeColor="text1"/>
                <w:kern w:val="21"/>
                <w:sz w:val="24"/>
                <w:szCs w:val="22"/>
                <w14:textFill>
                  <w14:solidFill>
                    <w14:schemeClr w14:val="tx1"/>
                  </w14:solidFill>
                </w14:textFill>
              </w:rPr>
              <w:t>。</w:t>
            </w:r>
          </w:p>
          <w:p>
            <w:pPr>
              <w:tabs>
                <w:tab w:val="left" w:pos="0"/>
              </w:tabs>
              <w:spacing w:line="360" w:lineRule="auto"/>
              <w:ind w:firstLine="480" w:firstLineChars="200"/>
              <w:rPr>
                <w:color w:val="000000" w:themeColor="text1"/>
                <w:kern w:val="21"/>
                <w:sz w:val="24"/>
                <w:szCs w:val="22"/>
                <w14:textFill>
                  <w14:solidFill>
                    <w14:schemeClr w14:val="tx1"/>
                  </w14:solidFill>
                </w14:textFill>
              </w:rPr>
            </w:pPr>
            <w:r>
              <w:rPr>
                <w:color w:val="000000" w:themeColor="text1"/>
                <w:kern w:val="21"/>
                <w:sz w:val="24"/>
                <w:szCs w:val="22"/>
                <w14:textFill>
                  <w14:solidFill>
                    <w14:schemeClr w14:val="tx1"/>
                  </w14:solidFill>
                </w14:textFill>
              </w:rPr>
              <w:t>项目组成及主要建设内容详见下表1。</w:t>
            </w:r>
          </w:p>
          <w:p>
            <w:pPr>
              <w:adjustRightInd/>
              <w:spacing w:line="240" w:lineRule="auto"/>
              <w:jc w:val="center"/>
              <w:rPr>
                <w:b/>
                <w:bCs/>
                <w:color w:val="000000" w:themeColor="text1"/>
                <w:kern w:val="2"/>
                <w:szCs w:val="21"/>
                <w14:textFill>
                  <w14:solidFill>
                    <w14:schemeClr w14:val="tx1"/>
                  </w14:solidFill>
                </w14:textFill>
              </w:rPr>
            </w:pPr>
            <w:r>
              <w:rPr>
                <w:b/>
                <w:bCs/>
                <w:color w:val="000000" w:themeColor="text1"/>
                <w:kern w:val="2"/>
                <w:szCs w:val="21"/>
                <w14:textFill>
                  <w14:solidFill>
                    <w14:schemeClr w14:val="tx1"/>
                  </w14:solidFill>
                </w14:textFill>
              </w:rPr>
              <w:t>表1</w:t>
            </w:r>
            <w:r>
              <w:rPr>
                <w:rFonts w:hint="eastAsia"/>
                <w:b/>
                <w:bCs/>
                <w:color w:val="000000" w:themeColor="text1"/>
                <w:kern w:val="2"/>
                <w:szCs w:val="21"/>
                <w14:textFill>
                  <w14:solidFill>
                    <w14:schemeClr w14:val="tx1"/>
                  </w14:solidFill>
                </w14:textFill>
              </w:rPr>
              <w:t xml:space="preserve"> </w:t>
            </w:r>
            <w:r>
              <w:rPr>
                <w:b/>
                <w:bCs/>
                <w:color w:val="000000" w:themeColor="text1"/>
                <w:kern w:val="2"/>
                <w:szCs w:val="21"/>
                <w14:textFill>
                  <w14:solidFill>
                    <w14:schemeClr w14:val="tx1"/>
                  </w14:solidFill>
                </w14:textFill>
              </w:rPr>
              <w:t xml:space="preserve"> 本项目主要建设内容一览表</w:t>
            </w:r>
          </w:p>
          <w:tbl>
            <w:tblPr>
              <w:tblStyle w:val="TableNormal"/>
              <w:tblW w:w="871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243"/>
              <w:gridCol w:w="1618"/>
              <w:gridCol w:w="3689"/>
              <w:gridCol w:w="2167"/>
            </w:tblGrid>
            <w:tr>
              <w:tblPrEx>
                <w:tblW w:w="871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52"/>
                <w:jc w:val="center"/>
              </w:trPr>
              <w:tc>
                <w:tcPr>
                  <w:tcW w:w="1243" w:type="dxa"/>
                  <w:vAlign w:val="center"/>
                </w:tcPr>
                <w:p>
                  <w:pPr>
                    <w:adjustRightInd/>
                    <w:spacing w:line="240" w:lineRule="auto"/>
                    <w:jc w:val="center"/>
                    <w:rPr>
                      <w:b/>
                      <w:bCs/>
                      <w:color w:val="000000" w:themeColor="text1"/>
                      <w:kern w:val="2"/>
                      <w:szCs w:val="21"/>
                      <w14:textFill>
                        <w14:solidFill>
                          <w14:schemeClr w14:val="tx1"/>
                        </w14:solidFill>
                      </w14:textFill>
                    </w:rPr>
                  </w:pPr>
                  <w:r>
                    <w:rPr>
                      <w:b/>
                      <w:bCs/>
                      <w:color w:val="000000" w:themeColor="text1"/>
                      <w:kern w:val="2"/>
                      <w:szCs w:val="21"/>
                      <w14:textFill>
                        <w14:solidFill>
                          <w14:schemeClr w14:val="tx1"/>
                        </w14:solidFill>
                      </w14:textFill>
                    </w:rPr>
                    <w:t>工程类别</w:t>
                  </w:r>
                </w:p>
              </w:tc>
              <w:tc>
                <w:tcPr>
                  <w:tcW w:w="1618" w:type="dxa"/>
                  <w:vAlign w:val="center"/>
                </w:tcPr>
                <w:p>
                  <w:pPr>
                    <w:adjustRightInd/>
                    <w:spacing w:line="240" w:lineRule="auto"/>
                    <w:jc w:val="center"/>
                    <w:rPr>
                      <w:b/>
                      <w:bCs/>
                      <w:color w:val="000000" w:themeColor="text1"/>
                      <w:kern w:val="2"/>
                      <w:szCs w:val="21"/>
                      <w14:textFill>
                        <w14:solidFill>
                          <w14:schemeClr w14:val="tx1"/>
                        </w14:solidFill>
                      </w14:textFill>
                    </w:rPr>
                  </w:pPr>
                  <w:r>
                    <w:rPr>
                      <w:b/>
                      <w:bCs/>
                      <w:color w:val="000000" w:themeColor="text1"/>
                      <w:kern w:val="2"/>
                      <w:szCs w:val="21"/>
                      <w14:textFill>
                        <w14:solidFill>
                          <w14:schemeClr w14:val="tx1"/>
                        </w14:solidFill>
                      </w14:textFill>
                    </w:rPr>
                    <w:t>建设内容</w:t>
                  </w:r>
                </w:p>
              </w:tc>
              <w:tc>
                <w:tcPr>
                  <w:tcW w:w="3689" w:type="dxa"/>
                  <w:vAlign w:val="center"/>
                </w:tcPr>
                <w:p>
                  <w:pPr>
                    <w:adjustRightInd/>
                    <w:spacing w:line="240" w:lineRule="auto"/>
                    <w:jc w:val="center"/>
                    <w:rPr>
                      <w:b/>
                      <w:bCs/>
                      <w:color w:val="000000" w:themeColor="text1"/>
                      <w:kern w:val="2"/>
                      <w:szCs w:val="21"/>
                      <w14:textFill>
                        <w14:solidFill>
                          <w14:schemeClr w14:val="tx1"/>
                        </w14:solidFill>
                      </w14:textFill>
                    </w:rPr>
                  </w:pPr>
                  <w:r>
                    <w:rPr>
                      <w:b/>
                      <w:bCs/>
                      <w:color w:val="000000" w:themeColor="text1"/>
                      <w:kern w:val="2"/>
                      <w:szCs w:val="21"/>
                      <w14:textFill>
                        <w14:solidFill>
                          <w14:schemeClr w14:val="tx1"/>
                        </w14:solidFill>
                      </w14:textFill>
                    </w:rPr>
                    <w:t>工程内容</w:t>
                  </w:r>
                </w:p>
              </w:tc>
              <w:tc>
                <w:tcPr>
                  <w:tcW w:w="2167" w:type="dxa"/>
                  <w:vAlign w:val="center"/>
                </w:tcPr>
                <w:p>
                  <w:pPr>
                    <w:adjustRightInd/>
                    <w:spacing w:line="240" w:lineRule="auto"/>
                    <w:jc w:val="center"/>
                    <w:rPr>
                      <w:b/>
                      <w:bCs/>
                      <w:color w:val="000000" w:themeColor="text1"/>
                      <w:kern w:val="2"/>
                      <w:szCs w:val="21"/>
                      <w14:textFill>
                        <w14:solidFill>
                          <w14:schemeClr w14:val="tx1"/>
                        </w14:solidFill>
                      </w14:textFill>
                    </w:rPr>
                  </w:pPr>
                  <w:r>
                    <w:rPr>
                      <w:rFonts w:hint="eastAsia"/>
                      <w:b/>
                      <w:bCs/>
                      <w:color w:val="000000" w:themeColor="text1"/>
                      <w:kern w:val="2"/>
                      <w:szCs w:val="21"/>
                      <w14:textFill>
                        <w14:solidFill>
                          <w14:schemeClr w14:val="tx1"/>
                        </w14:solidFill>
                      </w14:textFill>
                    </w:rPr>
                    <w:t>备注</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restart"/>
                  <w:vAlign w:val="center"/>
                </w:tcPr>
                <w:p>
                  <w:pPr>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主体工程</w:t>
                  </w:r>
                </w:p>
              </w:tc>
              <w:tc>
                <w:tcPr>
                  <w:tcW w:w="1618" w:type="dxa"/>
                  <w:vAlign w:val="center"/>
                </w:tcPr>
                <w:p>
                  <w:pPr>
                    <w:pStyle w:val="aa"/>
                    <w:adjustRightInd/>
                    <w:snapToGrid/>
                    <w:spacing w:line="240" w:lineRule="auto"/>
                    <w:ind w:firstLine="0" w:firstLineChars="0"/>
                    <w:jc w:val="center"/>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折板式絮凝平流沉淀池</w:t>
                  </w:r>
                </w:p>
              </w:tc>
              <w:tc>
                <w:tcPr>
                  <w:tcW w:w="3689" w:type="dxa"/>
                  <w:vAlign w:val="center"/>
                </w:tcPr>
                <w:p>
                  <w:pPr>
                    <w:adjustRightInd/>
                    <w:spacing w:line="240" w:lineRule="auto"/>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位于厂区西南侧预留用地，处理规模为</w:t>
                  </w:r>
                  <w:r>
                    <w:rPr>
                      <w:color w:val="000000" w:themeColor="text1"/>
                      <w:szCs w:val="28"/>
                      <w14:textFill>
                        <w14:solidFill>
                          <w14:schemeClr w14:val="tx1"/>
                        </w14:solidFill>
                      </w14:textFill>
                    </w:rPr>
                    <w:t>5万m</w:t>
                  </w:r>
                  <w:r>
                    <w:rPr>
                      <w:color w:val="000000" w:themeColor="text1"/>
                      <w:szCs w:val="28"/>
                      <w:vertAlign w:val="superscript"/>
                      <w14:textFill>
                        <w14:solidFill>
                          <w14:schemeClr w14:val="tx1"/>
                        </w14:solidFill>
                      </w14:textFill>
                    </w:rPr>
                    <w:t>3</w:t>
                  </w:r>
                  <w:r>
                    <w:rPr>
                      <w:color w:val="000000" w:themeColor="text1"/>
                      <w:szCs w:val="28"/>
                      <w14:textFill>
                        <w14:solidFill>
                          <w14:schemeClr w14:val="tx1"/>
                        </w14:solidFill>
                      </w14:textFill>
                    </w:rPr>
                    <w:t>/d</w:t>
                  </w:r>
                </w:p>
              </w:tc>
              <w:tc>
                <w:tcPr>
                  <w:tcW w:w="216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r>
                    <w:rPr>
                      <w:color w:val="000000" w:themeColor="text1"/>
                      <w:kern w:val="2"/>
                      <w:szCs w:val="21"/>
                      <w14:textFill>
                        <w14:solidFill>
                          <w14:schemeClr w14:val="tx1"/>
                        </w14:solidFill>
                      </w14:textFill>
                    </w:rPr>
                    <w:t>21.18m*19.00m</w:t>
                  </w:r>
                  <w:r>
                    <w:rPr>
                      <w:rFonts w:hint="eastAsia"/>
                      <w:color w:val="000000" w:themeColor="text1"/>
                      <w:kern w:val="2"/>
                      <w:szCs w:val="21"/>
                      <w14:textFill>
                        <w14:solidFill>
                          <w14:schemeClr w14:val="tx1"/>
                        </w14:solidFill>
                      </w14:textFill>
                    </w:rPr>
                    <w:t>，钢筋混凝土</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pStyle w:val="aa"/>
                    <w:adjustRightInd/>
                    <w:snapToGrid/>
                    <w:spacing w:line="240" w:lineRule="auto"/>
                    <w:ind w:firstLine="0" w:firstLineChars="0"/>
                    <w:jc w:val="center"/>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气水反冲滤池</w:t>
                  </w:r>
                </w:p>
              </w:tc>
              <w:tc>
                <w:tcPr>
                  <w:tcW w:w="3689" w:type="dxa"/>
                  <w:vAlign w:val="center"/>
                </w:tcPr>
                <w:p>
                  <w:pPr>
                    <w:adjustRightInd/>
                    <w:spacing w:line="240" w:lineRule="auto"/>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位于厂区西南侧预留用地，处理规模为</w:t>
                  </w:r>
                  <w:r>
                    <w:rPr>
                      <w:color w:val="000000" w:themeColor="text1"/>
                      <w:szCs w:val="28"/>
                      <w14:textFill>
                        <w14:solidFill>
                          <w14:schemeClr w14:val="tx1"/>
                        </w14:solidFill>
                      </w14:textFill>
                    </w:rPr>
                    <w:t>5万m</w:t>
                  </w:r>
                  <w:r>
                    <w:rPr>
                      <w:color w:val="000000" w:themeColor="text1"/>
                      <w:szCs w:val="28"/>
                      <w:vertAlign w:val="superscript"/>
                      <w14:textFill>
                        <w14:solidFill>
                          <w14:schemeClr w14:val="tx1"/>
                        </w14:solidFill>
                      </w14:textFill>
                    </w:rPr>
                    <w:t>3</w:t>
                  </w:r>
                  <w:r>
                    <w:rPr>
                      <w:color w:val="000000" w:themeColor="text1"/>
                      <w:szCs w:val="28"/>
                      <w14:textFill>
                        <w14:solidFill>
                          <w14:schemeClr w14:val="tx1"/>
                        </w14:solidFill>
                      </w14:textFill>
                    </w:rPr>
                    <w:t>/d</w:t>
                  </w:r>
                </w:p>
              </w:tc>
              <w:tc>
                <w:tcPr>
                  <w:tcW w:w="216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3</w:t>
                  </w:r>
                  <w:r>
                    <w:rPr>
                      <w:color w:val="000000" w:themeColor="text1"/>
                      <w:kern w:val="2"/>
                      <w:szCs w:val="21"/>
                      <w14:textFill>
                        <w14:solidFill>
                          <w14:schemeClr w14:val="tx1"/>
                        </w14:solidFill>
                      </w14:textFill>
                    </w:rPr>
                    <w:t>5.73</w:t>
                  </w:r>
                  <w:r>
                    <w:rPr>
                      <w:rFonts w:hint="eastAsia"/>
                      <w:color w:val="000000" w:themeColor="text1"/>
                      <w:kern w:val="2"/>
                      <w:szCs w:val="21"/>
                      <w14:textFill>
                        <w14:solidFill>
                          <w14:schemeClr w14:val="tx1"/>
                        </w14:solidFill>
                      </w14:textFill>
                    </w:rPr>
                    <w:t>m</w:t>
                  </w:r>
                  <w:r>
                    <w:rPr>
                      <w:color w:val="000000" w:themeColor="text1"/>
                      <w:kern w:val="2"/>
                      <w:szCs w:val="21"/>
                      <w14:textFill>
                        <w14:solidFill>
                          <w14:schemeClr w14:val="tx1"/>
                        </w14:solidFill>
                      </w14:textFill>
                    </w:rPr>
                    <w:t>*19.00m</w:t>
                  </w:r>
                  <w:r>
                    <w:rPr>
                      <w:rFonts w:hint="eastAsia"/>
                      <w:color w:val="000000" w:themeColor="text1"/>
                      <w:kern w:val="2"/>
                      <w:szCs w:val="21"/>
                      <w14:textFill>
                        <w14:solidFill>
                          <w14:schemeClr w14:val="tx1"/>
                        </w14:solidFill>
                      </w14:textFill>
                    </w:rPr>
                    <w:t>，钢筋混凝土</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pStyle w:val="aa"/>
                    <w:adjustRightInd/>
                    <w:snapToGrid/>
                    <w:spacing w:line="240" w:lineRule="auto"/>
                    <w:ind w:firstLine="0" w:firstLineChars="0"/>
                    <w:jc w:val="center"/>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清水池</w:t>
                  </w:r>
                </w:p>
              </w:tc>
              <w:tc>
                <w:tcPr>
                  <w:tcW w:w="3689" w:type="dxa"/>
                  <w:vAlign w:val="center"/>
                </w:tcPr>
                <w:p>
                  <w:pPr>
                    <w:adjustRightInd/>
                    <w:spacing w:line="240" w:lineRule="auto"/>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位于厂区综合楼之后预留用地，供水规模为</w:t>
                  </w:r>
                  <w:r>
                    <w:rPr>
                      <w:color w:val="000000" w:themeColor="text1"/>
                      <w:szCs w:val="28"/>
                      <w14:textFill>
                        <w14:solidFill>
                          <w14:schemeClr w14:val="tx1"/>
                        </w14:solidFill>
                      </w14:textFill>
                    </w:rPr>
                    <w:t>5万m</w:t>
                  </w:r>
                  <w:r>
                    <w:rPr>
                      <w:color w:val="000000" w:themeColor="text1"/>
                      <w:szCs w:val="28"/>
                      <w:vertAlign w:val="superscript"/>
                      <w14:textFill>
                        <w14:solidFill>
                          <w14:schemeClr w14:val="tx1"/>
                        </w14:solidFill>
                      </w14:textFill>
                    </w:rPr>
                    <w:t>3</w:t>
                  </w:r>
                  <w:r>
                    <w:rPr>
                      <w:color w:val="000000" w:themeColor="text1"/>
                      <w:szCs w:val="28"/>
                      <w14:textFill>
                        <w14:solidFill>
                          <w14:schemeClr w14:val="tx1"/>
                        </w14:solidFill>
                      </w14:textFill>
                    </w:rPr>
                    <w:t>/d</w:t>
                  </w:r>
                </w:p>
              </w:tc>
              <w:tc>
                <w:tcPr>
                  <w:tcW w:w="216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5</w:t>
                  </w:r>
                  <w:r>
                    <w:rPr>
                      <w:color w:val="000000" w:themeColor="text1"/>
                      <w:kern w:val="2"/>
                      <w:szCs w:val="21"/>
                      <w14:textFill>
                        <w14:solidFill>
                          <w14:schemeClr w14:val="tx1"/>
                        </w14:solidFill>
                      </w14:textFill>
                    </w:rPr>
                    <w:t>198m</w:t>
                  </w:r>
                  <w:r>
                    <w:rPr>
                      <w:color w:val="000000" w:themeColor="text1"/>
                      <w:kern w:val="2"/>
                      <w:szCs w:val="21"/>
                      <w:vertAlign w:val="superscript"/>
                      <w14:textFill>
                        <w14:solidFill>
                          <w14:schemeClr w14:val="tx1"/>
                        </w14:solidFill>
                      </w14:textFill>
                    </w:rPr>
                    <w:t>3</w:t>
                  </w:r>
                  <w:r>
                    <w:rPr>
                      <w:rFonts w:hint="eastAsia"/>
                      <w:color w:val="000000" w:themeColor="text1"/>
                      <w:kern w:val="2"/>
                      <w:szCs w:val="21"/>
                      <w14:textFill>
                        <w14:solidFill>
                          <w14:schemeClr w14:val="tx1"/>
                        </w14:solidFill>
                      </w14:textFill>
                    </w:rPr>
                    <w:t>，钢筋混凝土</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widowControl/>
                    <w:spacing w:line="240" w:lineRule="auto"/>
                    <w:jc w:val="center"/>
                    <w:textAlignment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取水构筑物</w:t>
                  </w:r>
                </w:p>
              </w:tc>
              <w:tc>
                <w:tcPr>
                  <w:tcW w:w="3689" w:type="dxa"/>
                  <w:vAlign w:val="center"/>
                </w:tcPr>
                <w:p>
                  <w:pPr>
                    <w:adjustRightInd/>
                    <w:spacing w:line="240" w:lineRule="auto"/>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依托已建取水泵房及管道</w:t>
                  </w:r>
                </w:p>
              </w:tc>
              <w:tc>
                <w:tcPr>
                  <w:tcW w:w="2167" w:type="dxa"/>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原有工程已</w:t>
                  </w:r>
                  <w:r>
                    <w:rPr>
                      <w:rFonts w:hint="eastAsia"/>
                      <w:color w:val="000000" w:themeColor="text1"/>
                      <w:kern w:val="2"/>
                      <w:sz w:val="21"/>
                      <w:szCs w:val="21"/>
                      <w14:textFill>
                        <w14:solidFill>
                          <w14:schemeClr w14:val="tx1"/>
                        </w14:solidFill>
                      </w14:textFill>
                    </w:rPr>
                    <w:t>按</w:t>
                  </w:r>
                  <w:r>
                    <w:rPr>
                      <w:color w:val="000000" w:themeColor="text1"/>
                      <w:sz w:val="21"/>
                      <w:szCs w:val="21"/>
                      <w14:textFill>
                        <w14:solidFill>
                          <w14:schemeClr w14:val="tx1"/>
                        </w14:solidFill>
                      </w14:textFill>
                    </w:rPr>
                    <w:t>15万m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/d</w:t>
                  </w:r>
                  <w:r>
                    <w:rPr>
                      <w:rFonts w:hint="eastAsia"/>
                      <w:color w:val="000000" w:themeColor="text1"/>
                      <w:kern w:val="2"/>
                      <w:sz w:val="21"/>
                      <w:szCs w:val="21"/>
                      <w14:textFill>
                        <w14:solidFill>
                          <w14:schemeClr w14:val="tx1"/>
                        </w14:solidFill>
                      </w14:textFill>
                    </w:rPr>
                    <w:t>取水规模</w:t>
                  </w:r>
                  <w:r>
                    <w:rPr>
                      <w:rFonts w:hint="eastAsia"/>
                      <w:color w:val="000000" w:themeColor="text1"/>
                      <w:sz w:val="21"/>
                      <w:szCs w:val="21"/>
                      <w14:textFill>
                        <w14:solidFill>
                          <w14:schemeClr w14:val="tx1"/>
                        </w14:solidFill>
                      </w14:textFill>
                    </w:rPr>
                    <w:t>设计施工，无需另行改造</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widowControl/>
                    <w:spacing w:line="240" w:lineRule="auto"/>
                    <w:jc w:val="center"/>
                    <w:textAlignment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消毒间</w:t>
                  </w:r>
                </w:p>
              </w:tc>
              <w:tc>
                <w:tcPr>
                  <w:tcW w:w="3689" w:type="dxa"/>
                  <w:vAlign w:val="center"/>
                </w:tcPr>
                <w:p>
                  <w:pPr>
                    <w:adjustRightInd/>
                    <w:spacing w:line="240" w:lineRule="auto"/>
                    <w:rPr>
                      <w:bCs/>
                      <w:color w:val="000000" w:themeColor="text1"/>
                      <w:kern w:val="21"/>
                      <w:szCs w:val="21"/>
                      <w14:textFill>
                        <w14:solidFill>
                          <w14:schemeClr w14:val="tx1"/>
                        </w14:solidFill>
                      </w14:textFill>
                    </w:rPr>
                  </w:pPr>
                  <w:r>
                    <w:rPr>
                      <w:color w:val="000000" w:themeColor="text1"/>
                      <w:szCs w:val="28"/>
                      <w14:textFill>
                        <w14:solidFill>
                          <w14:schemeClr w14:val="tx1"/>
                        </w14:solidFill>
                      </w14:textFill>
                    </w:rPr>
                    <w:t>消毒系统进行改造，拟采用电解食盐水产生次氯酸钠消毒，改造后次氯酸钠消毒规模15</w:t>
                  </w:r>
                  <w:r>
                    <w:rPr>
                      <w:rFonts w:hint="eastAsia"/>
                      <w:color w:val="000000" w:themeColor="text1"/>
                      <w:szCs w:val="28"/>
                      <w14:textFill>
                        <w14:solidFill>
                          <w14:schemeClr w14:val="tx1"/>
                        </w14:solidFill>
                      </w14:textFill>
                    </w:rPr>
                    <w:t>万</w:t>
                  </w:r>
                  <w:r>
                    <w:rPr>
                      <w:color w:val="000000" w:themeColor="text1"/>
                      <w:szCs w:val="28"/>
                      <w14:textFill>
                        <w14:solidFill>
                          <w14:schemeClr w14:val="tx1"/>
                        </w14:solidFill>
                      </w14:textFill>
                    </w:rPr>
                    <w:t>m</w:t>
                  </w:r>
                  <w:r>
                    <w:rPr>
                      <w:color w:val="000000" w:themeColor="text1"/>
                      <w:szCs w:val="28"/>
                      <w:vertAlign w:val="superscript"/>
                      <w14:textFill>
                        <w14:solidFill>
                          <w14:schemeClr w14:val="tx1"/>
                        </w14:solidFill>
                      </w14:textFill>
                    </w:rPr>
                    <w:t>3</w:t>
                  </w:r>
                  <w:r>
                    <w:rPr>
                      <w:color w:val="000000" w:themeColor="text1"/>
                      <w:szCs w:val="28"/>
                      <w14:textFill>
                        <w14:solidFill>
                          <w14:schemeClr w14:val="tx1"/>
                        </w14:solidFill>
                      </w14:textFill>
                    </w:rPr>
                    <w:t>/d</w:t>
                  </w:r>
                </w:p>
              </w:tc>
              <w:tc>
                <w:tcPr>
                  <w:tcW w:w="2167" w:type="dxa"/>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widowControl/>
                    <w:spacing w:line="240" w:lineRule="auto"/>
                    <w:jc w:val="center"/>
                    <w:textAlignment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供水构筑物</w:t>
                  </w:r>
                </w:p>
              </w:tc>
              <w:tc>
                <w:tcPr>
                  <w:tcW w:w="3689" w:type="dxa"/>
                  <w:vAlign w:val="center"/>
                </w:tcPr>
                <w:p>
                  <w:pPr>
                    <w:adjustRightInd/>
                    <w:spacing w:line="240" w:lineRule="auto"/>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按</w:t>
                  </w:r>
                  <w:r>
                    <w:rPr>
                      <w:color w:val="000000" w:themeColor="text1"/>
                      <w14:textFill>
                        <w14:solidFill>
                          <w14:schemeClr w14:val="tx1"/>
                        </w14:solidFill>
                      </w14:textFill>
                    </w:rPr>
                    <w:t>15</w:t>
                  </w:r>
                  <w:r>
                    <w:rPr>
                      <w:rFonts w:hint="eastAsia"/>
                      <w:color w:val="000000" w:themeColor="text1"/>
                      <w14:textFill>
                        <w14:solidFill>
                          <w14:schemeClr w14:val="tx1"/>
                        </w14:solidFill>
                      </w14:textFill>
                    </w:rPr>
                    <w:t>万</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w:t>
                  </w:r>
                  <w:r>
                    <w:rPr>
                      <w:rFonts w:hint="eastAsia"/>
                      <w:color w:val="000000" w:themeColor="text1"/>
                      <w14:textFill>
                        <w14:solidFill>
                          <w14:schemeClr w14:val="tx1"/>
                        </w14:solidFill>
                      </w14:textFill>
                    </w:rPr>
                    <w:t>供水规模</w:t>
                  </w:r>
                  <w:r>
                    <w:rPr>
                      <w:color w:val="000000" w:themeColor="text1"/>
                      <w:szCs w:val="21"/>
                      <w14:textFill>
                        <w14:solidFill>
                          <w14:schemeClr w14:val="tx1"/>
                        </w14:solidFill>
                      </w14:textFill>
                    </w:rPr>
                    <w:t>将1400m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/h小泵换成2850m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/h大泵</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同步更换相应进出水管道、阀门以及进出房屋墙壁孔洞尺寸</w:t>
                  </w:r>
                </w:p>
              </w:tc>
              <w:tc>
                <w:tcPr>
                  <w:tcW w:w="2167" w:type="dxa"/>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bCs/>
                      <w:color w:val="000000" w:themeColor="text1"/>
                      <w:kern w:val="21"/>
                      <w:sz w:val="21"/>
                      <w:szCs w:val="21"/>
                      <w14:textFill>
                        <w14:solidFill>
                          <w14:schemeClr w14:val="tx1"/>
                        </w14:solidFill>
                      </w14:textFill>
                    </w:rPr>
                    <w:t>原有</w:t>
                  </w:r>
                  <w:r>
                    <w:rPr>
                      <w:rFonts w:hint="eastAsia"/>
                      <w:bCs/>
                      <w:color w:val="000000" w:themeColor="text1"/>
                      <w:kern w:val="21"/>
                      <w:sz w:val="21"/>
                      <w:szCs w:val="21"/>
                      <w14:textFill>
                        <w14:solidFill>
                          <w14:schemeClr w14:val="tx1"/>
                        </w14:solidFill>
                      </w14:textFill>
                    </w:rPr>
                    <w:t>相关土建工程能够满足</w:t>
                  </w:r>
                  <w:r>
                    <w:rPr>
                      <w:color w:val="000000" w:themeColor="text1"/>
                      <w:sz w:val="21"/>
                      <w:szCs w:val="21"/>
                      <w14:textFill>
                        <w14:solidFill>
                          <w14:schemeClr w14:val="tx1"/>
                        </w14:solidFill>
                      </w14:textFill>
                    </w:rPr>
                    <w:t>15万m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/d</w:t>
                  </w:r>
                  <w:r>
                    <w:rPr>
                      <w:rFonts w:hint="eastAsia"/>
                      <w:color w:val="000000" w:themeColor="text1"/>
                      <w:sz w:val="21"/>
                      <w:szCs w:val="21"/>
                      <w14:textFill>
                        <w14:solidFill>
                          <w14:schemeClr w14:val="tx1"/>
                        </w14:solidFill>
                      </w14:textFill>
                    </w:rPr>
                    <w:t>供水</w:t>
                  </w:r>
                  <w:r>
                    <w:rPr>
                      <w:rFonts w:hint="eastAsia"/>
                      <w:color w:val="000000" w:themeColor="text1"/>
                      <w:kern w:val="2"/>
                      <w:sz w:val="21"/>
                      <w:szCs w:val="21"/>
                      <w14:textFill>
                        <w14:solidFill>
                          <w14:schemeClr w14:val="tx1"/>
                        </w14:solidFill>
                      </w14:textFill>
                    </w:rPr>
                    <w:t>规模</w:t>
                  </w:r>
                  <w:r>
                    <w:rPr>
                      <w:rFonts w:hint="eastAsia"/>
                      <w:color w:val="000000" w:themeColor="text1"/>
                      <w:sz w:val="21"/>
                      <w:szCs w:val="21"/>
                      <w14:textFill>
                        <w14:solidFill>
                          <w14:schemeClr w14:val="tx1"/>
                        </w14:solidFill>
                      </w14:textFill>
                    </w:rPr>
                    <w:t>要求，无需另行改造</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restart"/>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辅助工程</w:t>
                  </w:r>
                </w:p>
              </w:tc>
              <w:tc>
                <w:tcPr>
                  <w:tcW w:w="1618" w:type="dxa"/>
                  <w:vAlign w:val="center"/>
                </w:tcPr>
                <w:p>
                  <w:pPr>
                    <w:widowControl/>
                    <w:spacing w:line="240" w:lineRule="auto"/>
                    <w:jc w:val="center"/>
                    <w:textAlignment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办公楼</w:t>
                  </w:r>
                </w:p>
              </w:tc>
              <w:tc>
                <w:tcPr>
                  <w:tcW w:w="3689" w:type="dxa"/>
                  <w:vAlign w:val="center"/>
                </w:tcPr>
                <w:p>
                  <w:pPr>
                    <w:adjustRightInd/>
                    <w:spacing w:line="240" w:lineRule="auto"/>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位于厂区东北部，主要为值班人员办公区</w:t>
                  </w:r>
                </w:p>
              </w:tc>
              <w:tc>
                <w:tcPr>
                  <w:tcW w:w="2167" w:type="dxa"/>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已建、依托原有</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rFonts w:hint="eastAsia"/>
                      <w:color w:val="000000" w:themeColor="text1"/>
                      <w:kern w:val="2"/>
                      <w:szCs w:val="21"/>
                      <w14:textFill>
                        <w14:solidFill>
                          <w14:schemeClr w14:val="tx1"/>
                        </w14:solidFill>
                      </w14:textFill>
                    </w:rPr>
                  </w:pPr>
                </w:p>
              </w:tc>
              <w:tc>
                <w:tcPr>
                  <w:tcW w:w="1618" w:type="dxa"/>
                  <w:vAlign w:val="center"/>
                </w:tcPr>
                <w:p>
                  <w:pPr>
                    <w:widowControl/>
                    <w:spacing w:line="240" w:lineRule="auto"/>
                    <w:jc w:val="center"/>
                    <w:textAlignment w:val="center"/>
                    <w:rPr>
                      <w:rFonts w:hint="eastAsia"/>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储运工程</w:t>
                  </w:r>
                </w:p>
              </w:tc>
              <w:tc>
                <w:tcPr>
                  <w:tcW w:w="3689" w:type="dxa"/>
                  <w:vAlign w:val="center"/>
                </w:tcPr>
                <w:p>
                  <w:pPr>
                    <w:adjustRightInd/>
                    <w:spacing w:line="240" w:lineRule="auto"/>
                    <w:rPr>
                      <w:rFonts w:hint="eastAsia"/>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混凝剂、氯化钠储存于加药间</w:t>
                  </w:r>
                </w:p>
              </w:tc>
              <w:tc>
                <w:tcPr>
                  <w:tcW w:w="2167" w:type="dxa"/>
                  <w:vAlign w:val="center"/>
                </w:tcPr>
                <w:p>
                  <w:pPr>
                    <w:pStyle w:val="aa"/>
                    <w:adjustRightInd/>
                    <w:snapToGrid/>
                    <w:spacing w:line="240" w:lineRule="auto"/>
                    <w:ind w:firstLine="0" w:firstLineChars="0"/>
                    <w:jc w:val="center"/>
                    <w:rPr>
                      <w:rFonts w:hint="eastAsia"/>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已建、依托原有</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restart"/>
                  <w:tcBorders>
                    <w:top w:val="single" w:sz="4" w:space="0" w:color="auto"/>
                  </w:tcBorders>
                  <w:vAlign w:val="center"/>
                </w:tcPr>
                <w:p>
                  <w:pPr>
                    <w:adjustRightInd/>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公用工程</w:t>
                  </w:r>
                </w:p>
              </w:tc>
              <w:tc>
                <w:tcPr>
                  <w:tcW w:w="1618" w:type="dxa"/>
                  <w:vAlign w:val="center"/>
                </w:tcPr>
                <w:p>
                  <w:pPr>
                    <w:adjustRightInd/>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给水工程</w:t>
                  </w:r>
                </w:p>
              </w:tc>
              <w:tc>
                <w:tcPr>
                  <w:tcW w:w="3689" w:type="dxa"/>
                  <w:vAlign w:val="center"/>
                </w:tcPr>
                <w:p>
                  <w:pPr>
                    <w:adjustRightInd/>
                    <w:spacing w:line="240" w:lineRule="auto"/>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原水来源抚河，厂区办公用水来着厂区供水系统</w:t>
                  </w:r>
                </w:p>
              </w:tc>
              <w:tc>
                <w:tcPr>
                  <w:tcW w:w="216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tcBorders>
                    <w:top w:val="single" w:sz="4" w:space="0" w:color="auto"/>
                  </w:tcBorders>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adjustRightInd/>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排水工程</w:t>
                  </w:r>
                </w:p>
              </w:tc>
              <w:tc>
                <w:tcPr>
                  <w:tcW w:w="3689" w:type="dxa"/>
                  <w:vAlign w:val="center"/>
                </w:tcPr>
                <w:p>
                  <w:pPr>
                    <w:adjustRightInd/>
                    <w:spacing w:line="240" w:lineRule="auto"/>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排泥水经污泥浓缩池处理后，依托原有厂区污水管道，排入市政污水管网</w:t>
                  </w:r>
                </w:p>
              </w:tc>
              <w:tc>
                <w:tcPr>
                  <w:tcW w:w="216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w:t>
                  </w:r>
                </w:p>
              </w:tc>
            </w:tr>
            <w:tr>
              <w:tblPrEx>
                <w:tblW w:w="8717" w:type="dxa"/>
                <w:jc w:val="center"/>
                <w:tblLayout w:type="fixed"/>
                <w:tblCellMar>
                  <w:top w:w="0" w:type="dxa"/>
                  <w:left w:w="108" w:type="dxa"/>
                  <w:bottom w:w="0" w:type="dxa"/>
                  <w:right w:w="108" w:type="dxa"/>
                </w:tblCellMar>
              </w:tblPrEx>
              <w:trPr>
                <w:trHeight w:val="93"/>
                <w:jc w:val="center"/>
              </w:trPr>
              <w:tc>
                <w:tcPr>
                  <w:tcW w:w="1243" w:type="dxa"/>
                  <w:vMerge/>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adjustRightInd/>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供电工程</w:t>
                  </w:r>
                </w:p>
              </w:tc>
              <w:tc>
                <w:tcPr>
                  <w:tcW w:w="3689" w:type="dxa"/>
                  <w:vAlign w:val="center"/>
                </w:tcPr>
                <w:p>
                  <w:pPr>
                    <w:adjustRightInd/>
                    <w:spacing w:line="240" w:lineRule="auto"/>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由市政供电系统提供</w:t>
                  </w:r>
                </w:p>
              </w:tc>
              <w:tc>
                <w:tcPr>
                  <w:tcW w:w="216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w:t>
                  </w:r>
                </w:p>
              </w:tc>
            </w:tr>
            <w:tr>
              <w:tblPrEx>
                <w:tblW w:w="8717" w:type="dxa"/>
                <w:jc w:val="center"/>
                <w:tblLayout w:type="fixed"/>
                <w:tblCellMar>
                  <w:top w:w="0" w:type="dxa"/>
                  <w:left w:w="108" w:type="dxa"/>
                  <w:bottom w:w="0" w:type="dxa"/>
                  <w:right w:w="108" w:type="dxa"/>
                </w:tblCellMar>
              </w:tblPrEx>
              <w:trPr>
                <w:trHeight w:val="93"/>
                <w:jc w:val="center"/>
              </w:trPr>
              <w:tc>
                <w:tcPr>
                  <w:tcW w:w="1243" w:type="dxa"/>
                  <w:vMerge w:val="restart"/>
                  <w:vAlign w:val="center"/>
                </w:tcPr>
                <w:p>
                  <w:pPr>
                    <w:adjustRightInd/>
                    <w:spacing w:line="240" w:lineRule="auto"/>
                    <w:jc w:val="center"/>
                    <w:rPr>
                      <w:kern w:val="2"/>
                      <w:szCs w:val="21"/>
                    </w:rPr>
                  </w:pPr>
                  <w:r>
                    <w:rPr>
                      <w:rFonts w:hint="eastAsia"/>
                      <w:kern w:val="2"/>
                      <w:szCs w:val="21"/>
                    </w:rPr>
                    <w:t>环保工程</w:t>
                  </w:r>
                </w:p>
              </w:tc>
              <w:tc>
                <w:tcPr>
                  <w:tcW w:w="1618" w:type="dxa"/>
                  <w:vAlign w:val="center"/>
                </w:tcPr>
                <w:p>
                  <w:pPr>
                    <w:adjustRightInd/>
                    <w:spacing w:line="240" w:lineRule="auto"/>
                    <w:jc w:val="center"/>
                    <w:rPr>
                      <w:kern w:val="2"/>
                      <w:szCs w:val="21"/>
                    </w:rPr>
                  </w:pPr>
                  <w:r>
                    <w:rPr>
                      <w:kern w:val="2"/>
                      <w:szCs w:val="21"/>
                    </w:rPr>
                    <w:t>废水处理</w:t>
                  </w:r>
                </w:p>
              </w:tc>
              <w:tc>
                <w:tcPr>
                  <w:tcW w:w="3689" w:type="dxa"/>
                  <w:vAlign w:val="center"/>
                </w:tcPr>
                <w:p>
                  <w:pPr>
                    <w:adjustRightInd/>
                    <w:spacing w:line="240" w:lineRule="auto"/>
                    <w:rPr>
                      <w:kern w:val="2"/>
                      <w:szCs w:val="21"/>
                    </w:rPr>
                  </w:pPr>
                  <w:r>
                    <w:rPr>
                      <w:rFonts w:hint="eastAsia"/>
                      <w:kern w:val="2"/>
                      <w:szCs w:val="21"/>
                    </w:rPr>
                    <w:t>反冲洗水由废水回收系统回收</w:t>
                  </w:r>
                </w:p>
              </w:tc>
              <w:tc>
                <w:tcPr>
                  <w:tcW w:w="2167" w:type="dxa"/>
                  <w:vAlign w:val="center"/>
                </w:tcPr>
                <w:p>
                  <w:pPr>
                    <w:adjustRightInd/>
                    <w:spacing w:line="240" w:lineRule="auto"/>
                    <w:jc w:val="center"/>
                    <w:rPr>
                      <w:kern w:val="2"/>
                      <w:szCs w:val="21"/>
                    </w:rPr>
                  </w:pPr>
                  <w:r>
                    <w:rPr>
                      <w:rFonts w:hint="eastAsia"/>
                      <w:kern w:val="2"/>
                      <w:szCs w:val="21"/>
                    </w:rPr>
                    <w:t>依托原有废水回收系统</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kern w:val="2"/>
                      <w:szCs w:val="21"/>
                    </w:rPr>
                  </w:pPr>
                </w:p>
              </w:tc>
              <w:tc>
                <w:tcPr>
                  <w:tcW w:w="1618" w:type="dxa"/>
                  <w:vAlign w:val="center"/>
                </w:tcPr>
                <w:p>
                  <w:pPr>
                    <w:adjustRightInd/>
                    <w:spacing w:line="240" w:lineRule="auto"/>
                    <w:jc w:val="center"/>
                    <w:rPr>
                      <w:kern w:val="2"/>
                      <w:szCs w:val="21"/>
                    </w:rPr>
                  </w:pPr>
                  <w:r>
                    <w:rPr>
                      <w:kern w:val="2"/>
                      <w:szCs w:val="21"/>
                    </w:rPr>
                    <w:t>噪声污染防治</w:t>
                  </w:r>
                </w:p>
              </w:tc>
              <w:tc>
                <w:tcPr>
                  <w:tcW w:w="3689" w:type="dxa"/>
                  <w:vAlign w:val="center"/>
                </w:tcPr>
                <w:p>
                  <w:pPr>
                    <w:adjustRightInd/>
                    <w:spacing w:line="240" w:lineRule="auto"/>
                    <w:rPr>
                      <w:kern w:val="2"/>
                      <w:szCs w:val="21"/>
                    </w:rPr>
                  </w:pPr>
                  <w:r>
                    <w:rPr>
                      <w:szCs w:val="21"/>
                    </w:rPr>
                    <w:t>项目需选用低噪声设备，且需定时对设备进行维护，并进行隔声、减振、消声，产生高噪声的淘汰设备需及时更换</w:t>
                  </w:r>
                </w:p>
              </w:tc>
              <w:tc>
                <w:tcPr>
                  <w:tcW w:w="2167" w:type="dxa"/>
                  <w:vAlign w:val="center"/>
                </w:tcPr>
                <w:p>
                  <w:pPr>
                    <w:adjustRightInd/>
                    <w:spacing w:line="240" w:lineRule="auto"/>
                    <w:jc w:val="center"/>
                    <w:rPr>
                      <w:kern w:val="2"/>
                      <w:szCs w:val="21"/>
                    </w:rPr>
                  </w:pPr>
                  <w:r>
                    <w:rPr>
                      <w:rFonts w:hint="eastAsia"/>
                      <w:kern w:val="2"/>
                      <w:szCs w:val="21"/>
                    </w:rPr>
                    <w:t>/</w:t>
                  </w:r>
                </w:p>
              </w:tc>
            </w:tr>
            <w:tr>
              <w:tblPrEx>
                <w:tblW w:w="8717" w:type="dxa"/>
                <w:jc w:val="center"/>
                <w:tblLayout w:type="fixed"/>
                <w:tblCellMar>
                  <w:top w:w="0" w:type="dxa"/>
                  <w:left w:w="108" w:type="dxa"/>
                  <w:bottom w:w="0" w:type="dxa"/>
                  <w:right w:w="108" w:type="dxa"/>
                </w:tblCellMar>
              </w:tblPrEx>
              <w:trPr>
                <w:trHeight w:val="352"/>
                <w:jc w:val="center"/>
              </w:trPr>
              <w:tc>
                <w:tcPr>
                  <w:tcW w:w="1243" w:type="dxa"/>
                  <w:vMerge/>
                  <w:vAlign w:val="center"/>
                </w:tcPr>
                <w:p>
                  <w:pPr>
                    <w:adjustRightInd/>
                    <w:spacing w:line="240" w:lineRule="auto"/>
                    <w:jc w:val="center"/>
                    <w:rPr>
                      <w:color w:val="000000" w:themeColor="text1"/>
                      <w:kern w:val="2"/>
                      <w:szCs w:val="21"/>
                      <w14:textFill>
                        <w14:solidFill>
                          <w14:schemeClr w14:val="tx1"/>
                        </w14:solidFill>
                      </w14:textFill>
                    </w:rPr>
                  </w:pPr>
                </w:p>
              </w:tc>
              <w:tc>
                <w:tcPr>
                  <w:tcW w:w="1618" w:type="dxa"/>
                  <w:vAlign w:val="center"/>
                </w:tcPr>
                <w:p>
                  <w:pPr>
                    <w:adjustRightInd/>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固废处理</w:t>
                  </w:r>
                </w:p>
              </w:tc>
              <w:tc>
                <w:tcPr>
                  <w:tcW w:w="3689" w:type="dxa"/>
                  <w:vAlign w:val="center"/>
                </w:tcPr>
                <w:p>
                  <w:pPr>
                    <w:adjustRightInd/>
                    <w:spacing w:line="240" w:lineRule="auto"/>
                    <w:rPr>
                      <w:color w:val="000000" w:themeColor="text1"/>
                      <w14:textFill>
                        <w14:solidFill>
                          <w14:schemeClr w14:val="tx1"/>
                        </w14:solidFill>
                      </w14:textFill>
                    </w:rPr>
                  </w:pPr>
                  <w:r>
                    <w:rPr>
                      <w:rFonts w:hint="eastAsia"/>
                      <w:color w:val="000000" w:themeColor="text1"/>
                      <w:kern w:val="2"/>
                      <w:szCs w:val="21"/>
                      <w14:textFill>
                        <w14:solidFill>
                          <w14:schemeClr w14:val="tx1"/>
                        </w14:solidFill>
                      </w14:textFill>
                    </w:rPr>
                    <w:t>污泥浓缩池的污泥经脱水系统脱水，干污泥暂存于储泥间，定期由车辆运输至垃圾填埋场填埋</w:t>
                  </w:r>
                </w:p>
              </w:tc>
              <w:tc>
                <w:tcPr>
                  <w:tcW w:w="216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依托原有排泥系统</w:t>
                  </w:r>
                </w:p>
              </w:tc>
            </w:tr>
          </w:tbl>
          <w:p>
            <w:pPr>
              <w:tabs>
                <w:tab w:val="left" w:pos="0"/>
              </w:tabs>
              <w:spacing w:before="120" w:beforeLines="50" w:line="360" w:lineRule="auto"/>
              <w:ind w:firstLine="470" w:firstLineChars="196"/>
              <w:rPr>
                <w:b/>
                <w:color w:val="000000" w:themeColor="text1"/>
                <w:kern w:val="2"/>
                <w:sz w:val="24"/>
                <w:szCs w:val="24"/>
                <w14:textFill>
                  <w14:solidFill>
                    <w14:schemeClr w14:val="tx1"/>
                  </w14:solidFill>
                </w14:textFill>
              </w:rPr>
            </w:pPr>
            <w:r>
              <w:rPr>
                <w:b/>
                <w:color w:val="000000" w:themeColor="text1"/>
                <w:kern w:val="2"/>
                <w:sz w:val="24"/>
                <w:szCs w:val="24"/>
                <w14:textFill>
                  <w14:solidFill>
                    <w14:schemeClr w14:val="tx1"/>
                  </w14:solidFill>
                </w14:textFill>
              </w:rPr>
              <w:t>3、</w:t>
            </w:r>
            <w:r>
              <w:rPr>
                <w:rFonts w:hint="eastAsia"/>
                <w:b/>
                <w:bCs/>
                <w:color w:val="000000" w:themeColor="text1"/>
                <w:kern w:val="2"/>
                <w14:textFill>
                  <w14:solidFill>
                    <w14:schemeClr w14:val="tx1"/>
                  </w14:solidFill>
                </w14:textFill>
              </w:rPr>
              <w:t>主要原辅材料</w:t>
            </w:r>
          </w:p>
          <w:p>
            <w:pPr>
              <w:pStyle w:val="Default"/>
              <w:adjustRightInd/>
              <w:spacing w:line="360" w:lineRule="auto"/>
              <w:ind w:firstLine="480" w:firstLineChars="200"/>
              <w:jc w:val="both"/>
              <w:rPr>
                <w:rFonts w:ascii="Times New Roman" w:eastAsia="宋体" w:hAnsi="Times New Roman" w:hint="default"/>
                <w:color w:val="auto"/>
                <w:kern w:val="2"/>
              </w:rPr>
            </w:pPr>
            <w:r>
              <w:rPr>
                <w:rFonts w:ascii="Times New Roman" w:eastAsia="宋体" w:hAnsi="Times New Roman"/>
                <w:color w:val="auto"/>
                <w:kern w:val="2"/>
              </w:rPr>
              <w:t>本项目原辅材料及能耗</w:t>
            </w:r>
            <w:r>
              <w:rPr>
                <w:rFonts w:ascii="Times New Roman" w:eastAsia="宋体" w:hAnsi="Times New Roman" w:hint="default"/>
                <w:color w:val="auto"/>
                <w:kern w:val="2"/>
              </w:rPr>
              <w:t>详见表2。</w:t>
            </w:r>
          </w:p>
        </w:tc>
      </w:tr>
    </w:tbl>
    <w:p>
      <w:pPr>
        <w:sectPr>
          <w:footerReference w:type="even" r:id="rId25"/>
          <w:footerReference w:type="default" r:id="rId26"/>
          <w:footerReference w:type="first" r:id="rId27"/>
          <w:type w:val="nextPage"/>
          <w:pgSz w:w="11907" w:h="16840"/>
          <w:pgMar w:top="1418" w:right="1418" w:bottom="1418" w:left="1418" w:header="851" w:footer="680" w:gutter="113"/>
          <w:pgNumType w:start="4"/>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adjustRightInd/>
              <w:spacing w:line="240" w:lineRule="auto"/>
              <w:jc w:val="center"/>
              <w:rPr>
                <w:b/>
                <w:bCs/>
                <w:color w:val="000000" w:themeColor="text1"/>
                <w:kern w:val="2"/>
                <w:szCs w:val="21"/>
                <w14:textFill>
                  <w14:solidFill>
                    <w14:schemeClr w14:val="tx1"/>
                  </w14:solidFill>
                </w14:textFill>
              </w:rPr>
            </w:pPr>
            <w:r>
              <w:rPr>
                <w:b/>
                <w:bCs/>
                <w:color w:val="000000" w:themeColor="text1"/>
                <w:kern w:val="2"/>
                <w:szCs w:val="21"/>
                <w14:textFill>
                  <w14:solidFill>
                    <w14:schemeClr w14:val="tx1"/>
                  </w14:solidFill>
                </w14:textFill>
              </w:rPr>
              <w:t xml:space="preserve">表2 </w:t>
            </w:r>
            <w:r>
              <w:rPr>
                <w:rFonts w:hint="eastAsia"/>
                <w:b/>
                <w:bCs/>
                <w:color w:val="000000" w:themeColor="text1"/>
                <w:kern w:val="2"/>
                <w:szCs w:val="21"/>
                <w14:textFill>
                  <w14:solidFill>
                    <w14:schemeClr w14:val="tx1"/>
                  </w14:solidFill>
                </w14:textFill>
              </w:rPr>
              <w:t xml:space="preserve"> 项目原辅材料及能耗</w:t>
            </w:r>
            <w:r>
              <w:rPr>
                <w:b/>
                <w:bCs/>
                <w:color w:val="000000" w:themeColor="text1"/>
                <w:kern w:val="2"/>
                <w:szCs w:val="21"/>
                <w14:textFill>
                  <w14:solidFill>
                    <w14:schemeClr w14:val="tx1"/>
                  </w14:solidFill>
                </w14:textFill>
              </w:rPr>
              <w:t>一览表</w:t>
            </w:r>
          </w:p>
          <w:tbl>
            <w:tblPr>
              <w:tblStyle w:val="TableGrid0"/>
              <w:tblW w:w="876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85"/>
              <w:gridCol w:w="1276"/>
              <w:gridCol w:w="1276"/>
              <w:gridCol w:w="1134"/>
              <w:gridCol w:w="1134"/>
              <w:gridCol w:w="1275"/>
              <w:gridCol w:w="1488"/>
            </w:tblGrid>
            <w:tr>
              <w:tblPrEx>
                <w:tblW w:w="876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53"/>
                <w:jc w:val="center"/>
              </w:trPr>
              <w:tc>
                <w:tcPr>
                  <w:tcW w:w="1185" w:type="dxa"/>
                  <w:tcBorders>
                    <w:tl2br w:val="nil"/>
                    <w:tr2bl w:val="nil"/>
                  </w:tcBorders>
                  <w:vAlign w:val="center"/>
                </w:tcPr>
                <w:p>
                  <w:pPr>
                    <w:pStyle w:val="aa"/>
                    <w:adjustRightInd/>
                    <w:snapToGrid/>
                    <w:spacing w:line="240" w:lineRule="auto"/>
                    <w:ind w:firstLine="0" w:firstLineChars="0"/>
                    <w:jc w:val="center"/>
                    <w:rPr>
                      <w:b/>
                      <w:color w:val="000000" w:themeColor="text1"/>
                      <w:kern w:val="21"/>
                      <w:sz w:val="21"/>
                      <w:szCs w:val="21"/>
                      <w14:textFill>
                        <w14:solidFill>
                          <w14:schemeClr w14:val="tx1"/>
                        </w14:solidFill>
                      </w14:textFill>
                    </w:rPr>
                  </w:pPr>
                  <w:r>
                    <w:rPr>
                      <w:rFonts w:hint="eastAsia"/>
                      <w:b/>
                      <w:color w:val="000000" w:themeColor="text1"/>
                      <w:kern w:val="21"/>
                      <w:sz w:val="21"/>
                      <w:szCs w:val="21"/>
                      <w14:textFill>
                        <w14:solidFill>
                          <w14:schemeClr w14:val="tx1"/>
                        </w14:solidFill>
                      </w14:textFill>
                    </w:rPr>
                    <w:t>名称</w:t>
                  </w:r>
                </w:p>
              </w:tc>
              <w:tc>
                <w:tcPr>
                  <w:tcW w:w="1276" w:type="dxa"/>
                  <w:tcBorders>
                    <w:tl2br w:val="nil"/>
                    <w:tr2bl w:val="nil"/>
                  </w:tcBorders>
                  <w:vAlign w:val="center"/>
                </w:tcPr>
                <w:p>
                  <w:pPr>
                    <w:pStyle w:val="aa"/>
                    <w:adjustRightInd/>
                    <w:snapToGrid/>
                    <w:spacing w:line="240" w:lineRule="auto"/>
                    <w:ind w:firstLine="0" w:firstLineChars="0"/>
                    <w:jc w:val="center"/>
                    <w:rPr>
                      <w:b/>
                      <w:color w:val="000000" w:themeColor="text1"/>
                      <w:kern w:val="21"/>
                      <w:sz w:val="21"/>
                      <w:szCs w:val="21"/>
                      <w14:textFill>
                        <w14:solidFill>
                          <w14:schemeClr w14:val="tx1"/>
                        </w14:solidFill>
                      </w14:textFill>
                    </w:rPr>
                  </w:pPr>
                  <w:r>
                    <w:rPr>
                      <w:rFonts w:hint="eastAsia"/>
                      <w:b/>
                      <w:color w:val="000000" w:themeColor="text1"/>
                      <w:kern w:val="21"/>
                      <w:sz w:val="21"/>
                      <w:szCs w:val="21"/>
                      <w14:textFill>
                        <w14:solidFill>
                          <w14:schemeClr w14:val="tx1"/>
                        </w14:solidFill>
                      </w14:textFill>
                    </w:rPr>
                    <w:t>扩建前厂区用量</w:t>
                  </w:r>
                </w:p>
              </w:tc>
              <w:tc>
                <w:tcPr>
                  <w:tcW w:w="1276" w:type="dxa"/>
                  <w:tcBorders>
                    <w:tl2br w:val="nil"/>
                    <w:tr2bl w:val="nil"/>
                  </w:tcBorders>
                  <w:vAlign w:val="center"/>
                </w:tcPr>
                <w:p>
                  <w:pPr>
                    <w:pStyle w:val="aa"/>
                    <w:adjustRightInd/>
                    <w:snapToGrid/>
                    <w:spacing w:line="240" w:lineRule="auto"/>
                    <w:ind w:firstLine="0" w:firstLineChars="0"/>
                    <w:jc w:val="center"/>
                    <w:rPr>
                      <w:b/>
                      <w:color w:val="000000" w:themeColor="text1"/>
                      <w:kern w:val="21"/>
                      <w:sz w:val="21"/>
                      <w:szCs w:val="21"/>
                      <w14:textFill>
                        <w14:solidFill>
                          <w14:schemeClr w14:val="tx1"/>
                        </w14:solidFill>
                      </w14:textFill>
                    </w:rPr>
                  </w:pPr>
                  <w:r>
                    <w:rPr>
                      <w:rFonts w:hint="eastAsia"/>
                      <w:b/>
                      <w:color w:val="000000" w:themeColor="text1"/>
                      <w:kern w:val="21"/>
                      <w:sz w:val="21"/>
                      <w:szCs w:val="21"/>
                      <w14:textFill>
                        <w14:solidFill>
                          <w14:schemeClr w14:val="tx1"/>
                        </w14:solidFill>
                      </w14:textFill>
                    </w:rPr>
                    <w:t>本项目新增用量</w:t>
                  </w:r>
                </w:p>
              </w:tc>
              <w:tc>
                <w:tcPr>
                  <w:tcW w:w="1134" w:type="dxa"/>
                  <w:tcBorders>
                    <w:tl2br w:val="nil"/>
                    <w:tr2bl w:val="nil"/>
                  </w:tcBorders>
                  <w:vAlign w:val="center"/>
                </w:tcPr>
                <w:p>
                  <w:pPr>
                    <w:pStyle w:val="aa"/>
                    <w:adjustRightInd/>
                    <w:snapToGrid/>
                    <w:spacing w:line="240" w:lineRule="auto"/>
                    <w:ind w:firstLine="0" w:firstLineChars="0"/>
                    <w:jc w:val="center"/>
                    <w:rPr>
                      <w:b/>
                      <w:color w:val="000000" w:themeColor="text1"/>
                      <w:kern w:val="21"/>
                      <w:sz w:val="21"/>
                      <w:szCs w:val="21"/>
                      <w14:textFill>
                        <w14:solidFill>
                          <w14:schemeClr w14:val="tx1"/>
                        </w14:solidFill>
                      </w14:textFill>
                    </w:rPr>
                  </w:pPr>
                  <w:r>
                    <w:rPr>
                      <w:rFonts w:hint="eastAsia"/>
                      <w:b/>
                      <w:color w:val="000000" w:themeColor="text1"/>
                      <w:kern w:val="21"/>
                      <w:sz w:val="21"/>
                      <w:szCs w:val="21"/>
                      <w14:textFill>
                        <w14:solidFill>
                          <w14:schemeClr w14:val="tx1"/>
                        </w14:solidFill>
                      </w14:textFill>
                    </w:rPr>
                    <w:t>以新带老削减量</w:t>
                  </w:r>
                </w:p>
              </w:tc>
              <w:tc>
                <w:tcPr>
                  <w:tcW w:w="1134" w:type="dxa"/>
                  <w:tcBorders>
                    <w:tl2br w:val="nil"/>
                    <w:tr2bl w:val="nil"/>
                  </w:tcBorders>
                  <w:vAlign w:val="center"/>
                </w:tcPr>
                <w:p>
                  <w:pPr>
                    <w:pStyle w:val="aa"/>
                    <w:adjustRightInd/>
                    <w:snapToGrid/>
                    <w:spacing w:line="240" w:lineRule="auto"/>
                    <w:ind w:firstLine="0" w:firstLineChars="0"/>
                    <w:jc w:val="center"/>
                    <w:rPr>
                      <w:b/>
                      <w:color w:val="000000" w:themeColor="text1"/>
                      <w:kern w:val="21"/>
                      <w:sz w:val="21"/>
                      <w:szCs w:val="21"/>
                      <w14:textFill>
                        <w14:solidFill>
                          <w14:schemeClr w14:val="tx1"/>
                        </w14:solidFill>
                      </w14:textFill>
                    </w:rPr>
                  </w:pPr>
                  <w:r>
                    <w:rPr>
                      <w:rFonts w:hint="eastAsia"/>
                      <w:b/>
                      <w:color w:val="000000" w:themeColor="text1"/>
                      <w:kern w:val="21"/>
                      <w:sz w:val="21"/>
                      <w:szCs w:val="21"/>
                      <w14:textFill>
                        <w14:solidFill>
                          <w14:schemeClr w14:val="tx1"/>
                        </w14:solidFill>
                      </w14:textFill>
                    </w:rPr>
                    <w:t>扩建后全厂使用量</w:t>
                  </w:r>
                </w:p>
              </w:tc>
              <w:tc>
                <w:tcPr>
                  <w:tcW w:w="1275" w:type="dxa"/>
                  <w:tcBorders>
                    <w:tl2br w:val="nil"/>
                    <w:tr2bl w:val="nil"/>
                  </w:tcBorders>
                  <w:vAlign w:val="center"/>
                </w:tcPr>
                <w:p>
                  <w:pPr>
                    <w:pStyle w:val="aa"/>
                    <w:adjustRightInd/>
                    <w:snapToGrid/>
                    <w:spacing w:line="240" w:lineRule="auto"/>
                    <w:ind w:firstLine="0" w:firstLineChars="0"/>
                    <w:jc w:val="center"/>
                    <w:rPr>
                      <w:b/>
                      <w:color w:val="000000" w:themeColor="text1"/>
                      <w:kern w:val="21"/>
                      <w:sz w:val="21"/>
                      <w:szCs w:val="21"/>
                      <w14:textFill>
                        <w14:solidFill>
                          <w14:schemeClr w14:val="tx1"/>
                        </w14:solidFill>
                      </w14:textFill>
                    </w:rPr>
                  </w:pPr>
                  <w:r>
                    <w:rPr>
                      <w:rFonts w:hint="eastAsia"/>
                      <w:b/>
                      <w:color w:val="000000" w:themeColor="text1"/>
                      <w:kern w:val="21"/>
                      <w:sz w:val="21"/>
                      <w:szCs w:val="21"/>
                      <w14:textFill>
                        <w14:solidFill>
                          <w14:schemeClr w14:val="tx1"/>
                        </w14:solidFill>
                      </w14:textFill>
                    </w:rPr>
                    <w:t>增减量</w:t>
                  </w:r>
                </w:p>
              </w:tc>
              <w:tc>
                <w:tcPr>
                  <w:tcW w:w="1488" w:type="dxa"/>
                  <w:tcBorders>
                    <w:tl2br w:val="nil"/>
                    <w:tr2bl w:val="nil"/>
                  </w:tcBorders>
                  <w:vAlign w:val="center"/>
                </w:tcPr>
                <w:p>
                  <w:pPr>
                    <w:pStyle w:val="aa"/>
                    <w:adjustRightInd/>
                    <w:snapToGrid/>
                    <w:spacing w:line="240" w:lineRule="auto"/>
                    <w:ind w:firstLine="0" w:firstLineChars="0"/>
                    <w:jc w:val="center"/>
                    <w:rPr>
                      <w:b/>
                      <w:color w:val="000000" w:themeColor="text1"/>
                      <w:kern w:val="21"/>
                      <w:sz w:val="21"/>
                      <w:szCs w:val="21"/>
                      <w14:textFill>
                        <w14:solidFill>
                          <w14:schemeClr w14:val="tx1"/>
                        </w14:solidFill>
                      </w14:textFill>
                    </w:rPr>
                  </w:pPr>
                  <w:r>
                    <w:rPr>
                      <w:rFonts w:hint="eastAsia"/>
                      <w:b/>
                      <w:color w:val="000000" w:themeColor="text1"/>
                      <w:kern w:val="21"/>
                      <w:sz w:val="21"/>
                      <w:szCs w:val="21"/>
                      <w14:textFill>
                        <w14:solidFill>
                          <w14:schemeClr w14:val="tx1"/>
                        </w14:solidFill>
                      </w14:textFill>
                    </w:rPr>
                    <w:t>备注</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5"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混凝剂（聚合氯化铝）</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3</w:t>
                  </w:r>
                  <w:r>
                    <w:rPr>
                      <w:bCs/>
                      <w:color w:val="000000" w:themeColor="text1"/>
                      <w:kern w:val="21"/>
                      <w:sz w:val="21"/>
                      <w:szCs w:val="21"/>
                      <w14:textFill>
                        <w14:solidFill>
                          <w14:schemeClr w14:val="tx1"/>
                        </w14:solidFill>
                      </w14:textFill>
                    </w:rPr>
                    <w:t>65t/a</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1</w:t>
                  </w:r>
                  <w:r>
                    <w:rPr>
                      <w:bCs/>
                      <w:color w:val="000000" w:themeColor="text1"/>
                      <w:kern w:val="21"/>
                      <w:sz w:val="21"/>
                      <w:szCs w:val="21"/>
                      <w14:textFill>
                        <w14:solidFill>
                          <w14:schemeClr w14:val="tx1"/>
                        </w14:solidFill>
                      </w14:textFill>
                    </w:rPr>
                    <w:t>82.5t/a</w:t>
                  </w:r>
                </w:p>
              </w:tc>
              <w:tc>
                <w:tcPr>
                  <w:tcW w:w="1134"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0</w:t>
                  </w:r>
                </w:p>
              </w:tc>
              <w:tc>
                <w:tcPr>
                  <w:tcW w:w="1134" w:type="dxa"/>
                  <w:tcBorders>
                    <w:tl2br w:val="nil"/>
                    <w:tr2bl w:val="nil"/>
                  </w:tcBorders>
                  <w:vAlign w:val="center"/>
                </w:tcPr>
                <w:p>
                  <w:pPr>
                    <w:widowControl/>
                    <w:jc w:val="center"/>
                    <w:textAlignment w:val="center"/>
                    <w:rPr>
                      <w:color w:val="000000" w:themeColor="text1"/>
                      <w:kern w:val="2"/>
                      <w:szCs w:val="21"/>
                      <w:lang w:bidi="ar"/>
                      <w14:textFill>
                        <w14:solidFill>
                          <w14:schemeClr w14:val="tx1"/>
                        </w14:solidFill>
                      </w14:textFill>
                    </w:rPr>
                  </w:pPr>
                  <w:r>
                    <w:rPr>
                      <w:rFonts w:hint="eastAsia"/>
                      <w:color w:val="000000" w:themeColor="text1"/>
                      <w:kern w:val="2"/>
                      <w:szCs w:val="21"/>
                      <w:lang w:bidi="ar"/>
                      <w14:textFill>
                        <w14:solidFill>
                          <w14:schemeClr w14:val="tx1"/>
                        </w14:solidFill>
                      </w14:textFill>
                    </w:rPr>
                    <w:t>5</w:t>
                  </w:r>
                  <w:r>
                    <w:rPr>
                      <w:color w:val="000000" w:themeColor="text1"/>
                      <w:kern w:val="2"/>
                      <w:szCs w:val="21"/>
                      <w:lang w:bidi="ar"/>
                      <w14:textFill>
                        <w14:solidFill>
                          <w14:schemeClr w14:val="tx1"/>
                        </w14:solidFill>
                      </w14:textFill>
                    </w:rPr>
                    <w:t>47.5t/a</w:t>
                  </w:r>
                </w:p>
              </w:tc>
              <w:tc>
                <w:tcPr>
                  <w:tcW w:w="1275" w:type="dxa"/>
                  <w:tcBorders>
                    <w:tl2br w:val="nil"/>
                    <w:tr2bl w:val="nil"/>
                  </w:tcBorders>
                  <w:vAlign w:val="center"/>
                </w:tcPr>
                <w:p>
                  <w:pPr>
                    <w:widowControl/>
                    <w:jc w:val="center"/>
                    <w:textAlignment w:val="center"/>
                    <w:rPr>
                      <w:color w:val="000000" w:themeColor="text1"/>
                      <w:kern w:val="2"/>
                      <w:szCs w:val="21"/>
                      <w:lang w:bidi="ar"/>
                      <w14:textFill>
                        <w14:solidFill>
                          <w14:schemeClr w14:val="tx1"/>
                        </w14:solidFill>
                      </w14:textFill>
                    </w:rPr>
                  </w:pPr>
                  <w:r>
                    <w:rPr>
                      <w:rFonts w:hint="eastAsia"/>
                      <w:color w:val="000000" w:themeColor="text1"/>
                      <w:kern w:val="2"/>
                      <w:szCs w:val="21"/>
                      <w:lang w:bidi="ar"/>
                      <w14:textFill>
                        <w14:solidFill>
                          <w14:schemeClr w14:val="tx1"/>
                        </w14:solidFill>
                      </w14:textFill>
                    </w:rPr>
                    <w:t>+</w:t>
                  </w:r>
                  <w:r>
                    <w:rPr>
                      <w:color w:val="000000" w:themeColor="text1"/>
                      <w:kern w:val="2"/>
                      <w:szCs w:val="21"/>
                      <w:lang w:bidi="ar"/>
                      <w14:textFill>
                        <w14:solidFill>
                          <w14:schemeClr w14:val="tx1"/>
                        </w14:solidFill>
                      </w14:textFill>
                    </w:rPr>
                    <w:t>128.5t/a</w:t>
                  </w:r>
                </w:p>
              </w:tc>
              <w:tc>
                <w:tcPr>
                  <w:tcW w:w="1488" w:type="dxa"/>
                  <w:tcBorders>
                    <w:tl2br w:val="nil"/>
                    <w:tr2bl w:val="nil"/>
                  </w:tcBorders>
                  <w:vAlign w:val="center"/>
                </w:tcPr>
                <w:p>
                  <w:pPr>
                    <w:widowControl/>
                    <w:jc w:val="center"/>
                    <w:textAlignment w:val="center"/>
                    <w:rPr>
                      <w:color w:val="000000" w:themeColor="text1"/>
                      <w:kern w:val="2"/>
                      <w:szCs w:val="21"/>
                      <w:lang w:bidi="ar"/>
                      <w14:textFill>
                        <w14:solidFill>
                          <w14:schemeClr w14:val="tx1"/>
                        </w14:solidFill>
                      </w14:textFill>
                    </w:rPr>
                  </w:pPr>
                  <w:r>
                    <w:rPr>
                      <w:rFonts w:hint="eastAsia"/>
                      <w:color w:val="000000" w:themeColor="text1"/>
                      <w:kern w:val="2"/>
                      <w:szCs w:val="21"/>
                      <w:lang w:bidi="ar"/>
                      <w14:textFill>
                        <w14:solidFill>
                          <w14:schemeClr w14:val="tx1"/>
                        </w14:solidFill>
                      </w14:textFill>
                    </w:rPr>
                    <w:t>外购，袋装，最大储存量2</w:t>
                  </w:r>
                  <w:r>
                    <w:rPr>
                      <w:color w:val="000000" w:themeColor="text1"/>
                      <w:kern w:val="2"/>
                      <w:szCs w:val="21"/>
                      <w:lang w:bidi="ar"/>
                      <w14:textFill>
                        <w14:solidFill>
                          <w14:schemeClr w14:val="tx1"/>
                        </w14:solidFill>
                      </w14:textFill>
                    </w:rPr>
                    <w:t>0t</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5"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液氯</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bCs/>
                      <w:color w:val="000000" w:themeColor="text1"/>
                      <w:kern w:val="21"/>
                      <w:sz w:val="21"/>
                      <w:szCs w:val="21"/>
                      <w14:textFill>
                        <w14:solidFill>
                          <w14:schemeClr w14:val="tx1"/>
                        </w14:solidFill>
                      </w14:textFill>
                    </w:rPr>
                    <w:t>60.83t/a</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0</w:t>
                  </w:r>
                </w:p>
              </w:tc>
              <w:tc>
                <w:tcPr>
                  <w:tcW w:w="1134"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bCs/>
                      <w:color w:val="000000" w:themeColor="text1"/>
                      <w:kern w:val="21"/>
                      <w:sz w:val="21"/>
                      <w:szCs w:val="21"/>
                      <w14:textFill>
                        <w14:solidFill>
                          <w14:schemeClr w14:val="tx1"/>
                        </w14:solidFill>
                      </w14:textFill>
                    </w:rPr>
                    <w:t>60.83t/a</w:t>
                  </w:r>
                </w:p>
              </w:tc>
              <w:tc>
                <w:tcPr>
                  <w:tcW w:w="1134" w:type="dxa"/>
                  <w:tcBorders>
                    <w:tl2br w:val="nil"/>
                    <w:tr2bl w:val="nil"/>
                  </w:tcBorders>
                  <w:vAlign w:val="center"/>
                </w:tcPr>
                <w:p>
                  <w:pPr>
                    <w:widowControl/>
                    <w:spacing w:line="240" w:lineRule="auto"/>
                    <w:jc w:val="center"/>
                    <w:textAlignment w:val="center"/>
                    <w:rPr>
                      <w:color w:val="000000" w:themeColor="text1"/>
                      <w:kern w:val="2"/>
                      <w:szCs w:val="21"/>
                      <w:lang w:bidi="ar"/>
                      <w14:textFill>
                        <w14:solidFill>
                          <w14:schemeClr w14:val="tx1"/>
                        </w14:solidFill>
                      </w14:textFill>
                    </w:rPr>
                  </w:pPr>
                  <w:r>
                    <w:rPr>
                      <w:rFonts w:hint="eastAsia"/>
                      <w:color w:val="000000" w:themeColor="text1"/>
                      <w:kern w:val="2"/>
                      <w:szCs w:val="21"/>
                      <w:lang w:bidi="ar"/>
                      <w14:textFill>
                        <w14:solidFill>
                          <w14:schemeClr w14:val="tx1"/>
                        </w14:solidFill>
                      </w14:textFill>
                    </w:rPr>
                    <w:t>0</w:t>
                  </w:r>
                </w:p>
              </w:tc>
              <w:tc>
                <w:tcPr>
                  <w:tcW w:w="1275" w:type="dxa"/>
                  <w:tcBorders>
                    <w:tl2br w:val="nil"/>
                    <w:tr2bl w:val="nil"/>
                  </w:tcBorders>
                  <w:vAlign w:val="center"/>
                </w:tcPr>
                <w:p>
                  <w:pPr>
                    <w:widowControl/>
                    <w:spacing w:line="240" w:lineRule="auto"/>
                    <w:jc w:val="center"/>
                    <w:textAlignment w:val="center"/>
                    <w:rPr>
                      <w:color w:val="000000" w:themeColor="text1"/>
                      <w:kern w:val="2"/>
                      <w:szCs w:val="21"/>
                      <w:lang w:bidi="ar"/>
                      <w14:textFill>
                        <w14:solidFill>
                          <w14:schemeClr w14:val="tx1"/>
                        </w14:solidFill>
                      </w14:textFill>
                    </w:rPr>
                  </w:pPr>
                  <w:r>
                    <w:rPr>
                      <w:color w:val="000000" w:themeColor="text1"/>
                      <w:kern w:val="2"/>
                      <w:szCs w:val="21"/>
                      <w:lang w:bidi="ar"/>
                      <w14:textFill>
                        <w14:solidFill>
                          <w14:schemeClr w14:val="tx1"/>
                        </w14:solidFill>
                      </w14:textFill>
                    </w:rPr>
                    <w:t>-60.83t/a</w:t>
                  </w:r>
                </w:p>
              </w:tc>
              <w:tc>
                <w:tcPr>
                  <w:tcW w:w="1488" w:type="dxa"/>
                  <w:tcBorders>
                    <w:tl2br w:val="nil"/>
                    <w:tr2bl w:val="nil"/>
                  </w:tcBorders>
                  <w:vAlign w:val="center"/>
                </w:tcPr>
                <w:p>
                  <w:pPr>
                    <w:widowControl/>
                    <w:spacing w:line="240" w:lineRule="auto"/>
                    <w:jc w:val="center"/>
                    <w:textAlignment w:val="center"/>
                    <w:rPr>
                      <w:color w:val="000000" w:themeColor="text1"/>
                      <w:kern w:val="2"/>
                      <w:szCs w:val="21"/>
                      <w:lang w:bidi="ar"/>
                      <w14:textFill>
                        <w14:solidFill>
                          <w14:schemeClr w14:val="tx1"/>
                        </w14:solidFill>
                      </w14:textFill>
                    </w:rPr>
                  </w:pPr>
                </w:p>
              </w:tc>
            </w:tr>
            <w:tr>
              <w:tblPrEx>
                <w:tblW w:w="8768" w:type="dxa"/>
                <w:jc w:val="center"/>
                <w:tblLayout w:type="fixed"/>
                <w:tblCellMar>
                  <w:top w:w="0" w:type="dxa"/>
                  <w:left w:w="108" w:type="dxa"/>
                  <w:bottom w:w="0" w:type="dxa"/>
                  <w:right w:w="108" w:type="dxa"/>
                </w:tblCellMar>
              </w:tblPrEx>
              <w:trPr>
                <w:cantSplit/>
                <w:trHeight w:val="897"/>
                <w:jc w:val="center"/>
              </w:trPr>
              <w:tc>
                <w:tcPr>
                  <w:tcW w:w="1185"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氯化钠</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0</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6</w:t>
                  </w:r>
                  <w:r>
                    <w:rPr>
                      <w:bCs/>
                      <w:color w:val="000000" w:themeColor="text1"/>
                      <w:kern w:val="21"/>
                      <w:sz w:val="21"/>
                      <w:szCs w:val="21"/>
                      <w14:textFill>
                        <w14:solidFill>
                          <w14:schemeClr w14:val="tx1"/>
                        </w14:solidFill>
                      </w14:textFill>
                    </w:rPr>
                    <w:t>4.59t/a</w:t>
                  </w:r>
                </w:p>
              </w:tc>
              <w:tc>
                <w:tcPr>
                  <w:tcW w:w="1134" w:type="dxa"/>
                  <w:tcBorders>
                    <w:tl2br w:val="nil"/>
                    <w:tr2bl w:val="nil"/>
                  </w:tcBorders>
                  <w:vAlign w:val="center"/>
                </w:tcPr>
                <w:p>
                  <w:pPr>
                    <w:pStyle w:val="aa"/>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0</w:t>
                  </w:r>
                </w:p>
              </w:tc>
              <w:tc>
                <w:tcPr>
                  <w:tcW w:w="1134" w:type="dxa"/>
                  <w:tcBorders>
                    <w:tl2br w:val="nil"/>
                    <w:tr2bl w:val="nil"/>
                  </w:tcBorders>
                  <w:vAlign w:val="center"/>
                </w:tcPr>
                <w:p>
                  <w:pPr>
                    <w:spacing w:line="240" w:lineRule="auto"/>
                    <w:jc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6</w:t>
                  </w:r>
                  <w:r>
                    <w:rPr>
                      <w:bCs/>
                      <w:color w:val="000000" w:themeColor="text1"/>
                      <w:kern w:val="21"/>
                      <w:szCs w:val="21"/>
                      <w14:textFill>
                        <w14:solidFill>
                          <w14:schemeClr w14:val="tx1"/>
                        </w14:solidFill>
                      </w14:textFill>
                    </w:rPr>
                    <w:t>4.59t/a</w:t>
                  </w:r>
                </w:p>
              </w:tc>
              <w:tc>
                <w:tcPr>
                  <w:tcW w:w="1275" w:type="dxa"/>
                  <w:tcBorders>
                    <w:tl2br w:val="nil"/>
                    <w:tr2bl w:val="nil"/>
                  </w:tcBorders>
                  <w:vAlign w:val="center"/>
                </w:tcPr>
                <w:p>
                  <w:pPr>
                    <w:spacing w:line="240" w:lineRule="auto"/>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+64.59t/a</w:t>
                  </w:r>
                </w:p>
              </w:tc>
              <w:tc>
                <w:tcPr>
                  <w:tcW w:w="1488" w:type="dxa"/>
                  <w:tcBorders>
                    <w:tl2br w:val="nil"/>
                    <w:tr2bl w:val="nil"/>
                  </w:tcBorders>
                  <w:vAlign w:val="center"/>
                </w:tcPr>
                <w:p>
                  <w:pPr>
                    <w:spacing w:line="240" w:lineRule="auto"/>
                    <w:jc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外购，袋装，最大储存量5</w:t>
                  </w:r>
                  <w:r>
                    <w:rPr>
                      <w:bCs/>
                      <w:color w:val="000000" w:themeColor="text1"/>
                      <w:kern w:val="21"/>
                      <w:szCs w:val="21"/>
                      <w14:textFill>
                        <w14:solidFill>
                          <w14:schemeClr w14:val="tx1"/>
                        </w14:solidFill>
                      </w14:textFill>
                    </w:rPr>
                    <w:t>t</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5"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原水</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3</w:t>
                  </w:r>
                  <w:r>
                    <w:rPr>
                      <w:bCs/>
                      <w:color w:val="000000" w:themeColor="text1"/>
                      <w:kern w:val="21"/>
                      <w:sz w:val="21"/>
                      <w:szCs w:val="21"/>
                      <w14:textFill>
                        <w14:solidFill>
                          <w14:schemeClr w14:val="tx1"/>
                        </w14:solidFill>
                      </w14:textFill>
                    </w:rPr>
                    <w:t>.71*10</w:t>
                  </w:r>
                  <w:r>
                    <w:rPr>
                      <w:bCs/>
                      <w:color w:val="000000" w:themeColor="text1"/>
                      <w:kern w:val="21"/>
                      <w:sz w:val="21"/>
                      <w:szCs w:val="21"/>
                      <w:vertAlign w:val="superscript"/>
                      <w14:textFill>
                        <w14:solidFill>
                          <w14:schemeClr w14:val="tx1"/>
                        </w14:solidFill>
                      </w14:textFill>
                    </w:rPr>
                    <w:t>7</w:t>
                  </w:r>
                  <w:r>
                    <w:rPr>
                      <w:bCs/>
                      <w:color w:val="000000" w:themeColor="text1"/>
                      <w:kern w:val="21"/>
                      <w:sz w:val="21"/>
                      <w:szCs w:val="21"/>
                      <w14:textFill>
                        <w14:solidFill>
                          <w14:schemeClr w14:val="tx1"/>
                        </w14:solidFill>
                      </w14:textFill>
                    </w:rPr>
                    <w:t>t/a</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color w:val="000000" w:themeColor="text1"/>
                      <w:sz w:val="21"/>
                      <w:szCs w:val="21"/>
                      <w14:textFill>
                        <w14:solidFill>
                          <w14:schemeClr w14:val="tx1"/>
                        </w14:solidFill>
                      </w14:textFill>
                    </w:rPr>
                    <w:t>1.96*10</w:t>
                  </w:r>
                  <w:r>
                    <w:rPr>
                      <w:color w:val="000000" w:themeColor="text1"/>
                      <w:sz w:val="21"/>
                      <w:szCs w:val="21"/>
                      <w:vertAlign w:val="superscript"/>
                      <w14:textFill>
                        <w14:solidFill>
                          <w14:schemeClr w14:val="tx1"/>
                        </w14:solidFill>
                      </w14:textFill>
                    </w:rPr>
                    <w:t>7</w:t>
                  </w:r>
                  <w:r>
                    <w:rPr>
                      <w:color w:val="000000" w:themeColor="text1"/>
                      <w:sz w:val="21"/>
                      <w:szCs w:val="21"/>
                      <w14:textFill>
                        <w14:solidFill>
                          <w14:schemeClr w14:val="tx1"/>
                        </w14:solidFill>
                      </w14:textFill>
                    </w:rPr>
                    <w:t>t/a</w:t>
                  </w:r>
                </w:p>
              </w:tc>
              <w:tc>
                <w:tcPr>
                  <w:tcW w:w="1134"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0</w:t>
                  </w:r>
                </w:p>
              </w:tc>
              <w:tc>
                <w:tcPr>
                  <w:tcW w:w="1134" w:type="dxa"/>
                  <w:tcBorders>
                    <w:tl2br w:val="nil"/>
                    <w:tr2bl w:val="nil"/>
                  </w:tcBorders>
                  <w:vAlign w:val="center"/>
                </w:tcPr>
                <w:p>
                  <w:pPr>
                    <w:spacing w:line="240" w:lineRule="auto"/>
                    <w:jc w:val="center"/>
                    <w:rPr>
                      <w:bCs/>
                      <w:color w:val="000000" w:themeColor="text1"/>
                      <w:kern w:val="21"/>
                      <w:szCs w:val="21"/>
                      <w:vertAlign w:val="superscript"/>
                      <w14:textFill>
                        <w14:solidFill>
                          <w14:schemeClr w14:val="tx1"/>
                        </w14:solidFill>
                      </w14:textFill>
                    </w:rPr>
                  </w:pPr>
                  <w:r>
                    <w:rPr>
                      <w:bCs/>
                      <w:color w:val="000000" w:themeColor="text1"/>
                      <w:kern w:val="21"/>
                      <w:szCs w:val="21"/>
                      <w14:textFill>
                        <w14:solidFill>
                          <w14:schemeClr w14:val="tx1"/>
                        </w14:solidFill>
                      </w14:textFill>
                    </w:rPr>
                    <w:t>5.67*10</w:t>
                  </w:r>
                  <w:r>
                    <w:rPr>
                      <w:bCs/>
                      <w:color w:val="000000" w:themeColor="text1"/>
                      <w:kern w:val="21"/>
                      <w:szCs w:val="21"/>
                      <w:vertAlign w:val="superscript"/>
                      <w14:textFill>
                        <w14:solidFill>
                          <w14:schemeClr w14:val="tx1"/>
                        </w14:solidFill>
                      </w14:textFill>
                    </w:rPr>
                    <w:t>7</w:t>
                  </w:r>
                </w:p>
                <w:p>
                  <w:pPr>
                    <w:spacing w:line="240" w:lineRule="auto"/>
                    <w:jc w:val="center"/>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t/a</w:t>
                  </w:r>
                </w:p>
              </w:tc>
              <w:tc>
                <w:tcPr>
                  <w:tcW w:w="1275" w:type="dxa"/>
                  <w:tcBorders>
                    <w:tl2br w:val="nil"/>
                    <w:tr2bl w:val="nil"/>
                  </w:tcBorders>
                  <w:vAlign w:val="center"/>
                </w:tcPr>
                <w:p>
                  <w:pPr>
                    <w:spacing w:line="240" w:lineRule="auto"/>
                    <w:jc w:val="center"/>
                    <w:rPr>
                      <w:color w:val="000000" w:themeColor="text1"/>
                      <w:szCs w:val="21"/>
                      <w:vertAlign w:val="superscript"/>
                      <w14:textFill>
                        <w14:solidFill>
                          <w14:schemeClr w14:val="tx1"/>
                        </w14:solidFill>
                      </w14:textFill>
                    </w:rPr>
                  </w:pPr>
                  <w:r>
                    <w:rPr>
                      <w:rFonts w:hint="eastAsia"/>
                      <w:bCs/>
                      <w:color w:val="000000" w:themeColor="text1"/>
                      <w:kern w:val="21"/>
                      <w:szCs w:val="21"/>
                      <w14:textFill>
                        <w14:solidFill>
                          <w14:schemeClr w14:val="tx1"/>
                        </w14:solidFill>
                      </w14:textFill>
                    </w:rPr>
                    <w:t>+</w:t>
                  </w:r>
                  <w:r>
                    <w:rPr>
                      <w:color w:val="000000" w:themeColor="text1"/>
                      <w:szCs w:val="21"/>
                      <w14:textFill>
                        <w14:solidFill>
                          <w14:schemeClr w14:val="tx1"/>
                        </w14:solidFill>
                      </w14:textFill>
                    </w:rPr>
                    <w:t>1.96*10</w:t>
                  </w:r>
                  <w:r>
                    <w:rPr>
                      <w:color w:val="000000" w:themeColor="text1"/>
                      <w:szCs w:val="21"/>
                      <w:vertAlign w:val="superscript"/>
                      <w14:textFill>
                        <w14:solidFill>
                          <w14:schemeClr w14:val="tx1"/>
                        </w14:solidFill>
                      </w14:textFill>
                    </w:rPr>
                    <w:t>7</w:t>
                  </w:r>
                </w:p>
                <w:p>
                  <w:pPr>
                    <w:spacing w:line="240" w:lineRule="auto"/>
                    <w:jc w:val="center"/>
                    <w:rPr>
                      <w:bCs/>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t/a</w:t>
                  </w:r>
                </w:p>
              </w:tc>
              <w:tc>
                <w:tcPr>
                  <w:tcW w:w="1488" w:type="dxa"/>
                  <w:tcBorders>
                    <w:tl2br w:val="nil"/>
                    <w:tr2bl w:val="nil"/>
                  </w:tcBorders>
                  <w:vAlign w:val="center"/>
                </w:tcPr>
                <w:p>
                  <w:pPr>
                    <w:spacing w:line="240" w:lineRule="auto"/>
                    <w:jc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抚河提供</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5"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电能</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color w:val="000000" w:themeColor="text1"/>
                      <w:kern w:val="2"/>
                      <w:sz w:val="21"/>
                      <w:szCs w:val="21"/>
                      <w14:textFill>
                        <w14:solidFill>
                          <w14:schemeClr w14:val="tx1"/>
                        </w14:solidFill>
                      </w14:textFill>
                    </w:rPr>
                    <w:t>900</w:t>
                  </w:r>
                  <w:r>
                    <w:rPr>
                      <w:rFonts w:hint="eastAsia"/>
                      <w:color w:val="000000" w:themeColor="text1"/>
                      <w:kern w:val="2"/>
                      <w:sz w:val="21"/>
                      <w:szCs w:val="21"/>
                      <w14:textFill>
                        <w14:solidFill>
                          <w14:schemeClr w14:val="tx1"/>
                        </w14:solidFill>
                      </w14:textFill>
                    </w:rPr>
                    <w:t>万kWh</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481.93万kWh</w:t>
                  </w:r>
                </w:p>
              </w:tc>
              <w:tc>
                <w:tcPr>
                  <w:tcW w:w="1134"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0</w:t>
                  </w:r>
                </w:p>
              </w:tc>
              <w:tc>
                <w:tcPr>
                  <w:tcW w:w="1134" w:type="dxa"/>
                  <w:tcBorders>
                    <w:tl2br w:val="nil"/>
                    <w:tr2bl w:val="nil"/>
                  </w:tcBorders>
                  <w:vAlign w:val="center"/>
                </w:tcPr>
                <w:p>
                  <w:pPr>
                    <w:spacing w:line="240" w:lineRule="auto"/>
                    <w:jc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1</w:t>
                  </w:r>
                  <w:r>
                    <w:rPr>
                      <w:bCs/>
                      <w:color w:val="000000" w:themeColor="text1"/>
                      <w:kern w:val="21"/>
                      <w:szCs w:val="21"/>
                      <w14:textFill>
                        <w14:solidFill>
                          <w14:schemeClr w14:val="tx1"/>
                        </w14:solidFill>
                      </w14:textFill>
                    </w:rPr>
                    <w:t>381.93</w:t>
                  </w:r>
                </w:p>
                <w:p>
                  <w:pPr>
                    <w:spacing w:line="240" w:lineRule="auto"/>
                    <w:jc w:val="center"/>
                    <w:rPr>
                      <w:bCs/>
                      <w:color w:val="000000" w:themeColor="text1"/>
                      <w:kern w:val="21"/>
                      <w:szCs w:val="21"/>
                      <w14:textFill>
                        <w14:solidFill>
                          <w14:schemeClr w14:val="tx1"/>
                        </w14:solidFill>
                      </w14:textFill>
                    </w:rPr>
                  </w:pPr>
                  <w:r>
                    <w:rPr>
                      <w:rFonts w:hint="eastAsia"/>
                      <w:color w:val="000000" w:themeColor="text1"/>
                      <w:kern w:val="2"/>
                      <w:szCs w:val="21"/>
                      <w14:textFill>
                        <w14:solidFill>
                          <w14:schemeClr w14:val="tx1"/>
                        </w14:solidFill>
                      </w14:textFill>
                    </w:rPr>
                    <w:t>kWh</w:t>
                  </w:r>
                </w:p>
              </w:tc>
              <w:tc>
                <w:tcPr>
                  <w:tcW w:w="1275" w:type="dxa"/>
                  <w:tcBorders>
                    <w:tl2br w:val="nil"/>
                    <w:tr2bl w:val="nil"/>
                  </w:tcBorders>
                  <w:vAlign w:val="center"/>
                </w:tcPr>
                <w:p>
                  <w:pPr>
                    <w:spacing w:line="240" w:lineRule="auto"/>
                    <w:jc w:val="center"/>
                    <w:rPr>
                      <w:bCs/>
                      <w:color w:val="000000" w:themeColor="text1"/>
                      <w:kern w:val="21"/>
                      <w:szCs w:val="21"/>
                      <w14:textFill>
                        <w14:solidFill>
                          <w14:schemeClr w14:val="tx1"/>
                        </w14:solidFill>
                      </w14:textFill>
                    </w:rPr>
                  </w:pPr>
                  <w:r>
                    <w:rPr>
                      <w:color w:val="000000" w:themeColor="text1"/>
                      <w:kern w:val="2"/>
                      <w:szCs w:val="21"/>
                      <w14:textFill>
                        <w14:solidFill>
                          <w14:schemeClr w14:val="tx1"/>
                        </w14:solidFill>
                      </w14:textFill>
                    </w:rPr>
                    <w:t>+</w:t>
                  </w:r>
                  <w:r>
                    <w:rPr>
                      <w:rFonts w:hint="eastAsia"/>
                      <w:color w:val="000000" w:themeColor="text1"/>
                      <w:kern w:val="2"/>
                      <w:szCs w:val="21"/>
                      <w14:textFill>
                        <w14:solidFill>
                          <w14:schemeClr w14:val="tx1"/>
                        </w14:solidFill>
                      </w14:textFill>
                    </w:rPr>
                    <w:t>481.93万kWh</w:t>
                  </w:r>
                </w:p>
              </w:tc>
              <w:tc>
                <w:tcPr>
                  <w:tcW w:w="1488" w:type="dxa"/>
                  <w:tcBorders>
                    <w:tl2br w:val="nil"/>
                    <w:tr2bl w:val="nil"/>
                  </w:tcBorders>
                  <w:vAlign w:val="center"/>
                </w:tcPr>
                <w:p>
                  <w:pPr>
                    <w:spacing w:line="240" w:lineRule="auto"/>
                    <w:jc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市政供电系统</w:t>
                  </w:r>
                </w:p>
              </w:tc>
            </w:tr>
          </w:tbl>
          <w:p>
            <w:pPr>
              <w:spacing w:before="120" w:beforeLines="50" w:line="360" w:lineRule="auto"/>
              <w:ind w:firstLine="480" w:firstLineChars="200"/>
              <w:jc w:val="left"/>
              <w:rPr>
                <w:color w:val="000000"/>
                <w:kern w:val="24"/>
                <w:sz w:val="24"/>
              </w:rPr>
            </w:pPr>
            <w:r>
              <w:rPr>
                <w:b/>
                <w:bCs/>
                <w:color w:val="000000" w:themeColor="text1"/>
                <w:kern w:val="24"/>
                <w:sz w:val="24"/>
                <w14:textFill>
                  <w14:solidFill>
                    <w14:schemeClr w14:val="tx1"/>
                  </w14:solidFill>
                </w14:textFill>
              </w:rPr>
              <w:t>聚合氯化铝：</w:t>
            </w:r>
            <w:r>
              <w:rPr>
                <w:color w:val="000000" w:themeColor="text1"/>
                <w:kern w:val="24"/>
                <w:sz w:val="24"/>
                <w14:textFill>
                  <w14:solidFill>
                    <w14:schemeClr w14:val="tx1"/>
                  </w14:solidFill>
                </w14:textFill>
              </w:rPr>
              <w:t>聚合氯化铝是一种净水材料，无机高分子混凝剂，又被简称为聚铝，英文缩写为</w:t>
            </w:r>
            <w:hyperlink r:id="rId28" w:tgtFrame="https://baike.so.com/doc/_blank" w:history="1">
              <w:r>
                <w:rPr>
                  <w:color w:val="000000" w:themeColor="text1"/>
                  <w:kern w:val="24"/>
                  <w:sz w:val="24"/>
                  <w14:textFill>
                    <w14:solidFill>
                      <w14:schemeClr w14:val="tx1"/>
                    </w14:solidFill>
                  </w14:textFill>
                </w:rPr>
                <w:t>PAC</w:t>
              </w:r>
            </w:hyperlink>
            <w:r>
              <w:rPr>
                <w:color w:val="000000" w:themeColor="text1"/>
                <w:kern w:val="24"/>
                <w:sz w:val="24"/>
                <w14:textFill>
                  <w14:solidFill>
                    <w14:schemeClr w14:val="tx1"/>
                  </w14:solidFill>
                </w14:textFill>
              </w:rPr>
              <w:t>，由于氢氧根离子的架桥作用和多价阴离子的聚合作用而生产的分子量较大、电荷较高的无机高分子水处理药</w:t>
            </w:r>
            <w:r>
              <w:rPr>
                <w:color w:val="000000"/>
                <w:kern w:val="24"/>
                <w:sz w:val="24"/>
              </w:rPr>
              <w:t>剂。在形态上又可以分为固体和液体两种。固体按颜色不同又分为棕褐色、米黄色、金黄色和白色，液体可以呈现为无色透明、微黄色、浅黄色至黄褐色。不同颜色的聚合氯化铝在应用及生产技术上也有较大的区别</w:t>
            </w:r>
            <w:r>
              <w:rPr>
                <w:color w:val="000000"/>
                <w:szCs w:val="21"/>
                <w:shd w:val="clear" w:color="auto" w:fill="FFFFFF"/>
              </w:rPr>
              <w:t>。</w:t>
            </w:r>
          </w:p>
          <w:p>
            <w:pPr>
              <w:spacing w:line="360" w:lineRule="auto"/>
              <w:ind w:firstLine="480" w:firstLineChars="200"/>
              <w:rPr>
                <w:color w:val="000000"/>
                <w:kern w:val="24"/>
                <w:sz w:val="24"/>
              </w:rPr>
            </w:pPr>
            <w:r>
              <w:rPr>
                <w:color w:val="000000"/>
                <w:kern w:val="24"/>
                <w:sz w:val="24"/>
              </w:rPr>
              <w:t>聚合氯化铝有吸附、凝聚、沉淀等性能,聚合氯化铝稳定性差。毒性及防护有腐蚀性，如不慎溅到皮肤上要立即用水冲洗干净。生产人员要穿工作服，戴口罩、手套，穿长筒胶靴。生产设备要密闭，车间通风应良好。</w:t>
            </w:r>
          </w:p>
          <w:p>
            <w:pPr>
              <w:pStyle w:val="a29"/>
              <w:framePr w:wrap="auto" w:vAnchor="margin" w:hAnchor="text" w:yAlign="inline"/>
              <w:ind w:firstLine="480"/>
              <w:rPr>
                <w:b/>
                <w:bCs w:val="0"/>
                <w:kern w:val="2"/>
              </w:rPr>
            </w:pPr>
            <w:r>
              <w:rPr>
                <w:kern w:val="24"/>
              </w:rPr>
              <w:t>聚合氯化铝有腐蚀性。加热至110℃以上时分解，放出氯化氢气体，最后分解为氧化铝；与酸反应发生解聚作用，使聚合度和碱度降低，最后变为正铝盐。与碱作用可使聚合度和碱度提高，最终可形成氢氧化铝沉淀或铝酸盐；与</w:t>
            </w:r>
            <w:hyperlink r:id="rId29" w:tgtFrame="https://baike.so.com/doc/_blank" w:history="1">
              <w:r>
                <w:rPr>
                  <w:kern w:val="24"/>
                </w:rPr>
                <w:t>硫酸铝</w:t>
              </w:r>
            </w:hyperlink>
            <w:r>
              <w:rPr>
                <w:kern w:val="24"/>
              </w:rPr>
              <w:t>或其他多价酸盐混合时易生成沉淀，可降低或完全失去混凝性能。</w:t>
            </w:r>
          </w:p>
          <w:p>
            <w:pPr>
              <w:widowControl/>
              <w:shd w:val="clear" w:color="auto" w:fill="FFFFFF"/>
              <w:adjustRightInd/>
              <w:spacing w:line="360" w:lineRule="auto"/>
              <w:ind w:firstLine="480" w:firstLineChars="200"/>
              <w:textAlignment w:val="auto"/>
              <w:rPr>
                <w:bCs/>
                <w:kern w:val="24"/>
                <w:sz w:val="24"/>
                <w:szCs w:val="24"/>
              </w:rPr>
            </w:pPr>
            <w:r>
              <w:rPr>
                <w:rFonts w:hint="eastAsia"/>
                <w:b/>
                <w:bCs/>
                <w:kern w:val="24"/>
                <w:sz w:val="24"/>
                <w:szCs w:val="24"/>
              </w:rPr>
              <w:t>次氯酸钠：</w:t>
            </w:r>
            <w:r>
              <w:rPr>
                <w:bCs/>
                <w:kern w:val="24"/>
                <w:sz w:val="24"/>
                <w:szCs w:val="24"/>
              </w:rPr>
              <w:t>次氯酸钠是最普通的家庭洗涤中的“氯”漂白剂。</w:t>
            </w:r>
            <w:r>
              <w:rPr>
                <w:color w:val="333333"/>
                <w:sz w:val="24"/>
                <w:szCs w:val="24"/>
              </w:rPr>
              <w:t>化学式</w:t>
            </w:r>
            <w:r>
              <w:rPr>
                <w:rFonts w:hint="eastAsia"/>
                <w:color w:val="333333"/>
                <w:sz w:val="24"/>
                <w:szCs w:val="24"/>
              </w:rPr>
              <w:t>为</w:t>
            </w:r>
            <w:r>
              <w:rPr>
                <w:color w:val="333333"/>
                <w:sz w:val="24"/>
                <w:szCs w:val="24"/>
              </w:rPr>
              <w:t>NaClO</w:t>
            </w:r>
            <w:r>
              <w:rPr>
                <w:rFonts w:hint="eastAsia"/>
                <w:color w:val="333333"/>
                <w:sz w:val="24"/>
                <w:szCs w:val="24"/>
              </w:rPr>
              <w:t>，</w:t>
            </w:r>
            <w:r>
              <w:rPr>
                <w:color w:val="333333"/>
                <w:sz w:val="24"/>
                <w:szCs w:val="24"/>
              </w:rPr>
              <w:t>相对</w:t>
            </w:r>
            <w:hyperlink r:id="rId30" w:tgtFrame="_blank" w:history="1">
              <w:r>
                <w:rPr>
                  <w:color w:val="333333"/>
                  <w:sz w:val="24"/>
                  <w:szCs w:val="24"/>
                </w:rPr>
                <w:t>分子量</w:t>
              </w:r>
            </w:hyperlink>
            <w:r>
              <w:rPr>
                <w:rFonts w:hint="eastAsia"/>
                <w:color w:val="333333"/>
                <w:sz w:val="24"/>
                <w:szCs w:val="24"/>
              </w:rPr>
              <w:t>为</w:t>
            </w:r>
            <w:r>
              <w:rPr>
                <w:color w:val="333333"/>
                <w:sz w:val="24"/>
                <w:szCs w:val="24"/>
              </w:rPr>
              <w:t>74.442</w:t>
            </w:r>
            <w:r>
              <w:rPr>
                <w:rFonts w:hint="eastAsia"/>
                <w:color w:val="333333"/>
                <w:sz w:val="24"/>
                <w:szCs w:val="24"/>
              </w:rPr>
              <w:t>，属于</w:t>
            </w:r>
            <w:hyperlink r:id="rId31" w:tgtFrame="_blank" w:history="1">
              <w:r>
                <w:rPr>
                  <w:color w:val="333333"/>
                  <w:sz w:val="24"/>
                  <w:szCs w:val="24"/>
                </w:rPr>
                <w:t>腐蚀品</w:t>
              </w:r>
            </w:hyperlink>
            <w:r>
              <w:rPr>
                <w:rFonts w:hint="eastAsia"/>
                <w:color w:val="333333"/>
                <w:sz w:val="24"/>
                <w:szCs w:val="24"/>
              </w:rPr>
              <w:t>，主要</w:t>
            </w:r>
            <w:r>
              <w:rPr>
                <w:color w:val="333333"/>
                <w:sz w:val="24"/>
                <w:szCs w:val="24"/>
              </w:rPr>
              <w:t>侵入途径</w:t>
            </w:r>
            <w:r>
              <w:rPr>
                <w:rFonts w:hint="eastAsia"/>
                <w:color w:val="333333"/>
                <w:sz w:val="24"/>
                <w:szCs w:val="24"/>
              </w:rPr>
              <w:t>为</w:t>
            </w:r>
            <w:r>
              <w:rPr>
                <w:color w:val="333333"/>
                <w:sz w:val="24"/>
                <w:szCs w:val="24"/>
              </w:rPr>
              <w:t>吸入、食入、皮肤接触吸收</w:t>
            </w:r>
            <w:r>
              <w:rPr>
                <w:rFonts w:hint="eastAsia"/>
                <w:color w:val="333333"/>
                <w:sz w:val="24"/>
                <w:szCs w:val="24"/>
              </w:rPr>
              <w:t>，</w:t>
            </w:r>
            <w:r>
              <w:rPr>
                <w:color w:val="333333"/>
                <w:sz w:val="24"/>
                <w:szCs w:val="24"/>
              </w:rPr>
              <w:t>经常用手接触本品的工人，手掌大量出汗，指甲变薄，毛发脱落。本品有致敏作用。本品放出的</w:t>
            </w:r>
            <w:hyperlink r:id="rId32" w:tgtFrame="_blank" w:history="1">
              <w:r>
                <w:rPr>
                  <w:color w:val="333333"/>
                  <w:sz w:val="24"/>
                  <w:szCs w:val="24"/>
                </w:rPr>
                <w:t>氯气</w:t>
              </w:r>
            </w:hyperlink>
            <w:r>
              <w:rPr>
                <w:color w:val="333333"/>
                <w:sz w:val="24"/>
                <w:szCs w:val="24"/>
              </w:rPr>
              <w:t>有可能引起中毒</w:t>
            </w:r>
            <w:r>
              <w:rPr>
                <w:rFonts w:hint="eastAsia"/>
                <w:color w:val="333333"/>
                <w:sz w:val="24"/>
                <w:szCs w:val="24"/>
              </w:rPr>
              <w:t>，</w:t>
            </w:r>
            <w:r>
              <w:rPr>
                <w:color w:val="333333"/>
                <w:sz w:val="24"/>
                <w:szCs w:val="24"/>
              </w:rPr>
              <w:t>无明显</w:t>
            </w:r>
            <w:r>
              <w:rPr>
                <w:rFonts w:hint="eastAsia"/>
                <w:color w:val="333333"/>
                <w:sz w:val="24"/>
                <w:szCs w:val="24"/>
              </w:rPr>
              <w:t>环境</w:t>
            </w:r>
            <w:r>
              <w:rPr>
                <w:color w:val="333333"/>
                <w:sz w:val="24"/>
                <w:szCs w:val="24"/>
              </w:rPr>
              <w:t>污染</w:t>
            </w:r>
            <w:r>
              <w:rPr>
                <w:rFonts w:hint="eastAsia"/>
                <w:color w:val="333333"/>
                <w:sz w:val="24"/>
                <w:szCs w:val="24"/>
              </w:rPr>
              <w:t>，</w:t>
            </w:r>
            <w:r>
              <w:rPr>
                <w:color w:val="333333"/>
                <w:sz w:val="24"/>
                <w:szCs w:val="24"/>
              </w:rPr>
              <w:t>不燃，具</w:t>
            </w:r>
            <w:hyperlink r:id="rId33" w:tgtFrame="_blank" w:history="1">
              <w:r>
                <w:rPr>
                  <w:color w:val="333333"/>
                  <w:sz w:val="24"/>
                  <w:szCs w:val="24"/>
                </w:rPr>
                <w:t>腐蚀性</w:t>
              </w:r>
            </w:hyperlink>
            <w:r>
              <w:rPr>
                <w:color w:val="333333"/>
                <w:sz w:val="24"/>
                <w:szCs w:val="24"/>
              </w:rPr>
              <w:t>，可致人体灼伤，具有致敏性</w:t>
            </w:r>
            <w:r>
              <w:rPr>
                <w:rFonts w:hint="eastAsia"/>
                <w:color w:val="333333"/>
                <w:sz w:val="24"/>
                <w:szCs w:val="24"/>
              </w:rPr>
              <w:t>。</w:t>
            </w:r>
            <w:r>
              <w:rPr>
                <w:color w:val="333333"/>
                <w:sz w:val="24"/>
                <w:szCs w:val="24"/>
              </w:rPr>
              <w:t>外观与性状：微黄色（溶液）或白色粉末（固体），有似</w:t>
            </w:r>
            <w:hyperlink r:id="rId32" w:tgtFrame="_blank" w:history="1">
              <w:r>
                <w:rPr>
                  <w:color w:val="333333"/>
                  <w:sz w:val="24"/>
                  <w:szCs w:val="24"/>
                </w:rPr>
                <w:t>氯气</w:t>
              </w:r>
            </w:hyperlink>
            <w:r>
              <w:rPr>
                <w:color w:val="333333"/>
                <w:sz w:val="24"/>
                <w:szCs w:val="24"/>
              </w:rPr>
              <w:t>的气味。</w:t>
            </w:r>
            <w:r>
              <w:rPr>
                <w:rFonts w:hint="eastAsia"/>
                <w:color w:val="333333"/>
                <w:sz w:val="24"/>
                <w:szCs w:val="24"/>
              </w:rPr>
              <w:t>为</w:t>
            </w:r>
            <w:r>
              <w:rPr>
                <w:color w:val="333333"/>
                <w:sz w:val="24"/>
                <w:szCs w:val="24"/>
              </w:rPr>
              <w:t>强碱弱酸</w:t>
            </w:r>
            <w:r>
              <w:rPr>
                <w:rFonts w:hint="eastAsia"/>
                <w:color w:val="333333"/>
                <w:sz w:val="24"/>
                <w:szCs w:val="24"/>
              </w:rPr>
              <w:t>。</w:t>
            </w:r>
          </w:p>
          <w:p>
            <w:pPr>
              <w:spacing w:after="0" w:line="360" w:lineRule="auto"/>
              <w:ind w:firstLine="480" w:firstLineChars="200"/>
              <w:rPr>
                <w:kern w:val="24"/>
                <w:sz w:val="24"/>
              </w:rPr>
            </w:pPr>
            <w:r>
              <w:rPr>
                <w:b/>
                <w:bCs/>
                <w:kern w:val="24"/>
                <w:sz w:val="24"/>
              </w:rPr>
              <w:t>氯化钠：</w:t>
            </w:r>
          </w:p>
        </w:tc>
      </w:tr>
    </w:tbl>
    <w:p>
      <w:pPr>
        <w:sectPr>
          <w:footerReference w:type="even" r:id="rId34"/>
          <w:footerReference w:type="default" r:id="rId35"/>
          <w:footerReference w:type="first" r:id="rId36"/>
          <w:type w:val="nextPage"/>
          <w:pgSz w:w="11907" w:h="16840"/>
          <w:pgMar w:top="1418" w:right="1418" w:bottom="1418" w:left="1418" w:header="851" w:footer="680" w:gutter="113"/>
          <w:pgNumType w:start="5"/>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spacing w:before="0" w:line="360" w:lineRule="auto"/>
              <w:ind w:firstLine="480" w:firstLineChars="200"/>
              <w:rPr>
                <w:kern w:val="24"/>
                <w:sz w:val="24"/>
              </w:rPr>
            </w:pPr>
            <w:r>
              <w:rPr>
                <w:kern w:val="24"/>
                <w:sz w:val="24"/>
              </w:rPr>
              <w:t>外观是白色晶体状，其来源主要是在海水中，是食盐的主要成分。易溶于水、甘油，微溶于乙醇、液氨；不溶于浓盐酸。在空气中微有潮解性。稳定性比较好，工业上用于制造纯碱和烧碱及其他化工产品，矿石冶炼，生活上可用于调味品。</w:t>
            </w:r>
          </w:p>
          <w:p>
            <w:pPr>
              <w:pStyle w:val="a29"/>
              <w:framePr w:wrap="auto" w:vAnchor="margin" w:hAnchor="text" w:yAlign="inline"/>
              <w:ind w:firstLine="480"/>
              <w:rPr>
                <w:b/>
                <w:bCs w:val="0"/>
                <w:kern w:val="2"/>
              </w:rPr>
            </w:pPr>
            <w:r>
              <w:rPr>
                <w:kern w:val="24"/>
              </w:rPr>
              <w:t>本项目氯化钠主要用于调配盐水，经次氯酸钠发生器电离，制备次氯酸钠，适当浓度的次氯酸钠溶液用于清水池消毒。</w:t>
            </w:r>
          </w:p>
          <w:p>
            <w:pPr>
              <w:pStyle w:val="a29"/>
              <w:framePr w:wrap="auto" w:vAnchor="margin" w:hAnchor="text" w:yAlign="inline"/>
              <w:ind w:firstLine="482"/>
              <w:rPr>
                <w:b/>
                <w:bCs w:val="0"/>
                <w:kern w:val="2"/>
              </w:rPr>
            </w:pPr>
            <w:r>
              <w:rPr>
                <w:rFonts w:hint="eastAsia"/>
                <w:b/>
                <w:bCs w:val="0"/>
                <w:kern w:val="2"/>
              </w:rPr>
              <w:t>4、设备清单</w:t>
            </w:r>
          </w:p>
          <w:p>
            <w:pPr>
              <w:pStyle w:val="a29"/>
              <w:framePr w:wrap="auto" w:vAnchor="margin" w:hAnchor="text" w:yAlign="inline"/>
              <w:ind w:firstLine="480"/>
              <w:rPr>
                <w:kern w:val="2"/>
              </w:rPr>
            </w:pPr>
            <w:r>
              <w:rPr>
                <w:rFonts w:hint="eastAsia"/>
                <w:kern w:val="2"/>
              </w:rPr>
              <w:t>主要设备详见表3。</w:t>
            </w:r>
          </w:p>
          <w:p>
            <w:pPr>
              <w:tabs>
                <w:tab w:val="left" w:pos="1021"/>
              </w:tabs>
              <w:adjustRightInd/>
              <w:spacing w:line="240" w:lineRule="auto"/>
              <w:jc w:val="center"/>
              <w:textAlignment w:val="auto"/>
              <w:rPr>
                <w:b/>
                <w:kern w:val="2"/>
                <w:szCs w:val="21"/>
              </w:rPr>
            </w:pPr>
            <w:r>
              <w:rPr>
                <w:b/>
                <w:kern w:val="2"/>
                <w:szCs w:val="21"/>
              </w:rPr>
              <w:t>表</w:t>
            </w:r>
            <w:r>
              <w:rPr>
                <w:rFonts w:hint="eastAsia"/>
                <w:b/>
                <w:kern w:val="2"/>
                <w:szCs w:val="21"/>
              </w:rPr>
              <w:t>3  本项目新增设备</w:t>
            </w:r>
            <w:r>
              <w:rPr>
                <w:b/>
                <w:kern w:val="2"/>
                <w:szCs w:val="21"/>
              </w:rPr>
              <w:t>一览表</w:t>
            </w:r>
          </w:p>
          <w:tbl>
            <w:tblPr>
              <w:tblStyle w:val="TableTheme0"/>
              <w:tblW w:w="8958"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70"/>
              <w:gridCol w:w="1515"/>
              <w:gridCol w:w="2410"/>
              <w:gridCol w:w="1417"/>
              <w:gridCol w:w="2846"/>
            </w:tblGrid>
            <w:tr>
              <w:tblPrEx>
                <w:tblW w:w="8958" w:type="dxa"/>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b/>
                      <w:kern w:val="2"/>
                      <w:szCs w:val="21"/>
                    </w:rPr>
                  </w:pPr>
                  <w:r>
                    <w:rPr>
                      <w:rFonts w:hint="eastAsia"/>
                      <w:b/>
                      <w:kern w:val="2"/>
                      <w:szCs w:val="21"/>
                    </w:rPr>
                    <w:t>序号</w:t>
                  </w:r>
                </w:p>
              </w:tc>
              <w:tc>
                <w:tcPr>
                  <w:tcW w:w="1515" w:type="dxa"/>
                  <w:vAlign w:val="center"/>
                </w:tcPr>
                <w:p>
                  <w:pPr>
                    <w:adjustRightInd/>
                    <w:spacing w:line="240" w:lineRule="auto"/>
                    <w:jc w:val="center"/>
                    <w:rPr>
                      <w:b/>
                      <w:kern w:val="2"/>
                      <w:szCs w:val="21"/>
                    </w:rPr>
                  </w:pPr>
                  <w:r>
                    <w:rPr>
                      <w:rFonts w:hint="eastAsia"/>
                      <w:b/>
                      <w:kern w:val="2"/>
                      <w:szCs w:val="21"/>
                    </w:rPr>
                    <w:t>设备名称</w:t>
                  </w:r>
                </w:p>
              </w:tc>
              <w:tc>
                <w:tcPr>
                  <w:tcW w:w="2410" w:type="dxa"/>
                  <w:vAlign w:val="center"/>
                </w:tcPr>
                <w:p>
                  <w:pPr>
                    <w:adjustRightInd/>
                    <w:spacing w:line="240" w:lineRule="auto"/>
                    <w:jc w:val="center"/>
                    <w:rPr>
                      <w:rFonts w:ascii="宋体" w:hAnsi="宋体"/>
                      <w:b/>
                      <w:kern w:val="2"/>
                      <w:szCs w:val="21"/>
                    </w:rPr>
                  </w:pPr>
                  <w:r>
                    <w:rPr>
                      <w:rFonts w:ascii="宋体" w:hAnsi="宋体" w:hint="eastAsia"/>
                      <w:b/>
                      <w:kern w:val="2"/>
                      <w:szCs w:val="21"/>
                    </w:rPr>
                    <w:t>规格/型号</w:t>
                  </w:r>
                </w:p>
              </w:tc>
              <w:tc>
                <w:tcPr>
                  <w:tcW w:w="1417" w:type="dxa"/>
                  <w:tcBorders>
                    <w:bottom w:val="single" w:sz="4" w:space="0" w:color="auto"/>
                  </w:tcBorders>
                  <w:vAlign w:val="center"/>
                </w:tcPr>
                <w:p>
                  <w:pPr>
                    <w:adjustRightInd/>
                    <w:spacing w:line="240" w:lineRule="auto"/>
                    <w:jc w:val="center"/>
                    <w:rPr>
                      <w:b/>
                      <w:kern w:val="2"/>
                      <w:szCs w:val="21"/>
                    </w:rPr>
                  </w:pPr>
                  <w:r>
                    <w:rPr>
                      <w:rFonts w:hint="eastAsia"/>
                      <w:b/>
                      <w:kern w:val="2"/>
                      <w:szCs w:val="21"/>
                    </w:rPr>
                    <w:t>台数（台/套）</w:t>
                  </w:r>
                </w:p>
              </w:tc>
              <w:tc>
                <w:tcPr>
                  <w:tcW w:w="2846" w:type="dxa"/>
                  <w:tcBorders>
                    <w:bottom w:val="single" w:sz="4" w:space="0" w:color="auto"/>
                  </w:tcBorders>
                  <w:vAlign w:val="center"/>
                </w:tcPr>
                <w:p>
                  <w:pPr>
                    <w:adjustRightInd/>
                    <w:spacing w:line="240" w:lineRule="auto"/>
                    <w:jc w:val="center"/>
                    <w:rPr>
                      <w:b/>
                      <w:kern w:val="2"/>
                      <w:szCs w:val="21"/>
                    </w:rPr>
                  </w:pPr>
                  <w:r>
                    <w:rPr>
                      <w:rFonts w:hint="eastAsia"/>
                      <w:b/>
                      <w:kern w:val="2"/>
                      <w:szCs w:val="21"/>
                    </w:rPr>
                    <w:t>安装位置</w:t>
                  </w:r>
                </w:p>
              </w:tc>
            </w:tr>
            <w:tr>
              <w:tblPrEx>
                <w:tblW w:w="8958" w:type="dxa"/>
                <w:tblInd w:w="0" w:type="dxa"/>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kern w:val="2"/>
                      <w:szCs w:val="21"/>
                    </w:rPr>
                  </w:pPr>
                  <w:r>
                    <w:rPr>
                      <w:rFonts w:hint="eastAsia"/>
                      <w:kern w:val="2"/>
                      <w:szCs w:val="21"/>
                    </w:rPr>
                    <w:t>1</w:t>
                  </w:r>
                </w:p>
              </w:tc>
              <w:tc>
                <w:tcPr>
                  <w:tcW w:w="1515" w:type="dxa"/>
                  <w:vAlign w:val="center"/>
                </w:tcPr>
                <w:p>
                  <w:pPr>
                    <w:adjustRightInd/>
                    <w:spacing w:line="240" w:lineRule="auto"/>
                    <w:jc w:val="center"/>
                    <w:rPr>
                      <w:kern w:val="2"/>
                      <w:szCs w:val="21"/>
                    </w:rPr>
                  </w:pPr>
                  <w:r>
                    <w:rPr>
                      <w:rFonts w:hint="eastAsia"/>
                      <w:kern w:val="2"/>
                      <w:szCs w:val="21"/>
                    </w:rPr>
                    <w:t>混合搅拌器</w:t>
                  </w:r>
                </w:p>
              </w:tc>
              <w:tc>
                <w:tcPr>
                  <w:tcW w:w="2410" w:type="dxa"/>
                  <w:vAlign w:val="center"/>
                </w:tcPr>
                <w:p>
                  <w:pPr>
                    <w:pStyle w:val="Default"/>
                    <w:spacing w:line="240" w:lineRule="auto"/>
                    <w:jc w:val="center"/>
                    <w:textAlignment w:val="baseline"/>
                    <w:rPr>
                      <w:rFonts w:ascii="Times New Roman" w:eastAsia="宋体" w:hAnsi="Times New Roman" w:hint="default"/>
                      <w:color w:themeColor="text1"/>
                      <w:kern w:val="2"/>
                      <w14:textFill>
                        <w14:solidFill>
                          <w14:schemeClr w14:val="tx1"/>
                        </w14:solidFill>
                      </w14:textFill>
                    </w:rPr>
                  </w:pPr>
                  <w:r>
                    <w:rPr>
                      <w:rFonts w:ascii="Times New Roman" w:eastAsia="宋体" w:hAnsi="Times New Roman"/>
                      <w:color w:val="000000" w:themeColor="text1"/>
                      <w:kern w:val="2"/>
                      <w14:textFill>
                        <w14:solidFill>
                          <w14:schemeClr w14:val="tx1"/>
                        </w14:solidFill>
                      </w14:textFill>
                    </w:rPr>
                    <w:t>功率：</w:t>
                  </w:r>
                  <w:r>
                    <w:rPr>
                      <w:rFonts w:ascii="Times New Roman" w:eastAsia="宋体" w:hAnsi="Times New Roman" w:hint="default"/>
                      <w:color w:val="000000" w:themeColor="text1"/>
                      <w:kern w:val="2"/>
                      <w14:textFill>
                        <w14:solidFill>
                          <w14:schemeClr w14:val="tx1"/>
                        </w14:solidFill>
                      </w14:textFill>
                    </w:rPr>
                    <w:t>5.5kw</w:t>
                  </w:r>
                </w:p>
              </w:tc>
              <w:tc>
                <w:tcPr>
                  <w:tcW w:w="141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p>
              </w:tc>
              <w:tc>
                <w:tcPr>
                  <w:tcW w:w="2846" w:type="dxa"/>
                  <w:vAlign w:val="center"/>
                </w:tcPr>
                <w:p>
                  <w:pPr>
                    <w:adjustRightInd/>
                    <w:spacing w:line="240" w:lineRule="auto"/>
                    <w:jc w:val="center"/>
                    <w:rPr>
                      <w:color w:val="000000" w:themeColor="text1"/>
                      <w:kern w:val="2"/>
                      <w:szCs w:val="21"/>
                      <w14:textFill>
                        <w14:solidFill>
                          <w14:schemeClr w14:val="tx1"/>
                        </w14:solidFill>
                      </w14:textFill>
                    </w:rPr>
                  </w:pPr>
                  <w:r>
                    <w:rPr>
                      <w:color w:val="000000" w:themeColor="text1"/>
                      <w14:textFill>
                        <w14:solidFill>
                          <w14:schemeClr w14:val="tx1"/>
                        </w14:solidFill>
                      </w14:textFill>
                    </w:rPr>
                    <w:t>机械混合折板絮凝池</w:t>
                  </w:r>
                  <w:r>
                    <w:rPr>
                      <w:rFonts w:hint="eastAsia"/>
                      <w:color w:val="000000" w:themeColor="text1"/>
                      <w14:textFill>
                        <w14:solidFill>
                          <w14:schemeClr w14:val="tx1"/>
                        </w14:solidFill>
                      </w14:textFill>
                    </w:rPr>
                    <w:t>，新增</w:t>
                  </w:r>
                </w:p>
              </w:tc>
            </w:tr>
            <w:tr>
              <w:tblPrEx>
                <w:tblW w:w="8958" w:type="dxa"/>
                <w:tblInd w:w="0" w:type="dxa"/>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kern w:val="2"/>
                      <w:szCs w:val="21"/>
                    </w:rPr>
                  </w:pPr>
                  <w:r>
                    <w:rPr>
                      <w:rFonts w:hint="eastAsia"/>
                      <w:kern w:val="2"/>
                      <w:szCs w:val="21"/>
                    </w:rPr>
                    <w:t>2</w:t>
                  </w:r>
                </w:p>
              </w:tc>
              <w:tc>
                <w:tcPr>
                  <w:tcW w:w="1515" w:type="dxa"/>
                  <w:vAlign w:val="center"/>
                </w:tcPr>
                <w:p>
                  <w:pPr>
                    <w:adjustRightInd/>
                    <w:spacing w:line="240" w:lineRule="auto"/>
                    <w:jc w:val="center"/>
                    <w:rPr>
                      <w:kern w:val="2"/>
                      <w:szCs w:val="21"/>
                    </w:rPr>
                  </w:pPr>
                  <w:r>
                    <w:rPr>
                      <w:rFonts w:hint="eastAsia"/>
                      <w:kern w:val="2"/>
                      <w:szCs w:val="21"/>
                    </w:rPr>
                    <w:t>泵吸式排泥机</w:t>
                  </w:r>
                </w:p>
              </w:tc>
              <w:tc>
                <w:tcPr>
                  <w:tcW w:w="2410" w:type="dxa"/>
                  <w:vAlign w:val="center"/>
                </w:tcPr>
                <w:p>
                  <w:pPr>
                    <w:pStyle w:val="Default"/>
                    <w:spacing w:line="240" w:lineRule="auto"/>
                    <w:jc w:val="center"/>
                    <w:textAlignment w:val="baseline"/>
                    <w:rPr>
                      <w:rFonts w:ascii="Times New Roman" w:eastAsia="宋体" w:hAnsi="Times New Roman" w:hint="default"/>
                      <w:color w:themeColor="text1"/>
                      <w:kern w:val="2"/>
                      <w14:textFill>
                        <w14:solidFill>
                          <w14:schemeClr w14:val="tx1"/>
                        </w14:solidFill>
                      </w14:textFill>
                    </w:rPr>
                  </w:pPr>
                </w:p>
              </w:tc>
              <w:tc>
                <w:tcPr>
                  <w:tcW w:w="141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p>
              </w:tc>
              <w:tc>
                <w:tcPr>
                  <w:tcW w:w="2846"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平流沉淀池，新增</w:t>
                  </w:r>
                </w:p>
              </w:tc>
            </w:tr>
            <w:tr>
              <w:tblPrEx>
                <w:tblW w:w="8958" w:type="dxa"/>
                <w:tblInd w:w="0" w:type="dxa"/>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kern w:val="2"/>
                      <w:szCs w:val="21"/>
                    </w:rPr>
                  </w:pPr>
                  <w:r>
                    <w:rPr>
                      <w:kern w:val="2"/>
                      <w:szCs w:val="21"/>
                    </w:rPr>
                    <w:t>3</w:t>
                  </w:r>
                </w:p>
              </w:tc>
              <w:tc>
                <w:tcPr>
                  <w:tcW w:w="1515" w:type="dxa"/>
                  <w:vAlign w:val="center"/>
                </w:tcPr>
                <w:p>
                  <w:pPr>
                    <w:adjustRightInd/>
                    <w:spacing w:line="240" w:lineRule="auto"/>
                    <w:jc w:val="center"/>
                    <w:rPr>
                      <w:kern w:val="2"/>
                      <w:szCs w:val="21"/>
                    </w:rPr>
                  </w:pPr>
                  <w:r>
                    <w:rPr>
                      <w:rFonts w:hint="eastAsia"/>
                      <w:kern w:val="2"/>
                      <w:szCs w:val="21"/>
                    </w:rPr>
                    <w:t>反冲洗泵</w:t>
                  </w:r>
                </w:p>
              </w:tc>
              <w:tc>
                <w:tcPr>
                  <w:tcW w:w="2410" w:type="dxa"/>
                  <w:vAlign w:val="center"/>
                </w:tcPr>
                <w:p>
                  <w:pPr>
                    <w:adjustRightInd/>
                    <w:spacing w:line="240" w:lineRule="auto"/>
                    <w:jc w:val="center"/>
                    <w:rPr>
                      <w:rFonts w:ascii="宋体" w:hAnsi="宋体"/>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37kW</w:t>
                  </w:r>
                </w:p>
              </w:tc>
              <w:tc>
                <w:tcPr>
                  <w:tcW w:w="141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p>
              </w:tc>
              <w:tc>
                <w:tcPr>
                  <w:tcW w:w="2846"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反冲洗泵房，新增</w:t>
                  </w:r>
                </w:p>
              </w:tc>
            </w:tr>
            <w:tr>
              <w:tblPrEx>
                <w:tblW w:w="8958" w:type="dxa"/>
                <w:tblInd w:w="0" w:type="dxa"/>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kern w:val="2"/>
                      <w:szCs w:val="21"/>
                    </w:rPr>
                  </w:pPr>
                  <w:r>
                    <w:rPr>
                      <w:kern w:val="2"/>
                      <w:szCs w:val="21"/>
                    </w:rPr>
                    <w:t>4</w:t>
                  </w:r>
                </w:p>
              </w:tc>
              <w:tc>
                <w:tcPr>
                  <w:tcW w:w="1515" w:type="dxa"/>
                  <w:vAlign w:val="center"/>
                </w:tcPr>
                <w:p>
                  <w:pPr>
                    <w:adjustRightInd/>
                    <w:spacing w:line="240" w:lineRule="auto"/>
                    <w:jc w:val="center"/>
                    <w:rPr>
                      <w:kern w:val="2"/>
                      <w:szCs w:val="21"/>
                    </w:rPr>
                  </w:pPr>
                  <w:r>
                    <w:rPr>
                      <w:rFonts w:hint="eastAsia"/>
                      <w:kern w:val="2"/>
                      <w:szCs w:val="21"/>
                    </w:rPr>
                    <w:t>鼓风机</w:t>
                  </w:r>
                </w:p>
              </w:tc>
              <w:tc>
                <w:tcPr>
                  <w:tcW w:w="2410" w:type="dxa"/>
                  <w:vAlign w:val="center"/>
                </w:tcPr>
                <w:p>
                  <w:pPr>
                    <w:adjustRightInd/>
                    <w:spacing w:line="240" w:lineRule="auto"/>
                    <w:jc w:val="center"/>
                    <w:rPr>
                      <w:rFonts w:ascii="宋体" w:hAnsi="宋体"/>
                      <w:color w:val="000000" w:themeColor="text1"/>
                      <w:kern w:val="2"/>
                      <w:szCs w:val="21"/>
                      <w14:textFill>
                        <w14:solidFill>
                          <w14:schemeClr w14:val="tx1"/>
                        </w14:solidFill>
                      </w14:textFill>
                    </w:rPr>
                  </w:pPr>
                  <w:r>
                    <w:rPr>
                      <w:color w:val="000000" w:themeColor="text1"/>
                      <w:szCs w:val="28"/>
                      <w14:textFill>
                        <w14:solidFill>
                          <w14:schemeClr w14:val="tx1"/>
                        </w14:solidFill>
                      </w14:textFill>
                    </w:rPr>
                    <w:t>风量Q=76m</w:t>
                  </w:r>
                  <w:r>
                    <w:rPr>
                      <w:color w:val="000000" w:themeColor="text1"/>
                      <w:szCs w:val="28"/>
                      <w:vertAlign w:val="superscript"/>
                      <w14:textFill>
                        <w14:solidFill>
                          <w14:schemeClr w14:val="tx1"/>
                        </w14:solidFill>
                      </w14:textFill>
                    </w:rPr>
                    <w:t>3</w:t>
                  </w:r>
                  <w:r>
                    <w:rPr>
                      <w:color w:val="000000" w:themeColor="text1"/>
                      <w:szCs w:val="28"/>
                      <w14:textFill>
                        <w14:solidFill>
                          <w14:schemeClr w14:val="tx1"/>
                        </w14:solidFill>
                      </w14:textFill>
                    </w:rPr>
                    <w:t>/min</w:t>
                  </w:r>
                </w:p>
              </w:tc>
              <w:tc>
                <w:tcPr>
                  <w:tcW w:w="141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p>
              </w:tc>
              <w:tc>
                <w:tcPr>
                  <w:tcW w:w="2846"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反冲洗泵房，新增</w:t>
                  </w:r>
                </w:p>
              </w:tc>
            </w:tr>
            <w:tr>
              <w:tblPrEx>
                <w:tblW w:w="8958" w:type="dxa"/>
                <w:tblInd w:w="0" w:type="dxa"/>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kern w:val="2"/>
                      <w:szCs w:val="21"/>
                    </w:rPr>
                  </w:pPr>
                  <w:r>
                    <w:rPr>
                      <w:rFonts w:hint="eastAsia"/>
                      <w:kern w:val="2"/>
                      <w:szCs w:val="21"/>
                    </w:rPr>
                    <w:t>5</w:t>
                  </w:r>
                </w:p>
              </w:tc>
              <w:tc>
                <w:tcPr>
                  <w:tcW w:w="1515" w:type="dxa"/>
                  <w:vAlign w:val="center"/>
                </w:tcPr>
                <w:p>
                  <w:pPr>
                    <w:adjustRightInd/>
                    <w:spacing w:line="240" w:lineRule="auto"/>
                    <w:jc w:val="center"/>
                    <w:rPr>
                      <w:kern w:val="2"/>
                      <w:szCs w:val="21"/>
                    </w:rPr>
                  </w:pPr>
                  <w:r>
                    <w:rPr>
                      <w:rFonts w:hint="eastAsia"/>
                      <w:kern w:val="2"/>
                      <w:szCs w:val="21"/>
                    </w:rPr>
                    <w:t>送水泵</w:t>
                  </w:r>
                </w:p>
              </w:tc>
              <w:tc>
                <w:tcPr>
                  <w:tcW w:w="2410" w:type="dxa"/>
                  <w:vAlign w:val="center"/>
                </w:tcPr>
                <w:p>
                  <w:pPr>
                    <w:adjustRightInd/>
                    <w:spacing w:line="240" w:lineRule="auto"/>
                    <w:jc w:val="center"/>
                    <w:rPr>
                      <w:rFonts w:ascii="宋体" w:hAnsi="宋体"/>
                      <w:color w:val="000000" w:themeColor="text1"/>
                      <w:kern w:val="2"/>
                      <w:szCs w:val="21"/>
                      <w14:textFill>
                        <w14:solidFill>
                          <w14:schemeClr w14:val="tx1"/>
                        </w14:solidFill>
                      </w14:textFill>
                    </w:rPr>
                  </w:pPr>
                  <w:r>
                    <w:rPr>
                      <w:color w:val="000000" w:themeColor="text1"/>
                      <w:szCs w:val="28"/>
                      <w14:textFill>
                        <w14:solidFill>
                          <w14:schemeClr w14:val="tx1"/>
                        </w14:solidFill>
                      </w14:textFill>
                    </w:rPr>
                    <w:t>Q=2850m</w:t>
                  </w:r>
                  <w:r>
                    <w:rPr>
                      <w:color w:val="000000" w:themeColor="text1"/>
                      <w:szCs w:val="28"/>
                      <w:vertAlign w:val="superscript"/>
                      <w14:textFill>
                        <w14:solidFill>
                          <w14:schemeClr w14:val="tx1"/>
                        </w14:solidFill>
                      </w14:textFill>
                    </w:rPr>
                    <w:t>3</w:t>
                  </w:r>
                  <w:r>
                    <w:rPr>
                      <w:color w:val="000000" w:themeColor="text1"/>
                      <w:szCs w:val="28"/>
                      <w14:textFill>
                        <w14:solidFill>
                          <w14:schemeClr w14:val="tx1"/>
                        </w14:solidFill>
                      </w14:textFill>
                    </w:rPr>
                    <w:t>/h，H=50，N=500kW，</w:t>
                  </w:r>
                </w:p>
              </w:tc>
              <w:tc>
                <w:tcPr>
                  <w:tcW w:w="141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p>
              </w:tc>
              <w:tc>
                <w:tcPr>
                  <w:tcW w:w="2846"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送水泵房，设备更换</w:t>
                  </w:r>
                </w:p>
              </w:tc>
            </w:tr>
            <w:tr>
              <w:tblPrEx>
                <w:tblW w:w="8958" w:type="dxa"/>
                <w:tblInd w:w="0" w:type="dxa"/>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kern w:val="2"/>
                      <w:szCs w:val="21"/>
                    </w:rPr>
                  </w:pPr>
                  <w:r>
                    <w:rPr>
                      <w:rFonts w:hint="eastAsia"/>
                      <w:kern w:val="2"/>
                      <w:szCs w:val="21"/>
                    </w:rPr>
                    <w:t>6</w:t>
                  </w:r>
                </w:p>
              </w:tc>
              <w:tc>
                <w:tcPr>
                  <w:tcW w:w="1515" w:type="dxa"/>
                  <w:vAlign w:val="center"/>
                </w:tcPr>
                <w:p>
                  <w:pPr>
                    <w:adjustRightInd/>
                    <w:spacing w:line="240" w:lineRule="auto"/>
                    <w:jc w:val="center"/>
                    <w:rPr>
                      <w:kern w:val="2"/>
                      <w:szCs w:val="21"/>
                    </w:rPr>
                  </w:pPr>
                  <w:r>
                    <w:rPr>
                      <w:rFonts w:hint="eastAsia"/>
                      <w:kern w:val="2"/>
                      <w:szCs w:val="21"/>
                    </w:rPr>
                    <w:t>隔膜计量泵</w:t>
                  </w:r>
                </w:p>
              </w:tc>
              <w:tc>
                <w:tcPr>
                  <w:tcW w:w="2410" w:type="dxa"/>
                  <w:vAlign w:val="center"/>
                </w:tcPr>
                <w:p>
                  <w:pPr>
                    <w:adjustRightInd/>
                    <w:spacing w:line="240" w:lineRule="auto"/>
                    <w:jc w:val="center"/>
                    <w:rPr>
                      <w:color w:val="000000" w:themeColor="text1"/>
                      <w:szCs w:val="28"/>
                      <w14:textFill>
                        <w14:solidFill>
                          <w14:schemeClr w14:val="tx1"/>
                        </w14:solidFill>
                      </w14:textFill>
                    </w:rPr>
                  </w:pPr>
                  <w:r>
                    <w:rPr>
                      <w:color w:val="000000" w:themeColor="text1"/>
                      <w:szCs w:val="28"/>
                      <w14:textFill>
                        <w14:solidFill>
                          <w14:schemeClr w14:val="tx1"/>
                        </w14:solidFill>
                      </w14:textFill>
                    </w:rPr>
                    <w:t>Q=1000L/h，加注压力3bar</w:t>
                  </w:r>
                </w:p>
              </w:tc>
              <w:tc>
                <w:tcPr>
                  <w:tcW w:w="1417"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p>
              </w:tc>
              <w:tc>
                <w:tcPr>
                  <w:tcW w:w="2846"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加药间，新增</w:t>
                  </w:r>
                </w:p>
              </w:tc>
            </w:tr>
            <w:tr>
              <w:tblPrEx>
                <w:tblW w:w="8958" w:type="dxa"/>
                <w:tblInd w:w="0" w:type="dxa"/>
                <w:tblLayout w:type="fixed"/>
                <w:tblCellMar>
                  <w:top w:w="0" w:type="dxa"/>
                  <w:left w:w="108" w:type="dxa"/>
                  <w:bottom w:w="0" w:type="dxa"/>
                  <w:right w:w="108" w:type="dxa"/>
                </w:tblCellMar>
              </w:tblPrEx>
              <w:trPr>
                <w:trHeight w:val="340"/>
              </w:trPr>
              <w:tc>
                <w:tcPr>
                  <w:tcW w:w="770" w:type="dxa"/>
                  <w:vAlign w:val="center"/>
                </w:tcPr>
                <w:p>
                  <w:pPr>
                    <w:adjustRightInd/>
                    <w:spacing w:line="240" w:lineRule="auto"/>
                    <w:jc w:val="center"/>
                    <w:rPr>
                      <w:kern w:val="2"/>
                      <w:szCs w:val="21"/>
                    </w:rPr>
                  </w:pPr>
                  <w:r>
                    <w:rPr>
                      <w:rFonts w:hint="eastAsia"/>
                      <w:kern w:val="2"/>
                      <w:szCs w:val="21"/>
                    </w:rPr>
                    <w:t>7</w:t>
                  </w:r>
                </w:p>
              </w:tc>
              <w:tc>
                <w:tcPr>
                  <w:tcW w:w="1515" w:type="dxa"/>
                  <w:vAlign w:val="center"/>
                </w:tcPr>
                <w:p>
                  <w:pPr>
                    <w:adjustRightInd/>
                    <w:spacing w:line="240" w:lineRule="auto"/>
                    <w:jc w:val="center"/>
                    <w:rPr>
                      <w:kern w:val="2"/>
                      <w:szCs w:val="21"/>
                    </w:rPr>
                  </w:pPr>
                  <w:r>
                    <w:rPr>
                      <w:rFonts w:hint="eastAsia"/>
                      <w:kern w:val="2"/>
                      <w:szCs w:val="21"/>
                    </w:rPr>
                    <w:t>次氯酸钠发生器</w:t>
                  </w:r>
                </w:p>
              </w:tc>
              <w:tc>
                <w:tcPr>
                  <w:tcW w:w="2410" w:type="dxa"/>
                  <w:vAlign w:val="center"/>
                </w:tcPr>
                <w:p>
                  <w:pPr>
                    <w:adjustRightInd/>
                    <w:spacing w:line="240" w:lineRule="auto"/>
                    <w:jc w:val="center"/>
                    <w:rPr>
                      <w:color w:val="000000" w:themeColor="text1"/>
                      <w:szCs w:val="28"/>
                      <w14:textFill>
                        <w14:solidFill>
                          <w14:schemeClr w14:val="tx1"/>
                        </w14:solidFill>
                      </w14:textFill>
                    </w:rPr>
                  </w:pPr>
                  <w:r>
                    <w:rPr>
                      <w:color w:val="000000" w:themeColor="text1"/>
                      <w:szCs w:val="28"/>
                      <w14:textFill>
                        <w14:solidFill>
                          <w14:schemeClr w14:val="tx1"/>
                        </w14:solidFill>
                      </w14:textFill>
                    </w:rPr>
                    <w:t>20kg/h</w:t>
                  </w:r>
                </w:p>
              </w:tc>
              <w:tc>
                <w:tcPr>
                  <w:tcW w:w="1417" w:type="dxa"/>
                  <w:vAlign w:val="center"/>
                </w:tcPr>
                <w:p>
                  <w:pPr>
                    <w:adjustRightInd/>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2</w:t>
                  </w:r>
                </w:p>
              </w:tc>
              <w:tc>
                <w:tcPr>
                  <w:tcW w:w="2846" w:type="dxa"/>
                  <w:vAlign w:val="center"/>
                </w:tcPr>
                <w:p>
                  <w:pPr>
                    <w:adjustRightInd/>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加药车间，1备1用，原消毒系统改造</w:t>
                  </w:r>
                </w:p>
              </w:tc>
            </w:tr>
          </w:tbl>
          <w:p>
            <w:pPr>
              <w:tabs>
                <w:tab w:val="left" w:pos="0"/>
              </w:tabs>
              <w:spacing w:before="120" w:beforeLines="50" w:line="360" w:lineRule="auto"/>
              <w:ind w:firstLine="480" w:firstLineChars="200"/>
              <w:rPr>
                <w:b/>
                <w:kern w:val="2"/>
                <w:sz w:val="24"/>
                <w:szCs w:val="24"/>
              </w:rPr>
            </w:pPr>
            <w:r>
              <w:rPr>
                <w:rFonts w:hint="eastAsia"/>
                <w:b/>
                <w:kern w:val="2"/>
                <w:sz w:val="24"/>
                <w:szCs w:val="24"/>
              </w:rPr>
              <w:t>5、劳动定员</w:t>
            </w:r>
          </w:p>
          <w:p>
            <w:pPr>
              <w:pStyle w:val="a18"/>
              <w:ind w:firstLine="480"/>
            </w:pPr>
            <w:r>
              <w:rPr>
                <w:rFonts w:hint="eastAsia"/>
              </w:rPr>
              <w:t>本项目扩建后，无新增劳动定员，水厂厂区自行调配值班人员，且厂区内无员工宿舍。</w:t>
            </w:r>
          </w:p>
          <w:p>
            <w:pPr>
              <w:tabs>
                <w:tab w:val="left" w:pos="0"/>
              </w:tabs>
              <w:spacing w:before="120" w:beforeLines="50" w:line="360" w:lineRule="auto"/>
              <w:ind w:firstLine="480" w:firstLineChars="200"/>
              <w:rPr>
                <w:b/>
                <w:kern w:val="2"/>
                <w:sz w:val="24"/>
                <w:szCs w:val="24"/>
              </w:rPr>
            </w:pPr>
            <w:r>
              <w:rPr>
                <w:b/>
                <w:kern w:val="2"/>
                <w:sz w:val="24"/>
                <w:szCs w:val="24"/>
              </w:rPr>
              <w:t>三、公用工程情况</w:t>
            </w:r>
          </w:p>
          <w:p>
            <w:pPr>
              <w:spacing w:line="360" w:lineRule="auto"/>
              <w:ind w:firstLine="480" w:firstLineChars="200"/>
              <w:rPr>
                <w:b/>
                <w:kern w:val="2"/>
                <w:sz w:val="24"/>
                <w:szCs w:val="24"/>
              </w:rPr>
            </w:pPr>
            <w:r>
              <w:rPr>
                <w:b/>
                <w:kern w:val="2"/>
                <w:sz w:val="24"/>
                <w:szCs w:val="24"/>
              </w:rPr>
              <w:t>1、给水</w:t>
            </w:r>
          </w:p>
          <w:p>
            <w:pPr>
              <w:pStyle w:val="a18"/>
              <w:ind w:firstLine="480"/>
              <w:rPr>
                <w:kern w:val="2"/>
                <w:szCs w:val="22"/>
              </w:rPr>
            </w:pPr>
            <w:r>
              <w:rPr>
                <w:rFonts w:hint="eastAsia"/>
                <w:kern w:val="2"/>
                <w:szCs w:val="22"/>
              </w:rPr>
              <w:t>本项目原水由抚河提供，厂区办公用水由厂区供水系统提供。本项目</w:t>
            </w:r>
            <w:r>
              <w:rPr>
                <w:rFonts w:hint="eastAsia"/>
              </w:rPr>
              <w:t>无新增劳动定员，所以无新增员工生活、办公用水。</w:t>
            </w:r>
          </w:p>
          <w:p>
            <w:pPr>
              <w:pStyle w:val="a18"/>
              <w:ind w:firstLine="480"/>
              <w:rPr>
                <w:kern w:val="2"/>
                <w:szCs w:val="22"/>
              </w:rPr>
            </w:pPr>
            <w:r>
              <w:rPr>
                <w:rFonts w:hint="eastAsia"/>
                <w:kern w:val="2"/>
                <w:szCs w:val="22"/>
              </w:rPr>
              <w:t>（1）原水用水</w:t>
            </w:r>
          </w:p>
          <w:p>
            <w:pPr>
              <w:pStyle w:val="a18"/>
              <w:ind w:firstLine="480"/>
              <w:rPr>
                <w:kern w:val="2"/>
                <w:szCs w:val="22"/>
              </w:rPr>
            </w:pPr>
            <w:r>
              <w:rPr>
                <w:rFonts w:hint="eastAsia"/>
                <w:kern w:val="2"/>
                <w:szCs w:val="22"/>
              </w:rPr>
              <w:t>本项目原水来自抚河取水工程，新增供水规模5万</w:t>
            </w:r>
            <w:r>
              <w:t>m</w:t>
            </w:r>
            <w:r>
              <w:rPr>
                <w:vertAlign w:val="superscript"/>
              </w:rPr>
              <w:t>3</w:t>
            </w:r>
            <w:r>
              <w:t>/d</w:t>
            </w:r>
            <w:r>
              <w:rPr>
                <w:rFonts w:hint="eastAsia"/>
              </w:rPr>
              <w:t>，净水过程损耗量约为</w:t>
            </w:r>
            <w:r>
              <w:t>7.46%</w:t>
            </w:r>
            <w:r>
              <w:rPr>
                <w:rFonts w:hint="eastAsia"/>
              </w:rPr>
              <w:t>，原水用水量为5</w:t>
            </w:r>
            <w:r>
              <w:t>3728.8m</w:t>
            </w:r>
            <w:r>
              <w:rPr>
                <w:vertAlign w:val="superscript"/>
              </w:rPr>
              <w:t>3</w:t>
            </w:r>
            <w:r>
              <w:t>/d</w:t>
            </w:r>
            <w:r>
              <w:rPr>
                <w:rFonts w:hint="eastAsia"/>
              </w:rPr>
              <w:t>。</w:t>
            </w:r>
          </w:p>
          <w:p>
            <w:pPr>
              <w:tabs>
                <w:tab w:val="left" w:pos="0"/>
              </w:tabs>
              <w:spacing w:line="360" w:lineRule="auto"/>
              <w:ind w:firstLine="480" w:firstLineChars="200"/>
              <w:rPr>
                <w:b/>
                <w:kern w:val="21"/>
                <w:sz w:val="24"/>
                <w:szCs w:val="24"/>
              </w:rPr>
            </w:pPr>
            <w:r>
              <w:rPr>
                <w:b/>
                <w:kern w:val="21"/>
                <w:sz w:val="24"/>
                <w:szCs w:val="24"/>
              </w:rPr>
              <w:t>2、排水</w:t>
            </w:r>
          </w:p>
          <w:p>
            <w:pPr>
              <w:pStyle w:val="a31"/>
              <w:rPr>
                <w:kern w:val="2"/>
                <w:szCs w:val="22"/>
                <w:lang w:val="en-US"/>
              </w:rPr>
            </w:pPr>
            <w:r>
              <w:rPr>
                <w:rFonts w:hint="eastAsia"/>
                <w:bCs/>
                <w:kern w:val="21"/>
                <w:szCs w:val="24"/>
              </w:rPr>
              <w:t>本项目采用雨、污分流制排水系统。</w:t>
            </w:r>
            <w:r>
              <w:rPr>
                <w:kern w:val="2"/>
                <w:szCs w:val="22"/>
                <w:lang w:val="en-US"/>
              </w:rPr>
              <w:t>项目营运期</w:t>
            </w:r>
            <w:r>
              <w:rPr>
                <w:rFonts w:hint="eastAsia"/>
                <w:kern w:val="2"/>
                <w:szCs w:val="22"/>
                <w:lang w:val="en-US"/>
              </w:rPr>
              <w:t>主要排水为生产废水。</w:t>
            </w:r>
          </w:p>
          <w:p>
            <w:pPr>
              <w:pStyle w:val="a31"/>
              <w:spacing w:after="0"/>
              <w:rPr>
                <w:kern w:val="2"/>
                <w:szCs w:val="22"/>
                <w:lang w:val="en-US"/>
              </w:rPr>
            </w:pPr>
            <w:r>
              <w:rPr>
                <w:rFonts w:hint="eastAsia"/>
                <w:kern w:val="2"/>
                <w:szCs w:val="22"/>
                <w:lang w:val="en-US"/>
              </w:rPr>
              <w:t>生产废水主要为净水过程中产生的絮凝池排泥水、沉淀池排泥水、滤池反冲洗排泥水</w:t>
            </w:r>
            <w:r>
              <w:rPr>
                <w:rFonts w:hAnsi="宋体" w:hint="eastAsia"/>
                <w:kern w:val="2"/>
                <w:szCs w:val="22"/>
                <w:lang w:val="en-US"/>
              </w:rPr>
              <w:t>。</w:t>
            </w:r>
            <w:bookmarkStart w:id="8" w:name="OLE_LINK1"/>
            <w:r>
              <w:rPr>
                <w:rFonts w:hAnsi="宋体" w:hint="eastAsia"/>
                <w:kern w:val="2"/>
                <w:szCs w:val="22"/>
                <w:lang w:val="en-US"/>
              </w:rPr>
              <w:t>为保证出水水质及节能环保要求，本项目主要对</w:t>
            </w:r>
          </w:p>
        </w:tc>
      </w:tr>
    </w:tbl>
    <w:p>
      <w:pPr>
        <w:sectPr>
          <w:footerReference w:type="even" r:id="rId37"/>
          <w:footerReference w:type="default" r:id="rId38"/>
          <w:footerReference w:type="first" r:id="rId39"/>
          <w:type w:val="nextPage"/>
          <w:pgSz w:w="11907" w:h="16840"/>
          <w:pgMar w:top="1418" w:right="1418" w:bottom="1418" w:left="1418" w:header="851" w:footer="680" w:gutter="113"/>
          <w:pgNumType w:start="6"/>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pStyle w:val="a31"/>
              <w:spacing w:before="0"/>
              <w:rPr>
                <w:kern w:val="2"/>
                <w:szCs w:val="22"/>
                <w:lang w:val="en-US"/>
              </w:rPr>
            </w:pPr>
            <w:r>
              <w:rPr>
                <w:rFonts w:hint="eastAsia"/>
                <w:kern w:val="2"/>
                <w:szCs w:val="22"/>
                <w:lang w:val="en-US"/>
              </w:rPr>
              <w:t>滤池反冲洗排泥水于回水池沉淀后回用于生产，回水池沉淀泥进入污泥浓缩池进行下一步脱水处理，絮凝池排泥水、沉淀池排泥水进入排泥池。</w:t>
            </w:r>
          </w:p>
          <w:p>
            <w:pPr>
              <w:snapToGrid w:val="0"/>
              <w:spacing w:line="360" w:lineRule="auto"/>
              <w:ind w:firstLine="480" w:firstLineChars="200"/>
              <w:rPr>
                <w:color w:val="000000" w:themeColor="text1"/>
                <w:sz w:val="24"/>
                <w:szCs w:val="24"/>
                <w14:textFill>
                  <w14:solidFill>
                    <w14:schemeClr w14:val="tx1"/>
                  </w14:solidFill>
                </w14:textFill>
              </w:rPr>
            </w:pPr>
            <w:r>
              <w:rPr>
                <w:rFonts w:hint="eastAsia"/>
                <w:sz w:val="24"/>
              </w:rPr>
              <w:t>根据原有工程运行情况，</w:t>
            </w:r>
            <w:r>
              <w:rPr>
                <w:sz w:val="24"/>
                <w:szCs w:val="24"/>
              </w:rPr>
              <w:t>絮凝池均为1天排泥一次，排泥量按排完泥斗容积内水量估算</w:t>
            </w:r>
            <w:r>
              <w:rPr>
                <w:color w:val="000000" w:themeColor="text1"/>
                <w:sz w:val="24"/>
                <w:szCs w:val="24"/>
                <w14:textFill>
                  <w14:solidFill>
                    <w14:schemeClr w14:val="tx1"/>
                  </w14:solidFill>
                </w14:textFill>
              </w:rPr>
              <w:t>，5万m</w:t>
            </w:r>
            <w:r>
              <w:rPr>
                <w:color w:val="000000" w:themeColor="text1"/>
                <w:sz w:val="24"/>
                <w:szCs w:val="24"/>
                <w:vertAlign w:val="superscript"/>
                <w14:textFill>
                  <w14:solidFill>
                    <w14:schemeClr w14:val="tx1"/>
                  </w14:solidFill>
                </w14:textFill>
              </w:rPr>
              <w:t>3</w:t>
            </w:r>
            <w:r>
              <w:rPr>
                <w:color w:val="000000" w:themeColor="text1"/>
                <w:sz w:val="24"/>
                <w:szCs w:val="24"/>
                <w14:textFill>
                  <w14:solidFill>
                    <w14:schemeClr w14:val="tx1"/>
                  </w14:solidFill>
                </w14:textFill>
              </w:rPr>
              <w:t>/d规模</w:t>
            </w:r>
            <w:r>
              <w:rPr>
                <w:rFonts w:hint="eastAsia"/>
                <w:color w:val="000000" w:themeColor="text1"/>
                <w:sz w:val="24"/>
                <w:szCs w:val="24"/>
                <w14:textFill>
                  <w14:solidFill>
                    <w14:schemeClr w14:val="tx1"/>
                  </w14:solidFill>
                </w14:textFill>
              </w:rPr>
              <w:t>的絮凝池</w:t>
            </w:r>
            <w:r>
              <w:rPr>
                <w:color w:val="000000" w:themeColor="text1"/>
                <w:sz w:val="24"/>
                <w:szCs w:val="24"/>
                <w14:textFill>
                  <w14:solidFill>
                    <w14:schemeClr w14:val="tx1"/>
                  </w14:solidFill>
                </w14:textFill>
              </w:rPr>
              <w:t>每日</w:t>
            </w:r>
            <w:r>
              <w:rPr>
                <w:rFonts w:hint="eastAsia"/>
                <w:color w:val="000000" w:themeColor="text1"/>
                <w:sz w:val="24"/>
                <w:szCs w:val="24"/>
                <w14:textFill>
                  <w14:solidFill>
                    <w14:schemeClr w14:val="tx1"/>
                  </w14:solidFill>
                </w14:textFill>
              </w:rPr>
              <w:t>排泥</w:t>
            </w:r>
            <w:r>
              <w:rPr>
                <w:color w:val="000000" w:themeColor="text1"/>
                <w:sz w:val="24"/>
                <w:szCs w:val="24"/>
                <w14:textFill>
                  <w14:solidFill>
                    <w14:schemeClr w14:val="tx1"/>
                  </w14:solidFill>
                </w14:textFill>
              </w:rPr>
              <w:t>量</w:t>
            </w:r>
            <w:r>
              <w:rPr>
                <w:rFonts w:hint="eastAsia"/>
                <w:color w:val="000000" w:themeColor="text1"/>
                <w:sz w:val="24"/>
                <w:szCs w:val="24"/>
                <w14:textFill>
                  <w14:solidFill>
                    <w14:schemeClr w14:val="tx1"/>
                  </w14:solidFill>
                </w14:textFill>
              </w:rPr>
              <w:t>为</w:t>
            </w:r>
            <w:r>
              <w:rPr>
                <w:color w:val="000000" w:themeColor="text1"/>
                <w:sz w:val="24"/>
                <w:szCs w:val="24"/>
                <w14:textFill>
                  <w14:solidFill>
                    <w14:schemeClr w14:val="tx1"/>
                  </w14:solidFill>
                </w14:textFill>
              </w:rPr>
              <w:t>120m</w:t>
            </w:r>
            <w:r>
              <w:rPr>
                <w:color w:val="000000" w:themeColor="text1"/>
                <w:sz w:val="24"/>
                <w:szCs w:val="24"/>
                <w:vertAlign w:val="superscript"/>
                <w14:textFill>
                  <w14:solidFill>
                    <w14:schemeClr w14:val="tx1"/>
                  </w14:solidFill>
                </w14:textFill>
              </w:rPr>
              <w:t>3</w:t>
            </w:r>
            <w:r>
              <w:rPr>
                <w:rFonts w:hint="eastAsia"/>
                <w:color w:val="000000" w:themeColor="text1"/>
                <w:sz w:val="24"/>
                <w:szCs w:val="24"/>
                <w14:textFill>
                  <w14:solidFill>
                    <w14:schemeClr w14:val="tx1"/>
                  </w14:solidFill>
                </w14:textFill>
              </w:rPr>
              <w:t>。</w:t>
            </w:r>
          </w:p>
          <w:p>
            <w:pPr>
              <w:pStyle w:val="Default"/>
              <w:spacing w:line="360" w:lineRule="auto"/>
              <w:ind w:firstLine="480" w:firstLineChars="200"/>
              <w:jc w:val="both"/>
              <w:rPr>
                <w:rFonts w:ascii="Times New Roman" w:eastAsia="宋体" w:hAnsi="Times New Roman" w:hint="default"/>
                <w:color w:themeColor="text1"/>
                <w14:textFill>
                  <w14:solidFill>
                    <w14:schemeClr w14:val="tx1"/>
                  </w14:solidFill>
                </w14:textFill>
              </w:rPr>
            </w:pPr>
            <w:r>
              <w:rPr>
                <w:rFonts w:ascii="Times New Roman" w:eastAsia="宋体" w:hAnsi="Times New Roman" w:hint="default"/>
                <w:color w:val="000000" w:themeColor="text1"/>
                <w14:textFill>
                  <w14:solidFill>
                    <w14:schemeClr w14:val="tx1"/>
                  </w14:solidFill>
                </w14:textFill>
              </w:rPr>
              <w:t>根据原有工程运行情况，沉淀池每日排泥一次，排泥桁车排泥泵最大排水量210m</w:t>
            </w:r>
            <w:r>
              <w:rPr>
                <w:rFonts w:ascii="Times New Roman" w:eastAsia="宋体" w:hAnsi="Times New Roman" w:hint="default"/>
                <w:color w:val="000000" w:themeColor="text1"/>
                <w:vertAlign w:val="superscript"/>
                <w14:textFill>
                  <w14:solidFill>
                    <w14:schemeClr w14:val="tx1"/>
                  </w14:solidFill>
                </w14:textFill>
              </w:rPr>
              <w:t>3</w:t>
            </w:r>
            <w:r>
              <w:rPr>
                <w:rFonts w:ascii="Times New Roman" w:eastAsia="宋体" w:hAnsi="Times New Roman" w:hint="default"/>
                <w:color w:val="000000" w:themeColor="text1"/>
                <w14:textFill>
                  <w14:solidFill>
                    <w14:schemeClr w14:val="tx1"/>
                  </w14:solidFill>
                </w14:textFill>
              </w:rPr>
              <w:t>/h，沉淀池长100m，一次排泥时间3.3小时（桁车行走速度1.0m/min），一次排泥</w:t>
            </w:r>
            <w:r>
              <w:rPr>
                <w:rFonts w:ascii="Times New Roman" w:eastAsia="宋体" w:hAnsi="Times New Roman"/>
                <w:color w:val="000000" w:themeColor="text1"/>
                <w14:textFill>
                  <w14:solidFill>
                    <w14:schemeClr w14:val="tx1"/>
                  </w14:solidFill>
                </w14:textFill>
              </w:rPr>
              <w:t>水</w:t>
            </w:r>
            <w:r>
              <w:rPr>
                <w:rFonts w:ascii="Times New Roman" w:eastAsia="宋体" w:hAnsi="Times New Roman" w:hint="default"/>
                <w:color w:val="000000" w:themeColor="text1"/>
                <w14:textFill>
                  <w14:solidFill>
                    <w14:schemeClr w14:val="tx1"/>
                  </w14:solidFill>
                </w14:textFill>
              </w:rPr>
              <w:t>量700m</w:t>
            </w:r>
            <w:r>
              <w:rPr>
                <w:rFonts w:ascii="Times New Roman" w:eastAsia="宋体" w:hAnsi="Times New Roman" w:hint="default"/>
                <w:color w:val="000000" w:themeColor="text1"/>
                <w:vertAlign w:val="superscript"/>
                <w14:textFill>
                  <w14:solidFill>
                    <w14:schemeClr w14:val="tx1"/>
                  </w14:solidFill>
                </w14:textFill>
              </w:rPr>
              <w:t>3</w:t>
            </w:r>
            <w:r>
              <w:rPr>
                <w:rFonts w:ascii="Times New Roman" w:eastAsia="宋体" w:hAnsi="Times New Roman"/>
                <w:color w:val="000000" w:themeColor="text1"/>
                <w14:textFill>
                  <w14:solidFill>
                    <w14:schemeClr w14:val="tx1"/>
                  </w14:solidFill>
                </w14:textFill>
              </w:rPr>
              <w:t>。</w:t>
            </w:r>
          </w:p>
          <w:p>
            <w:pPr>
              <w:pStyle w:val="Default"/>
              <w:spacing w:line="360" w:lineRule="auto"/>
              <w:ind w:firstLine="480" w:firstLineChars="200"/>
              <w:jc w:val="both"/>
              <w:rPr>
                <w:rFonts w:ascii="Times New Roman" w:eastAsia="宋体" w:hAnsi="Times New Roman" w:hint="default"/>
                <w:color w:themeColor="text1"/>
                <w:szCs w:val="24"/>
                <w14:textFill>
                  <w14:solidFill>
                    <w14:schemeClr w14:val="tx1"/>
                  </w14:solidFill>
                </w14:textFill>
              </w:rPr>
            </w:pPr>
            <w:r>
              <w:rPr>
                <w:rFonts w:ascii="Times New Roman" w:eastAsia="宋体" w:hAnsi="Times New Roman"/>
                <w:color w:val="000000" w:themeColor="text1"/>
                <w14:textFill>
                  <w14:solidFill>
                    <w14:schemeClr w14:val="tx1"/>
                  </w14:solidFill>
                </w14:textFill>
              </w:rPr>
              <w:t>合计排泥水量为8</w:t>
            </w:r>
            <w:r>
              <w:rPr>
                <w:rFonts w:ascii="Times New Roman" w:eastAsia="宋体" w:hAnsi="Times New Roman" w:hint="default"/>
                <w:color w:val="000000" w:themeColor="text1"/>
                <w14:textFill>
                  <w14:solidFill>
                    <w14:schemeClr w14:val="tx1"/>
                  </w14:solidFill>
                </w14:textFill>
              </w:rPr>
              <w:t>20</w:t>
            </w:r>
            <w:r>
              <w:rPr>
                <w:rFonts w:ascii="Times New Roman" w:hAnsi="Times New Roman" w:hint="default"/>
                <w:color w:val="000000" w:themeColor="text1"/>
                <w:szCs w:val="24"/>
                <w14:textFill>
                  <w14:solidFill>
                    <w14:schemeClr w14:val="tx1"/>
                  </w14:solidFill>
                </w14:textFill>
              </w:rPr>
              <w:t>m</w:t>
            </w:r>
            <w:r>
              <w:rPr>
                <w:rFonts w:ascii="Times New Roman" w:hAnsi="Times New Roman" w:hint="default"/>
                <w:color w:val="000000" w:themeColor="text1"/>
                <w:szCs w:val="24"/>
                <w:vertAlign w:val="superscript"/>
                <w14:textFill>
                  <w14:solidFill>
                    <w14:schemeClr w14:val="tx1"/>
                  </w14:solidFill>
                </w14:textFill>
              </w:rPr>
              <w:t>3</w:t>
            </w:r>
            <w:r>
              <w:rPr>
                <w:rFonts w:ascii="Times New Roman" w:hAnsi="Times New Roman" w:hint="default"/>
                <w:color w:val="000000" w:themeColor="text1"/>
                <w:szCs w:val="24"/>
                <w14:textFill>
                  <w14:solidFill>
                    <w14:schemeClr w14:val="tx1"/>
                  </w14:solidFill>
                </w14:textFill>
              </w:rPr>
              <w:t>/d</w:t>
            </w:r>
            <w:r>
              <w:rPr>
                <w:rFonts w:ascii="Times New Roman" w:hAnsi="Times New Roman"/>
                <w:color w:val="000000" w:themeColor="text1"/>
                <w:szCs w:val="24"/>
                <w14:textFill>
                  <w14:solidFill>
                    <w14:schemeClr w14:val="tx1"/>
                  </w14:solidFill>
                </w14:textFill>
              </w:rPr>
              <w:t>，</w:t>
            </w:r>
            <w:r>
              <w:rPr>
                <w:rFonts w:ascii="Times New Roman" w:eastAsia="宋体" w:hAnsi="Times New Roman"/>
                <w:color w:val="000000" w:themeColor="text1"/>
                <w14:textFill>
                  <w14:solidFill>
                    <w14:schemeClr w14:val="tx1"/>
                  </w14:solidFill>
                </w14:textFill>
              </w:rPr>
              <w:t>排泥</w:t>
            </w:r>
            <w:r>
              <w:rPr>
                <w:rFonts w:ascii="Times New Roman" w:eastAsia="宋体" w:hAnsi="Times New Roman" w:hint="default"/>
                <w:color w:val="000000" w:themeColor="text1"/>
                <w14:textFill>
                  <w14:solidFill>
                    <w14:schemeClr w14:val="tx1"/>
                  </w14:solidFill>
                </w14:textFill>
              </w:rPr>
              <w:t>水</w:t>
            </w:r>
            <w:r>
              <w:rPr>
                <w:rFonts w:ascii="Times New Roman" w:eastAsia="宋体" w:hAnsi="Times New Roman"/>
                <w:color w:val="000000" w:themeColor="text1"/>
                <w14:textFill>
                  <w14:solidFill>
                    <w14:schemeClr w14:val="tx1"/>
                  </w14:solidFill>
                </w14:textFill>
              </w:rPr>
              <w:t>由排泥池接收，均匀输送至污泥浓缩</w:t>
            </w:r>
            <w:r>
              <w:rPr>
                <w:rFonts w:ascii="Times New Roman" w:eastAsia="宋体" w:hAnsi="Times New Roman" w:hint="default"/>
                <w:color w:val="000000" w:themeColor="text1"/>
                <w14:textFill>
                  <w14:solidFill>
                    <w14:schemeClr w14:val="tx1"/>
                  </w14:solidFill>
                </w14:textFill>
              </w:rPr>
              <w:t>池</w:t>
            </w:r>
            <w:r>
              <w:rPr>
                <w:rFonts w:ascii="Times New Roman" w:eastAsia="宋体" w:hAnsi="Times New Roman"/>
                <w:color w:val="000000" w:themeColor="text1"/>
                <w14:textFill>
                  <w14:solidFill>
                    <w14:schemeClr w14:val="tx1"/>
                  </w14:solidFill>
                </w14:textFill>
              </w:rPr>
              <w:t>，经沉淀</w:t>
            </w:r>
            <w:r>
              <w:rPr>
                <w:rFonts w:ascii="Times New Roman" w:eastAsia="宋体" w:hAnsi="Times New Roman" w:hint="default"/>
                <w:color w:val="000000" w:themeColor="text1"/>
                <w14:textFill>
                  <w14:solidFill>
                    <w14:schemeClr w14:val="tx1"/>
                  </w14:solidFill>
                </w14:textFill>
              </w:rPr>
              <w:t>浓缩后，</w:t>
            </w:r>
            <w:r>
              <w:rPr>
                <w:rFonts w:ascii="Times New Roman" w:eastAsia="宋体" w:hAnsi="Times New Roman"/>
                <w:color w:val="000000" w:themeColor="text1"/>
                <w14:textFill>
                  <w14:solidFill>
                    <w14:schemeClr w14:val="tx1"/>
                  </w14:solidFill>
                </w14:textFill>
              </w:rPr>
              <w:t>进入离心脱水机脱水，离心脱水机废水回流至浓缩池，浓缩池上清液</w:t>
            </w:r>
            <w:r>
              <w:rPr>
                <w:rFonts w:ascii="Times New Roman" w:eastAsia="宋体" w:hAnsi="Times New Roman" w:hint="default"/>
                <w:color w:val="000000" w:themeColor="text1"/>
                <w14:textFill>
                  <w14:solidFill>
                    <w14:schemeClr w14:val="tx1"/>
                  </w14:solidFill>
                </w14:textFill>
              </w:rPr>
              <w:t>排入市政污水管网</w:t>
            </w:r>
            <w:r>
              <w:rPr>
                <w:rFonts w:ascii="Times New Roman" w:eastAsia="宋体" w:hAnsi="Times New Roman"/>
                <w:color w:val="000000" w:themeColor="text1"/>
                <w14:textFill>
                  <w14:solidFill>
                    <w14:schemeClr w14:val="tx1"/>
                  </w14:solidFill>
                </w14:textFill>
              </w:rPr>
              <w:t>，污泥含水率为6</w:t>
            </w:r>
            <w:r>
              <w:rPr>
                <w:rFonts w:ascii="Times New Roman" w:eastAsia="宋体" w:hAnsi="Times New Roman" w:hint="default"/>
                <w:color w:val="000000" w:themeColor="text1"/>
                <w14:textFill>
                  <w14:solidFill>
                    <w14:schemeClr w14:val="tx1"/>
                  </w14:solidFill>
                </w14:textFill>
              </w:rPr>
              <w:t>0%</w:t>
            </w:r>
            <w:r>
              <w:rPr>
                <w:rFonts w:ascii="Times New Roman" w:eastAsia="宋体" w:hAnsi="Times New Roman"/>
                <w:color w:val="000000" w:themeColor="text1"/>
                <w14:textFill>
                  <w14:solidFill>
                    <w14:schemeClr w14:val="tx1"/>
                  </w14:solidFill>
                </w14:textFill>
              </w:rPr>
              <w:t>，污泥（含水率6</w:t>
            </w:r>
            <w:r>
              <w:rPr>
                <w:rFonts w:ascii="Times New Roman" w:eastAsia="宋体" w:hAnsi="Times New Roman" w:hint="default"/>
                <w:color w:val="000000" w:themeColor="text1"/>
                <w14:textFill>
                  <w14:solidFill>
                    <w14:schemeClr w14:val="tx1"/>
                  </w14:solidFill>
                </w14:textFill>
              </w:rPr>
              <w:t>0%</w:t>
            </w:r>
            <w:r>
              <w:rPr>
                <w:rFonts w:ascii="Times New Roman" w:eastAsia="宋体" w:hAnsi="Times New Roman"/>
                <w:color w:val="000000" w:themeColor="text1"/>
                <w14:textFill>
                  <w14:solidFill>
                    <w14:schemeClr w14:val="tx1"/>
                  </w14:solidFill>
                </w14:textFill>
              </w:rPr>
              <w:t>）携带水量约为</w:t>
            </w:r>
            <w:r>
              <w:rPr>
                <w:rFonts w:ascii="Times New Roman" w:hAnsi="Times New Roman" w:hint="default"/>
                <w:color w:val="000000" w:themeColor="text1"/>
                <w:szCs w:val="21"/>
                <w14:textFill>
                  <w14:solidFill>
                    <w14:schemeClr w14:val="tx1"/>
                  </w14:solidFill>
                </w14:textFill>
              </w:rPr>
              <w:t>4.65t/d</w:t>
            </w:r>
            <w:r>
              <w:rPr>
                <w:rFonts w:ascii="Times New Roman" w:eastAsia="宋体" w:hAnsi="Times New Roman" w:hint="default"/>
                <w:color w:val="000000" w:themeColor="text1"/>
                <w14:textFill>
                  <w14:solidFill>
                    <w14:schemeClr w14:val="tx1"/>
                  </w14:solidFill>
                </w14:textFill>
              </w:rPr>
              <w:t>。废水排放量为1138.55m</w:t>
            </w:r>
            <w:r>
              <w:rPr>
                <w:rFonts w:ascii="Times New Roman" w:eastAsia="宋体" w:hAnsi="Times New Roman" w:hint="default"/>
                <w:color w:val="000000" w:themeColor="text1"/>
                <w:vertAlign w:val="superscript"/>
                <w14:textFill>
                  <w14:solidFill>
                    <w14:schemeClr w14:val="tx1"/>
                  </w14:solidFill>
                </w14:textFill>
              </w:rPr>
              <w:t>3</w:t>
            </w:r>
            <w:r>
              <w:rPr>
                <w:rFonts w:ascii="Times New Roman" w:eastAsia="宋体" w:hAnsi="Times New Roman" w:hint="default"/>
                <w:color w:val="000000" w:themeColor="text1"/>
                <w14:textFill>
                  <w14:solidFill>
                    <w14:schemeClr w14:val="tx1"/>
                  </w14:solidFill>
                </w14:textFill>
              </w:rPr>
              <w:t>/d（415570.75m</w:t>
            </w:r>
            <w:r>
              <w:rPr>
                <w:rFonts w:ascii="Times New Roman" w:eastAsia="宋体" w:hAnsi="Times New Roman" w:hint="default"/>
                <w:color w:val="000000" w:themeColor="text1"/>
                <w:vertAlign w:val="superscript"/>
                <w14:textFill>
                  <w14:solidFill>
                    <w14:schemeClr w14:val="tx1"/>
                  </w14:solidFill>
                </w14:textFill>
              </w:rPr>
              <w:t>3</w:t>
            </w:r>
            <w:r>
              <w:rPr>
                <w:rFonts w:ascii="Times New Roman" w:eastAsia="宋体" w:hAnsi="Times New Roman" w:hint="default"/>
                <w:color w:val="000000" w:themeColor="text1"/>
                <w14:textFill>
                  <w14:solidFill>
                    <w14:schemeClr w14:val="tx1"/>
                  </w14:solidFill>
                </w14:textFill>
              </w:rPr>
              <w:t>/a）</w:t>
            </w:r>
            <w:r>
              <w:rPr>
                <w:rFonts w:ascii="Times New Roman" w:eastAsia="宋体" w:hAnsi="Times New Roman" w:hint="default"/>
                <w:color w:val="000000" w:themeColor="text1"/>
                <w:szCs w:val="24"/>
                <w14:textFill>
                  <w14:solidFill>
                    <w14:schemeClr w14:val="tx1"/>
                  </w14:solidFill>
                </w14:textFill>
              </w:rPr>
              <w:t>。</w:t>
            </w:r>
          </w:p>
          <w:p>
            <w:pPr>
              <w:pStyle w:val="Default"/>
              <w:spacing w:line="360" w:lineRule="auto"/>
              <w:ind w:firstLine="480" w:firstLineChars="200"/>
              <w:jc w:val="both"/>
              <w:rPr>
                <w:rFonts w:ascii="Times New Roman" w:eastAsia="宋体" w:hAnsi="Times New Roman" w:hint="default"/>
                <w:szCs w:val="24"/>
              </w:rPr>
            </w:pPr>
            <w:r>
              <w:rPr>
                <w:rFonts w:ascii="Times New Roman" w:eastAsia="宋体" w:hAnsi="Times New Roman"/>
                <w:color w:val="000000" w:themeColor="text1"/>
                <w:szCs w:val="24"/>
                <w14:textFill>
                  <w14:solidFill>
                    <w14:schemeClr w14:val="tx1"/>
                  </w14:solidFill>
                </w14:textFill>
              </w:rPr>
              <w:t>生产废水经污泥浓缩池沉淀，由离心脱水机处理后，废水进入污泥浓缩池，浓缩池上清液排入市政污水管网，由园区污</w:t>
            </w:r>
            <w:r>
              <w:rPr>
                <w:rFonts w:ascii="Times New Roman" w:eastAsia="宋体" w:hAnsi="Times New Roman"/>
                <w:szCs w:val="24"/>
              </w:rPr>
              <w:t>水处理厂处理后，最终汇入抚河。</w:t>
            </w:r>
          </w:p>
          <w:p>
            <w:pPr>
              <w:spacing w:line="360" w:lineRule="auto"/>
              <w:ind w:firstLine="480" w:firstLineChars="200"/>
              <w:rPr>
                <w:b/>
                <w:color w:val="000000" w:themeColor="text1"/>
                <w:kern w:val="2"/>
                <w:sz w:val="24"/>
                <w:szCs w:val="22"/>
                <w14:textFill>
                  <w14:solidFill>
                    <w14:schemeClr w14:val="tx1"/>
                  </w14:solidFill>
                </w14:textFill>
              </w:rPr>
            </w:pPr>
            <w:r>
              <w:rPr>
                <w:rFonts w:hint="eastAsia"/>
                <w:b/>
                <w:color w:val="000000" w:themeColor="text1"/>
                <w:kern w:val="2"/>
                <w:sz w:val="24"/>
                <w:szCs w:val="22"/>
                <w14:textFill>
                  <w14:solidFill>
                    <w14:schemeClr w14:val="tx1"/>
                  </w14:solidFill>
                </w14:textFill>
              </w:rPr>
              <w:t>3、水平衡图</w:t>
            </w:r>
          </w:p>
          <w:p>
            <w:pPr>
              <w:spacing w:line="240" w:lineRule="auto"/>
              <w:jc w:val="center"/>
              <w:rPr>
                <w:b/>
                <w:kern w:val="2"/>
                <w:sz w:val="24"/>
                <w:szCs w:val="22"/>
              </w:rPr>
            </w:pPr>
            <w:r>
              <w:rPr>
                <w:b/>
                <w:kern w:val="2"/>
                <w:sz w:val="24"/>
                <w:szCs w:val="22"/>
              </w:rPr>
              <mc:AlternateContent>
                <mc:Choice Requires="wpc">
                  <w:drawing>
                    <wp:inline distT="0" distB="0" distL="0" distR="0">
                      <wp:extent cx="5573395" cy="2713990"/>
                      <wp:effectExtent l="0" t="0" r="8255" b="0"/>
                      <wp:docPr id="4" name="画布 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s:wsp xmlns:wps="http://schemas.microsoft.com/office/word/2010/wordprocessingShape">
                              <wps:cNvPr id="5" name="文本框 5"/>
                              <wps:cNvSpPr txBox="1"/>
                              <wps:spPr>
                                <a:xfrm>
                                  <a:off x="152400" y="75150"/>
                                  <a:ext cx="771525" cy="441046"/>
                                </a:xfrm>
                                <a:prstGeom prst="rect">
                                  <a:avLst/>
                                </a:prstGeom>
                                <a:noFill/>
                                <a:ln w="6350">
                                  <a:noFill/>
                                </a:ln>
                              </wps:spPr>
                              <wps:txbx>
                                <w:txbxContent>
                                  <w:p>
                                    <w:pPr>
                                      <w:spacing w:line="240" w:lineRule="auto"/>
                                      <w:jc w:val="center"/>
                                    </w:pPr>
                                    <w:r>
                                      <w:rPr>
                                        <w:rFonts w:hint="eastAsia"/>
                                      </w:rPr>
                                      <w:t>原水</w:t>
                                    </w:r>
                                    <w:r>
                                      <w:t>53728.8</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9" name="直接箭头连接符 9"/>
                              <wps:cNvCnPr/>
                              <wps:spPr>
                                <a:xfrm flipV="1">
                                  <a:off x="694611" y="289424"/>
                                  <a:ext cx="3600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176" name="文本框 5"/>
                              <wps:cNvSpPr txBox="1"/>
                              <wps:spPr>
                                <a:xfrm>
                                  <a:off x="1069914" y="152479"/>
                                  <a:ext cx="771525" cy="261098"/>
                                </a:xfrm>
                                <a:prstGeom prst="rect">
                                  <a:avLst/>
                                </a:prstGeom>
                                <a:noFill/>
                                <a:ln w="6350">
                                  <a:solidFill>
                                    <a:schemeClr val="tx1"/>
                                  </a:solidFill>
                                </a:ln>
                              </wps:spPr>
                              <wps:txbx>
                                <w:txbxContent>
                                  <w:p>
                                    <w:pPr>
                                      <w:spacing w:line="240" w:lineRule="auto"/>
                                      <w:jc w:val="center"/>
                                      <w:rPr>
                                        <w:sz w:val="24"/>
                                        <w:szCs w:val="24"/>
                                      </w:rPr>
                                    </w:pPr>
                                    <w:r>
                                      <w:rPr>
                                        <w:rFonts w:hint="eastAsia"/>
                                        <w:szCs w:val="21"/>
                                      </w:rPr>
                                      <w:t>配水井</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77" name="直接箭头连接符 177"/>
                              <wps:cNvCnPr/>
                              <wps:spPr>
                                <a:xfrm flipV="1">
                                  <a:off x="1857341" y="289429"/>
                                  <a:ext cx="3600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178" name="文本框 5"/>
                              <wps:cNvSpPr txBox="1"/>
                              <wps:spPr>
                                <a:xfrm>
                                  <a:off x="2233243" y="152147"/>
                                  <a:ext cx="978130" cy="260985"/>
                                </a:xfrm>
                                <a:prstGeom prst="rect">
                                  <a:avLst/>
                                </a:prstGeom>
                                <a:noFill/>
                                <a:ln w="6350">
                                  <a:solidFill>
                                    <a:schemeClr val="tx1"/>
                                  </a:solidFill>
                                </a:ln>
                              </wps:spPr>
                              <wps:txbx>
                                <w:txbxContent>
                                  <w:p>
                                    <w:pPr>
                                      <w:spacing w:line="240" w:lineRule="auto"/>
                                      <w:jc w:val="center"/>
                                      <w:rPr>
                                        <w:sz w:val="24"/>
                                        <w:szCs w:val="24"/>
                                      </w:rPr>
                                    </w:pPr>
                                    <w:r>
                                      <w:rPr>
                                        <w:rFonts w:hint="eastAsia"/>
                                        <w:szCs w:val="21"/>
                                      </w:rPr>
                                      <w:t>絮凝沉淀池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79" name="直接箭头连接符 179"/>
                              <wps:cNvCnPr/>
                              <wps:spPr>
                                <a:xfrm>
                                  <a:off x="3219324" y="281514"/>
                                  <a:ext cx="549594"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180" name="文本框 5"/>
                              <wps:cNvSpPr txBox="1"/>
                              <wps:spPr>
                                <a:xfrm>
                                  <a:off x="2123644" y="843789"/>
                                  <a:ext cx="1217204" cy="260985"/>
                                </a:xfrm>
                                <a:prstGeom prst="rect">
                                  <a:avLst/>
                                </a:prstGeom>
                                <a:noFill/>
                                <a:ln w="6350">
                                  <a:solidFill>
                                    <a:schemeClr val="tx1"/>
                                  </a:solidFill>
                                </a:ln>
                              </wps:spPr>
                              <wps:txbx>
                                <w:txbxContent>
                                  <w:p>
                                    <w:pPr>
                                      <w:spacing w:line="240" w:lineRule="auto"/>
                                      <w:jc w:val="center"/>
                                      <w:rPr>
                                        <w:sz w:val="24"/>
                                        <w:szCs w:val="24"/>
                                      </w:rPr>
                                    </w:pPr>
                                    <w:r>
                                      <w:rPr>
                                        <w:rFonts w:hint="eastAsia"/>
                                        <w:szCs w:val="21"/>
                                      </w:rPr>
                                      <w:t>气水反冲洗池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81" name="文本框 5"/>
                              <wps:cNvSpPr txBox="1"/>
                              <wps:spPr>
                                <a:xfrm>
                                  <a:off x="930601" y="835756"/>
                                  <a:ext cx="771525" cy="260985"/>
                                </a:xfrm>
                                <a:prstGeom prst="rect">
                                  <a:avLst/>
                                </a:prstGeom>
                                <a:noFill/>
                                <a:ln w="6350">
                                  <a:solidFill>
                                    <a:schemeClr val="tx1"/>
                                  </a:solidFill>
                                </a:ln>
                              </wps:spPr>
                              <wps:txbx>
                                <w:txbxContent>
                                  <w:p>
                                    <w:pPr>
                                      <w:spacing w:line="240" w:lineRule="auto"/>
                                      <w:jc w:val="center"/>
                                      <w:rPr>
                                        <w:sz w:val="24"/>
                                        <w:szCs w:val="24"/>
                                      </w:rPr>
                                    </w:pPr>
                                    <w:r>
                                      <w:rPr>
                                        <w:rFonts w:hint="eastAsia"/>
                                        <w:szCs w:val="21"/>
                                      </w:rPr>
                                      <w:t>回水池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82" name="文本框 5"/>
                              <wps:cNvSpPr txBox="1"/>
                              <wps:spPr>
                                <a:xfrm>
                                  <a:off x="3760651" y="834507"/>
                                  <a:ext cx="899470" cy="260985"/>
                                </a:xfrm>
                                <a:prstGeom prst="rect">
                                  <a:avLst/>
                                </a:prstGeom>
                                <a:noFill/>
                                <a:ln w="6350">
                                  <a:solidFill>
                                    <a:schemeClr val="tx1"/>
                                  </a:solidFill>
                                </a:ln>
                              </wps:spPr>
                              <wps:txbx>
                                <w:txbxContent>
                                  <w:p>
                                    <w:pPr>
                                      <w:spacing w:line="240" w:lineRule="auto"/>
                                      <w:jc w:val="center"/>
                                      <w:rPr>
                                        <w:sz w:val="24"/>
                                        <w:szCs w:val="24"/>
                                      </w:rPr>
                                    </w:pPr>
                                    <w:r>
                                      <w:rPr>
                                        <w:rFonts w:hint="eastAsia"/>
                                        <w:szCs w:val="21"/>
                                      </w:rPr>
                                      <w:t>污泥浓缩池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83" name="文本框 5"/>
                              <wps:cNvSpPr txBox="1"/>
                              <wps:spPr>
                                <a:xfrm>
                                  <a:off x="2346573" y="1503726"/>
                                  <a:ext cx="771525" cy="260985"/>
                                </a:xfrm>
                                <a:prstGeom prst="rect">
                                  <a:avLst/>
                                </a:prstGeom>
                                <a:noFill/>
                                <a:ln w="6350">
                                  <a:solidFill>
                                    <a:schemeClr val="tx1"/>
                                  </a:solidFill>
                                </a:ln>
                              </wps:spPr>
                              <wps:txbx>
                                <w:txbxContent>
                                  <w:p>
                                    <w:pPr>
                                      <w:spacing w:line="240" w:lineRule="auto"/>
                                      <w:jc w:val="center"/>
                                      <w:rPr>
                                        <w:sz w:val="24"/>
                                        <w:szCs w:val="24"/>
                                      </w:rPr>
                                    </w:pPr>
                                    <w:r>
                                      <w:rPr>
                                        <w:rFonts w:hint="eastAsia"/>
                                        <w:szCs w:val="21"/>
                                      </w:rPr>
                                      <w:t>清水池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93" name="直接箭头连接符 193"/>
                              <wps:cNvCnPr/>
                              <wps:spPr>
                                <a:xfrm>
                                  <a:off x="2729576" y="1116468"/>
                                  <a:ext cx="0" cy="39141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195" name="文本框 5"/>
                              <wps:cNvSpPr txBox="1"/>
                              <wps:spPr>
                                <a:xfrm>
                                  <a:off x="2596358" y="1182250"/>
                                  <a:ext cx="771525" cy="273790"/>
                                </a:xfrm>
                                <a:prstGeom prst="rect">
                                  <a:avLst/>
                                </a:prstGeom>
                                <a:noFill/>
                                <a:ln w="6350">
                                  <a:noFill/>
                                </a:ln>
                              </wps:spPr>
                              <wps:txbx>
                                <w:txbxContent>
                                  <w:p>
                                    <w:pPr>
                                      <w:spacing w:line="240" w:lineRule="auto"/>
                                      <w:jc w:val="center"/>
                                      <w:rPr>
                                        <w:sz w:val="24"/>
                                        <w:szCs w:val="24"/>
                                      </w:rPr>
                                    </w:pPr>
                                    <w:r>
                                      <w:rPr>
                                        <w:rFonts w:hint="eastAsia"/>
                                        <w:szCs w:val="21"/>
                                      </w:rPr>
                                      <w:t>5</w:t>
                                    </w:r>
                                    <w:r>
                                      <w:rPr>
                                        <w:szCs w:val="21"/>
                                      </w:rPr>
                                      <w:t>0000</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01" name="文本框 5"/>
                              <wps:cNvSpPr txBox="1"/>
                              <wps:spPr>
                                <a:xfrm>
                                  <a:off x="1712378" y="8248"/>
                                  <a:ext cx="665064" cy="288226"/>
                                </a:xfrm>
                                <a:prstGeom prst="rect">
                                  <a:avLst/>
                                </a:prstGeom>
                                <a:noFill/>
                                <a:ln w="6350">
                                  <a:noFill/>
                                </a:ln>
                              </wps:spPr>
                              <wps:txbx>
                                <w:txbxContent>
                                  <w:p>
                                    <w:pPr>
                                      <w:spacing w:line="240" w:lineRule="auto"/>
                                      <w:jc w:val="center"/>
                                      <w:rPr>
                                        <w:sz w:val="24"/>
                                        <w:szCs w:val="24"/>
                                      </w:rPr>
                                    </w:pPr>
                                    <w:r>
                                      <w:rPr>
                                        <w:szCs w:val="21"/>
                                      </w:rPr>
                                      <w:t>52436</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08" name="直接箭头连接符 208"/>
                              <wps:cNvCnPr/>
                              <wps:spPr>
                                <a:xfrm flipV="1">
                                  <a:off x="4166783" y="413541"/>
                                  <a:ext cx="0" cy="432000"/>
                                </a:xfrm>
                                <a:prstGeom prst="straightConnector1">
                                  <a:avLst/>
                                </a:prstGeom>
                                <a:ln>
                                  <a:solidFill>
                                    <a:schemeClr val="tx1"/>
                                  </a:solidFill>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09" name="直接箭头连接符 209"/>
                              <wps:cNvCnPr/>
                              <wps:spPr>
                                <a:xfrm>
                                  <a:off x="2729576" y="424757"/>
                                  <a:ext cx="0" cy="3911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10" name="文本框 5"/>
                              <wps:cNvSpPr txBox="1"/>
                              <wps:spPr>
                                <a:xfrm>
                                  <a:off x="3165646" y="44052"/>
                                  <a:ext cx="629655" cy="273685"/>
                                </a:xfrm>
                                <a:prstGeom prst="rect">
                                  <a:avLst/>
                                </a:prstGeom>
                                <a:noFill/>
                                <a:ln w="6350">
                                  <a:noFill/>
                                </a:ln>
                              </wps:spPr>
                              <wps:txbx>
                                <w:txbxContent>
                                  <w:p>
                                    <w:pPr>
                                      <w:spacing w:line="312" w:lineRule="exact"/>
                                      <w:jc w:val="center"/>
                                      <w:rPr>
                                        <w:sz w:val="24"/>
                                        <w:szCs w:val="24"/>
                                      </w:rPr>
                                    </w:pPr>
                                    <w:r>
                                      <w:rPr>
                                        <w:szCs w:val="21"/>
                                      </w:rPr>
                                      <w:t>820</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12" name="文本框 5"/>
                              <wps:cNvSpPr txBox="1"/>
                              <wps:spPr>
                                <a:xfrm>
                                  <a:off x="1509001" y="720365"/>
                                  <a:ext cx="771525" cy="273050"/>
                                </a:xfrm>
                                <a:prstGeom prst="rect">
                                  <a:avLst/>
                                </a:prstGeom>
                                <a:noFill/>
                                <a:ln w="6350">
                                  <a:noFill/>
                                </a:ln>
                              </wps:spPr>
                              <wps:txbx>
                                <w:txbxContent>
                                  <w:p>
                                    <w:pPr>
                                      <w:spacing w:line="240" w:lineRule="auto"/>
                                      <w:jc w:val="center"/>
                                      <w:rPr>
                                        <w:sz w:val="24"/>
                                        <w:szCs w:val="24"/>
                                      </w:rPr>
                                    </w:pPr>
                                    <w:r>
                                      <w:rPr>
                                        <w:szCs w:val="21"/>
                                      </w:rPr>
                                      <w:t>1616</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13" name="文本框 5"/>
                              <wps:cNvSpPr txBox="1"/>
                              <wps:spPr>
                                <a:xfrm>
                                  <a:off x="2577410" y="455114"/>
                                  <a:ext cx="771525" cy="273050"/>
                                </a:xfrm>
                                <a:prstGeom prst="rect">
                                  <a:avLst/>
                                </a:prstGeom>
                                <a:noFill/>
                                <a:ln w="6350">
                                  <a:noFill/>
                                </a:ln>
                              </wps:spPr>
                              <wps:txbx>
                                <w:txbxContent>
                                  <w:p>
                                    <w:pPr>
                                      <w:spacing w:line="312" w:lineRule="exact"/>
                                      <w:jc w:val="center"/>
                                      <w:rPr>
                                        <w:sz w:val="24"/>
                                        <w:szCs w:val="24"/>
                                      </w:rPr>
                                    </w:pPr>
                                    <w:r>
                                      <w:rPr>
                                        <w:szCs w:val="21"/>
                                      </w:rPr>
                                      <w:t>51616</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14" name="文本框 5"/>
                              <wps:cNvSpPr txBox="1"/>
                              <wps:spPr>
                                <a:xfrm>
                                  <a:off x="2217341" y="2119068"/>
                                  <a:ext cx="1038758" cy="273685"/>
                                </a:xfrm>
                                <a:prstGeom prst="rect">
                                  <a:avLst/>
                                </a:prstGeom>
                                <a:noFill/>
                                <a:ln w="6350">
                                  <a:noFill/>
                                </a:ln>
                              </wps:spPr>
                              <wps:txbx>
                                <w:txbxContent>
                                  <w:p>
                                    <w:pPr>
                                      <w:jc w:val="center"/>
                                    </w:pPr>
                                    <w:r>
                                      <w:rPr>
                                        <w:rFonts w:hint="eastAsia"/>
                                        <w:szCs w:val="21"/>
                                      </w:rPr>
                                      <w:t>供水系统</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15" name="文本框 5"/>
                              <wps:cNvSpPr txBox="1"/>
                              <wps:spPr>
                                <a:xfrm>
                                  <a:off x="2567933" y="1810516"/>
                                  <a:ext cx="771525" cy="273685"/>
                                </a:xfrm>
                                <a:prstGeom prst="rect">
                                  <a:avLst/>
                                </a:prstGeom>
                                <a:noFill/>
                                <a:ln w="6350">
                                  <a:noFill/>
                                </a:ln>
                              </wps:spPr>
                              <wps:txbx>
                                <w:txbxContent>
                                  <w:p>
                                    <w:pPr>
                                      <w:spacing w:line="312" w:lineRule="exact"/>
                                      <w:jc w:val="center"/>
                                      <w:rPr>
                                        <w:sz w:val="24"/>
                                        <w:szCs w:val="24"/>
                                      </w:rPr>
                                    </w:pPr>
                                    <w:r>
                                      <w:rPr>
                                        <w:szCs w:val="21"/>
                                      </w:rPr>
                                      <w:t>50000</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16" name="直接箭头连接符 216"/>
                              <wps:cNvCnPr/>
                              <wps:spPr>
                                <a:xfrm>
                                  <a:off x="2729801" y="1771780"/>
                                  <a:ext cx="0" cy="432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17" name="文本框 5"/>
                              <wps:cNvSpPr txBox="1"/>
                              <wps:spPr>
                                <a:xfrm>
                                  <a:off x="4912952" y="1069990"/>
                                  <a:ext cx="629285" cy="401985"/>
                                </a:xfrm>
                                <a:prstGeom prst="rect">
                                  <a:avLst/>
                                </a:prstGeom>
                                <a:noFill/>
                                <a:ln w="6350">
                                  <a:noFill/>
                                </a:ln>
                              </wps:spPr>
                              <wps:txbx>
                                <w:txbxContent>
                                  <w:p>
                                    <w:pPr>
                                      <w:spacing w:line="240" w:lineRule="auto"/>
                                      <w:jc w:val="center"/>
                                      <w:rPr>
                                        <w:szCs w:val="21"/>
                                      </w:rPr>
                                    </w:pPr>
                                    <w:r>
                                      <w:rPr>
                                        <w:rFonts w:hint="eastAsia"/>
                                        <w:szCs w:val="21"/>
                                      </w:rPr>
                                      <w:t>废水</w:t>
                                    </w:r>
                                  </w:p>
                                  <w:p>
                                    <w:pPr>
                                      <w:spacing w:line="240" w:lineRule="auto"/>
                                      <w:jc w:val="center"/>
                                      <w:rPr>
                                        <w:sz w:val="24"/>
                                        <w:szCs w:val="24"/>
                                      </w:rPr>
                                    </w:pPr>
                                    <w:r>
                                      <w:rPr>
                                        <w:rFonts w:hint="eastAsia"/>
                                        <w:szCs w:val="21"/>
                                      </w:rPr>
                                      <w:t>5</w:t>
                                    </w:r>
                                    <w:r>
                                      <w:rPr>
                                        <w:szCs w:val="21"/>
                                      </w:rPr>
                                      <w:t>66.95</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5" name="直接箭头连接符 15"/>
                              <wps:cNvCnPr/>
                              <wps:spPr>
                                <a:xfrm>
                                  <a:off x="1354001" y="421254"/>
                                  <a:ext cx="0" cy="396000"/>
                                </a:xfrm>
                                <a:prstGeom prst="straightConnector1">
                                  <a:avLst/>
                                </a:prstGeom>
                                <a:ln>
                                  <a:solidFill>
                                    <a:schemeClr val="tx1"/>
                                  </a:solidFill>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18" name="文本框 5"/>
                              <wps:cNvSpPr txBox="1"/>
                              <wps:spPr>
                                <a:xfrm>
                                  <a:off x="4122835" y="1518638"/>
                                  <a:ext cx="1029849" cy="260350"/>
                                </a:xfrm>
                                <a:prstGeom prst="rect">
                                  <a:avLst/>
                                </a:prstGeom>
                                <a:noFill/>
                                <a:ln w="6350">
                                  <a:solidFill>
                                    <a:schemeClr val="tx1"/>
                                  </a:solidFill>
                                </a:ln>
                              </wps:spPr>
                              <wps:txbx>
                                <w:txbxContent>
                                  <w:p>
                                    <w:pPr>
                                      <w:spacing w:line="240" w:lineRule="auto"/>
                                      <w:jc w:val="center"/>
                                      <w:rPr>
                                        <w:sz w:val="24"/>
                                        <w:szCs w:val="24"/>
                                      </w:rPr>
                                    </w:pPr>
                                    <w:r>
                                      <w:rPr>
                                        <w:rFonts w:hint="eastAsia"/>
                                        <w:szCs w:val="21"/>
                                      </w:rPr>
                                      <w:t>离心脱水</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19" name="文本框 5"/>
                              <wps:cNvSpPr txBox="1"/>
                              <wps:spPr>
                                <a:xfrm>
                                  <a:off x="4228010" y="1198675"/>
                                  <a:ext cx="629285" cy="273050"/>
                                </a:xfrm>
                                <a:prstGeom prst="rect">
                                  <a:avLst/>
                                </a:prstGeom>
                                <a:noFill/>
                                <a:ln w="6350">
                                  <a:noFill/>
                                </a:ln>
                              </wps:spPr>
                              <wps:txbx>
                                <w:txbxContent>
                                  <w:p>
                                    <w:pPr>
                                      <w:spacing w:line="312" w:lineRule="exact"/>
                                      <w:jc w:val="center"/>
                                      <w:rPr>
                                        <w:szCs w:val="21"/>
                                      </w:rPr>
                                    </w:pPr>
                                    <w:r>
                                      <w:rPr>
                                        <w:rFonts w:hint="eastAsia"/>
                                        <w:szCs w:val="21"/>
                                      </w:rPr>
                                      <w:t>5</w:t>
                                    </w:r>
                                    <w:r>
                                      <w:rPr>
                                        <w:szCs w:val="21"/>
                                      </w:rPr>
                                      <w:t>71.6</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6" name="直接箭头连接符 16"/>
                              <wps:cNvCnPr/>
                              <wps:spPr>
                                <a:xfrm flipV="1">
                                  <a:off x="4325746" y="1096534"/>
                                  <a:ext cx="0" cy="396000"/>
                                </a:xfrm>
                                <a:prstGeom prst="straightConnector1">
                                  <a:avLst/>
                                </a:prstGeom>
                                <a:ln>
                                  <a:solidFill>
                                    <a:schemeClr val="tx1"/>
                                  </a:solidFill>
                                  <a:prstDash val="solid"/>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20" name="文本框 5"/>
                              <wps:cNvSpPr txBox="1"/>
                              <wps:spPr>
                                <a:xfrm>
                                  <a:off x="4798360" y="124881"/>
                                  <a:ext cx="759132" cy="442277"/>
                                </a:xfrm>
                                <a:prstGeom prst="rect">
                                  <a:avLst/>
                                </a:prstGeom>
                                <a:noFill/>
                                <a:ln w="6350">
                                  <a:noFill/>
                                </a:ln>
                              </wps:spPr>
                              <wps:txbx>
                                <w:txbxContent>
                                  <w:p>
                                    <w:pPr>
                                      <w:spacing w:line="240" w:lineRule="auto"/>
                                      <w:jc w:val="center"/>
                                    </w:pPr>
                                    <w:r>
                                      <w:rPr>
                                        <w:rFonts w:hint="eastAsia"/>
                                        <w:szCs w:val="21"/>
                                      </w:rPr>
                                      <w:t>市政管网排水</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21" name="文本框 5"/>
                              <wps:cNvSpPr txBox="1"/>
                              <wps:spPr>
                                <a:xfrm>
                                  <a:off x="4166783" y="2155799"/>
                                  <a:ext cx="956048" cy="531595"/>
                                </a:xfrm>
                                <a:prstGeom prst="rect">
                                  <a:avLst/>
                                </a:prstGeom>
                                <a:noFill/>
                                <a:ln w="6350">
                                  <a:noFill/>
                                </a:ln>
                              </wps:spPr>
                              <wps:txbx>
                                <w:txbxContent>
                                  <w:p>
                                    <w:pPr>
                                      <w:spacing w:line="240" w:lineRule="auto"/>
                                      <w:jc w:val="center"/>
                                      <w:rPr>
                                        <w:sz w:val="24"/>
                                        <w:szCs w:val="24"/>
                                      </w:rPr>
                                    </w:pPr>
                                    <w:r>
                                      <w:rPr>
                                        <w:rFonts w:hint="eastAsia"/>
                                        <w:szCs w:val="21"/>
                                      </w:rPr>
                                      <w:t>污泥（含水率6</w:t>
                                    </w:r>
                                    <w:r>
                                      <w:rPr>
                                        <w:szCs w:val="21"/>
                                      </w:rPr>
                                      <w:t>0%</w:t>
                                    </w:r>
                                    <w:r>
                                      <w:rPr>
                                        <w:rFonts w:hint="eastAsia"/>
                                        <w:szCs w:val="21"/>
                                      </w:rPr>
                                      <w:t>）4</w:t>
                                    </w:r>
                                    <w:r>
                                      <w:rPr>
                                        <w:szCs w:val="21"/>
                                      </w:rPr>
                                      <w:t>.65</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22" name="直接箭头连接符 222"/>
                              <wps:cNvCnPr/>
                              <wps:spPr>
                                <a:xfrm>
                                  <a:off x="4647108" y="1797581"/>
                                  <a:ext cx="0" cy="37662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79" name="文本框 5"/>
                              <wps:cNvSpPr txBox="1"/>
                              <wps:spPr>
                                <a:xfrm>
                                  <a:off x="1294448" y="2238152"/>
                                  <a:ext cx="955675" cy="314848"/>
                                </a:xfrm>
                                <a:prstGeom prst="rect">
                                  <a:avLst/>
                                </a:prstGeom>
                                <a:noFill/>
                                <a:ln w="6350">
                                  <a:noFill/>
                                </a:ln>
                              </wps:spPr>
                              <wps:txbx>
                                <w:txbxContent>
                                  <w:p>
                                    <w:pPr>
                                      <w:spacing w:line="240" w:lineRule="auto"/>
                                      <w:jc w:val="center"/>
                                      <w:rPr>
                                        <w:sz w:val="24"/>
                                        <w:szCs w:val="24"/>
                                      </w:rPr>
                                    </w:pPr>
                                    <w:r>
                                      <w:rPr>
                                        <w:rFonts w:hint="eastAsia"/>
                                        <w:szCs w:val="21"/>
                                      </w:rPr>
                                      <w:t>沉淀泥</w:t>
                                    </w:r>
                                    <w:r>
                                      <w:rPr>
                                        <w:szCs w:val="21"/>
                                      </w:rPr>
                                      <w:t>323.2</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65" name="连接符: 肘形 65"/>
                              <wps:cNvCnPr>
                                <a:stCxn id="181" idx="2"/>
                              </wps:cNvCnPr>
                              <wps:spPr>
                                <a:xfrm rot="5400000" flipH="1" flipV="1">
                                  <a:off x="2651330" y="-239714"/>
                                  <a:ext cx="1368" cy="2671300"/>
                                </a:xfrm>
                                <a:prstGeom prst="bentConnector4">
                                  <a:avLst>
                                    <a:gd name="adj1" fmla="val -99827339"/>
                                    <a:gd name="adj2" fmla="val 99780"/>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95" name="文本框 5"/>
                              <wps:cNvSpPr txBox="1"/>
                              <wps:spPr>
                                <a:xfrm>
                                  <a:off x="3794982" y="127852"/>
                                  <a:ext cx="743925" cy="309892"/>
                                </a:xfrm>
                                <a:prstGeom prst="rect">
                                  <a:avLst/>
                                </a:prstGeom>
                                <a:noFill/>
                                <a:ln w="6350">
                                  <a:solidFill>
                                    <a:schemeClr val="tx1"/>
                                  </a:solidFill>
                                </a:ln>
                              </wps:spPr>
                              <wps:txbx>
                                <w:txbxContent>
                                  <w:p>
                                    <w:pPr>
                                      <w:spacing w:line="312" w:lineRule="exact"/>
                                      <w:jc w:val="center"/>
                                      <w:rPr>
                                        <w:sz w:val="24"/>
                                        <w:szCs w:val="24"/>
                                      </w:rPr>
                                    </w:pPr>
                                    <w:r>
                                      <w:rPr>
                                        <w:rFonts w:hint="eastAsia"/>
                                        <w:szCs w:val="21"/>
                                      </w:rPr>
                                      <w:t>排泥池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96" name="直接箭头连接符 296"/>
                              <wps:cNvCnPr/>
                              <wps:spPr>
                                <a:xfrm>
                                  <a:off x="1716196" y="970047"/>
                                  <a:ext cx="396000" cy="0"/>
                                </a:xfrm>
                                <a:prstGeom prst="straightConnector1">
                                  <a:avLst/>
                                </a:prstGeom>
                                <a:ln>
                                  <a:solidFill>
                                    <a:schemeClr val="tx1"/>
                                  </a:solidFill>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97" name="文本框 5"/>
                              <wps:cNvSpPr txBox="1"/>
                              <wps:spPr>
                                <a:xfrm>
                                  <a:off x="1189814" y="486847"/>
                                  <a:ext cx="771525" cy="272415"/>
                                </a:xfrm>
                                <a:prstGeom prst="rect">
                                  <a:avLst/>
                                </a:prstGeom>
                                <a:noFill/>
                                <a:ln w="6350">
                                  <a:noFill/>
                                </a:ln>
                              </wps:spPr>
                              <wps:txbx>
                                <w:txbxContent>
                                  <w:p>
                                    <w:pPr>
                                      <w:spacing w:line="312" w:lineRule="exact"/>
                                      <w:jc w:val="center"/>
                                      <w:rPr>
                                        <w:sz w:val="24"/>
                                        <w:szCs w:val="24"/>
                                      </w:rPr>
                                    </w:pPr>
                                    <w:r>
                                      <w:rPr>
                                        <w:szCs w:val="21"/>
                                      </w:rPr>
                                      <w:t>1292.8</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98" name="文本框 5"/>
                              <wps:cNvSpPr txBox="1"/>
                              <wps:spPr>
                                <a:xfrm>
                                  <a:off x="3996627" y="425217"/>
                                  <a:ext cx="629285" cy="273685"/>
                                </a:xfrm>
                                <a:prstGeom prst="rect">
                                  <a:avLst/>
                                </a:prstGeom>
                                <a:noFill/>
                                <a:ln w="6350">
                                  <a:noFill/>
                                </a:ln>
                              </wps:spPr>
                              <wps:txbx>
                                <w:txbxContent>
                                  <w:p>
                                    <w:pPr>
                                      <w:spacing w:line="312" w:lineRule="exact"/>
                                      <w:jc w:val="center"/>
                                      <w:rPr>
                                        <w:sz w:val="24"/>
                                        <w:szCs w:val="24"/>
                                      </w:rPr>
                                    </w:pPr>
                                    <w:r>
                                      <w:rPr>
                                        <w:szCs w:val="21"/>
                                      </w:rPr>
                                      <w:t>820</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33" name="连接符: 肘形 33"/>
                              <wps:cNvCnPr/>
                              <wps:spPr>
                                <a:xfrm rot="16200000" flipV="1">
                                  <a:off x="4608012" y="1094165"/>
                                  <a:ext cx="445510" cy="341208"/>
                                </a:xfrm>
                                <a:prstGeom prst="bentConnector3">
                                  <a:avLst>
                                    <a:gd name="adj1" fmla="val 99972"/>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99" name="连接符: 肘形 299"/>
                              <wps:cNvCnPr>
                                <a:stCxn id="182" idx="3"/>
                                <a:endCxn id="220" idx="2"/>
                              </wps:cNvCnPr>
                              <wps:spPr>
                                <a:xfrm flipV="1">
                                  <a:off x="4660121" y="567158"/>
                                  <a:ext cx="517805" cy="397842"/>
                                </a:xfrm>
                                <a:prstGeom prst="bentConnector2">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300" name="文本框 5"/>
                              <wps:cNvSpPr txBox="1"/>
                              <wps:spPr>
                                <a:xfrm>
                                  <a:off x="4647108" y="665661"/>
                                  <a:ext cx="629285" cy="273050"/>
                                </a:xfrm>
                                <a:prstGeom prst="rect">
                                  <a:avLst/>
                                </a:prstGeom>
                                <a:noFill/>
                                <a:ln w="6350">
                                  <a:noFill/>
                                </a:ln>
                              </wps:spPr>
                              <wps:txbx>
                                <w:txbxContent>
                                  <w:p>
                                    <w:pPr>
                                      <w:spacing w:line="312" w:lineRule="exact"/>
                                      <w:jc w:val="center"/>
                                      <w:rPr>
                                        <w:sz w:val="24"/>
                                        <w:szCs w:val="24"/>
                                      </w:rPr>
                                    </w:pPr>
                                    <w:r>
                                      <w:rPr>
                                        <w:szCs w:val="21"/>
                                      </w:rPr>
                                      <w:t>1138.55</w:t>
                                    </w:r>
                                  </w:p>
                                </w:txbxContent>
                              </wps:txbx>
                              <wps:bodyPr rot="0" spcFirstLastPara="0" vert="horz" wrap="square" lIns="91440" tIns="45720" rIns="91440" bIns="45720" numCol="1" spcCol="0" rtlCol="0" fromWordArt="0" anchor="t" anchorCtr="0" forceAA="0" compatLnSpc="1"/>
                            </wps:wsp>
                          </wpc:wpc>
                        </a:graphicData>
                      </a:graphic>
                    </wp:inline>
                  </w:drawing>
                </mc:Choice>
                <mc:Fallback>
                  <w:pict>
                    <v:group id="_x0000_s1026" o:spid="_x0000_i1026" editas="canvas" style="width:438.85pt;height:213.7pt" coordsize="5573395,2714584">
                      <o:lock v:ext="edit" aspectratio="f"/>
                      <v:shape id="_x0000_s1026" o:spid="_x0000_s1027" style="width:5573395;height:2714584;position:absolute" coordsize="21600,21600" filled="t" fillcolor="white" stroked="f">
                        <o:lock v:ext="edit" aspectratio="t"/>
                      </v:shape>
                      <v:shapetype id="_x0000_t202" coordsize="21600,21600" o:spt="202" path="m,l,21600r21600,l21600,xe">
                        <v:stroke joinstyle="miter"/>
                        <v:path gradientshapeok="t" o:connecttype="rect"/>
                      </v:shapetype>
                      <v:shape id="_x0000_s1026" o:spid="_x0000_s1028" type="#_x0000_t202" style="width:771525;height:441046;left:152400;position:absolute;top:75150" coordsize="21600,21600" filled="f" stroked="f">
                        <o:lock v:ext="edit" aspectratio="f"/>
                        <v:textbox>
                          <w:txbxContent>
                            <w:p>
                              <w:pPr>
                                <w:spacing w:line="240" w:lineRule="auto"/>
                                <w:jc w:val="center"/>
                              </w:pPr>
                              <w:r>
                                <w:rPr>
                                  <w:rFonts w:hint="eastAsia"/>
                                </w:rPr>
                                <w:t>原水</w:t>
                              </w:r>
                              <w:r>
                                <w:t>53728.8</w:t>
                              </w:r>
                            </w:p>
                          </w:txbxContent>
                        </v:textbox>
                      </v:shape>
                      <v:shapetype id="_x0000_t32" coordsize="21600,21600" o:spt="32" o:oned="t" path="m,l21600,21600e" filled="f">
                        <v:path arrowok="t" fillok="f" o:connecttype="none"/>
                        <o:lock v:ext="edit" shapetype="t"/>
                      </v:shapetype>
                      <v:shape id="_x0000_s1026" o:spid="_x0000_s1029" type="#_x0000_t32" style="width:360000;height:0;flip:y;left:694611;position:absolute;top:289424" coordsize="21600,21600" filled="f" stroked="t" strokecolor="black">
                        <v:stroke joinstyle="round" endarrow="block"/>
                        <o:lock v:ext="edit" aspectratio="f"/>
                      </v:shape>
                      <v:shape id="文本框 5" o:spid="_x0000_s1030" type="#_x0000_t202" style="width:771525;height:261098;left:1069914;position:absolute;top:152479" coordsize="21600,21600" filled="f" stroked="t" strokecolor="black">
                        <v:stroke joinstyle="round"/>
                        <o:lock v:ext="edit" aspectratio="f"/>
                        <v:textbox>
                          <w:txbxContent>
                            <w:p>
                              <w:pPr>
                                <w:spacing w:line="240" w:lineRule="auto"/>
                                <w:jc w:val="center"/>
                                <w:rPr>
                                  <w:sz w:val="24"/>
                                  <w:szCs w:val="24"/>
                                </w:rPr>
                              </w:pPr>
                              <w:r>
                                <w:rPr>
                                  <w:rFonts w:hint="eastAsia"/>
                                  <w:szCs w:val="21"/>
                                </w:rPr>
                                <w:t>配水井</w:t>
                              </w:r>
                            </w:p>
                          </w:txbxContent>
                        </v:textbox>
                      </v:shape>
                      <v:shape id="_x0000_s1026" o:spid="_x0000_s1031" type="#_x0000_t32" style="width:360000;height:0;flip:y;left:1857341;position:absolute;top:289429" coordsize="21600,21600" filled="f" stroked="t" strokecolor="black">
                        <v:stroke joinstyle="round" endarrow="block"/>
                        <o:lock v:ext="edit" aspectratio="f"/>
                      </v:shape>
                      <v:shape id="文本框 5" o:spid="_x0000_s1032" type="#_x0000_t202" style="width:978130;height:260985;left:2233243;position:absolute;top:152147" coordsize="21600,21600" filled="f" stroked="t" strokecolor="black">
                        <v:stroke joinstyle="round"/>
                        <o:lock v:ext="edit" aspectratio="f"/>
                        <v:textbox>
                          <w:txbxContent>
                            <w:p>
                              <w:pPr>
                                <w:spacing w:line="240" w:lineRule="auto"/>
                                <w:jc w:val="center"/>
                                <w:rPr>
                                  <w:sz w:val="24"/>
                                  <w:szCs w:val="24"/>
                                </w:rPr>
                              </w:pPr>
                              <w:r>
                                <w:rPr>
                                  <w:rFonts w:hint="eastAsia"/>
                                  <w:szCs w:val="21"/>
                                </w:rPr>
                                <w:t>絮凝沉淀池</w:t>
                              </w:r>
                            </w:p>
                          </w:txbxContent>
                        </v:textbox>
                      </v:shape>
                      <v:shape id="_x0000_s1026" o:spid="_x0000_s1033" type="#_x0000_t32" style="width:549594;height:0;left:3219324;position:absolute;top:281514" coordsize="21600,21600" filled="f" stroked="t" strokecolor="black">
                        <v:stroke joinstyle="round" endarrow="block"/>
                        <o:lock v:ext="edit" aspectratio="f"/>
                      </v:shape>
                      <v:shape id="文本框 5" o:spid="_x0000_s1034" type="#_x0000_t202" style="width:1217204;height:260985;left:2123644;position:absolute;top:843789" coordsize="21600,21600" filled="f" stroked="t" strokecolor="black">
                        <v:stroke joinstyle="round"/>
                        <o:lock v:ext="edit" aspectratio="f"/>
                        <v:textbox>
                          <w:txbxContent>
                            <w:p>
                              <w:pPr>
                                <w:spacing w:line="240" w:lineRule="auto"/>
                                <w:jc w:val="center"/>
                                <w:rPr>
                                  <w:sz w:val="24"/>
                                  <w:szCs w:val="24"/>
                                </w:rPr>
                              </w:pPr>
                              <w:r>
                                <w:rPr>
                                  <w:rFonts w:hint="eastAsia"/>
                                  <w:szCs w:val="21"/>
                                </w:rPr>
                                <w:t>气水反冲洗池</w:t>
                              </w:r>
                            </w:p>
                          </w:txbxContent>
                        </v:textbox>
                      </v:shape>
                      <v:shape id="文本框 5" o:spid="_x0000_s1035" type="#_x0000_t202" style="width:771525;height:260985;left:930601;position:absolute;top:835756" coordsize="21600,21600" filled="f" stroked="t" strokecolor="black">
                        <v:stroke joinstyle="round"/>
                        <o:lock v:ext="edit" aspectratio="f"/>
                        <v:textbox>
                          <w:txbxContent>
                            <w:p>
                              <w:pPr>
                                <w:spacing w:line="240" w:lineRule="auto"/>
                                <w:jc w:val="center"/>
                                <w:rPr>
                                  <w:sz w:val="24"/>
                                  <w:szCs w:val="24"/>
                                </w:rPr>
                              </w:pPr>
                              <w:r>
                                <w:rPr>
                                  <w:rFonts w:hint="eastAsia"/>
                                  <w:szCs w:val="21"/>
                                </w:rPr>
                                <w:t>回水池</w:t>
                              </w:r>
                            </w:p>
                          </w:txbxContent>
                        </v:textbox>
                      </v:shape>
                      <v:shape id="文本框 5" o:spid="_x0000_s1036" type="#_x0000_t202" style="width:899470;height:260985;left:3760651;position:absolute;top:834507" coordsize="21600,21600" filled="f" stroked="t" strokecolor="black">
                        <v:stroke joinstyle="round"/>
                        <o:lock v:ext="edit" aspectratio="f"/>
                        <v:textbox>
                          <w:txbxContent>
                            <w:p>
                              <w:pPr>
                                <w:spacing w:line="240" w:lineRule="auto"/>
                                <w:jc w:val="center"/>
                                <w:rPr>
                                  <w:sz w:val="24"/>
                                  <w:szCs w:val="24"/>
                                </w:rPr>
                              </w:pPr>
                              <w:r>
                                <w:rPr>
                                  <w:rFonts w:hint="eastAsia"/>
                                  <w:szCs w:val="21"/>
                                </w:rPr>
                                <w:t>污泥浓缩池</w:t>
                              </w:r>
                            </w:p>
                          </w:txbxContent>
                        </v:textbox>
                      </v:shape>
                      <v:shape id="文本框 5" o:spid="_x0000_s1037" type="#_x0000_t202" style="width:771525;height:260985;left:2346573;position:absolute;top:1503726" coordsize="21600,21600" filled="f" stroked="t" strokecolor="black">
                        <v:stroke joinstyle="round"/>
                        <o:lock v:ext="edit" aspectratio="f"/>
                        <v:textbox>
                          <w:txbxContent>
                            <w:p>
                              <w:pPr>
                                <w:spacing w:line="240" w:lineRule="auto"/>
                                <w:jc w:val="center"/>
                                <w:rPr>
                                  <w:sz w:val="24"/>
                                  <w:szCs w:val="24"/>
                                </w:rPr>
                              </w:pPr>
                              <w:r>
                                <w:rPr>
                                  <w:rFonts w:hint="eastAsia"/>
                                  <w:szCs w:val="21"/>
                                </w:rPr>
                                <w:t>清水池</w:t>
                              </w:r>
                            </w:p>
                          </w:txbxContent>
                        </v:textbox>
                      </v:shape>
                      <v:shape id="_x0000_s1026" o:spid="_x0000_s1038" type="#_x0000_t32" style="width:0;height:391414;left:2729576;position:absolute;top:1116468" coordsize="21600,21600" filled="f" stroked="t" strokecolor="black">
                        <v:stroke joinstyle="round" endarrow="block"/>
                        <o:lock v:ext="edit" aspectratio="f"/>
                      </v:shape>
                      <v:shape id="文本框 5" o:spid="_x0000_s1039" type="#_x0000_t202" style="width:771525;height:273790;left:2596358;position:absolute;top:1182250" coordsize="21600,21600" filled="f" stroked="f">
                        <o:lock v:ext="edit" aspectratio="f"/>
                        <v:textbox>
                          <w:txbxContent>
                            <w:p>
                              <w:pPr>
                                <w:spacing w:line="240" w:lineRule="auto"/>
                                <w:jc w:val="center"/>
                                <w:rPr>
                                  <w:sz w:val="24"/>
                                  <w:szCs w:val="24"/>
                                </w:rPr>
                              </w:pPr>
                              <w:r>
                                <w:rPr>
                                  <w:rFonts w:hint="eastAsia"/>
                                  <w:szCs w:val="21"/>
                                </w:rPr>
                                <w:t>5</w:t>
                              </w:r>
                              <w:r>
                                <w:rPr>
                                  <w:szCs w:val="21"/>
                                </w:rPr>
                                <w:t>0000</w:t>
                              </w:r>
                            </w:p>
                          </w:txbxContent>
                        </v:textbox>
                      </v:shape>
                      <v:shape id="文本框 5" o:spid="_x0000_s1040" type="#_x0000_t202" style="width:665064;height:288226;left:1712378;position:absolute;top:8248" coordsize="21600,21600" filled="f" stroked="f">
                        <o:lock v:ext="edit" aspectratio="f"/>
                        <v:textbox>
                          <w:txbxContent>
                            <w:p>
                              <w:pPr>
                                <w:spacing w:line="240" w:lineRule="auto"/>
                                <w:jc w:val="center"/>
                                <w:rPr>
                                  <w:sz w:val="24"/>
                                  <w:szCs w:val="24"/>
                                </w:rPr>
                              </w:pPr>
                              <w:r>
                                <w:rPr>
                                  <w:szCs w:val="21"/>
                                </w:rPr>
                                <w:t>52436</w:t>
                              </w:r>
                            </w:p>
                          </w:txbxContent>
                        </v:textbox>
                      </v:shape>
                      <v:shape id="_x0000_s1026" o:spid="_x0000_s1041" type="#_x0000_t32" style="width:0;height:432000;flip:y;left:4166783;position:absolute;top:413541" coordsize="21600,21600" filled="f" stroked="t" strokecolor="black">
                        <v:stroke joinstyle="round" startarrow="block"/>
                        <o:lock v:ext="edit" aspectratio="f"/>
                      </v:shape>
                      <v:shape id="_x0000_s1026" o:spid="_x0000_s1042" type="#_x0000_t32" style="width:0;height:391160;left:2729576;position:absolute;top:424757" coordsize="21600,21600" filled="f" stroked="t" strokecolor="black">
                        <v:stroke joinstyle="round" endarrow="block"/>
                        <o:lock v:ext="edit" aspectratio="f"/>
                      </v:shape>
                      <v:shape id="文本框 5" o:spid="_x0000_s1043" type="#_x0000_t202" style="width:629655;height:273685;left:3165646;position:absolute;top:44052" coordsize="21600,21600" filled="f" stroked="f">
                        <o:lock v:ext="edit" aspectratio="f"/>
                        <v:textbox>
                          <w:txbxContent>
                            <w:p>
                              <w:pPr>
                                <w:spacing w:line="312" w:lineRule="exact"/>
                                <w:jc w:val="center"/>
                                <w:rPr>
                                  <w:sz w:val="24"/>
                                  <w:szCs w:val="24"/>
                                </w:rPr>
                              </w:pPr>
                              <w:r>
                                <w:rPr>
                                  <w:szCs w:val="21"/>
                                </w:rPr>
                                <w:t>820</w:t>
                              </w:r>
                            </w:p>
                          </w:txbxContent>
                        </v:textbox>
                      </v:shape>
                      <v:shape id="文本框 5" o:spid="_x0000_s1044" type="#_x0000_t202" style="width:771525;height:273050;left:1509001;position:absolute;top:720365" coordsize="21600,21600" filled="f" stroked="f">
                        <o:lock v:ext="edit" aspectratio="f"/>
                        <v:textbox>
                          <w:txbxContent>
                            <w:p>
                              <w:pPr>
                                <w:spacing w:line="240" w:lineRule="auto"/>
                                <w:jc w:val="center"/>
                                <w:rPr>
                                  <w:sz w:val="24"/>
                                  <w:szCs w:val="24"/>
                                </w:rPr>
                              </w:pPr>
                              <w:r>
                                <w:rPr>
                                  <w:szCs w:val="21"/>
                                </w:rPr>
                                <w:t>1616</w:t>
                              </w:r>
                            </w:p>
                          </w:txbxContent>
                        </v:textbox>
                      </v:shape>
                      <v:shape id="文本框 5" o:spid="_x0000_s1045" type="#_x0000_t202" style="width:771525;height:273050;left:2577410;position:absolute;top:455114" coordsize="21600,21600" filled="f" stroked="f">
                        <o:lock v:ext="edit" aspectratio="f"/>
                        <v:textbox>
                          <w:txbxContent>
                            <w:p>
                              <w:pPr>
                                <w:spacing w:line="312" w:lineRule="exact"/>
                                <w:jc w:val="center"/>
                                <w:rPr>
                                  <w:sz w:val="24"/>
                                  <w:szCs w:val="24"/>
                                </w:rPr>
                              </w:pPr>
                              <w:r>
                                <w:rPr>
                                  <w:szCs w:val="21"/>
                                </w:rPr>
                                <w:t>51616</w:t>
                              </w:r>
                            </w:p>
                          </w:txbxContent>
                        </v:textbox>
                      </v:shape>
                      <v:shape id="文本框 5" o:spid="_x0000_s1046" type="#_x0000_t202" style="width:1038758;height:273685;left:2217341;position:absolute;top:2119068" coordsize="21600,21600" filled="f" stroked="f">
                        <o:lock v:ext="edit" aspectratio="f"/>
                        <v:textbox>
                          <w:txbxContent>
                            <w:p>
                              <w:pPr>
                                <w:jc w:val="center"/>
                              </w:pPr>
                              <w:r>
                                <w:rPr>
                                  <w:rFonts w:hint="eastAsia"/>
                                  <w:szCs w:val="21"/>
                                </w:rPr>
                                <w:t>供水系统</w:t>
                              </w:r>
                            </w:p>
                          </w:txbxContent>
                        </v:textbox>
                      </v:shape>
                      <v:shape id="文本框 5" o:spid="_x0000_s1047" type="#_x0000_t202" style="width:771525;height:273685;left:2567933;position:absolute;top:1810516" coordsize="21600,21600" filled="f" stroked="f">
                        <o:lock v:ext="edit" aspectratio="f"/>
                        <v:textbox>
                          <w:txbxContent>
                            <w:p>
                              <w:pPr>
                                <w:spacing w:line="312" w:lineRule="exact"/>
                                <w:jc w:val="center"/>
                                <w:rPr>
                                  <w:sz w:val="24"/>
                                  <w:szCs w:val="24"/>
                                </w:rPr>
                              </w:pPr>
                              <w:r>
                                <w:rPr>
                                  <w:szCs w:val="21"/>
                                </w:rPr>
                                <w:t>50000</w:t>
                              </w:r>
                            </w:p>
                          </w:txbxContent>
                        </v:textbox>
                      </v:shape>
                      <v:shape id="_x0000_s1026" o:spid="_x0000_s1048" type="#_x0000_t32" style="width:0;height:432000;left:2729801;position:absolute;top:1771780" coordsize="21600,21600" filled="f" stroked="t" strokecolor="black">
                        <v:stroke joinstyle="round" endarrow="block"/>
                        <o:lock v:ext="edit" aspectratio="f"/>
                      </v:shape>
                      <v:shape id="文本框 5" o:spid="_x0000_s1049" type="#_x0000_t202" style="width:629285;height:401985;left:4912952;position:absolute;top:1069990" coordsize="21600,21600" filled="f" stroked="f">
                        <o:lock v:ext="edit" aspectratio="f"/>
                        <v:textbox>
                          <w:txbxContent>
                            <w:p>
                              <w:pPr>
                                <w:spacing w:line="240" w:lineRule="auto"/>
                                <w:jc w:val="center"/>
                                <w:rPr>
                                  <w:szCs w:val="21"/>
                                </w:rPr>
                              </w:pPr>
                              <w:r>
                                <w:rPr>
                                  <w:rFonts w:hint="eastAsia"/>
                                  <w:szCs w:val="21"/>
                                </w:rPr>
                                <w:t>废水</w:t>
                              </w:r>
                            </w:p>
                            <w:p>
                              <w:pPr>
                                <w:spacing w:line="240" w:lineRule="auto"/>
                                <w:jc w:val="center"/>
                                <w:rPr>
                                  <w:sz w:val="24"/>
                                  <w:szCs w:val="24"/>
                                </w:rPr>
                              </w:pPr>
                              <w:r>
                                <w:rPr>
                                  <w:rFonts w:hint="eastAsia"/>
                                  <w:szCs w:val="21"/>
                                </w:rPr>
                                <w:t>5</w:t>
                              </w:r>
                              <w:r>
                                <w:rPr>
                                  <w:szCs w:val="21"/>
                                </w:rPr>
                                <w:t>66.95</w:t>
                              </w:r>
                            </w:p>
                          </w:txbxContent>
                        </v:textbox>
                      </v:shape>
                      <v:shape id="_x0000_s1026" o:spid="_x0000_s1050" type="#_x0000_t32" style="width:0;height:396000;left:1354001;position:absolute;top:421254" coordsize="21600,21600" filled="f" stroked="t" strokecolor="black">
                        <v:stroke joinstyle="round" startarrow="block"/>
                        <o:lock v:ext="edit" aspectratio="f"/>
                      </v:shape>
                      <v:shape id="文本框 5" o:spid="_x0000_s1051" type="#_x0000_t202" style="width:1029849;height:260350;left:4122835;position:absolute;top:1518638" coordsize="21600,21600" filled="f" stroked="t" strokecolor="black">
                        <v:stroke joinstyle="round"/>
                        <o:lock v:ext="edit" aspectratio="f"/>
                        <v:textbox>
                          <w:txbxContent>
                            <w:p>
                              <w:pPr>
                                <w:spacing w:line="240" w:lineRule="auto"/>
                                <w:jc w:val="center"/>
                                <w:rPr>
                                  <w:sz w:val="24"/>
                                  <w:szCs w:val="24"/>
                                </w:rPr>
                              </w:pPr>
                              <w:r>
                                <w:rPr>
                                  <w:rFonts w:hint="eastAsia"/>
                                  <w:szCs w:val="21"/>
                                </w:rPr>
                                <w:t>离心脱水</w:t>
                              </w:r>
                            </w:p>
                          </w:txbxContent>
                        </v:textbox>
                      </v:shape>
                      <v:shape id="文本框 5" o:spid="_x0000_s1052" type="#_x0000_t202" style="width:629285;height:273050;left:4228010;position:absolute;top:1198675" coordsize="21600,21600" filled="f" stroked="f">
                        <o:lock v:ext="edit" aspectratio="f"/>
                        <v:textbox>
                          <w:txbxContent>
                            <w:p>
                              <w:pPr>
                                <w:spacing w:line="312" w:lineRule="exact"/>
                                <w:jc w:val="center"/>
                                <w:rPr>
                                  <w:szCs w:val="21"/>
                                </w:rPr>
                              </w:pPr>
                              <w:r>
                                <w:rPr>
                                  <w:rFonts w:hint="eastAsia"/>
                                  <w:szCs w:val="21"/>
                                </w:rPr>
                                <w:t>5</w:t>
                              </w:r>
                              <w:r>
                                <w:rPr>
                                  <w:szCs w:val="21"/>
                                </w:rPr>
                                <w:t>71.6</w:t>
                              </w:r>
                            </w:p>
                          </w:txbxContent>
                        </v:textbox>
                      </v:shape>
                      <v:shape id="_x0000_s1026" o:spid="_x0000_s1053" type="#_x0000_t32" style="width:0;height:396000;flip:y;left:4325746;position:absolute;top:1096534" coordsize="21600,21600" filled="f" stroked="t" strokecolor="black">
                        <v:stroke joinstyle="round" startarrow="block"/>
                        <o:lock v:ext="edit" aspectratio="f"/>
                      </v:shape>
                      <v:shape id="文本框 5" o:spid="_x0000_s1054" type="#_x0000_t202" style="width:759132;height:442277;left:4798360;position:absolute;top:124881" coordsize="21600,21600" filled="f" stroked="f">
                        <o:lock v:ext="edit" aspectratio="f"/>
                        <v:textbox>
                          <w:txbxContent>
                            <w:p>
                              <w:pPr>
                                <w:spacing w:line="240" w:lineRule="auto"/>
                                <w:jc w:val="center"/>
                              </w:pPr>
                              <w:r>
                                <w:rPr>
                                  <w:rFonts w:hint="eastAsia"/>
                                  <w:szCs w:val="21"/>
                                </w:rPr>
                                <w:t>市政管网排水</w:t>
                              </w:r>
                            </w:p>
                          </w:txbxContent>
                        </v:textbox>
                      </v:shape>
                      <v:shape id="文本框 5" o:spid="_x0000_s1055" type="#_x0000_t202" style="width:956048;height:531595;left:4166783;position:absolute;top:2155799" coordsize="21600,21600" filled="f" stroked="f">
                        <o:lock v:ext="edit" aspectratio="f"/>
                        <v:textbox>
                          <w:txbxContent>
                            <w:p>
                              <w:pPr>
                                <w:spacing w:line="240" w:lineRule="auto"/>
                                <w:jc w:val="center"/>
                                <w:rPr>
                                  <w:sz w:val="24"/>
                                  <w:szCs w:val="24"/>
                                </w:rPr>
                              </w:pPr>
                              <w:r>
                                <w:rPr>
                                  <w:rFonts w:hint="eastAsia"/>
                                  <w:szCs w:val="21"/>
                                </w:rPr>
                                <w:t>污泥（含水率6</w:t>
                              </w:r>
                              <w:r>
                                <w:rPr>
                                  <w:szCs w:val="21"/>
                                </w:rPr>
                                <w:t>0%</w:t>
                              </w:r>
                              <w:r>
                                <w:rPr>
                                  <w:rFonts w:hint="eastAsia"/>
                                  <w:szCs w:val="21"/>
                                </w:rPr>
                                <w:t>）4</w:t>
                              </w:r>
                              <w:r>
                                <w:rPr>
                                  <w:szCs w:val="21"/>
                                </w:rPr>
                                <w:t>.65</w:t>
                              </w:r>
                            </w:p>
                          </w:txbxContent>
                        </v:textbox>
                      </v:shape>
                      <v:shape id="_x0000_s1026" o:spid="_x0000_s1056" type="#_x0000_t32" style="width:0;height:376623;left:4647108;position:absolute;top:1797581" coordsize="21600,21600" filled="f" stroked="t" strokecolor="black">
                        <v:stroke joinstyle="round" endarrow="block"/>
                        <o:lock v:ext="edit" aspectratio="f"/>
                      </v:shape>
                      <v:shape id="文本框 5" o:spid="_x0000_s1057" type="#_x0000_t202" style="width:955675;height:314848;left:1294448;position:absolute;top:2238152" coordsize="21600,21600" filled="f" stroked="f">
                        <o:lock v:ext="edit" aspectratio="f"/>
                        <v:textbox>
                          <w:txbxContent>
                            <w:p>
                              <w:pPr>
                                <w:spacing w:line="240" w:lineRule="auto"/>
                                <w:jc w:val="center"/>
                                <w:rPr>
                                  <w:sz w:val="24"/>
                                  <w:szCs w:val="24"/>
                                </w:rPr>
                              </w:pPr>
                              <w:r>
                                <w:rPr>
                                  <w:rFonts w:hint="eastAsia"/>
                                  <w:szCs w:val="21"/>
                                </w:rPr>
                                <w:t>沉淀泥</w:t>
                              </w:r>
                              <w:r>
                                <w:rPr>
                                  <w:szCs w:val="21"/>
                                </w:rPr>
                                <w:t>323.2</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连接符: 肘形 65" o:spid="_x0000_s1058" type="#_x0000_t35" style="width:1368;height:2671300;flip:x y;left:2651330;position:absolute;rotation:90;top:-239714" coordsize="21600,21600" adj="-21562705,21552" filled="f" stroked="t" strokecolor="black">
                        <v:stroke joinstyle="round" dashstyle="dash" endarrow="block"/>
                        <o:lock v:ext="edit" aspectratio="f"/>
                      </v:shape>
                      <v:shape id="文本框 5" o:spid="_x0000_s1059" type="#_x0000_t202" style="width:743925;height:309892;left:3794982;position:absolute;top:127852" coordsize="21600,21600" filled="f" stroked="t" strokecolor="black">
                        <v:stroke joinstyle="round"/>
                        <o:lock v:ext="edit" aspectratio="f"/>
                        <v:textbox>
                          <w:txbxContent>
                            <w:p>
                              <w:pPr>
                                <w:spacing w:line="312" w:lineRule="exact"/>
                                <w:jc w:val="center"/>
                                <w:rPr>
                                  <w:sz w:val="24"/>
                                  <w:szCs w:val="24"/>
                                </w:rPr>
                              </w:pPr>
                              <w:r>
                                <w:rPr>
                                  <w:rFonts w:hint="eastAsia"/>
                                  <w:szCs w:val="21"/>
                                </w:rPr>
                                <w:t>排泥池</w:t>
                              </w:r>
                            </w:p>
                          </w:txbxContent>
                        </v:textbox>
                      </v:shape>
                      <v:shape id="_x0000_s1026" o:spid="_x0000_s1060" type="#_x0000_t32" style="width:396000;height:0;left:1716196;position:absolute;top:970047" coordsize="21600,21600" filled="f" stroked="t" strokecolor="black">
                        <v:stroke joinstyle="round" startarrow="block"/>
                        <o:lock v:ext="edit" aspectratio="f"/>
                      </v:shape>
                      <v:shape id="文本框 5" o:spid="_x0000_s1061" type="#_x0000_t202" style="width:771525;height:272415;left:1189814;position:absolute;top:486847" coordsize="21600,21600" filled="f" stroked="f">
                        <o:lock v:ext="edit" aspectratio="f"/>
                        <v:textbox>
                          <w:txbxContent>
                            <w:p>
                              <w:pPr>
                                <w:spacing w:line="312" w:lineRule="exact"/>
                                <w:jc w:val="center"/>
                                <w:rPr>
                                  <w:sz w:val="24"/>
                                  <w:szCs w:val="24"/>
                                </w:rPr>
                              </w:pPr>
                              <w:r>
                                <w:rPr>
                                  <w:szCs w:val="21"/>
                                </w:rPr>
                                <w:t>1292.8</w:t>
                              </w:r>
                            </w:p>
                          </w:txbxContent>
                        </v:textbox>
                      </v:shape>
                      <v:shape id="文本框 5" o:spid="_x0000_s1062" type="#_x0000_t202" style="width:629285;height:273685;left:3996627;position:absolute;top:425217" coordsize="21600,21600" filled="f" stroked="f">
                        <o:lock v:ext="edit" aspectratio="f"/>
                        <v:textbox>
                          <w:txbxContent>
                            <w:p>
                              <w:pPr>
                                <w:spacing w:line="312" w:lineRule="exact"/>
                                <w:jc w:val="center"/>
                                <w:rPr>
                                  <w:sz w:val="24"/>
                                  <w:szCs w:val="24"/>
                                </w:rPr>
                              </w:pPr>
                              <w:r>
                                <w:rPr>
                                  <w:szCs w:val="21"/>
                                </w:rPr>
                                <w:t>820</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33" o:spid="_x0000_s1063" type="#_x0000_t34" style="width:445510;height:341208;flip:y;left:4608012;position:absolute;rotation:90;top:1094165" coordsize="21600,21600" adj="21594" filled="f" stroked="t" strokecolor="black">
                        <v:stroke joinstyle="round" dashstyle="dash" endarrow="block"/>
                        <o:lock v:ext="edit" aspectratio="f"/>
                      </v:shape>
                      <v:shapetype id="_x0000_t33" coordsize="21600,21600" o:spt="33" o:oned="t" path="m,l21600,r,21600e" filled="f">
                        <v:stroke joinstyle="miter"/>
                        <v:path arrowok="t" fillok="f" o:connecttype="none"/>
                        <o:lock v:ext="edit" shapetype="t"/>
                      </v:shapetype>
                      <v:shape id="连接符: 肘形 299" o:spid="_x0000_s1064" type="#_x0000_t33" style="width:517805;height:397842;flip:y;left:4660121;position:absolute;top:567158" coordsize="21600,21600" filled="f" stroked="t" strokecolor="black">
                        <v:stroke joinstyle="round" endarrow="block"/>
                        <o:lock v:ext="edit" aspectratio="f"/>
                      </v:shape>
                      <v:shape id="文本框 5" o:spid="_x0000_s1065" type="#_x0000_t202" style="width:629285;height:273050;left:4647108;position:absolute;top:665661" coordsize="21600,21600" filled="f" stroked="f">
                        <o:lock v:ext="edit" aspectratio="f"/>
                        <v:textbox>
                          <w:txbxContent>
                            <w:p>
                              <w:pPr>
                                <w:spacing w:line="312" w:lineRule="exact"/>
                                <w:jc w:val="center"/>
                                <w:rPr>
                                  <w:sz w:val="24"/>
                                  <w:szCs w:val="24"/>
                                </w:rPr>
                              </w:pPr>
                              <w:r>
                                <w:rPr>
                                  <w:szCs w:val="21"/>
                                </w:rPr>
                                <w:t>1138.55</w:t>
                              </w:r>
                            </w:p>
                          </w:txbxContent>
                        </v:textbox>
                      </v:shape>
                      <w10:anchorlock/>
                    </v:group>
                  </w:pict>
                </mc:Fallback>
              </mc:AlternateContent>
            </w:r>
          </w:p>
          <w:p>
            <w:pPr>
              <w:spacing w:line="360" w:lineRule="auto"/>
              <w:ind w:firstLine="420" w:firstLineChars="200"/>
              <w:jc w:val="center"/>
              <w:rPr>
                <w:b/>
                <w:color w:val="000000" w:themeColor="text1"/>
                <w:kern w:val="2"/>
                <w:szCs w:val="21"/>
                <w14:textFill>
                  <w14:solidFill>
                    <w14:schemeClr w14:val="tx1"/>
                  </w14:solidFill>
                </w14:textFill>
              </w:rPr>
            </w:pPr>
            <w:r>
              <w:rPr>
                <w:rFonts w:hint="eastAsia"/>
                <w:b/>
                <w:color w:val="000000" w:themeColor="text1"/>
                <w:kern w:val="2"/>
                <w:szCs w:val="21"/>
                <w14:textFill>
                  <w14:solidFill>
                    <w14:schemeClr w14:val="tx1"/>
                  </w14:solidFill>
                </w14:textFill>
              </w:rPr>
              <w:t>图2</w:t>
            </w:r>
            <w:r>
              <w:rPr>
                <w:b/>
                <w:color w:val="000000" w:themeColor="text1"/>
                <w:kern w:val="2"/>
                <w:szCs w:val="21"/>
                <w14:textFill>
                  <w14:solidFill>
                    <w14:schemeClr w14:val="tx1"/>
                  </w14:solidFill>
                </w14:textFill>
              </w:rPr>
              <w:t xml:space="preserve"> </w:t>
            </w:r>
            <w:r>
              <w:rPr>
                <w:rFonts w:hint="eastAsia"/>
                <w:b/>
                <w:color w:val="000000" w:themeColor="text1"/>
                <w:kern w:val="2"/>
                <w:szCs w:val="21"/>
                <w14:textFill>
                  <w14:solidFill>
                    <w14:schemeClr w14:val="tx1"/>
                  </w14:solidFill>
                </w14:textFill>
              </w:rPr>
              <w:t>水平衡图（单位：m</w:t>
            </w:r>
            <w:r>
              <w:rPr>
                <w:b/>
                <w:color w:val="000000" w:themeColor="text1"/>
                <w:kern w:val="2"/>
                <w:szCs w:val="21"/>
                <w:vertAlign w:val="superscript"/>
                <w14:textFill>
                  <w14:solidFill>
                    <w14:schemeClr w14:val="tx1"/>
                  </w14:solidFill>
                </w14:textFill>
              </w:rPr>
              <w:t>3</w:t>
            </w:r>
            <w:r>
              <w:rPr>
                <w:rFonts w:hint="eastAsia"/>
                <w:b/>
                <w:color w:val="000000" w:themeColor="text1"/>
                <w:kern w:val="2"/>
                <w:szCs w:val="21"/>
                <w14:textFill>
                  <w14:solidFill>
                    <w14:schemeClr w14:val="tx1"/>
                  </w14:solidFill>
                </w14:textFill>
              </w:rPr>
              <w:t>/d）</w:t>
            </w:r>
          </w:p>
          <w:p>
            <w:pPr>
              <w:spacing w:line="360" w:lineRule="auto"/>
              <w:ind w:firstLine="480" w:firstLineChars="200"/>
              <w:rPr>
                <w:b/>
                <w:kern w:val="2"/>
                <w:sz w:val="24"/>
                <w:szCs w:val="22"/>
              </w:rPr>
            </w:pPr>
            <w:r>
              <w:rPr>
                <w:b/>
                <w:kern w:val="2"/>
                <w:sz w:val="24"/>
                <w:szCs w:val="22"/>
              </w:rPr>
              <w:t>4、供电</w:t>
            </w:r>
          </w:p>
          <w:p>
            <w:pPr>
              <w:tabs>
                <w:tab w:val="left" w:pos="0"/>
              </w:tabs>
              <w:spacing w:line="360" w:lineRule="auto"/>
              <w:ind w:firstLine="480" w:firstLineChars="200"/>
              <w:rPr>
                <w:kern w:val="2"/>
                <w:sz w:val="24"/>
                <w:szCs w:val="24"/>
              </w:rPr>
            </w:pPr>
            <w:r>
              <w:rPr>
                <w:rFonts w:hint="eastAsia"/>
                <w:kern w:val="2"/>
                <w:sz w:val="24"/>
                <w:szCs w:val="24"/>
              </w:rPr>
              <w:t>本项目用电由抚州市供电系统供应，新增用电量约为481.93万kWh</w:t>
            </w:r>
            <w:r>
              <w:rPr>
                <w:kern w:val="2"/>
                <w:sz w:val="24"/>
                <w:szCs w:val="24"/>
              </w:rPr>
              <w:t>。</w:t>
            </w:r>
          </w:p>
          <w:p>
            <w:pPr>
              <w:spacing w:line="360" w:lineRule="auto"/>
              <w:ind w:firstLine="480" w:firstLineChars="200"/>
              <w:rPr>
                <w:b/>
                <w:kern w:val="2"/>
                <w:sz w:val="24"/>
                <w:szCs w:val="24"/>
              </w:rPr>
            </w:pPr>
            <w:r>
              <w:rPr>
                <w:rFonts w:hint="eastAsia"/>
                <w:b/>
                <w:kern w:val="2"/>
                <w:sz w:val="24"/>
                <w:szCs w:val="24"/>
              </w:rPr>
              <w:t>四、总图布置合理性分析</w:t>
            </w:r>
          </w:p>
          <w:p>
            <w:pPr>
              <w:snapToGrid w:val="0"/>
              <w:spacing w:after="0" w:line="360" w:lineRule="auto"/>
              <w:ind w:firstLine="480" w:firstLineChars="200"/>
              <w:rPr>
                <w:sz w:val="24"/>
                <w:szCs w:val="24"/>
              </w:rPr>
            </w:pPr>
            <w:r>
              <w:rPr>
                <w:sz w:val="24"/>
                <w:szCs w:val="24"/>
              </w:rPr>
              <w:t>汝水生态水厂位于</w:t>
            </w:r>
            <w:r>
              <w:rPr>
                <w:rFonts w:cs="宋体" w:hint="eastAsia"/>
                <w:kern w:val="21"/>
                <w:sz w:val="24"/>
                <w:szCs w:val="24"/>
              </w:rPr>
              <w:t>抚州市高新技术产业开发区抚州公用水务有限公司汝水大道6</w:t>
            </w:r>
            <w:r>
              <w:rPr>
                <w:rFonts w:cs="宋体"/>
                <w:kern w:val="21"/>
                <w:sz w:val="24"/>
                <w:szCs w:val="24"/>
              </w:rPr>
              <w:t>909</w:t>
            </w:r>
            <w:r>
              <w:rPr>
                <w:rFonts w:cs="宋体" w:hint="eastAsia"/>
                <w:kern w:val="21"/>
                <w:sz w:val="24"/>
                <w:szCs w:val="24"/>
              </w:rPr>
              <w:t>号</w:t>
            </w:r>
            <w:r>
              <w:rPr>
                <w:sz w:val="24"/>
                <w:szCs w:val="24"/>
              </w:rPr>
              <w:t>。</w:t>
            </w:r>
            <w:r>
              <w:rPr>
                <w:rFonts w:hint="eastAsia"/>
                <w:sz w:val="24"/>
                <w:szCs w:val="24"/>
              </w:rPr>
              <w:t>水厂厂区总用地面积为</w:t>
            </w:r>
            <w:r>
              <w:rPr>
                <w:sz w:val="24"/>
                <w:szCs w:val="24"/>
              </w:rPr>
              <w:t>66600m</w:t>
            </w:r>
            <w:r>
              <w:rPr>
                <w:sz w:val="24"/>
                <w:szCs w:val="24"/>
                <w:vertAlign w:val="superscript"/>
              </w:rPr>
              <w:t>2</w:t>
            </w:r>
            <w:r>
              <w:rPr>
                <w:rFonts w:hint="eastAsia"/>
                <w:sz w:val="24"/>
                <w:szCs w:val="24"/>
              </w:rPr>
              <w:t>，</w:t>
            </w:r>
          </w:p>
        </w:tc>
      </w:tr>
    </w:tbl>
    <w:p>
      <w:pPr>
        <w:sectPr>
          <w:footerReference w:type="even" r:id="rId40"/>
          <w:footerReference w:type="default" r:id="rId41"/>
          <w:footerReference w:type="first" r:id="rId42"/>
          <w:type w:val="nextPage"/>
          <w:pgSz w:w="11907" w:h="16840"/>
          <w:pgMar w:top="1418" w:right="1418" w:bottom="1418" w:left="1418" w:header="851" w:footer="680" w:gutter="113"/>
          <w:pgNumType w:start="7"/>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snapToGrid w:val="0"/>
              <w:spacing w:before="0" w:line="360" w:lineRule="auto"/>
              <w:ind w:firstLine="480" w:firstLineChars="200"/>
              <w:rPr>
                <w:sz w:val="24"/>
                <w:szCs w:val="24"/>
              </w:rPr>
            </w:pPr>
            <w:r>
              <w:rPr>
                <w:sz w:val="24"/>
                <w:szCs w:val="24"/>
              </w:rPr>
              <w:t>北侧预留深度处理提升泵房、臭氧接触池及臭氧制备间、生物活性炭滤池等深度处理构筑物用地。南侧由西南向东依次布置一期规模10万m</w:t>
            </w:r>
            <w:r>
              <w:rPr>
                <w:sz w:val="24"/>
                <w:szCs w:val="24"/>
                <w:vertAlign w:val="superscript"/>
              </w:rPr>
              <w:t>3</w:t>
            </w:r>
            <w:r>
              <w:rPr>
                <w:sz w:val="24"/>
                <w:szCs w:val="24"/>
              </w:rPr>
              <w:t>/d的絮凝沉淀池、气水反冲洗滤池、清水池、送水泵房等生产构筑物。加药间位于厂区西南角，靠近一期絮凝池起端。厂区西北端为污泥处理区，由南向北依次布置有排泥池、浓缩储泥池、污泥脱水车间。厂区东北端为生产管理区，布置有综合楼、车库等辅助建筑物。</w:t>
            </w:r>
          </w:p>
          <w:p>
            <w:pPr>
              <w:spacing w:line="360" w:lineRule="auto"/>
              <w:ind w:firstLine="480" w:firstLineChars="200"/>
              <w:rPr>
                <w:szCs w:val="28"/>
              </w:rPr>
            </w:pPr>
            <w:r>
              <w:rPr>
                <w:rFonts w:hint="eastAsia"/>
                <w:bCs/>
                <w:kern w:val="2"/>
                <w:sz w:val="24"/>
                <w:szCs w:val="24"/>
              </w:rPr>
              <w:t>本项目为改扩建项目，</w:t>
            </w:r>
            <w:r>
              <w:rPr>
                <w:sz w:val="24"/>
                <w:szCs w:val="24"/>
              </w:rPr>
              <w:t>5万m</w:t>
            </w:r>
            <w:r>
              <w:rPr>
                <w:sz w:val="24"/>
                <w:szCs w:val="24"/>
                <w:vertAlign w:val="superscript"/>
              </w:rPr>
              <w:t>3</w:t>
            </w:r>
            <w:r>
              <w:rPr>
                <w:sz w:val="24"/>
                <w:szCs w:val="24"/>
              </w:rPr>
              <w:t>/d絮凝沉淀池、气水反冲洗滤池</w:t>
            </w:r>
            <w:r>
              <w:rPr>
                <w:rFonts w:hint="eastAsia"/>
                <w:sz w:val="24"/>
                <w:szCs w:val="24"/>
              </w:rPr>
              <w:t>主要位于</w:t>
            </w:r>
            <w:r>
              <w:rPr>
                <w:sz w:val="24"/>
                <w:szCs w:val="24"/>
              </w:rPr>
              <w:t>厂区</w:t>
            </w:r>
            <w:r>
              <w:rPr>
                <w:rFonts w:hint="eastAsia"/>
                <w:sz w:val="24"/>
                <w:szCs w:val="24"/>
              </w:rPr>
              <w:t>西</w:t>
            </w:r>
            <w:r>
              <w:rPr>
                <w:sz w:val="24"/>
                <w:szCs w:val="24"/>
              </w:rPr>
              <w:t>南侧</w:t>
            </w:r>
            <w:r>
              <w:rPr>
                <w:rFonts w:hint="eastAsia"/>
                <w:sz w:val="24"/>
                <w:szCs w:val="24"/>
              </w:rPr>
              <w:t>预留地块，</w:t>
            </w:r>
            <w:r>
              <w:rPr>
                <w:sz w:val="24"/>
                <w:szCs w:val="24"/>
              </w:rPr>
              <w:t>5万m</w:t>
            </w:r>
            <w:r>
              <w:rPr>
                <w:sz w:val="24"/>
                <w:szCs w:val="24"/>
                <w:vertAlign w:val="superscript"/>
              </w:rPr>
              <w:t>3</w:t>
            </w:r>
            <w:r>
              <w:rPr>
                <w:sz w:val="24"/>
                <w:szCs w:val="24"/>
              </w:rPr>
              <w:t>/d清水池用地</w:t>
            </w:r>
            <w:r>
              <w:rPr>
                <w:rFonts w:hint="eastAsia"/>
                <w:sz w:val="24"/>
                <w:szCs w:val="24"/>
              </w:rPr>
              <w:t>位于</w:t>
            </w:r>
            <w:r>
              <w:rPr>
                <w:sz w:val="24"/>
                <w:szCs w:val="24"/>
              </w:rPr>
              <w:t>在综合楼之后预留</w:t>
            </w:r>
            <w:r>
              <w:rPr>
                <w:rFonts w:hint="eastAsia"/>
                <w:sz w:val="24"/>
                <w:szCs w:val="24"/>
              </w:rPr>
              <w:t>地块，总体平面布置图见附图3</w:t>
            </w:r>
            <w:r>
              <w:rPr>
                <w:sz w:val="24"/>
                <w:szCs w:val="24"/>
              </w:rPr>
              <w:t>。</w:t>
            </w:r>
          </w:p>
          <w:p>
            <w:pPr>
              <w:spacing w:line="360" w:lineRule="auto"/>
              <w:ind w:firstLine="480" w:firstLineChars="200"/>
              <w:rPr>
                <w:bCs/>
                <w:kern w:val="2"/>
                <w:sz w:val="24"/>
                <w:szCs w:val="24"/>
              </w:rPr>
            </w:pPr>
            <w:r>
              <w:rPr>
                <w:rFonts w:hint="eastAsia"/>
                <w:bCs/>
                <w:kern w:val="2"/>
                <w:sz w:val="24"/>
                <w:szCs w:val="24"/>
              </w:rPr>
              <w:t>综上所述，本项目布局合理，</w:t>
            </w:r>
            <w:r>
              <w:rPr>
                <w:sz w:val="24"/>
                <w:szCs w:val="24"/>
              </w:rPr>
              <w:t>考虑合理确定改造施工顺序、交通组织及环境保护等措施，避免施工对现有生产构筑物的正常运行造成影响</w:t>
            </w:r>
            <w:r>
              <w:rPr>
                <w:rFonts w:hint="eastAsia"/>
                <w:sz w:val="24"/>
                <w:szCs w:val="24"/>
              </w:rPr>
              <w:t>。</w:t>
            </w:r>
          </w:p>
          <w:p>
            <w:pPr>
              <w:spacing w:line="360" w:lineRule="auto"/>
              <w:ind w:firstLine="480" w:firstLineChars="200"/>
              <w:rPr>
                <w:b/>
                <w:kern w:val="2"/>
                <w:sz w:val="24"/>
                <w:szCs w:val="24"/>
              </w:rPr>
            </w:pPr>
            <w:r>
              <w:rPr>
                <w:rFonts w:hint="eastAsia"/>
                <w:b/>
                <w:kern w:val="2"/>
                <w:sz w:val="24"/>
                <w:szCs w:val="24"/>
              </w:rPr>
              <w:t>五</w:t>
            </w:r>
            <w:r>
              <w:rPr>
                <w:b/>
                <w:kern w:val="2"/>
                <w:sz w:val="24"/>
                <w:szCs w:val="24"/>
              </w:rPr>
              <w:t>、</w:t>
            </w:r>
            <w:r>
              <w:rPr>
                <w:rFonts w:hint="eastAsia"/>
                <w:b/>
                <w:kern w:val="2"/>
                <w:sz w:val="24"/>
                <w:szCs w:val="24"/>
              </w:rPr>
              <w:t>相关判定分析</w:t>
            </w:r>
          </w:p>
          <w:p>
            <w:pPr>
              <w:spacing w:line="360" w:lineRule="auto"/>
              <w:ind w:firstLine="480" w:firstLineChars="200"/>
              <w:rPr>
                <w:kern w:val="2"/>
                <w:szCs w:val="22"/>
              </w:rPr>
            </w:pPr>
            <w:r>
              <w:rPr>
                <w:rFonts w:hint="eastAsia"/>
                <w:b/>
                <w:kern w:val="2"/>
                <w:sz w:val="24"/>
                <w:szCs w:val="24"/>
              </w:rPr>
              <w:t>1、</w:t>
            </w:r>
            <w:r>
              <w:rPr>
                <w:b/>
                <w:kern w:val="2"/>
                <w:sz w:val="24"/>
                <w:szCs w:val="24"/>
              </w:rPr>
              <w:t>产业政策相符性</w:t>
            </w:r>
          </w:p>
          <w:p>
            <w:pPr>
              <w:pStyle w:val="a31"/>
              <w:rPr>
                <w:kern w:val="2"/>
                <w:szCs w:val="22"/>
              </w:rPr>
            </w:pPr>
            <w:r>
              <w:t>对照《产业结构调整指导目录》（2019年本）（修正本）及《江西省产业结构调整及工业园区产业发展导向目录》，本项目属于城市基础设施中“城镇供排水管网工程、供水水源”，为鼓励类建设项目，且符合国家相关法律、法规和政策规定</w:t>
            </w:r>
            <w:r>
              <w:rPr>
                <w:rFonts w:hint="eastAsia"/>
              </w:rPr>
              <w:t>。</w:t>
            </w:r>
            <w:r>
              <w:rPr>
                <w:kern w:val="2"/>
                <w:szCs w:val="22"/>
              </w:rPr>
              <w:t>同时，本项目取得了</w:t>
            </w:r>
            <w:r>
              <w:rPr>
                <w:rFonts w:cs="宋体" w:hint="eastAsia"/>
                <w:kern w:val="21"/>
                <w:szCs w:val="24"/>
              </w:rPr>
              <w:t>抚州市高新技术产业开发区经济发展与科技创新局</w:t>
            </w:r>
            <w:r>
              <w:rPr>
                <w:kern w:val="2"/>
                <w:szCs w:val="22"/>
              </w:rPr>
              <w:t>《</w:t>
            </w:r>
            <w:r>
              <w:rPr>
                <w:rFonts w:hint="eastAsia"/>
                <w:kern w:val="2"/>
                <w:szCs w:val="22"/>
              </w:rPr>
              <w:t>江西省企业投资项目备案通知书</w:t>
            </w:r>
            <w:r>
              <w:rPr>
                <w:kern w:val="2"/>
                <w:szCs w:val="22"/>
              </w:rPr>
              <w:t>》（</w:t>
            </w:r>
            <w:r>
              <w:rPr>
                <w:rFonts w:hint="eastAsia"/>
                <w:kern w:val="2"/>
                <w:szCs w:val="22"/>
              </w:rPr>
              <w:t>项目统一代码为：2019-361099-46-03-011664</w:t>
            </w:r>
            <w:r>
              <w:rPr>
                <w:kern w:val="2"/>
                <w:szCs w:val="22"/>
              </w:rPr>
              <w:t>）的文件，同意该项目的建设，因此，本项目建设</w:t>
            </w:r>
            <w:r>
              <w:rPr>
                <w:rFonts w:hint="eastAsia"/>
                <w:kern w:val="2"/>
                <w:szCs w:val="22"/>
              </w:rPr>
              <w:t>符合国家和地方产业政策。</w:t>
            </w:r>
          </w:p>
          <w:p>
            <w:pPr>
              <w:spacing w:line="360" w:lineRule="auto"/>
              <w:ind w:firstLine="480" w:firstLineChars="200"/>
              <w:rPr>
                <w:b/>
                <w:kern w:val="21"/>
                <w:sz w:val="24"/>
                <w:szCs w:val="24"/>
              </w:rPr>
            </w:pPr>
            <w:r>
              <w:rPr>
                <w:rFonts w:hint="eastAsia"/>
                <w:b/>
                <w:kern w:val="21"/>
                <w:sz w:val="24"/>
                <w:szCs w:val="24"/>
              </w:rPr>
              <w:t>2、</w:t>
            </w:r>
            <w:r>
              <w:rPr>
                <w:b/>
                <w:kern w:val="21"/>
                <w:sz w:val="24"/>
                <w:szCs w:val="24"/>
              </w:rPr>
              <w:t>“</w:t>
            </w:r>
            <w:r>
              <w:rPr>
                <w:rFonts w:hint="eastAsia"/>
                <w:b/>
                <w:kern w:val="21"/>
                <w:sz w:val="24"/>
                <w:szCs w:val="24"/>
              </w:rPr>
              <w:t>三线一单</w:t>
            </w:r>
            <w:r>
              <w:rPr>
                <w:b/>
                <w:kern w:val="21"/>
                <w:sz w:val="24"/>
                <w:szCs w:val="24"/>
              </w:rPr>
              <w:t>”</w:t>
            </w:r>
            <w:r>
              <w:rPr>
                <w:rFonts w:hint="eastAsia"/>
                <w:b/>
                <w:kern w:val="21"/>
                <w:sz w:val="24"/>
                <w:szCs w:val="24"/>
              </w:rPr>
              <w:t>相符性</w:t>
            </w:r>
          </w:p>
          <w:p>
            <w:pPr>
              <w:pStyle w:val="Default"/>
              <w:spacing w:line="360" w:lineRule="auto"/>
              <w:ind w:firstLine="480" w:firstLineChars="200"/>
              <w:rPr>
                <w:rFonts w:asciiTheme="minorEastAsia" w:eastAsiaTheme="minorEastAsia" w:hAnsiTheme="minorEastAsia" w:hint="default"/>
              </w:rPr>
            </w:pPr>
            <w:r>
              <w:rPr>
                <w:rFonts w:ascii="宋体" w:eastAsia="宋体" w:hAnsi="宋体"/>
              </w:rPr>
              <w:t>（1）生</w:t>
            </w:r>
            <w:r>
              <w:rPr>
                <w:rFonts w:asciiTheme="minorEastAsia" w:eastAsiaTheme="minorEastAsia" w:hAnsiTheme="minorEastAsia"/>
              </w:rPr>
              <w:t>态红线</w:t>
            </w:r>
          </w:p>
          <w:p>
            <w:pPr>
              <w:pStyle w:val="Default"/>
              <w:spacing w:line="360" w:lineRule="auto"/>
              <w:ind w:firstLine="480" w:firstLineChars="200"/>
              <w:jc w:val="both"/>
              <w:rPr>
                <w:rFonts w:ascii="宋体" w:eastAsia="宋体" w:hAnsi="宋体" w:hint="default"/>
              </w:rPr>
            </w:pPr>
            <w:r>
              <w:rPr>
                <w:rFonts w:ascii="Times New Roman" w:eastAsia="宋体" w:hAnsi="Times New Roman"/>
                <w:color w:val="auto"/>
                <w:kern w:val="2"/>
                <w:lang w:val="zh-CN"/>
              </w:rPr>
              <w:t>根据江西省人民政府关于发布江西省生态保护红线的通知（赣府发〔2018〕21号），抚州</w:t>
            </w:r>
            <w:r>
              <w:rPr>
                <w:rFonts w:ascii="Times New Roman" w:eastAsia="宋体" w:hAnsi="Times New Roman" w:hint="default"/>
                <w:color w:val="auto"/>
                <w:kern w:val="2"/>
                <w:lang w:val="zh-CN"/>
              </w:rPr>
              <w:t>市汝水生态水厂扩建工程在</w:t>
            </w:r>
            <w:r>
              <w:rPr>
                <w:rFonts w:ascii="Times New Roman" w:hAnsi="Times New Roman" w:eastAsiaTheme="minorEastAsia" w:hint="default"/>
              </w:rPr>
              <w:t>选址于抚州市高新技术产业开发区抚州公用水务有限公司汝水大道6909号，在汝水生态水厂</w:t>
            </w:r>
            <w:r>
              <w:rPr>
                <w:rFonts w:asciiTheme="minorEastAsia" w:eastAsiaTheme="minorEastAsia" w:hAnsiTheme="minorEastAsia"/>
              </w:rPr>
              <w:t>原有厂区建设，不涉及临川区生态红线，</w:t>
            </w:r>
            <w:r>
              <w:rPr>
                <w:rFonts w:ascii="宋体" w:eastAsia="宋体" w:hAnsi="宋体"/>
              </w:rPr>
              <w:t>因此项目选址合理且与《江西省生态保护红线管控要求》相符，见附图</w:t>
            </w:r>
            <w:r>
              <w:rPr>
                <w:rFonts w:ascii="Times New Roman" w:eastAsia="宋体" w:hAnsi="Times New Roman" w:hint="default"/>
              </w:rPr>
              <w:t>4</w:t>
            </w:r>
            <w:r>
              <w:rPr>
                <w:rFonts w:ascii="宋体" w:eastAsia="宋体" w:hAnsi="宋体"/>
                <w:spacing w:val="6"/>
              </w:rPr>
              <w:t>。</w:t>
            </w:r>
          </w:p>
          <w:p>
            <w:pPr>
              <w:pStyle w:val="Default"/>
              <w:spacing w:line="360" w:lineRule="auto"/>
              <w:ind w:firstLine="480" w:firstLineChars="200"/>
              <w:rPr>
                <w:rFonts w:ascii="宋体" w:eastAsia="宋体" w:hAnsi="宋体" w:hint="default"/>
              </w:rPr>
            </w:pPr>
            <w:r>
              <w:rPr>
                <w:rFonts w:ascii="宋体" w:eastAsia="宋体" w:hAnsi="宋体"/>
              </w:rPr>
              <w:t>（2）环境质量底线</w:t>
            </w:r>
          </w:p>
          <w:p>
            <w:pPr>
              <w:pStyle w:val="GBK28"/>
              <w:snapToGrid w:val="0"/>
              <w:ind w:firstLine="480"/>
              <w:rPr>
                <w:rFonts w:ascii="Times New Roman" w:hAnsi="Times New Roman" w:cs="Times New Roman"/>
                <w:sz w:val="24"/>
                <w:szCs w:val="24"/>
              </w:rPr>
            </w:pPr>
            <w:r>
              <w:rPr>
                <w:rFonts w:ascii="Times New Roman" w:hAnsi="Times New Roman" w:cs="Times New Roman"/>
                <w:sz w:val="24"/>
                <w:szCs w:val="24"/>
              </w:rPr>
              <w:t>根据</w:t>
            </w:r>
            <w:r>
              <w:rPr>
                <w:rFonts w:ascii="Times New Roman" w:hAnsi="Times New Roman" w:cs="Times New Roman" w:hint="eastAsia"/>
                <w:sz w:val="24"/>
                <w:szCs w:val="24"/>
              </w:rPr>
              <w:t>历年环境</w:t>
            </w:r>
            <w:r>
              <w:rPr>
                <w:rFonts w:ascii="Times New Roman" w:hAnsi="Times New Roman" w:cs="Times New Roman"/>
                <w:sz w:val="24"/>
                <w:szCs w:val="24"/>
              </w:rPr>
              <w:t>现状监测</w:t>
            </w:r>
            <w:r>
              <w:rPr>
                <w:rFonts w:ascii="Times New Roman" w:hAnsi="Times New Roman" w:cs="Times New Roman" w:hint="eastAsia"/>
                <w:sz w:val="24"/>
                <w:szCs w:val="24"/>
              </w:rPr>
              <w:t>数据及</w:t>
            </w:r>
            <w:r>
              <w:rPr>
                <w:rFonts w:ascii="Times New Roman" w:hAnsi="Times New Roman" w:cs="Times New Roman"/>
                <w:sz w:val="24"/>
                <w:szCs w:val="24"/>
              </w:rPr>
              <w:t>可知：</w:t>
            </w:r>
          </w:p>
          <w:p>
            <w:pPr>
              <w:pStyle w:val="GBK28"/>
              <w:snapToGrid w:val="0"/>
              <w:ind w:firstLine="480"/>
              <w:rPr>
                <w:rFonts w:ascii="Times New Roman" w:hAnsi="Times New Roman" w:cs="Times New Roman"/>
                <w:sz w:val="24"/>
                <w:szCs w:val="24"/>
              </w:rPr>
            </w:pPr>
            <w:r>
              <w:rPr>
                <w:rFonts w:ascii="Times New Roman" w:hAnsi="Times New Roman" w:cs="Times New Roman"/>
                <w:sz w:val="24"/>
                <w:szCs w:val="24"/>
              </w:rPr>
              <w:t>项目所在地大气环境质量</w:t>
            </w:r>
            <w:r>
              <w:rPr>
                <w:rFonts w:ascii="Times New Roman" w:hAnsi="Times New Roman" w:cs="Times New Roman" w:hint="eastAsia"/>
                <w:sz w:val="24"/>
                <w:szCs w:val="24"/>
              </w:rPr>
              <w:t>基本能</w:t>
            </w:r>
            <w:r>
              <w:rPr>
                <w:rFonts w:ascii="Times New Roman" w:hAnsi="Times New Roman" w:cs="Times New Roman"/>
                <w:sz w:val="24"/>
                <w:szCs w:val="24"/>
              </w:rPr>
              <w:t>能满足《环境空气质量标准》（GB3095-2012）中二级标准要求，区域大气环境质量较好。</w:t>
            </w:r>
          </w:p>
          <w:p>
            <w:pPr>
              <w:pStyle w:val="GBK28"/>
              <w:snapToGrid w:val="0"/>
              <w:spacing w:after="0"/>
              <w:ind w:firstLine="480"/>
              <w:rPr>
                <w:rFonts w:ascii="Times New Roman" w:hAnsi="Times New Roman" w:cs="Times New Roman"/>
                <w:sz w:val="24"/>
                <w:szCs w:val="24"/>
              </w:rPr>
            </w:pPr>
            <w:r>
              <w:rPr>
                <w:rFonts w:ascii="Times New Roman" w:hAnsi="Times New Roman" w:cs="Times New Roman"/>
                <w:sz w:val="24"/>
                <w:szCs w:val="24"/>
              </w:rPr>
              <w:t>项目取水口一级保护区水质质量</w:t>
            </w:r>
            <w:r>
              <w:rPr>
                <w:rFonts w:ascii="Times New Roman" w:hAnsi="Times New Roman" w:cs="Times New Roman" w:hint="eastAsia"/>
                <w:sz w:val="24"/>
                <w:szCs w:val="24"/>
              </w:rPr>
              <w:t>可满足</w:t>
            </w:r>
          </w:p>
        </w:tc>
      </w:tr>
    </w:tbl>
    <w:p>
      <w:pPr>
        <w:sectPr>
          <w:footerReference w:type="even" r:id="rId43"/>
          <w:footerReference w:type="default" r:id="rId44"/>
          <w:footerReference w:type="first" r:id="rId45"/>
          <w:type w:val="nextPage"/>
          <w:pgSz w:w="11907" w:h="16840"/>
          <w:pgMar w:top="1418" w:right="1418" w:bottom="1418" w:left="1418" w:header="851" w:footer="680" w:gutter="113"/>
          <w:pgNumType w:start="8"/>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pStyle w:val="GBK28"/>
              <w:snapToGrid w:val="0"/>
              <w:spacing w:before="0"/>
              <w:ind w:firstLine="480"/>
              <w:rPr>
                <w:rFonts w:ascii="Times New Roman" w:hAnsi="Times New Roman" w:cs="Times New Roman"/>
                <w:sz w:val="24"/>
                <w:szCs w:val="24"/>
              </w:rPr>
            </w:pPr>
            <w:r>
              <w:rPr>
                <w:rFonts w:ascii="Times New Roman" w:hAnsi="Times New Roman" w:cs="Times New Roman"/>
                <w:sz w:val="24"/>
                <w:szCs w:val="24"/>
              </w:rPr>
              <w:t>《地表水环境质量标准》（GB3838-2002）中Ⅱ类标准，二级保护区及评价区域主要地表水体</w:t>
            </w:r>
            <w:r>
              <w:rPr>
                <w:rFonts w:ascii="Times New Roman" w:hAnsi="Times New Roman" w:cs="Times New Roman" w:hint="eastAsia"/>
                <w:sz w:val="24"/>
                <w:szCs w:val="24"/>
              </w:rPr>
              <w:t>抚河</w:t>
            </w:r>
            <w:r>
              <w:rPr>
                <w:rFonts w:ascii="Times New Roman" w:hAnsi="Times New Roman" w:cs="Times New Roman"/>
                <w:sz w:val="24"/>
                <w:szCs w:val="24"/>
              </w:rPr>
              <w:t>水质质量</w:t>
            </w:r>
            <w:r>
              <w:rPr>
                <w:rFonts w:ascii="Times New Roman" w:hAnsi="Times New Roman" w:cs="Times New Roman" w:hint="eastAsia"/>
                <w:sz w:val="24"/>
                <w:szCs w:val="24"/>
              </w:rPr>
              <w:t>可满足</w:t>
            </w:r>
            <w:r>
              <w:rPr>
                <w:rFonts w:ascii="Times New Roman" w:hAnsi="Times New Roman" w:cs="Times New Roman"/>
                <w:sz w:val="24"/>
                <w:szCs w:val="24"/>
              </w:rPr>
              <w:t>《地表水环境质量标准》（GB3838-2002）中Ⅲ类标准，水质现状较好。</w:t>
            </w:r>
          </w:p>
          <w:p>
            <w:pPr>
              <w:pStyle w:val="GBK28"/>
              <w:snapToGrid w:val="0"/>
              <w:ind w:firstLine="480"/>
              <w:rPr>
                <w:rFonts w:ascii="Times New Roman" w:hAnsi="Times New Roman" w:cs="Times New Roman"/>
                <w:sz w:val="24"/>
                <w:szCs w:val="24"/>
              </w:rPr>
            </w:pPr>
            <w:r>
              <w:rPr>
                <w:rFonts w:ascii="Times New Roman" w:hAnsi="Times New Roman" w:cs="Times New Roman"/>
                <w:sz w:val="24"/>
                <w:szCs w:val="24"/>
              </w:rPr>
              <w:t>项目</w:t>
            </w:r>
            <w:r>
              <w:rPr>
                <w:rFonts w:ascii="Times New Roman" w:hAnsi="Times New Roman" w:cs="Times New Roman" w:hint="eastAsia"/>
                <w:sz w:val="24"/>
                <w:szCs w:val="24"/>
              </w:rPr>
              <w:t>区域</w:t>
            </w:r>
            <w:r>
              <w:rPr>
                <w:rFonts w:ascii="Times New Roman" w:hAnsi="Times New Roman" w:cs="Times New Roman"/>
                <w:sz w:val="24"/>
                <w:szCs w:val="24"/>
              </w:rPr>
              <w:t>声环境质量可满足《声环境质量标准》（GB3096-2008）中</w:t>
            </w:r>
            <w:r>
              <w:rPr>
                <w:rFonts w:ascii="Times New Roman" w:hAnsi="Times New Roman" w:cs="Times New Roman" w:hint="eastAsia"/>
                <w:sz w:val="24"/>
                <w:szCs w:val="24"/>
              </w:rPr>
              <w:t>2</w:t>
            </w:r>
            <w:r>
              <w:rPr>
                <w:rFonts w:ascii="Times New Roman" w:hAnsi="Times New Roman" w:cs="Times New Roman"/>
                <w:sz w:val="24"/>
                <w:szCs w:val="24"/>
              </w:rPr>
              <w:t>类</w:t>
            </w:r>
            <w:r>
              <w:rPr>
                <w:rFonts w:ascii="Times New Roman" w:hAnsi="Times New Roman" w:cs="Times New Roman" w:hint="eastAsia"/>
                <w:sz w:val="24"/>
                <w:szCs w:val="24"/>
              </w:rPr>
              <w:t>、4</w:t>
            </w:r>
            <w:r>
              <w:rPr>
                <w:rFonts w:ascii="Times New Roman" w:hAnsi="Times New Roman" w:cs="Times New Roman"/>
                <w:sz w:val="24"/>
                <w:szCs w:val="24"/>
              </w:rPr>
              <w:t>a</w:t>
            </w:r>
            <w:r>
              <w:rPr>
                <w:rFonts w:ascii="Times New Roman" w:hAnsi="Times New Roman" w:cs="Times New Roman" w:hint="eastAsia"/>
                <w:sz w:val="24"/>
                <w:szCs w:val="24"/>
              </w:rPr>
              <w:t>类</w:t>
            </w:r>
            <w:r>
              <w:rPr>
                <w:rFonts w:ascii="Times New Roman" w:hAnsi="Times New Roman" w:cs="Times New Roman"/>
                <w:sz w:val="24"/>
                <w:szCs w:val="24"/>
              </w:rPr>
              <w:t>标准限值要求，区域环境噪声现状良好。</w:t>
            </w:r>
          </w:p>
          <w:p>
            <w:pPr>
              <w:spacing w:line="360" w:lineRule="auto"/>
              <w:ind w:firstLine="420" w:firstLineChars="200"/>
              <w:rPr>
                <w:sz w:val="24"/>
              </w:rPr>
            </w:pPr>
            <w:r>
              <w:rPr>
                <w:rFonts w:ascii="宋体" w:hAnsi="宋体"/>
              </w:rPr>
              <w:t>（3）</w:t>
            </w:r>
            <w:r>
              <w:rPr>
                <w:sz w:val="24"/>
              </w:rPr>
              <w:t>资源利用上线</w:t>
            </w:r>
          </w:p>
          <w:p>
            <w:pPr>
              <w:spacing w:line="360" w:lineRule="auto"/>
              <w:ind w:firstLine="480" w:firstLineChars="200"/>
              <w:rPr>
                <w:sz w:val="24"/>
              </w:rPr>
            </w:pPr>
            <w:r>
              <w:rPr>
                <w:sz w:val="24"/>
              </w:rPr>
              <w:t>项目用电来自</w:t>
            </w:r>
            <w:r>
              <w:rPr>
                <w:rFonts w:hint="eastAsia"/>
                <w:sz w:val="24"/>
              </w:rPr>
              <w:t>抚州市临川区供电系统</w:t>
            </w:r>
            <w:r>
              <w:rPr>
                <w:sz w:val="24"/>
              </w:rPr>
              <w:t>。</w:t>
            </w:r>
            <w:r>
              <w:rPr>
                <w:rFonts w:hint="eastAsia"/>
                <w:sz w:val="24"/>
              </w:rPr>
              <w:t>汝水生态水厂原水来自抚河，抚河的水质及水量均满足</w:t>
            </w:r>
            <w:r>
              <w:rPr>
                <w:rFonts w:hint="eastAsia"/>
                <w:kern w:val="2"/>
                <w:sz w:val="24"/>
                <w:szCs w:val="22"/>
                <w:lang w:val="zh-CN"/>
              </w:rPr>
              <w:t>抚州市汝水生态水厂扩建工程的要求，</w:t>
            </w:r>
            <w:r>
              <w:rPr>
                <w:sz w:val="24"/>
              </w:rPr>
              <w:t>项目建成运行后通过内部管理、设备选择、原辅料的选用和管理、废物回收和利用、污染防治等多方面的采取合理可行的防治措施，以“节能、降耗、减污”为目标，有效的控制污染。项目的水、电等资源利用不会突破区域的资源利用上线。</w:t>
            </w:r>
          </w:p>
          <w:p>
            <w:pPr>
              <w:spacing w:line="360" w:lineRule="auto"/>
              <w:ind w:firstLine="480" w:firstLineChars="200"/>
              <w:rPr>
                <w:sz w:val="24"/>
              </w:rPr>
            </w:pPr>
            <w:r>
              <w:rPr>
                <w:kern w:val="10"/>
                <w:sz w:val="24"/>
              </w:rPr>
              <w:t>（4）</w:t>
            </w:r>
            <w:r>
              <w:rPr>
                <w:rFonts w:hint="eastAsia"/>
                <w:kern w:val="10"/>
                <w:sz w:val="24"/>
              </w:rPr>
              <w:t>环境准入</w:t>
            </w:r>
            <w:r>
              <w:rPr>
                <w:sz w:val="24"/>
              </w:rPr>
              <w:t>负面清单</w:t>
            </w:r>
          </w:p>
          <w:p>
            <w:pPr>
              <w:pStyle w:val="CommentText"/>
              <w:snapToGrid w:val="0"/>
              <w:spacing w:line="360" w:lineRule="auto"/>
              <w:ind w:firstLine="480" w:firstLineChars="200"/>
              <w:rPr>
                <w:bCs/>
                <w:sz w:val="24"/>
              </w:rPr>
            </w:pPr>
            <w:r>
              <w:rPr>
                <w:rFonts w:hint="eastAsia"/>
                <w:bCs/>
                <w:sz w:val="24"/>
              </w:rPr>
              <w:t>本项目属</w:t>
            </w:r>
            <w:r>
              <w:rPr>
                <w:sz w:val="24"/>
              </w:rPr>
              <w:t>城镇</w:t>
            </w:r>
            <w:r>
              <w:rPr>
                <w:rFonts w:hint="eastAsia"/>
                <w:sz w:val="24"/>
              </w:rPr>
              <w:t>供水类</w:t>
            </w:r>
            <w:r>
              <w:rPr>
                <w:sz w:val="24"/>
              </w:rPr>
              <w:t>项目</w:t>
            </w:r>
            <w:r>
              <w:rPr>
                <w:rFonts w:hint="eastAsia"/>
                <w:bCs/>
                <w:sz w:val="24"/>
              </w:rPr>
              <w:t>，符合国家、地方产业政策。</w:t>
            </w:r>
            <w:r>
              <w:rPr>
                <w:bCs/>
                <w:sz w:val="24"/>
              </w:rPr>
              <w:t>本项目不在三线一单约束范围内，建设符合要求。</w:t>
            </w:r>
          </w:p>
          <w:p>
            <w:pPr>
              <w:pStyle w:val="GBK28"/>
              <w:snapToGrid w:val="0"/>
              <w:ind w:firstLine="482"/>
              <w:jc w:val="both"/>
              <w:rPr>
                <w:rFonts w:ascii="Times New Roman" w:hAnsi="Times New Roman" w:cs="Times New Roman"/>
                <w:b/>
                <w:kern w:val="10"/>
                <w:sz w:val="24"/>
                <w:szCs w:val="24"/>
              </w:rPr>
            </w:pPr>
            <w:r>
              <w:rPr>
                <w:rFonts w:ascii="Times New Roman" w:hAnsi="Times New Roman" w:cs="Times New Roman" w:hint="eastAsia"/>
                <w:b/>
                <w:kern w:val="10"/>
                <w:sz w:val="24"/>
                <w:szCs w:val="24"/>
              </w:rPr>
              <w:t>3、</w:t>
            </w:r>
            <w:r>
              <w:rPr>
                <w:rFonts w:ascii="Times New Roman" w:hAnsi="Times New Roman" w:cs="Times New Roman"/>
                <w:b/>
                <w:kern w:val="10"/>
                <w:sz w:val="24"/>
                <w:szCs w:val="24"/>
              </w:rPr>
              <w:t>与饮用水水源保护区规划相符性</w:t>
            </w:r>
          </w:p>
          <w:p>
            <w:pPr>
              <w:spacing w:line="360" w:lineRule="auto"/>
              <w:ind w:firstLine="480" w:firstLineChars="200"/>
              <w:rPr>
                <w:sz w:val="24"/>
              </w:rPr>
            </w:pPr>
            <w:r>
              <w:rPr>
                <w:rFonts w:hint="eastAsia"/>
                <w:kern w:val="10"/>
                <w:sz w:val="24"/>
              </w:rPr>
              <w:t>本项目在汝水生态水厂原有厂区扩建内，不涉及取水构筑物的建设</w:t>
            </w:r>
            <w:r>
              <w:rPr>
                <w:rFonts w:hint="eastAsia"/>
                <w:sz w:val="24"/>
              </w:rPr>
              <w:t>，且不位于饮用水源保护区，与地表水功能区划相符</w:t>
            </w:r>
            <w:r>
              <w:rPr>
                <w:kern w:val="10"/>
                <w:sz w:val="24"/>
              </w:rPr>
              <w:t>，详见附图5。</w:t>
            </w:r>
          </w:p>
          <w:p>
            <w:pPr>
              <w:pStyle w:val="GBK28"/>
              <w:snapToGrid w:val="0"/>
              <w:ind w:firstLine="482"/>
              <w:rPr>
                <w:rFonts w:ascii="Times New Roman" w:hAnsi="Times New Roman" w:cs="Times New Roman"/>
                <w:b/>
                <w:sz w:val="24"/>
                <w:szCs w:val="24"/>
              </w:rPr>
            </w:pPr>
            <w:r>
              <w:rPr>
                <w:rFonts w:ascii="Times New Roman" w:hAnsi="Times New Roman" w:cs="Times New Roman"/>
                <w:b/>
                <w:sz w:val="24"/>
                <w:szCs w:val="24"/>
              </w:rPr>
              <w:t>4、选址合理性分析</w:t>
            </w:r>
          </w:p>
          <w:p>
            <w:pPr>
              <w:pStyle w:val="Default"/>
              <w:spacing w:line="360" w:lineRule="auto"/>
              <w:ind w:firstLine="480" w:firstLineChars="200"/>
              <w:rPr>
                <w:rFonts w:ascii="宋体" w:eastAsia="宋体" w:hAnsi="宋体" w:hint="default"/>
              </w:rPr>
            </w:pPr>
            <w:r>
              <w:rPr>
                <w:rFonts w:ascii="宋体" w:eastAsia="宋体" w:hAnsi="宋体"/>
              </w:rPr>
              <w:t>（1）用地相符性分析</w:t>
            </w:r>
          </w:p>
          <w:p>
            <w:pPr>
              <w:pStyle w:val="Default"/>
              <w:spacing w:line="360" w:lineRule="auto"/>
              <w:ind w:firstLine="480" w:firstLineChars="200"/>
              <w:rPr>
                <w:rFonts w:ascii="宋体" w:eastAsia="宋体" w:hAnsi="宋体" w:hint="default"/>
              </w:rPr>
            </w:pPr>
            <w:r>
              <w:rPr>
                <w:rFonts w:ascii="宋体" w:eastAsia="宋体" w:hAnsi="宋体"/>
              </w:rPr>
              <w:t>根据土地产权证，本项目用地为公共设施用地，本项目为城镇供水工程，与用地性质相符。</w:t>
            </w:r>
          </w:p>
          <w:p>
            <w:pPr>
              <w:pStyle w:val="Default"/>
              <w:spacing w:line="360" w:lineRule="auto"/>
              <w:ind w:firstLine="480" w:firstLineChars="200"/>
              <w:rPr>
                <w:rFonts w:ascii="宋体" w:eastAsia="宋体" w:hAnsi="宋体" w:hint="default"/>
              </w:rPr>
            </w:pPr>
            <w:r>
              <w:rPr>
                <w:rFonts w:ascii="宋体" w:eastAsia="宋体" w:hAnsi="宋体"/>
              </w:rPr>
              <w:t>（2）与规划相符性</w:t>
            </w:r>
          </w:p>
          <w:p>
            <w:pPr>
              <w:pStyle w:val="Default"/>
              <w:spacing w:line="360" w:lineRule="auto"/>
              <w:ind w:firstLine="480" w:firstLineChars="200"/>
              <w:rPr>
                <w:rFonts w:ascii="宋体" w:eastAsia="宋体" w:hAnsi="宋体" w:hint="default"/>
              </w:rPr>
            </w:pPr>
            <w:r>
              <w:rPr>
                <w:rFonts w:ascii="宋体" w:eastAsia="宋体" w:hAnsi="宋体"/>
              </w:rPr>
              <w:t>根据抚州市城市总体规划图（见附图</w:t>
            </w:r>
            <w:r>
              <w:rPr>
                <w:rFonts w:ascii="Times New Roman" w:eastAsia="宋体" w:hAnsi="Times New Roman" w:hint="default"/>
              </w:rPr>
              <w:t>6</w:t>
            </w:r>
            <w:r>
              <w:rPr>
                <w:rFonts w:ascii="宋体" w:eastAsia="宋体" w:hAnsi="宋体"/>
              </w:rPr>
              <w:t>），本项目用地为供应设施用地，本项目与用地性质相符。</w:t>
            </w:r>
          </w:p>
          <w:p>
            <w:pPr>
              <w:pStyle w:val="Default"/>
              <w:spacing w:line="360" w:lineRule="auto"/>
              <w:ind w:firstLine="480" w:firstLineChars="200"/>
              <w:rPr>
                <w:rFonts w:ascii="宋体" w:eastAsia="宋体" w:hAnsi="宋体" w:hint="default"/>
              </w:rPr>
            </w:pPr>
            <w:r>
              <w:rPr>
                <w:rFonts w:ascii="宋体" w:eastAsia="宋体" w:hAnsi="宋体"/>
              </w:rPr>
              <w:t>综上，本项目选址合理。</w:t>
            </w:r>
            <w:bookmarkEnd w:id="8"/>
          </w:p>
          <w:p>
            <w:pPr>
              <w:pStyle w:val="Default"/>
              <w:spacing w:line="360" w:lineRule="auto"/>
              <w:ind w:firstLine="480" w:firstLineChars="200"/>
              <w:rPr>
                <w:rFonts w:ascii="Times New Roman" w:eastAsia="宋体" w:hAnsi="Times New Roman" w:hint="default"/>
                <w:b/>
                <w:bCs/>
              </w:rPr>
            </w:pPr>
            <w:r>
              <w:rPr>
                <w:rFonts w:ascii="Times New Roman" w:eastAsia="宋体" w:hAnsi="Times New Roman" w:hint="default"/>
                <w:b/>
                <w:bCs/>
              </w:rPr>
              <w:t>5、取水可行性分析</w:t>
            </w:r>
          </w:p>
          <w:p>
            <w:pPr>
              <w:pStyle w:val="Default"/>
              <w:spacing w:line="360" w:lineRule="auto"/>
              <w:ind w:firstLine="480" w:firstLineChars="200"/>
              <w:rPr>
                <w:rFonts w:ascii="宋体" w:eastAsia="宋体" w:hAnsi="宋体" w:hint="default"/>
              </w:rPr>
            </w:pPr>
            <w:r>
              <w:rPr>
                <w:rFonts w:ascii="宋体" w:eastAsia="宋体" w:hAnsi="宋体"/>
              </w:rPr>
              <w:t>（1）水资源承载力可行性分析</w:t>
            </w:r>
          </w:p>
          <w:p>
            <w:pPr>
              <w:pStyle w:val="Default"/>
              <w:spacing w:after="0" w:line="360" w:lineRule="auto"/>
              <w:ind w:firstLine="480" w:firstLineChars="200"/>
              <w:rPr>
                <w:rFonts w:ascii="宋体" w:eastAsia="宋体" w:hAnsi="宋体" w:hint="default"/>
              </w:rPr>
            </w:pPr>
            <w:r>
              <w:rPr>
                <w:rFonts w:ascii="宋体" w:eastAsia="宋体" w:hAnsi="宋体"/>
              </w:rPr>
              <w:t>根据江西省水利厅关于《抚州南区水厂供水工程水资源论证报告书（报批稿）》审批意见的函（赣水</w:t>
            </w:r>
            <w:r>
              <w:rPr>
                <w:rFonts w:ascii="Times New Roman" w:eastAsia="宋体" w:hAnsi="Times New Roman" w:hint="default"/>
              </w:rPr>
              <w:t>资源字【2014】38号）</w:t>
            </w:r>
            <w:r>
              <w:rPr>
                <w:rFonts w:ascii="Times New Roman" w:eastAsia="宋体" w:hAnsi="Times New Roman"/>
              </w:rPr>
              <w:t>，水厂在抚河取水口断面多年平均流量为2</w:t>
            </w:r>
            <w:r>
              <w:rPr>
                <w:rFonts w:ascii="Times New Roman" w:eastAsia="宋体" w:hAnsi="Times New Roman" w:hint="default"/>
              </w:rPr>
              <w:t>68m</w:t>
            </w:r>
            <w:r>
              <w:rPr>
                <w:rFonts w:ascii="Times New Roman" w:eastAsia="宋体" w:hAnsi="Times New Roman" w:hint="default"/>
                <w:vertAlign w:val="superscript"/>
              </w:rPr>
              <w:t>3</w:t>
            </w:r>
            <w:r>
              <w:rPr>
                <w:rFonts w:ascii="Times New Roman" w:eastAsia="宋体" w:hAnsi="Times New Roman" w:hint="default"/>
              </w:rPr>
              <w:t>/s</w:t>
            </w:r>
            <w:r>
              <w:rPr>
                <w:rFonts w:ascii="Times New Roman" w:eastAsia="宋体" w:hAnsi="Times New Roman"/>
              </w:rPr>
              <w:t>，本项目扩建后取水口取水规模为1</w:t>
            </w:r>
            <w:r>
              <w:rPr>
                <w:rFonts w:ascii="Times New Roman" w:eastAsia="宋体" w:hAnsi="Times New Roman" w:hint="default"/>
              </w:rPr>
              <w:t>.74m</w:t>
            </w:r>
            <w:r>
              <w:rPr>
                <w:rFonts w:ascii="Times New Roman" w:eastAsia="宋体" w:hAnsi="Times New Roman" w:hint="default"/>
                <w:vertAlign w:val="superscript"/>
              </w:rPr>
              <w:t>3</w:t>
            </w:r>
            <w:r>
              <w:rPr>
                <w:rFonts w:ascii="Times New Roman" w:eastAsia="宋体" w:hAnsi="Times New Roman" w:hint="default"/>
              </w:rPr>
              <w:t>/s</w:t>
            </w:r>
            <w:r>
              <w:rPr>
                <w:rFonts w:ascii="Times New Roman" w:eastAsia="宋体" w:hAnsi="Times New Roman"/>
              </w:rPr>
              <w:t>（1</w:t>
            </w:r>
            <w:r>
              <w:rPr>
                <w:rFonts w:ascii="Times New Roman" w:eastAsia="宋体" w:hAnsi="Times New Roman" w:hint="default"/>
              </w:rPr>
              <w:t>5</w:t>
            </w:r>
            <w:r>
              <w:rPr>
                <w:rFonts w:ascii="Times New Roman" w:eastAsia="宋体" w:hAnsi="Times New Roman"/>
              </w:rPr>
              <w:t>万m</w:t>
            </w:r>
            <w:r>
              <w:rPr>
                <w:rFonts w:ascii="Times New Roman" w:eastAsia="宋体" w:hAnsi="Times New Roman" w:hint="default"/>
                <w:vertAlign w:val="superscript"/>
              </w:rPr>
              <w:t>3</w:t>
            </w:r>
          </w:p>
        </w:tc>
      </w:tr>
    </w:tbl>
    <w:p>
      <w:pPr>
        <w:sectPr>
          <w:footerReference w:type="even" r:id="rId46"/>
          <w:footerReference w:type="default" r:id="rId47"/>
          <w:footerReference w:type="first" r:id="rId48"/>
          <w:type w:val="nextPage"/>
          <w:pgSz w:w="11907" w:h="16840"/>
          <w:pgMar w:top="1418" w:right="1418" w:bottom="1418" w:left="1418" w:header="851" w:footer="680" w:gutter="113"/>
          <w:pgNumType w:start="9"/>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42"/>
          <w:jc w:val="center"/>
        </w:trPr>
        <w:tc>
          <w:tcPr>
            <w:tcW w:w="8916" w:type="dxa"/>
          </w:tcPr>
          <w:p>
            <w:pPr>
              <w:pStyle w:val="Default"/>
              <w:spacing w:before="0" w:line="360" w:lineRule="auto"/>
              <w:ind w:firstLine="480" w:firstLineChars="200"/>
              <w:rPr>
                <w:rFonts w:ascii="宋体" w:eastAsia="宋体" w:hAnsi="宋体" w:hint="default"/>
              </w:rPr>
            </w:pPr>
            <w:r>
              <w:rPr>
                <w:rFonts w:ascii="Times New Roman" w:eastAsia="宋体" w:hAnsi="Times New Roman"/>
              </w:rPr>
              <w:t>/d）。因此，本项目取水口</w:t>
            </w:r>
            <w:r>
              <w:rPr>
                <w:rFonts w:ascii="宋体" w:eastAsia="宋体" w:hAnsi="宋体"/>
              </w:rPr>
              <w:t>水资源承载力可行性分析。</w:t>
            </w:r>
          </w:p>
          <w:p>
            <w:pPr>
              <w:pStyle w:val="Default"/>
              <w:spacing w:line="360" w:lineRule="auto"/>
              <w:ind w:firstLine="480" w:firstLineChars="200"/>
              <w:rPr>
                <w:rFonts w:ascii="宋体" w:eastAsia="宋体" w:hAnsi="宋体" w:hint="default"/>
              </w:rPr>
            </w:pPr>
            <w:r>
              <w:rPr>
                <w:rFonts w:ascii="宋体" w:eastAsia="宋体" w:hAnsi="宋体"/>
              </w:rPr>
              <w:t>（2）取水口现状</w:t>
            </w:r>
          </w:p>
          <w:p>
            <w:pPr>
              <w:pStyle w:val="Default"/>
              <w:spacing w:line="360" w:lineRule="auto"/>
              <w:ind w:firstLine="480" w:firstLineChars="200"/>
              <w:rPr>
                <w:rFonts w:ascii="Times New Roman" w:eastAsia="宋体" w:hAnsi="Times New Roman" w:hint="default"/>
              </w:rPr>
            </w:pPr>
            <w:r>
              <w:rPr>
                <w:rFonts w:ascii="宋体" w:eastAsia="宋体" w:hAnsi="宋体"/>
              </w:rPr>
              <w:t>根据</w:t>
            </w:r>
            <w:r>
              <w:rPr>
                <w:rFonts w:ascii="Times New Roman" w:eastAsia="宋体" w:hAnsi="Times New Roman" w:hint="default"/>
              </w:rPr>
              <w:t>抚州市供水公司出具的原水监测报告，原水水质满足《地表水环境质量标准》（GB3838-2002）中的</w:t>
            </w:r>
            <w:r>
              <w:rPr>
                <w:rFonts w:ascii="Times New Roman" w:eastAsia="宋体" w:hAnsi="Times New Roman" w:hint="default"/>
              </w:rPr>
              <w:fldChar w:fldCharType="begin"/>
            </w:r>
            <w:r>
              <w:rPr>
                <w:rFonts w:ascii="Times New Roman" w:eastAsia="宋体" w:hAnsi="Times New Roman" w:hint="default"/>
              </w:rPr>
              <w:instrText xml:space="preserve"> = 4 \* ROMAN </w:instrText>
            </w:r>
            <w:r>
              <w:rPr>
                <w:rFonts w:ascii="Times New Roman" w:eastAsia="宋体" w:hAnsi="Times New Roman" w:hint="default"/>
              </w:rPr>
              <w:fldChar w:fldCharType="separate"/>
            </w:r>
            <w:r>
              <w:rPr>
                <w:rFonts w:ascii="Times New Roman" w:eastAsia="宋体" w:hAnsi="Times New Roman" w:hint="default"/>
              </w:rPr>
              <w:t>II</w:t>
            </w:r>
            <w:r>
              <w:rPr>
                <w:rFonts w:ascii="Times New Roman" w:eastAsia="宋体" w:hAnsi="Times New Roman" w:hint="default"/>
              </w:rPr>
              <w:fldChar w:fldCharType="end"/>
            </w:r>
            <w:r>
              <w:rPr>
                <w:rFonts w:ascii="Times New Roman" w:eastAsia="宋体" w:hAnsi="Times New Roman" w:hint="default"/>
              </w:rPr>
              <w:t>类水质标准。</w:t>
            </w:r>
          </w:p>
          <w:p>
            <w:pPr>
              <w:pStyle w:val="Default"/>
              <w:spacing w:line="360" w:lineRule="auto"/>
              <w:ind w:firstLine="480" w:firstLineChars="200"/>
              <w:rPr>
                <w:rFonts w:ascii="Times New Roman" w:eastAsia="宋体" w:hAnsi="Times New Roman"/>
              </w:rPr>
            </w:pPr>
            <w:r>
              <w:rPr>
                <w:rFonts w:ascii="Times New Roman" w:eastAsia="宋体" w:hAnsi="Times New Roman"/>
              </w:rPr>
              <w:t>同时本项目取水口已划分，名为南区水厂取水口，取水口保护区范围如下：</w:t>
            </w:r>
          </w:p>
          <w:p>
            <w:pPr>
              <w:pStyle w:val="Default"/>
              <w:spacing w:line="360" w:lineRule="auto"/>
              <w:ind w:firstLine="480" w:firstLineChars="200"/>
              <w:rPr>
                <w:rFonts w:ascii="Times New Roman" w:eastAsia="宋体" w:hAnsi="Times New Roman"/>
              </w:rPr>
            </w:pPr>
            <w:r>
              <w:rPr>
                <w:rFonts w:ascii="Times New Roman" w:eastAsia="宋体" w:hAnsi="Times New Roman"/>
              </w:rPr>
              <w:t>一级保护区范围</w:t>
            </w:r>
          </w:p>
          <w:p>
            <w:pPr>
              <w:pStyle w:val="Default"/>
              <w:spacing w:line="360" w:lineRule="auto"/>
              <w:ind w:firstLine="480" w:firstLineChars="200"/>
              <w:rPr>
                <w:rFonts w:ascii="Times New Roman" w:eastAsia="宋体" w:hAnsi="Times New Roman"/>
              </w:rPr>
            </w:pPr>
            <w:r>
              <w:rPr>
                <w:rFonts w:ascii="Times New Roman" w:eastAsia="宋体" w:hAnsi="Times New Roman"/>
              </w:rPr>
              <w:t>水域：长度：自取水点算起，上游1000m至下游100m范围；宽度：以河道中泓线为界，靠取水口一侧范围。</w:t>
            </w:r>
          </w:p>
          <w:p>
            <w:pPr>
              <w:pStyle w:val="Default"/>
              <w:spacing w:line="360" w:lineRule="auto"/>
              <w:ind w:firstLine="480" w:firstLineChars="200"/>
              <w:rPr>
                <w:rFonts w:ascii="Times New Roman" w:eastAsia="宋体" w:hAnsi="Times New Roman"/>
              </w:rPr>
            </w:pPr>
            <w:r>
              <w:rPr>
                <w:rFonts w:ascii="Times New Roman" w:eastAsia="宋体" w:hAnsi="Times New Roman"/>
              </w:rPr>
              <w:t>陆域：长度：和水域等长；宽度：取水口一侧的滩地以及迎水面堤脚向背水面延伸100m或延伸至防洪堤（付家堤）外侧范围。</w:t>
            </w:r>
          </w:p>
          <w:p>
            <w:pPr>
              <w:pStyle w:val="Default"/>
              <w:spacing w:line="360" w:lineRule="auto"/>
              <w:ind w:firstLine="480" w:firstLineChars="200"/>
              <w:rPr>
                <w:rFonts w:ascii="Times New Roman" w:eastAsia="宋体" w:hAnsi="Times New Roman"/>
              </w:rPr>
            </w:pPr>
            <w:r>
              <w:rPr>
                <w:rFonts w:ascii="Times New Roman" w:eastAsia="宋体" w:hAnsi="Times New Roman"/>
              </w:rPr>
              <w:t>二级保护区范围</w:t>
            </w:r>
          </w:p>
          <w:p>
            <w:pPr>
              <w:pStyle w:val="Default"/>
              <w:spacing w:line="360" w:lineRule="auto"/>
              <w:ind w:firstLine="480" w:firstLineChars="200"/>
              <w:rPr>
                <w:rFonts w:ascii="Times New Roman" w:eastAsia="宋体" w:hAnsi="Times New Roman"/>
              </w:rPr>
            </w:pPr>
            <w:r>
              <w:rPr>
                <w:rFonts w:ascii="Times New Roman" w:eastAsia="宋体" w:hAnsi="Times New Roman"/>
              </w:rPr>
              <w:t>水域：长度：自一级保护区上界起上溯2900m范围；宽度：整个河道。以及一级保护区水域向取水口相对一侧扩展至整个河道范围。</w:t>
            </w:r>
          </w:p>
          <w:p>
            <w:pPr>
              <w:pStyle w:val="Default"/>
              <w:spacing w:line="360" w:lineRule="auto"/>
              <w:ind w:firstLine="480" w:firstLineChars="200"/>
              <w:rPr>
                <w:rFonts w:ascii="Times New Roman" w:eastAsia="宋体" w:hAnsi="Times New Roman"/>
              </w:rPr>
            </w:pPr>
            <w:r>
              <w:rPr>
                <w:rFonts w:ascii="Times New Roman" w:eastAsia="宋体" w:hAnsi="Times New Roman"/>
              </w:rPr>
              <w:t>陆域：长度：和水域等长；宽度：取水口一侧的滩地以及迎水面堤脚向背水面延伸100m或延伸至付家堤外侧范围。</w:t>
            </w:r>
          </w:p>
          <w:p>
            <w:pPr>
              <w:pStyle w:val="Default"/>
              <w:spacing w:line="360" w:lineRule="auto"/>
              <w:ind w:firstLine="480" w:firstLineChars="200"/>
              <w:rPr>
                <w:rFonts w:ascii="Times New Roman" w:eastAsia="宋体" w:hAnsi="Times New Roman" w:hint="default"/>
              </w:rPr>
            </w:pPr>
            <w:r>
              <w:rPr>
                <w:rFonts w:ascii="宋体" w:eastAsia="宋体" w:hAnsi="宋体"/>
              </w:rPr>
              <w:t>综上，本项目扩建后</w:t>
            </w:r>
            <w:r>
              <w:rPr>
                <w:rFonts w:ascii="Times New Roman" w:eastAsia="宋体" w:hAnsi="Times New Roman" w:hint="default"/>
              </w:rPr>
              <w:t>取水可行</w:t>
            </w:r>
            <w:r>
              <w:rPr>
                <w:rFonts w:ascii="Times New Roman" w:eastAsia="宋体" w:hAnsi="Times New Roman"/>
              </w:rPr>
              <w:t>。</w:t>
            </w:r>
          </w:p>
        </w:tc>
      </w:tr>
      <w:tr>
        <w:tblPrEx>
          <w:tblW w:w="8916" w:type="dxa"/>
          <w:jc w:val="center"/>
          <w:tblLayout w:type="fixed"/>
          <w:tblCellMar>
            <w:top w:w="0" w:type="dxa"/>
            <w:left w:w="108" w:type="dxa"/>
            <w:bottom w:w="0" w:type="dxa"/>
            <w:right w:w="108" w:type="dxa"/>
          </w:tblCellMar>
        </w:tblPrEx>
        <w:trPr>
          <w:trHeight w:val="5517"/>
          <w:jc w:val="center"/>
        </w:trPr>
        <w:tc>
          <w:tcPr>
            <w:tcW w:w="8916" w:type="dxa"/>
          </w:tcPr>
          <w:p>
            <w:pPr>
              <w:spacing w:before="120" w:beforeLines="50" w:line="360" w:lineRule="auto"/>
              <w:rPr>
                <w:kern w:val="21"/>
                <w:sz w:val="28"/>
                <w:szCs w:val="22"/>
              </w:rPr>
            </w:pPr>
            <w:r>
              <w:rPr>
                <w:b/>
                <w:kern w:val="21"/>
                <w:sz w:val="28"/>
                <w:szCs w:val="22"/>
              </w:rPr>
              <w:t>与本项目有关的原有污染情况及主要环境问题：</w:t>
            </w:r>
          </w:p>
          <w:p>
            <w:pPr>
              <w:spacing w:line="360" w:lineRule="auto"/>
              <w:ind w:firstLine="480" w:firstLineChars="200"/>
              <w:jc w:val="left"/>
              <w:rPr>
                <w:b/>
                <w:bCs/>
                <w:kern w:val="2"/>
                <w:sz w:val="24"/>
                <w:szCs w:val="24"/>
              </w:rPr>
            </w:pPr>
            <w:r>
              <w:rPr>
                <w:rFonts w:hint="eastAsia"/>
                <w:b/>
                <w:bCs/>
                <w:kern w:val="2"/>
                <w:sz w:val="24"/>
                <w:szCs w:val="24"/>
              </w:rPr>
              <w:t>一、原有工程概况</w:t>
            </w:r>
          </w:p>
          <w:p>
            <w:pPr>
              <w:spacing w:line="360" w:lineRule="auto"/>
              <w:ind w:firstLine="480" w:firstLineChars="200"/>
              <w:rPr>
                <w:color w:val="FF0000"/>
                <w:kern w:val="2"/>
                <w:sz w:val="24"/>
                <w:szCs w:val="24"/>
              </w:rPr>
            </w:pPr>
            <w:r>
              <w:rPr>
                <w:rFonts w:hint="eastAsia"/>
                <w:color w:val="000000" w:themeColor="text1"/>
                <w:kern w:val="2"/>
                <w:sz w:val="24"/>
                <w:szCs w:val="24"/>
                <w14:textFill>
                  <w14:solidFill>
                    <w14:schemeClr w14:val="tx1"/>
                  </w14:solidFill>
                </w14:textFill>
              </w:rPr>
              <w:t>抚州市环保局2</w:t>
            </w:r>
            <w:r>
              <w:rPr>
                <w:color w:val="000000" w:themeColor="text1"/>
                <w:kern w:val="2"/>
                <w:sz w:val="24"/>
                <w:szCs w:val="24"/>
                <w14:textFill>
                  <w14:solidFill>
                    <w14:schemeClr w14:val="tx1"/>
                  </w14:solidFill>
                </w14:textFill>
              </w:rPr>
              <w:t>010</w:t>
            </w:r>
            <w:r>
              <w:rPr>
                <w:rFonts w:hint="eastAsia"/>
                <w:color w:val="000000" w:themeColor="text1"/>
                <w:kern w:val="2"/>
                <w:sz w:val="24"/>
                <w:szCs w:val="24"/>
                <w14:textFill>
                  <w14:solidFill>
                    <w14:schemeClr w14:val="tx1"/>
                  </w14:solidFill>
                </w14:textFill>
              </w:rPr>
              <w:t>年3月8日审批了《抚州市南区水厂扩建改造工程环境影响报告表》，因为抚州市南区水厂扩建改造工程选址变更，2</w:t>
            </w:r>
            <w:r>
              <w:rPr>
                <w:color w:val="000000" w:themeColor="text1"/>
                <w:kern w:val="2"/>
                <w:sz w:val="24"/>
                <w:szCs w:val="24"/>
                <w14:textFill>
                  <w14:solidFill>
                    <w14:schemeClr w14:val="tx1"/>
                  </w14:solidFill>
                </w14:textFill>
              </w:rPr>
              <w:t>012</w:t>
            </w:r>
            <w:r>
              <w:rPr>
                <w:rFonts w:hint="eastAsia"/>
                <w:color w:val="000000" w:themeColor="text1"/>
                <w:kern w:val="2"/>
                <w:sz w:val="24"/>
                <w:szCs w:val="24"/>
                <w14:textFill>
                  <w14:solidFill>
                    <w14:schemeClr w14:val="tx1"/>
                  </w14:solidFill>
                </w14:textFill>
              </w:rPr>
              <w:t>年1</w:t>
            </w:r>
            <w:r>
              <w:rPr>
                <w:color w:val="000000" w:themeColor="text1"/>
                <w:kern w:val="2"/>
                <w:sz w:val="24"/>
                <w:szCs w:val="24"/>
                <w14:textFill>
                  <w14:solidFill>
                    <w14:schemeClr w14:val="tx1"/>
                  </w14:solidFill>
                </w14:textFill>
              </w:rPr>
              <w:t>0</w:t>
            </w:r>
            <w:r>
              <w:rPr>
                <w:rFonts w:hint="eastAsia"/>
                <w:color w:val="000000" w:themeColor="text1"/>
                <w:kern w:val="2"/>
                <w:sz w:val="24"/>
                <w:szCs w:val="24"/>
                <w14:textFill>
                  <w14:solidFill>
                    <w14:schemeClr w14:val="tx1"/>
                  </w14:solidFill>
                </w14:textFill>
              </w:rPr>
              <w:t>月1</w:t>
            </w:r>
            <w:r>
              <w:rPr>
                <w:color w:val="000000" w:themeColor="text1"/>
                <w:kern w:val="2"/>
                <w:sz w:val="24"/>
                <w:szCs w:val="24"/>
                <w14:textFill>
                  <w14:solidFill>
                    <w14:schemeClr w14:val="tx1"/>
                  </w14:solidFill>
                </w14:textFill>
              </w:rPr>
              <w:t>9</w:t>
            </w:r>
            <w:r>
              <w:rPr>
                <w:rFonts w:hint="eastAsia"/>
                <w:color w:val="000000" w:themeColor="text1"/>
                <w:kern w:val="2"/>
                <w:sz w:val="24"/>
                <w:szCs w:val="24"/>
                <w14:textFill>
                  <w14:solidFill>
                    <w14:schemeClr w14:val="tx1"/>
                  </w14:solidFill>
                </w14:textFill>
              </w:rPr>
              <w:t>日抚州市环保局审批了《抚州市南区水厂扩建改造工程环评变更》，2</w:t>
            </w:r>
            <w:r>
              <w:rPr>
                <w:color w:val="000000" w:themeColor="text1"/>
                <w:kern w:val="2"/>
                <w:sz w:val="24"/>
                <w:szCs w:val="24"/>
                <w14:textFill>
                  <w14:solidFill>
                    <w14:schemeClr w14:val="tx1"/>
                  </w14:solidFill>
                </w14:textFill>
              </w:rPr>
              <w:t>017</w:t>
            </w:r>
            <w:r>
              <w:rPr>
                <w:rFonts w:hint="eastAsia"/>
                <w:color w:val="000000" w:themeColor="text1"/>
                <w:kern w:val="2"/>
                <w:sz w:val="24"/>
                <w:szCs w:val="24"/>
                <w14:textFill>
                  <w14:solidFill>
                    <w14:schemeClr w14:val="tx1"/>
                  </w14:solidFill>
                </w14:textFill>
              </w:rPr>
              <w:t>年新建水厂完成，同时由抚州市民政局正式命名为“抚州汝水生态水厂”。</w:t>
            </w:r>
          </w:p>
          <w:p>
            <w:pPr>
              <w:spacing w:line="360" w:lineRule="auto"/>
              <w:ind w:firstLine="480" w:firstLineChars="200"/>
              <w:rPr>
                <w:kern w:val="2"/>
                <w:sz w:val="24"/>
                <w:szCs w:val="24"/>
              </w:rPr>
            </w:pPr>
            <w:r>
              <w:rPr>
                <w:rFonts w:hint="eastAsia"/>
                <w:kern w:val="2"/>
                <w:sz w:val="24"/>
                <w:szCs w:val="24"/>
              </w:rPr>
              <w:t>抚州汝水生态水厂位于</w:t>
            </w:r>
            <w:r>
              <w:rPr>
                <w:rFonts w:cs="宋体" w:hint="eastAsia"/>
                <w:kern w:val="21"/>
                <w:sz w:val="24"/>
                <w:szCs w:val="24"/>
              </w:rPr>
              <w:t>抚州市高新技术产业开发区抚州公用水务有限公司汝水大道6</w:t>
            </w:r>
            <w:r>
              <w:rPr>
                <w:rFonts w:cs="宋体"/>
                <w:kern w:val="21"/>
                <w:sz w:val="24"/>
                <w:szCs w:val="24"/>
              </w:rPr>
              <w:t>909</w:t>
            </w:r>
            <w:r>
              <w:rPr>
                <w:rFonts w:cs="宋体" w:hint="eastAsia"/>
                <w:kern w:val="21"/>
                <w:sz w:val="24"/>
                <w:szCs w:val="24"/>
              </w:rPr>
              <w:t>号，于2</w:t>
            </w:r>
            <w:r>
              <w:rPr>
                <w:rFonts w:cs="宋体"/>
                <w:kern w:val="21"/>
                <w:sz w:val="24"/>
                <w:szCs w:val="24"/>
              </w:rPr>
              <w:t>017</w:t>
            </w:r>
            <w:r>
              <w:rPr>
                <w:rFonts w:cs="宋体" w:hint="eastAsia"/>
                <w:kern w:val="21"/>
                <w:sz w:val="24"/>
                <w:szCs w:val="24"/>
              </w:rPr>
              <w:t>年建成投产，厂区总占地面积</w:t>
            </w:r>
            <w:r>
              <w:rPr>
                <w:kern w:val="21"/>
                <w:sz w:val="24"/>
                <w:szCs w:val="22"/>
              </w:rPr>
              <w:t>为</w:t>
            </w:r>
            <w:r>
              <w:rPr>
                <w:rFonts w:cs="宋体"/>
                <w:kern w:val="21"/>
                <w:sz w:val="24"/>
                <w:szCs w:val="24"/>
              </w:rPr>
              <w:t>66667.00</w:t>
            </w:r>
            <w:r>
              <w:rPr>
                <w:kern w:val="21"/>
                <w:sz w:val="24"/>
                <w:szCs w:val="22"/>
              </w:rPr>
              <w:t>m</w:t>
            </w:r>
            <w:r>
              <w:rPr>
                <w:kern w:val="21"/>
                <w:sz w:val="24"/>
                <w:szCs w:val="22"/>
                <w:vertAlign w:val="superscript"/>
              </w:rPr>
              <w:t>2</w:t>
            </w:r>
            <w:r>
              <w:rPr>
                <w:kern w:val="21"/>
                <w:sz w:val="24"/>
                <w:szCs w:val="22"/>
              </w:rPr>
              <w:t>，</w:t>
            </w:r>
            <w:r>
              <w:rPr>
                <w:rFonts w:hint="eastAsia"/>
                <w:kern w:val="2"/>
                <w:sz w:val="24"/>
                <w:szCs w:val="24"/>
              </w:rPr>
              <w:t>总规划供水规模为1</w:t>
            </w:r>
            <w:r>
              <w:rPr>
                <w:kern w:val="2"/>
                <w:sz w:val="24"/>
                <w:szCs w:val="24"/>
              </w:rPr>
              <w:t>5</w:t>
            </w:r>
            <w:r>
              <w:rPr>
                <w:sz w:val="24"/>
                <w:szCs w:val="24"/>
              </w:rPr>
              <w:t>万m</w:t>
            </w:r>
            <w:r>
              <w:rPr>
                <w:sz w:val="24"/>
                <w:szCs w:val="24"/>
                <w:vertAlign w:val="superscript"/>
              </w:rPr>
              <w:t>3</w:t>
            </w:r>
            <w:r>
              <w:rPr>
                <w:sz w:val="24"/>
                <w:szCs w:val="24"/>
              </w:rPr>
              <w:t>/d</w:t>
            </w:r>
            <w:r>
              <w:rPr>
                <w:rFonts w:hint="eastAsia"/>
                <w:sz w:val="24"/>
                <w:szCs w:val="24"/>
              </w:rPr>
              <w:t>，现状供水</w:t>
            </w:r>
            <w:r>
              <w:rPr>
                <w:rFonts w:hint="eastAsia"/>
                <w:kern w:val="2"/>
                <w:sz w:val="24"/>
                <w:szCs w:val="24"/>
              </w:rPr>
              <w:t>规模为1</w:t>
            </w:r>
            <w:r>
              <w:rPr>
                <w:kern w:val="2"/>
                <w:sz w:val="24"/>
                <w:szCs w:val="24"/>
              </w:rPr>
              <w:t>0</w:t>
            </w:r>
            <w:r>
              <w:rPr>
                <w:sz w:val="24"/>
                <w:szCs w:val="24"/>
              </w:rPr>
              <w:t>万m</w:t>
            </w:r>
            <w:r>
              <w:rPr>
                <w:sz w:val="24"/>
                <w:szCs w:val="24"/>
                <w:vertAlign w:val="superscript"/>
              </w:rPr>
              <w:t>3</w:t>
            </w:r>
            <w:r>
              <w:rPr>
                <w:sz w:val="24"/>
                <w:szCs w:val="24"/>
              </w:rPr>
              <w:t>/d</w:t>
            </w:r>
            <w:r>
              <w:rPr>
                <w:rFonts w:hint="eastAsia"/>
                <w:sz w:val="24"/>
                <w:szCs w:val="24"/>
              </w:rPr>
              <w:t>。</w:t>
            </w:r>
          </w:p>
          <w:p>
            <w:pPr>
              <w:spacing w:line="360" w:lineRule="auto"/>
              <w:ind w:firstLine="480" w:firstLineChars="200"/>
              <w:rPr>
                <w:kern w:val="2"/>
                <w:sz w:val="24"/>
                <w:szCs w:val="24"/>
              </w:rPr>
            </w:pPr>
            <w:r>
              <w:rPr>
                <w:rFonts w:hint="eastAsia"/>
                <w:kern w:val="2"/>
                <w:sz w:val="24"/>
                <w:szCs w:val="24"/>
              </w:rPr>
              <w:t>1、原有工程环保审批情况</w:t>
            </w:r>
          </w:p>
          <w:p>
            <w:pPr>
              <w:spacing w:after="0" w:line="360" w:lineRule="auto"/>
              <w:ind w:firstLine="480" w:firstLineChars="200"/>
              <w:rPr>
                <w:sz w:val="24"/>
                <w:szCs w:val="24"/>
              </w:rPr>
            </w:pPr>
            <w:r>
              <w:rPr>
                <w:rFonts w:hint="eastAsia"/>
                <w:kern w:val="2"/>
                <w:sz w:val="24"/>
                <w:szCs w:val="24"/>
              </w:rPr>
              <w:t>汝水生态水厂一期供水供水规模为1</w:t>
            </w:r>
            <w:r>
              <w:rPr>
                <w:kern w:val="2"/>
                <w:sz w:val="24"/>
                <w:szCs w:val="24"/>
              </w:rPr>
              <w:t>0</w:t>
            </w:r>
            <w:r>
              <w:rPr>
                <w:sz w:val="24"/>
                <w:szCs w:val="24"/>
              </w:rPr>
              <w:t>万m</w:t>
            </w:r>
            <w:r>
              <w:rPr>
                <w:sz w:val="24"/>
                <w:szCs w:val="24"/>
                <w:vertAlign w:val="superscript"/>
              </w:rPr>
              <w:t>3</w:t>
            </w:r>
            <w:r>
              <w:rPr>
                <w:sz w:val="24"/>
                <w:szCs w:val="24"/>
              </w:rPr>
              <w:t>/d</w:t>
            </w:r>
            <w:r>
              <w:rPr>
                <w:rFonts w:hint="eastAsia"/>
                <w:sz w:val="24"/>
                <w:szCs w:val="24"/>
              </w:rPr>
              <w:t>，</w:t>
            </w:r>
            <w:r>
              <w:rPr>
                <w:rFonts w:hint="eastAsia"/>
                <w:kern w:val="2"/>
                <w:sz w:val="24"/>
                <w:szCs w:val="24"/>
              </w:rPr>
              <w:t>抚州市环保局</w:t>
            </w:r>
            <w:r>
              <w:rPr>
                <w:rFonts w:hint="eastAsia"/>
                <w:sz w:val="24"/>
                <w:szCs w:val="24"/>
              </w:rPr>
              <w:t>于</w:t>
            </w:r>
            <w:r>
              <w:rPr>
                <w:rFonts w:hint="eastAsia"/>
                <w:kern w:val="2"/>
                <w:sz w:val="24"/>
                <w:szCs w:val="24"/>
              </w:rPr>
              <w:t>2</w:t>
            </w:r>
            <w:r>
              <w:rPr>
                <w:kern w:val="2"/>
                <w:sz w:val="24"/>
                <w:szCs w:val="24"/>
              </w:rPr>
              <w:t>010</w:t>
            </w:r>
            <w:r>
              <w:rPr>
                <w:rFonts w:hint="eastAsia"/>
                <w:kern w:val="2"/>
                <w:sz w:val="24"/>
                <w:szCs w:val="24"/>
              </w:rPr>
              <w:t>年3月8审批通过《抚州市南区水厂扩建改造工程环境影响报告表》，文号：抚环函字【2</w:t>
            </w:r>
            <w:r>
              <w:rPr>
                <w:kern w:val="2"/>
                <w:sz w:val="24"/>
                <w:szCs w:val="24"/>
              </w:rPr>
              <w:t>010</w:t>
            </w:r>
            <w:r>
              <w:rPr>
                <w:rFonts w:hint="eastAsia"/>
                <w:kern w:val="2"/>
                <w:sz w:val="24"/>
                <w:szCs w:val="24"/>
              </w:rPr>
              <w:t>】5</w:t>
            </w:r>
            <w:r>
              <w:rPr>
                <w:kern w:val="2"/>
                <w:sz w:val="24"/>
                <w:szCs w:val="24"/>
              </w:rPr>
              <w:t>0</w:t>
            </w:r>
            <w:r>
              <w:rPr>
                <w:rFonts w:hint="eastAsia"/>
                <w:kern w:val="2"/>
                <w:sz w:val="24"/>
                <w:szCs w:val="24"/>
              </w:rPr>
              <w:t>号，因为抚州市南区水厂扩建改造工程选址变更，抚州市环保局</w:t>
            </w:r>
            <w:r>
              <w:rPr>
                <w:rFonts w:hint="eastAsia"/>
                <w:sz w:val="24"/>
                <w:szCs w:val="24"/>
              </w:rPr>
              <w:t>于</w:t>
            </w:r>
            <w:r>
              <w:rPr>
                <w:rFonts w:hint="eastAsia"/>
                <w:kern w:val="2"/>
                <w:sz w:val="24"/>
                <w:szCs w:val="24"/>
              </w:rPr>
              <w:t>2</w:t>
            </w:r>
            <w:r>
              <w:rPr>
                <w:kern w:val="2"/>
                <w:sz w:val="24"/>
                <w:szCs w:val="24"/>
              </w:rPr>
              <w:t>012</w:t>
            </w:r>
          </w:p>
        </w:tc>
      </w:tr>
    </w:tbl>
    <w:p>
      <w:pPr>
        <w:sectPr>
          <w:footerReference w:type="even" r:id="rId49"/>
          <w:footerReference w:type="default" r:id="rId50"/>
          <w:footerReference w:type="first" r:id="rId51"/>
          <w:type w:val="nextPage"/>
          <w:pgSz w:w="11907" w:h="16840"/>
          <w:pgMar w:top="1418" w:right="1418" w:bottom="1418" w:left="1418" w:header="851" w:footer="680" w:gutter="113"/>
          <w:pgNumType w:start="10"/>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517"/>
          <w:jc w:val="center"/>
        </w:trPr>
        <w:tc>
          <w:tcPr>
            <w:tcW w:w="8916" w:type="dxa"/>
          </w:tcPr>
          <w:p>
            <w:pPr>
              <w:spacing w:before="0" w:line="360" w:lineRule="auto"/>
              <w:ind w:firstLine="480" w:firstLineChars="200"/>
              <w:rPr>
                <w:sz w:val="24"/>
                <w:szCs w:val="24"/>
              </w:rPr>
            </w:pPr>
            <w:r>
              <w:rPr>
                <w:rFonts w:hint="eastAsia"/>
                <w:kern w:val="2"/>
                <w:sz w:val="24"/>
                <w:szCs w:val="24"/>
              </w:rPr>
              <w:t>年1</w:t>
            </w:r>
            <w:r>
              <w:rPr>
                <w:kern w:val="2"/>
                <w:sz w:val="24"/>
                <w:szCs w:val="24"/>
              </w:rPr>
              <w:t>0</w:t>
            </w:r>
            <w:r>
              <w:rPr>
                <w:rFonts w:hint="eastAsia"/>
                <w:kern w:val="2"/>
                <w:sz w:val="24"/>
                <w:szCs w:val="24"/>
              </w:rPr>
              <w:t>月1</w:t>
            </w:r>
            <w:r>
              <w:rPr>
                <w:kern w:val="2"/>
                <w:sz w:val="24"/>
                <w:szCs w:val="24"/>
              </w:rPr>
              <w:t>9</w:t>
            </w:r>
            <w:r>
              <w:rPr>
                <w:rFonts w:hint="eastAsia"/>
                <w:kern w:val="2"/>
                <w:sz w:val="24"/>
                <w:szCs w:val="24"/>
              </w:rPr>
              <w:t>日审批了《抚州市南区水厂扩建改造工程环评变更》，文号：（抚环函字【2</w:t>
            </w:r>
            <w:r>
              <w:rPr>
                <w:kern w:val="2"/>
                <w:sz w:val="24"/>
                <w:szCs w:val="24"/>
              </w:rPr>
              <w:t>012</w:t>
            </w:r>
            <w:r>
              <w:rPr>
                <w:rFonts w:hint="eastAsia"/>
                <w:kern w:val="2"/>
                <w:sz w:val="24"/>
                <w:szCs w:val="24"/>
              </w:rPr>
              <w:t>】1</w:t>
            </w:r>
            <w:r>
              <w:rPr>
                <w:kern w:val="2"/>
                <w:sz w:val="24"/>
                <w:szCs w:val="24"/>
              </w:rPr>
              <w:t>95</w:t>
            </w:r>
            <w:r>
              <w:rPr>
                <w:rFonts w:hint="eastAsia"/>
                <w:kern w:val="2"/>
                <w:sz w:val="24"/>
                <w:szCs w:val="24"/>
              </w:rPr>
              <w:t>号），一期工程</w:t>
            </w:r>
            <w:r>
              <w:rPr>
                <w:sz w:val="24"/>
                <w:szCs w:val="24"/>
              </w:rPr>
              <w:t>于2017年建成投产</w:t>
            </w:r>
            <w:r>
              <w:rPr>
                <w:rFonts w:hint="eastAsia"/>
                <w:sz w:val="24"/>
                <w:szCs w:val="24"/>
              </w:rPr>
              <w:t>，未进行环保验收。</w:t>
            </w:r>
          </w:p>
          <w:p>
            <w:pPr>
              <w:spacing w:line="360" w:lineRule="auto"/>
              <w:ind w:firstLine="480" w:firstLineChars="200"/>
              <w:rPr>
                <w:kern w:val="2"/>
                <w:sz w:val="24"/>
                <w:szCs w:val="24"/>
              </w:rPr>
            </w:pPr>
            <w:r>
              <w:rPr>
                <w:rFonts w:hint="eastAsia"/>
                <w:kern w:val="2"/>
                <w:sz w:val="24"/>
                <w:szCs w:val="24"/>
              </w:rPr>
              <w:t>2、原有工程构筑物情况</w:t>
            </w:r>
          </w:p>
          <w:p>
            <w:pPr>
              <w:tabs>
                <w:tab w:val="left" w:pos="0"/>
              </w:tabs>
              <w:spacing w:line="360" w:lineRule="auto"/>
              <w:ind w:firstLine="480" w:firstLineChars="200"/>
              <w:rPr>
                <w:kern w:val="21"/>
                <w:sz w:val="24"/>
                <w:szCs w:val="22"/>
              </w:rPr>
            </w:pPr>
            <w:r>
              <w:rPr>
                <w:rFonts w:hint="eastAsia"/>
                <w:kern w:val="2"/>
                <w:sz w:val="24"/>
                <w:szCs w:val="24"/>
              </w:rPr>
              <w:t>原有工程供水规模为10万</w:t>
            </w:r>
            <w:r>
              <w:rPr>
                <w:szCs w:val="28"/>
              </w:rPr>
              <w:t>m</w:t>
            </w:r>
            <w:r>
              <w:rPr>
                <w:szCs w:val="28"/>
                <w:vertAlign w:val="superscript"/>
              </w:rPr>
              <w:t>3</w:t>
            </w:r>
            <w:r>
              <w:rPr>
                <w:szCs w:val="28"/>
              </w:rPr>
              <w:t>/d</w:t>
            </w:r>
            <w:r>
              <w:rPr>
                <w:rFonts w:hint="eastAsia"/>
                <w:szCs w:val="28"/>
              </w:rPr>
              <w:t>，</w:t>
            </w:r>
            <w:r>
              <w:rPr>
                <w:rFonts w:hint="eastAsia"/>
                <w:kern w:val="2"/>
                <w:sz w:val="24"/>
                <w:szCs w:val="24"/>
              </w:rPr>
              <w:t>原有工程构筑物情况</w:t>
            </w:r>
            <w:r>
              <w:rPr>
                <w:kern w:val="21"/>
                <w:sz w:val="24"/>
                <w:szCs w:val="22"/>
              </w:rPr>
              <w:t>详见下表</w:t>
            </w:r>
            <w:r>
              <w:rPr>
                <w:rFonts w:hint="eastAsia"/>
                <w:kern w:val="21"/>
                <w:sz w:val="24"/>
                <w:szCs w:val="22"/>
              </w:rPr>
              <w:t>4</w:t>
            </w:r>
            <w:r>
              <w:rPr>
                <w:kern w:val="21"/>
                <w:sz w:val="24"/>
                <w:szCs w:val="22"/>
              </w:rPr>
              <w:t>。</w:t>
            </w:r>
          </w:p>
          <w:p>
            <w:pPr>
              <w:adjustRightInd/>
              <w:spacing w:line="240" w:lineRule="auto"/>
              <w:jc w:val="center"/>
              <w:rPr>
                <w:b/>
                <w:bCs/>
                <w:kern w:val="2"/>
                <w:szCs w:val="21"/>
              </w:rPr>
            </w:pPr>
            <w:r>
              <w:rPr>
                <w:b/>
                <w:bCs/>
                <w:kern w:val="2"/>
                <w:szCs w:val="21"/>
              </w:rPr>
              <w:t>表</w:t>
            </w:r>
            <w:r>
              <w:rPr>
                <w:rFonts w:hint="eastAsia"/>
                <w:b/>
                <w:bCs/>
                <w:kern w:val="2"/>
                <w:szCs w:val="21"/>
              </w:rPr>
              <w:t xml:space="preserve">4 </w:t>
            </w:r>
            <w:r>
              <w:rPr>
                <w:b/>
                <w:bCs/>
                <w:kern w:val="2"/>
                <w:szCs w:val="21"/>
              </w:rPr>
              <w:t xml:space="preserve"> </w:t>
            </w:r>
            <w:r>
              <w:rPr>
                <w:rFonts w:hint="eastAsia"/>
                <w:b/>
                <w:bCs/>
                <w:kern w:val="2"/>
                <w:szCs w:val="21"/>
              </w:rPr>
              <w:t>原有工程构筑物情况</w:t>
            </w:r>
            <w:r>
              <w:rPr>
                <w:b/>
                <w:bCs/>
                <w:kern w:val="2"/>
                <w:szCs w:val="21"/>
              </w:rPr>
              <w:t>一览表</w:t>
            </w:r>
          </w:p>
          <w:tbl>
            <w:tblPr>
              <w:tblStyle w:val="TableNormal"/>
              <w:tblW w:w="874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692"/>
              <w:gridCol w:w="1106"/>
              <w:gridCol w:w="4619"/>
              <w:gridCol w:w="2325"/>
            </w:tblGrid>
            <w:tr>
              <w:tblPrEx>
                <w:tblW w:w="874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1"/>
                <w:jc w:val="center"/>
              </w:trPr>
              <w:tc>
                <w:tcPr>
                  <w:tcW w:w="692" w:type="dxa"/>
                  <w:vAlign w:val="center"/>
                </w:tcPr>
                <w:p>
                  <w:pPr>
                    <w:adjustRightInd/>
                    <w:spacing w:line="240" w:lineRule="auto"/>
                    <w:jc w:val="center"/>
                    <w:rPr>
                      <w:b/>
                      <w:bCs/>
                      <w:kern w:val="2"/>
                      <w:szCs w:val="21"/>
                    </w:rPr>
                  </w:pPr>
                  <w:r>
                    <w:rPr>
                      <w:b/>
                      <w:bCs/>
                      <w:kern w:val="2"/>
                      <w:szCs w:val="21"/>
                    </w:rPr>
                    <w:t>工程类别</w:t>
                  </w:r>
                </w:p>
              </w:tc>
              <w:tc>
                <w:tcPr>
                  <w:tcW w:w="1106" w:type="dxa"/>
                  <w:vAlign w:val="center"/>
                </w:tcPr>
                <w:p>
                  <w:pPr>
                    <w:adjustRightInd/>
                    <w:spacing w:line="240" w:lineRule="auto"/>
                    <w:jc w:val="center"/>
                    <w:rPr>
                      <w:b/>
                      <w:bCs/>
                      <w:kern w:val="2"/>
                      <w:szCs w:val="21"/>
                    </w:rPr>
                  </w:pPr>
                  <w:r>
                    <w:rPr>
                      <w:rFonts w:hint="eastAsia"/>
                      <w:b/>
                      <w:bCs/>
                      <w:kern w:val="2"/>
                      <w:szCs w:val="21"/>
                    </w:rPr>
                    <w:t>主要构筑物</w:t>
                  </w:r>
                </w:p>
              </w:tc>
              <w:tc>
                <w:tcPr>
                  <w:tcW w:w="4619" w:type="dxa"/>
                  <w:vAlign w:val="center"/>
                </w:tcPr>
                <w:p>
                  <w:pPr>
                    <w:adjustRightInd/>
                    <w:spacing w:line="240" w:lineRule="auto"/>
                    <w:jc w:val="center"/>
                    <w:rPr>
                      <w:b/>
                      <w:bCs/>
                      <w:kern w:val="2"/>
                      <w:szCs w:val="21"/>
                    </w:rPr>
                  </w:pPr>
                  <w:r>
                    <w:rPr>
                      <w:b/>
                      <w:bCs/>
                      <w:kern w:val="2"/>
                      <w:szCs w:val="21"/>
                    </w:rPr>
                    <w:t>内容</w:t>
                  </w:r>
                </w:p>
              </w:tc>
              <w:tc>
                <w:tcPr>
                  <w:tcW w:w="2325" w:type="dxa"/>
                  <w:vAlign w:val="center"/>
                </w:tcPr>
                <w:p>
                  <w:pPr>
                    <w:adjustRightInd/>
                    <w:spacing w:line="240" w:lineRule="auto"/>
                    <w:jc w:val="center"/>
                    <w:rPr>
                      <w:b/>
                      <w:bCs/>
                      <w:kern w:val="2"/>
                      <w:szCs w:val="21"/>
                    </w:rPr>
                  </w:pPr>
                  <w:r>
                    <w:rPr>
                      <w:rFonts w:hint="eastAsia"/>
                      <w:b/>
                      <w:bCs/>
                      <w:kern w:val="2"/>
                      <w:szCs w:val="21"/>
                    </w:rPr>
                    <w:t>备注</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restart"/>
                  <w:vAlign w:val="center"/>
                </w:tcPr>
                <w:p>
                  <w:pPr>
                    <w:spacing w:line="240" w:lineRule="auto"/>
                    <w:jc w:val="center"/>
                    <w:rPr>
                      <w:kern w:val="2"/>
                      <w:szCs w:val="21"/>
                    </w:rPr>
                  </w:pPr>
                  <w:r>
                    <w:rPr>
                      <w:rFonts w:hint="eastAsia"/>
                      <w:kern w:val="2"/>
                      <w:szCs w:val="21"/>
                    </w:rPr>
                    <w:t>取水</w:t>
                  </w:r>
                  <w:r>
                    <w:rPr>
                      <w:kern w:val="2"/>
                      <w:szCs w:val="21"/>
                    </w:rPr>
                    <w:t>工程</w:t>
                  </w:r>
                </w:p>
              </w:tc>
              <w:tc>
                <w:tcPr>
                  <w:tcW w:w="1106" w:type="dxa"/>
                  <w:vAlign w:val="center"/>
                </w:tcPr>
                <w:p>
                  <w:pPr>
                    <w:pStyle w:val="aa"/>
                    <w:adjustRightInd/>
                    <w:snapToGrid/>
                    <w:spacing w:line="240" w:lineRule="auto"/>
                    <w:ind w:firstLine="0" w:firstLineChars="0"/>
                    <w:jc w:val="center"/>
                    <w:rPr>
                      <w:kern w:val="2"/>
                      <w:sz w:val="21"/>
                      <w:szCs w:val="21"/>
                    </w:rPr>
                  </w:pPr>
                  <w:r>
                    <w:rPr>
                      <w:rFonts w:hint="eastAsia"/>
                      <w:kern w:val="2"/>
                      <w:sz w:val="21"/>
                      <w:szCs w:val="21"/>
                    </w:rPr>
                    <w:t>取水泵房</w:t>
                  </w:r>
                </w:p>
              </w:tc>
              <w:tc>
                <w:tcPr>
                  <w:tcW w:w="4619" w:type="dxa"/>
                  <w:vAlign w:val="center"/>
                </w:tcPr>
                <w:p>
                  <w:pPr>
                    <w:adjustRightInd/>
                    <w:spacing w:line="240" w:lineRule="auto"/>
                    <w:rPr>
                      <w:kern w:val="2"/>
                      <w:szCs w:val="21"/>
                    </w:rPr>
                  </w:pPr>
                  <w:r>
                    <w:rPr>
                      <w:rFonts w:hint="eastAsia"/>
                      <w:kern w:val="2"/>
                      <w:szCs w:val="21"/>
                    </w:rPr>
                    <w:t>按</w:t>
                  </w:r>
                  <w:r>
                    <w:rPr>
                      <w:szCs w:val="28"/>
                    </w:rPr>
                    <w:t>15万m</w:t>
                  </w:r>
                  <w:r>
                    <w:rPr>
                      <w:szCs w:val="28"/>
                      <w:vertAlign w:val="superscript"/>
                    </w:rPr>
                    <w:t>3</w:t>
                  </w:r>
                  <w:r>
                    <w:rPr>
                      <w:szCs w:val="28"/>
                    </w:rPr>
                    <w:t>/d</w:t>
                  </w:r>
                  <w:r>
                    <w:rPr>
                      <w:rFonts w:hint="eastAsia"/>
                      <w:kern w:val="2"/>
                      <w:szCs w:val="21"/>
                    </w:rPr>
                    <w:t>取水规模</w:t>
                  </w:r>
                  <w:r>
                    <w:rPr>
                      <w:rFonts w:hint="eastAsia"/>
                      <w:szCs w:val="28"/>
                    </w:rPr>
                    <w:t>设计施工，</w:t>
                  </w:r>
                  <w:r>
                    <w:rPr>
                      <w:szCs w:val="28"/>
                    </w:rPr>
                    <w:t>采用吸水井和泵房合建的固定式泵房</w:t>
                  </w:r>
                </w:p>
              </w:tc>
              <w:tc>
                <w:tcPr>
                  <w:tcW w:w="2325" w:type="dxa"/>
                  <w:vAlign w:val="center"/>
                </w:tcPr>
                <w:p>
                  <w:pPr>
                    <w:adjustRightInd/>
                    <w:spacing w:line="240" w:lineRule="auto"/>
                    <w:jc w:val="center"/>
                    <w:rPr>
                      <w:kern w:val="2"/>
                      <w:szCs w:val="21"/>
                    </w:rPr>
                  </w:pPr>
                  <w:r>
                    <w:rPr>
                      <w:rFonts w:hint="eastAsia"/>
                      <w:kern w:val="2"/>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ign w:val="center"/>
                </w:tcPr>
                <w:p>
                  <w:pPr>
                    <w:adjustRightInd/>
                    <w:spacing w:line="240" w:lineRule="auto"/>
                    <w:jc w:val="center"/>
                    <w:rPr>
                      <w:kern w:val="2"/>
                      <w:szCs w:val="21"/>
                    </w:rPr>
                  </w:pPr>
                </w:p>
              </w:tc>
              <w:tc>
                <w:tcPr>
                  <w:tcW w:w="1106" w:type="dxa"/>
                  <w:vAlign w:val="center"/>
                </w:tcPr>
                <w:p>
                  <w:pPr>
                    <w:pStyle w:val="aa"/>
                    <w:adjustRightInd/>
                    <w:snapToGrid/>
                    <w:spacing w:line="240" w:lineRule="auto"/>
                    <w:ind w:firstLine="0" w:firstLineChars="0"/>
                    <w:jc w:val="center"/>
                    <w:rPr>
                      <w:kern w:val="2"/>
                      <w:sz w:val="21"/>
                      <w:szCs w:val="21"/>
                    </w:rPr>
                  </w:pPr>
                  <w:r>
                    <w:rPr>
                      <w:rFonts w:hint="eastAsia"/>
                      <w:kern w:val="2"/>
                      <w:sz w:val="21"/>
                      <w:szCs w:val="21"/>
                    </w:rPr>
                    <w:t>取水管网</w:t>
                  </w:r>
                </w:p>
              </w:tc>
              <w:tc>
                <w:tcPr>
                  <w:tcW w:w="4619" w:type="dxa"/>
                  <w:vAlign w:val="center"/>
                </w:tcPr>
                <w:p>
                  <w:pPr>
                    <w:adjustRightInd/>
                    <w:spacing w:line="240" w:lineRule="auto"/>
                    <w:rPr>
                      <w:kern w:val="2"/>
                      <w:szCs w:val="21"/>
                    </w:rPr>
                  </w:pPr>
                  <w:r>
                    <w:rPr>
                      <w:rFonts w:hint="eastAsia"/>
                      <w:kern w:val="2"/>
                      <w:szCs w:val="21"/>
                    </w:rPr>
                    <w:t>按</w:t>
                  </w:r>
                  <w:r>
                    <w:rPr>
                      <w:szCs w:val="28"/>
                    </w:rPr>
                    <w:t>15万m</w:t>
                  </w:r>
                  <w:r>
                    <w:rPr>
                      <w:szCs w:val="28"/>
                      <w:vertAlign w:val="superscript"/>
                    </w:rPr>
                    <w:t>3</w:t>
                  </w:r>
                  <w:r>
                    <w:rPr>
                      <w:szCs w:val="28"/>
                    </w:rPr>
                    <w:t>/d</w:t>
                  </w:r>
                  <w:r>
                    <w:rPr>
                      <w:rFonts w:hint="eastAsia"/>
                      <w:kern w:val="2"/>
                      <w:szCs w:val="21"/>
                    </w:rPr>
                    <w:t>取水规模</w:t>
                  </w:r>
                  <w:r>
                    <w:rPr>
                      <w:rFonts w:hint="eastAsia"/>
                      <w:szCs w:val="28"/>
                    </w:rPr>
                    <w:t>设计设计管网</w:t>
                  </w:r>
                </w:p>
              </w:tc>
              <w:tc>
                <w:tcPr>
                  <w:tcW w:w="2325" w:type="dxa"/>
                  <w:vAlign w:val="center"/>
                </w:tcPr>
                <w:p>
                  <w:pPr>
                    <w:adjustRightInd/>
                    <w:spacing w:line="240" w:lineRule="auto"/>
                    <w:jc w:val="center"/>
                    <w:rPr>
                      <w:kern w:val="2"/>
                      <w:szCs w:val="21"/>
                    </w:rPr>
                  </w:pPr>
                  <w:r>
                    <w:rPr>
                      <w:rFonts w:hint="eastAsia"/>
                      <w:kern w:val="2"/>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restart"/>
                  <w:vAlign w:val="center"/>
                </w:tcPr>
                <w:p>
                  <w:pPr>
                    <w:adjustRightInd/>
                    <w:spacing w:line="240" w:lineRule="auto"/>
                    <w:jc w:val="center"/>
                    <w:rPr>
                      <w:kern w:val="2"/>
                      <w:szCs w:val="21"/>
                    </w:rPr>
                  </w:pPr>
                  <w:r>
                    <w:rPr>
                      <w:rFonts w:hint="eastAsia"/>
                      <w:kern w:val="2"/>
                      <w:szCs w:val="21"/>
                    </w:rPr>
                    <w:t>净水工程</w:t>
                  </w:r>
                </w:p>
              </w:tc>
              <w:tc>
                <w:tcPr>
                  <w:tcW w:w="1106" w:type="dxa"/>
                  <w:vAlign w:val="center"/>
                </w:tcPr>
                <w:p>
                  <w:pPr>
                    <w:widowControl/>
                    <w:spacing w:line="240" w:lineRule="auto"/>
                    <w:jc w:val="center"/>
                    <w:textAlignment w:val="center"/>
                    <w:rPr>
                      <w:kern w:val="2"/>
                      <w:szCs w:val="21"/>
                    </w:rPr>
                  </w:pPr>
                  <w:r>
                    <w:rPr>
                      <w:rFonts w:hint="eastAsia"/>
                      <w:kern w:val="2"/>
                      <w:szCs w:val="21"/>
                    </w:rPr>
                    <w:t>折板式絮凝池</w:t>
                  </w:r>
                </w:p>
              </w:tc>
              <w:tc>
                <w:tcPr>
                  <w:tcW w:w="4619" w:type="dxa"/>
                  <w:vAlign w:val="center"/>
                </w:tcPr>
                <w:p>
                  <w:pPr>
                    <w:adjustRightInd/>
                    <w:spacing w:line="240" w:lineRule="auto"/>
                    <w:rPr>
                      <w:bCs/>
                      <w:kern w:val="21"/>
                      <w:szCs w:val="21"/>
                    </w:rPr>
                  </w:pPr>
                  <w:r>
                    <w:rPr>
                      <w:szCs w:val="28"/>
                    </w:rPr>
                    <w:t>机械混合折板絮凝池2座，单座设计规模5万m</w:t>
                  </w:r>
                  <w:r>
                    <w:rPr>
                      <w:szCs w:val="28"/>
                      <w:vertAlign w:val="superscript"/>
                    </w:rPr>
                    <w:t>3</w:t>
                  </w:r>
                  <w:r>
                    <w:rPr>
                      <w:szCs w:val="28"/>
                    </w:rPr>
                    <w:t>/d</w:t>
                  </w:r>
                  <w:r>
                    <w:rPr>
                      <w:rFonts w:hint="eastAsia"/>
                      <w:szCs w:val="28"/>
                    </w:rPr>
                    <w:t>，</w:t>
                  </w:r>
                  <w:r>
                    <w:t>设计流量Q=0.608m</w:t>
                  </w:r>
                  <w:r>
                    <w:rPr>
                      <w:vertAlign w:val="superscript"/>
                    </w:rPr>
                    <w:t>3</w:t>
                  </w:r>
                  <w:r>
                    <w:t>/s</w:t>
                  </w:r>
                  <w:r>
                    <w:rPr>
                      <w:rFonts w:hint="eastAsia"/>
                    </w:rPr>
                    <w:t>，</w:t>
                  </w:r>
                  <w:r>
                    <w:rPr>
                      <w:szCs w:val="28"/>
                    </w:rPr>
                    <w:t>混合时间41秒</w:t>
                  </w:r>
                </w:p>
              </w:tc>
              <w:tc>
                <w:tcPr>
                  <w:tcW w:w="2325" w:type="dxa"/>
                  <w:vAlign w:val="center"/>
                </w:tcPr>
                <w:p>
                  <w:pPr>
                    <w:pStyle w:val="aa"/>
                    <w:adjustRightInd/>
                    <w:snapToGrid/>
                    <w:spacing w:line="240" w:lineRule="auto"/>
                    <w:ind w:firstLine="0" w:firstLineChars="0"/>
                    <w:jc w:val="center"/>
                    <w:rPr>
                      <w:bCs/>
                      <w:kern w:val="21"/>
                      <w:sz w:val="21"/>
                      <w:szCs w:val="21"/>
                    </w:rPr>
                  </w:pPr>
                  <w:r>
                    <w:rPr>
                      <w:rFonts w:hint="eastAsia"/>
                      <w:bCs/>
                      <w:kern w:val="21"/>
                      <w:sz w:val="21"/>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ign w:val="center"/>
                </w:tcPr>
                <w:p>
                  <w:pPr>
                    <w:adjustRightInd/>
                    <w:spacing w:line="240" w:lineRule="auto"/>
                    <w:jc w:val="center"/>
                    <w:rPr>
                      <w:kern w:val="2"/>
                      <w:szCs w:val="21"/>
                    </w:rPr>
                  </w:pPr>
                </w:p>
              </w:tc>
              <w:tc>
                <w:tcPr>
                  <w:tcW w:w="1106" w:type="dxa"/>
                  <w:vAlign w:val="center"/>
                </w:tcPr>
                <w:p>
                  <w:pPr>
                    <w:widowControl/>
                    <w:spacing w:line="240" w:lineRule="auto"/>
                    <w:jc w:val="center"/>
                    <w:textAlignment w:val="center"/>
                    <w:rPr>
                      <w:kern w:val="2"/>
                      <w:szCs w:val="21"/>
                    </w:rPr>
                  </w:pPr>
                  <w:r>
                    <w:rPr>
                      <w:rFonts w:hint="eastAsia"/>
                      <w:kern w:val="2"/>
                      <w:szCs w:val="21"/>
                    </w:rPr>
                    <w:t>平流沉淀池</w:t>
                  </w:r>
                </w:p>
              </w:tc>
              <w:tc>
                <w:tcPr>
                  <w:tcW w:w="4619" w:type="dxa"/>
                  <w:vAlign w:val="center"/>
                </w:tcPr>
                <w:p>
                  <w:pPr>
                    <w:adjustRightInd/>
                    <w:spacing w:line="240" w:lineRule="auto"/>
                    <w:rPr>
                      <w:bCs/>
                      <w:kern w:val="21"/>
                      <w:szCs w:val="21"/>
                    </w:rPr>
                  </w:pPr>
                  <w:r>
                    <w:rPr>
                      <w:szCs w:val="28"/>
                    </w:rPr>
                    <w:t>平流沉淀池2座，单座设计规模5万m</w:t>
                  </w:r>
                  <w:r>
                    <w:rPr>
                      <w:szCs w:val="28"/>
                      <w:vertAlign w:val="superscript"/>
                    </w:rPr>
                    <w:t>3</w:t>
                  </w:r>
                  <w:r>
                    <w:rPr>
                      <w:szCs w:val="28"/>
                    </w:rPr>
                    <w:t>/d</w:t>
                  </w:r>
                  <w:r>
                    <w:rPr>
                      <w:rFonts w:hint="eastAsia"/>
                      <w:szCs w:val="28"/>
                    </w:rPr>
                    <w:t>，</w:t>
                  </w:r>
                  <w:r>
                    <w:t>设计流量Q=0.608m</w:t>
                  </w:r>
                  <w:r>
                    <w:rPr>
                      <w:vertAlign w:val="superscript"/>
                    </w:rPr>
                    <w:t>3</w:t>
                  </w:r>
                  <w:r>
                    <w:t>/s</w:t>
                  </w:r>
                  <w:r>
                    <w:rPr>
                      <w:rFonts w:hint="eastAsia"/>
                    </w:rPr>
                    <w:t>，</w:t>
                  </w:r>
                  <w:r>
                    <w:rPr>
                      <w:szCs w:val="28"/>
                    </w:rPr>
                    <w:t>沉淀时间T=2.0h</w:t>
                  </w:r>
                </w:p>
              </w:tc>
              <w:tc>
                <w:tcPr>
                  <w:tcW w:w="2325" w:type="dxa"/>
                  <w:vAlign w:val="center"/>
                </w:tcPr>
                <w:p>
                  <w:pPr>
                    <w:pStyle w:val="aa"/>
                    <w:adjustRightInd/>
                    <w:snapToGrid/>
                    <w:spacing w:line="240" w:lineRule="auto"/>
                    <w:ind w:firstLine="0" w:firstLineChars="0"/>
                    <w:jc w:val="center"/>
                    <w:rPr>
                      <w:bCs/>
                      <w:kern w:val="21"/>
                      <w:sz w:val="21"/>
                      <w:szCs w:val="21"/>
                    </w:rPr>
                  </w:pPr>
                  <w:r>
                    <w:rPr>
                      <w:rFonts w:hint="eastAsia"/>
                      <w:bCs/>
                      <w:kern w:val="21"/>
                      <w:sz w:val="21"/>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ign w:val="center"/>
                </w:tcPr>
                <w:p>
                  <w:pPr>
                    <w:adjustRightInd/>
                    <w:spacing w:line="240" w:lineRule="auto"/>
                    <w:jc w:val="center"/>
                    <w:rPr>
                      <w:kern w:val="2"/>
                      <w:szCs w:val="21"/>
                    </w:rPr>
                  </w:pPr>
                </w:p>
              </w:tc>
              <w:tc>
                <w:tcPr>
                  <w:tcW w:w="1106" w:type="dxa"/>
                  <w:vAlign w:val="center"/>
                </w:tcPr>
                <w:p>
                  <w:pPr>
                    <w:widowControl/>
                    <w:spacing w:line="240" w:lineRule="auto"/>
                    <w:jc w:val="center"/>
                    <w:textAlignment w:val="center"/>
                    <w:rPr>
                      <w:kern w:val="2"/>
                      <w:szCs w:val="21"/>
                    </w:rPr>
                  </w:pPr>
                  <w:r>
                    <w:rPr>
                      <w:rFonts w:hint="eastAsia"/>
                      <w:kern w:val="2"/>
                      <w:szCs w:val="21"/>
                    </w:rPr>
                    <w:t>气水反冲滤池</w:t>
                  </w:r>
                </w:p>
              </w:tc>
              <w:tc>
                <w:tcPr>
                  <w:tcW w:w="4619" w:type="dxa"/>
                  <w:vAlign w:val="center"/>
                </w:tcPr>
                <w:p>
                  <w:pPr>
                    <w:adjustRightInd/>
                    <w:spacing w:line="240" w:lineRule="auto"/>
                    <w:rPr>
                      <w:bCs/>
                      <w:kern w:val="21"/>
                      <w:szCs w:val="21"/>
                    </w:rPr>
                  </w:pPr>
                  <w:r>
                    <w:rPr>
                      <w:szCs w:val="28"/>
                    </w:rPr>
                    <w:t>与平流沉淀池配合布置2座气水反冲洗滤池</w:t>
                  </w:r>
                  <w:r>
                    <w:rPr>
                      <w:rFonts w:hint="eastAsia"/>
                      <w:szCs w:val="28"/>
                    </w:rPr>
                    <w:t>，</w:t>
                  </w:r>
                  <w:r>
                    <w:rPr>
                      <w:szCs w:val="28"/>
                    </w:rPr>
                    <w:t>设计流量Q=4375m</w:t>
                  </w:r>
                  <w:r>
                    <w:rPr>
                      <w:szCs w:val="28"/>
                      <w:vertAlign w:val="superscript"/>
                    </w:rPr>
                    <w:t>3</w:t>
                  </w:r>
                  <w:r>
                    <w:rPr>
                      <w:szCs w:val="28"/>
                    </w:rPr>
                    <w:t>/h</w:t>
                  </w:r>
                  <w:r>
                    <w:rPr>
                      <w:rFonts w:hint="eastAsia"/>
                      <w:szCs w:val="28"/>
                    </w:rPr>
                    <w:t>，</w:t>
                  </w:r>
                  <w:r>
                    <w:rPr>
                      <w:szCs w:val="28"/>
                    </w:rPr>
                    <w:t>正常过滤时滤池反冲洗周期24~48h</w:t>
                  </w:r>
                  <w:r>
                    <w:rPr>
                      <w:rFonts w:hint="eastAsia"/>
                      <w:szCs w:val="28"/>
                    </w:rPr>
                    <w:t>，</w:t>
                  </w:r>
                  <w:r>
                    <w:rPr>
                      <w:szCs w:val="28"/>
                    </w:rPr>
                    <w:t>反冲洗泵及鼓风机设在反冲洗泵房内</w:t>
                  </w:r>
                </w:p>
              </w:tc>
              <w:tc>
                <w:tcPr>
                  <w:tcW w:w="2325" w:type="dxa"/>
                  <w:vAlign w:val="center"/>
                </w:tcPr>
                <w:p>
                  <w:pPr>
                    <w:pStyle w:val="aa"/>
                    <w:adjustRightInd/>
                    <w:snapToGrid/>
                    <w:spacing w:line="240" w:lineRule="auto"/>
                    <w:ind w:firstLine="0" w:firstLineChars="0"/>
                    <w:jc w:val="center"/>
                    <w:rPr>
                      <w:bCs/>
                      <w:kern w:val="21"/>
                      <w:sz w:val="21"/>
                      <w:szCs w:val="21"/>
                    </w:rPr>
                  </w:pPr>
                  <w:r>
                    <w:rPr>
                      <w:rFonts w:hint="eastAsia"/>
                      <w:bCs/>
                      <w:kern w:val="21"/>
                      <w:sz w:val="21"/>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ign w:val="center"/>
                </w:tcPr>
                <w:p>
                  <w:pPr>
                    <w:adjustRightInd/>
                    <w:spacing w:line="240" w:lineRule="auto"/>
                    <w:jc w:val="center"/>
                    <w:rPr>
                      <w:kern w:val="2"/>
                      <w:szCs w:val="21"/>
                    </w:rPr>
                  </w:pPr>
                </w:p>
              </w:tc>
              <w:tc>
                <w:tcPr>
                  <w:tcW w:w="1106" w:type="dxa"/>
                  <w:vAlign w:val="center"/>
                </w:tcPr>
                <w:p>
                  <w:pPr>
                    <w:widowControl/>
                    <w:spacing w:line="240" w:lineRule="auto"/>
                    <w:jc w:val="center"/>
                    <w:textAlignment w:val="center"/>
                    <w:rPr>
                      <w:kern w:val="2"/>
                      <w:szCs w:val="21"/>
                    </w:rPr>
                  </w:pPr>
                  <w:r>
                    <w:rPr>
                      <w:rFonts w:hint="eastAsia"/>
                      <w:kern w:val="2"/>
                      <w:szCs w:val="21"/>
                    </w:rPr>
                    <w:t>清水池</w:t>
                  </w:r>
                </w:p>
              </w:tc>
              <w:tc>
                <w:tcPr>
                  <w:tcW w:w="4619" w:type="dxa"/>
                  <w:vAlign w:val="center"/>
                </w:tcPr>
                <w:p>
                  <w:pPr>
                    <w:adjustRightInd/>
                    <w:spacing w:line="240" w:lineRule="auto"/>
                    <w:jc w:val="left"/>
                    <w:rPr>
                      <w:bCs/>
                      <w:kern w:val="21"/>
                      <w:szCs w:val="21"/>
                    </w:rPr>
                  </w:pPr>
                  <w:r>
                    <w:rPr>
                      <w:szCs w:val="28"/>
                    </w:rPr>
                    <w:t>合建2座清水池，清水池调节容积约为系统供水规模的11%，，总调节容积为11000m</w:t>
                  </w:r>
                  <w:r>
                    <w:rPr>
                      <w:szCs w:val="28"/>
                      <w:vertAlign w:val="superscript"/>
                    </w:rPr>
                    <w:t>3</w:t>
                  </w:r>
                  <w:r>
                    <w:rPr>
                      <w:szCs w:val="28"/>
                    </w:rPr>
                    <w:t>。水力停留时间2.5h</w:t>
                  </w:r>
                </w:p>
              </w:tc>
              <w:tc>
                <w:tcPr>
                  <w:tcW w:w="2325" w:type="dxa"/>
                  <w:vAlign w:val="center"/>
                </w:tcPr>
                <w:p>
                  <w:pPr>
                    <w:pStyle w:val="aa"/>
                    <w:adjustRightInd/>
                    <w:snapToGrid/>
                    <w:spacing w:line="240" w:lineRule="auto"/>
                    <w:ind w:firstLine="0" w:firstLineChars="0"/>
                    <w:jc w:val="center"/>
                    <w:rPr>
                      <w:bCs/>
                      <w:kern w:val="21"/>
                      <w:sz w:val="21"/>
                      <w:szCs w:val="21"/>
                    </w:rPr>
                  </w:pPr>
                  <w:r>
                    <w:rPr>
                      <w:rFonts w:hint="eastAsia"/>
                      <w:bCs/>
                      <w:kern w:val="21"/>
                      <w:sz w:val="21"/>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Align w:val="center"/>
                </w:tcPr>
                <w:p>
                  <w:pPr>
                    <w:adjustRightInd/>
                    <w:spacing w:line="240" w:lineRule="auto"/>
                    <w:jc w:val="center"/>
                    <w:rPr>
                      <w:kern w:val="2"/>
                      <w:szCs w:val="21"/>
                    </w:rPr>
                  </w:pPr>
                  <w:r>
                    <w:rPr>
                      <w:rFonts w:hint="eastAsia"/>
                      <w:kern w:val="2"/>
                      <w:szCs w:val="21"/>
                    </w:rPr>
                    <w:t>供水工程</w:t>
                  </w:r>
                </w:p>
              </w:tc>
              <w:tc>
                <w:tcPr>
                  <w:tcW w:w="1106" w:type="dxa"/>
                  <w:vAlign w:val="center"/>
                </w:tcPr>
                <w:p>
                  <w:pPr>
                    <w:widowControl/>
                    <w:spacing w:line="240" w:lineRule="auto"/>
                    <w:jc w:val="center"/>
                    <w:textAlignment w:val="center"/>
                    <w:rPr>
                      <w:kern w:val="2"/>
                      <w:szCs w:val="21"/>
                    </w:rPr>
                  </w:pPr>
                  <w:r>
                    <w:rPr>
                      <w:rFonts w:hint="eastAsia"/>
                      <w:kern w:val="2"/>
                      <w:szCs w:val="21"/>
                    </w:rPr>
                    <w:t>送水泵房</w:t>
                  </w:r>
                </w:p>
              </w:tc>
              <w:tc>
                <w:tcPr>
                  <w:tcW w:w="4619" w:type="dxa"/>
                  <w:vAlign w:val="center"/>
                </w:tcPr>
                <w:p>
                  <w:pPr>
                    <w:spacing w:line="240" w:lineRule="auto"/>
                    <w:rPr>
                      <w:szCs w:val="28"/>
                    </w:rPr>
                  </w:pPr>
                  <w:r>
                    <w:rPr>
                      <w:szCs w:val="28"/>
                    </w:rPr>
                    <w:t>送水泵房设计规模10万m</w:t>
                  </w:r>
                  <w:r>
                    <w:rPr>
                      <w:szCs w:val="28"/>
                      <w:vertAlign w:val="superscript"/>
                    </w:rPr>
                    <w:t>3</w:t>
                  </w:r>
                  <w:r>
                    <w:rPr>
                      <w:szCs w:val="28"/>
                    </w:rPr>
                    <w:t>/d</w:t>
                  </w:r>
                  <w:r>
                    <w:rPr>
                      <w:rFonts w:hint="eastAsia"/>
                      <w:szCs w:val="28"/>
                    </w:rPr>
                    <w:t>；</w:t>
                  </w:r>
                </w:p>
                <w:p>
                  <w:pPr>
                    <w:spacing w:line="240" w:lineRule="auto"/>
                    <w:rPr>
                      <w:b/>
                      <w:bCs/>
                      <w:szCs w:val="28"/>
                    </w:rPr>
                  </w:pPr>
                  <w:r>
                    <w:rPr>
                      <w:rFonts w:hint="eastAsia"/>
                      <w:szCs w:val="28"/>
                    </w:rPr>
                    <w:t>泵房配置：</w:t>
                  </w:r>
                  <w:r>
                    <w:rPr>
                      <w:szCs w:val="28"/>
                    </w:rPr>
                    <w:t>3台大泵（2用1备），单机流量Q=2850m</w:t>
                  </w:r>
                  <w:r>
                    <w:rPr>
                      <w:szCs w:val="28"/>
                      <w:vertAlign w:val="superscript"/>
                    </w:rPr>
                    <w:t>3</w:t>
                  </w:r>
                  <w:r>
                    <w:rPr>
                      <w:szCs w:val="28"/>
                    </w:rPr>
                    <w:t>/h，H=50，配套电机500kW，10kV。其中一台变频。1台小泵，单机流量Q=1400m</w:t>
                  </w:r>
                  <w:r>
                    <w:rPr>
                      <w:szCs w:val="28"/>
                      <w:vertAlign w:val="superscript"/>
                    </w:rPr>
                    <w:t>3</w:t>
                  </w:r>
                  <w:r>
                    <w:rPr>
                      <w:szCs w:val="28"/>
                    </w:rPr>
                    <w:t>/h，H=50m,配套电机315kW</w:t>
                  </w:r>
                  <w:r>
                    <w:rPr>
                      <w:rFonts w:hint="eastAsia"/>
                      <w:szCs w:val="28"/>
                    </w:rPr>
                    <w:t>，</w:t>
                  </w:r>
                  <w:r>
                    <w:rPr>
                      <w:szCs w:val="28"/>
                    </w:rPr>
                    <w:t>10kV</w:t>
                  </w:r>
                </w:p>
              </w:tc>
              <w:tc>
                <w:tcPr>
                  <w:tcW w:w="2325" w:type="dxa"/>
                  <w:vAlign w:val="center"/>
                </w:tcPr>
                <w:p>
                  <w:pPr>
                    <w:pStyle w:val="aa"/>
                    <w:adjustRightInd/>
                    <w:snapToGrid/>
                    <w:spacing w:line="240" w:lineRule="auto"/>
                    <w:ind w:firstLine="0" w:firstLineChars="0"/>
                    <w:rPr>
                      <w:bCs/>
                      <w:kern w:val="21"/>
                      <w:sz w:val="21"/>
                      <w:szCs w:val="21"/>
                    </w:rPr>
                  </w:pPr>
                  <w:r>
                    <w:rPr>
                      <w:rFonts w:hint="eastAsia"/>
                      <w:bCs/>
                      <w:kern w:val="21"/>
                      <w:sz w:val="21"/>
                      <w:szCs w:val="21"/>
                    </w:rPr>
                    <w:t>本次扩建</w:t>
                  </w:r>
                  <w:r>
                    <w:rPr>
                      <w:sz w:val="21"/>
                      <w:szCs w:val="21"/>
                    </w:rPr>
                    <w:t>将1400m</w:t>
                  </w:r>
                  <w:r>
                    <w:rPr>
                      <w:sz w:val="21"/>
                      <w:szCs w:val="21"/>
                      <w:vertAlign w:val="superscript"/>
                    </w:rPr>
                    <w:t>3</w:t>
                  </w:r>
                  <w:r>
                    <w:rPr>
                      <w:sz w:val="21"/>
                      <w:szCs w:val="21"/>
                    </w:rPr>
                    <w:t>/h小泵换成2850m</w:t>
                  </w:r>
                  <w:r>
                    <w:rPr>
                      <w:sz w:val="21"/>
                      <w:szCs w:val="21"/>
                      <w:vertAlign w:val="superscript"/>
                    </w:rPr>
                    <w:t>3</w:t>
                  </w:r>
                  <w:r>
                    <w:rPr>
                      <w:sz w:val="21"/>
                      <w:szCs w:val="21"/>
                    </w:rPr>
                    <w:t>/h大泵，3用1备。同步更换相应进出水管道、阀门以及进出房屋墙壁孔洞尺寸</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restart"/>
                  <w:tcBorders>
                    <w:top w:val="single" w:sz="4" w:space="0" w:color="auto"/>
                  </w:tcBorders>
                  <w:vAlign w:val="center"/>
                </w:tcPr>
                <w:p>
                  <w:pPr>
                    <w:adjustRightInd/>
                    <w:spacing w:line="240" w:lineRule="auto"/>
                    <w:jc w:val="center"/>
                    <w:rPr>
                      <w:kern w:val="2"/>
                      <w:szCs w:val="21"/>
                    </w:rPr>
                  </w:pPr>
                  <w:r>
                    <w:rPr>
                      <w:kern w:val="2"/>
                      <w:szCs w:val="21"/>
                    </w:rPr>
                    <w:t>公用工程</w:t>
                  </w:r>
                </w:p>
              </w:tc>
              <w:tc>
                <w:tcPr>
                  <w:tcW w:w="1106" w:type="dxa"/>
                  <w:vAlign w:val="center"/>
                </w:tcPr>
                <w:p>
                  <w:pPr>
                    <w:adjustRightInd/>
                    <w:spacing w:line="240" w:lineRule="auto"/>
                    <w:jc w:val="center"/>
                    <w:rPr>
                      <w:kern w:val="2"/>
                      <w:szCs w:val="21"/>
                    </w:rPr>
                  </w:pPr>
                  <w:r>
                    <w:rPr>
                      <w:kern w:val="2"/>
                      <w:szCs w:val="21"/>
                    </w:rPr>
                    <w:t>给水工程</w:t>
                  </w:r>
                </w:p>
              </w:tc>
              <w:tc>
                <w:tcPr>
                  <w:tcW w:w="4619" w:type="dxa"/>
                  <w:vAlign w:val="center"/>
                </w:tcPr>
                <w:p>
                  <w:pPr>
                    <w:adjustRightInd/>
                    <w:spacing w:line="240" w:lineRule="auto"/>
                    <w:rPr>
                      <w:kern w:val="2"/>
                      <w:szCs w:val="21"/>
                    </w:rPr>
                  </w:pPr>
                  <w:r>
                    <w:rPr>
                      <w:rFonts w:hint="eastAsia"/>
                      <w:kern w:val="2"/>
                      <w:szCs w:val="21"/>
                    </w:rPr>
                    <w:t>原水来源抚河，厂区办公用水来着厂区供水系统</w:t>
                  </w:r>
                </w:p>
              </w:tc>
              <w:tc>
                <w:tcPr>
                  <w:tcW w:w="2325" w:type="dxa"/>
                  <w:vAlign w:val="center"/>
                </w:tcPr>
                <w:p>
                  <w:pPr>
                    <w:adjustRightInd/>
                    <w:spacing w:line="240" w:lineRule="auto"/>
                    <w:jc w:val="center"/>
                    <w:rPr>
                      <w:kern w:val="2"/>
                      <w:szCs w:val="21"/>
                    </w:rPr>
                  </w:pPr>
                  <w:r>
                    <w:rPr>
                      <w:rFonts w:hint="eastAsia"/>
                      <w:kern w:val="2"/>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tcBorders>
                    <w:top w:val="single" w:sz="4" w:space="0" w:color="auto"/>
                  </w:tcBorders>
                  <w:vAlign w:val="center"/>
                </w:tcPr>
                <w:p>
                  <w:pPr>
                    <w:adjustRightInd/>
                    <w:spacing w:line="240" w:lineRule="auto"/>
                    <w:jc w:val="center"/>
                    <w:rPr>
                      <w:kern w:val="2"/>
                      <w:szCs w:val="21"/>
                    </w:rPr>
                  </w:pPr>
                </w:p>
              </w:tc>
              <w:tc>
                <w:tcPr>
                  <w:tcW w:w="1106" w:type="dxa"/>
                  <w:vAlign w:val="center"/>
                </w:tcPr>
                <w:p>
                  <w:pPr>
                    <w:adjustRightInd/>
                    <w:spacing w:line="240" w:lineRule="auto"/>
                    <w:jc w:val="center"/>
                    <w:rPr>
                      <w:kern w:val="2"/>
                      <w:szCs w:val="21"/>
                    </w:rPr>
                  </w:pPr>
                  <w:r>
                    <w:rPr>
                      <w:kern w:val="2"/>
                      <w:szCs w:val="21"/>
                    </w:rPr>
                    <w:t>排水工程</w:t>
                  </w:r>
                </w:p>
              </w:tc>
              <w:tc>
                <w:tcPr>
                  <w:tcW w:w="4619" w:type="dxa"/>
                  <w:vAlign w:val="center"/>
                </w:tcPr>
                <w:p>
                  <w:pPr>
                    <w:adjustRightInd/>
                    <w:spacing w:line="240" w:lineRule="auto"/>
                    <w:rPr>
                      <w:kern w:val="2"/>
                      <w:szCs w:val="21"/>
                    </w:rPr>
                  </w:pPr>
                  <w:r>
                    <w:rPr>
                      <w:rFonts w:hint="eastAsia"/>
                      <w:kern w:val="2"/>
                      <w:szCs w:val="21"/>
                    </w:rPr>
                    <w:t>厂区已建污水管道，纳入市政污水管网</w:t>
                  </w:r>
                </w:p>
              </w:tc>
              <w:tc>
                <w:tcPr>
                  <w:tcW w:w="2325" w:type="dxa"/>
                  <w:vAlign w:val="center"/>
                </w:tcPr>
                <w:p>
                  <w:pPr>
                    <w:adjustRightInd/>
                    <w:spacing w:line="240" w:lineRule="auto"/>
                    <w:jc w:val="center"/>
                    <w:rPr>
                      <w:kern w:val="2"/>
                      <w:szCs w:val="21"/>
                    </w:rPr>
                  </w:pPr>
                  <w:r>
                    <w:rPr>
                      <w:rFonts w:hint="eastAsia"/>
                      <w:kern w:val="2"/>
                      <w:szCs w:val="21"/>
                    </w:rPr>
                    <w:t>/</w:t>
                  </w:r>
                </w:p>
              </w:tc>
            </w:tr>
            <w:tr>
              <w:tblPrEx>
                <w:tblW w:w="8742" w:type="dxa"/>
                <w:jc w:val="center"/>
                <w:tblLayout w:type="fixed"/>
                <w:tblCellMar>
                  <w:top w:w="0" w:type="dxa"/>
                  <w:left w:w="108" w:type="dxa"/>
                  <w:bottom w:w="0" w:type="dxa"/>
                  <w:right w:w="108" w:type="dxa"/>
                </w:tblCellMar>
              </w:tblPrEx>
              <w:trPr>
                <w:trHeight w:val="77"/>
                <w:jc w:val="center"/>
              </w:trPr>
              <w:tc>
                <w:tcPr>
                  <w:tcW w:w="692" w:type="dxa"/>
                  <w:vMerge/>
                  <w:vAlign w:val="center"/>
                </w:tcPr>
                <w:p>
                  <w:pPr>
                    <w:adjustRightInd/>
                    <w:spacing w:line="240" w:lineRule="auto"/>
                    <w:jc w:val="center"/>
                    <w:rPr>
                      <w:kern w:val="2"/>
                      <w:szCs w:val="21"/>
                    </w:rPr>
                  </w:pPr>
                </w:p>
              </w:tc>
              <w:tc>
                <w:tcPr>
                  <w:tcW w:w="1106" w:type="dxa"/>
                  <w:vAlign w:val="center"/>
                </w:tcPr>
                <w:p>
                  <w:pPr>
                    <w:adjustRightInd/>
                    <w:spacing w:line="240" w:lineRule="auto"/>
                    <w:jc w:val="center"/>
                    <w:rPr>
                      <w:kern w:val="2"/>
                      <w:szCs w:val="21"/>
                    </w:rPr>
                  </w:pPr>
                  <w:r>
                    <w:rPr>
                      <w:kern w:val="2"/>
                      <w:szCs w:val="21"/>
                    </w:rPr>
                    <w:t>供电工程</w:t>
                  </w:r>
                </w:p>
              </w:tc>
              <w:tc>
                <w:tcPr>
                  <w:tcW w:w="4619" w:type="dxa"/>
                  <w:vAlign w:val="center"/>
                </w:tcPr>
                <w:p>
                  <w:pPr>
                    <w:adjustRightInd/>
                    <w:spacing w:line="240" w:lineRule="auto"/>
                    <w:rPr>
                      <w:kern w:val="2"/>
                      <w:szCs w:val="21"/>
                    </w:rPr>
                  </w:pPr>
                  <w:r>
                    <w:rPr>
                      <w:rFonts w:hint="eastAsia"/>
                      <w:kern w:val="2"/>
                      <w:szCs w:val="21"/>
                    </w:rPr>
                    <w:t>由市政供电系统提供</w:t>
                  </w:r>
                </w:p>
              </w:tc>
              <w:tc>
                <w:tcPr>
                  <w:tcW w:w="2325" w:type="dxa"/>
                  <w:vAlign w:val="center"/>
                </w:tcPr>
                <w:p>
                  <w:pPr>
                    <w:adjustRightInd/>
                    <w:spacing w:line="240" w:lineRule="auto"/>
                    <w:jc w:val="center"/>
                    <w:rPr>
                      <w:kern w:val="2"/>
                      <w:szCs w:val="21"/>
                    </w:rPr>
                  </w:pPr>
                  <w:r>
                    <w:rPr>
                      <w:rFonts w:hint="eastAsia"/>
                      <w:kern w:val="2"/>
                      <w:szCs w:val="21"/>
                    </w:rPr>
                    <w:t>/</w:t>
                  </w:r>
                </w:p>
              </w:tc>
            </w:tr>
            <w:tr>
              <w:tblPrEx>
                <w:tblW w:w="8742" w:type="dxa"/>
                <w:jc w:val="center"/>
                <w:tblLayout w:type="fixed"/>
                <w:tblCellMar>
                  <w:top w:w="0" w:type="dxa"/>
                  <w:left w:w="108" w:type="dxa"/>
                  <w:bottom w:w="0" w:type="dxa"/>
                  <w:right w:w="108" w:type="dxa"/>
                </w:tblCellMar>
              </w:tblPrEx>
              <w:trPr>
                <w:trHeight w:val="90"/>
                <w:jc w:val="center"/>
              </w:trPr>
              <w:tc>
                <w:tcPr>
                  <w:tcW w:w="692" w:type="dxa"/>
                  <w:vMerge w:val="restart"/>
                  <w:vAlign w:val="center"/>
                </w:tcPr>
                <w:p>
                  <w:pPr>
                    <w:adjustRightInd/>
                    <w:spacing w:line="240" w:lineRule="auto"/>
                    <w:jc w:val="center"/>
                    <w:rPr>
                      <w:kern w:val="2"/>
                      <w:szCs w:val="21"/>
                    </w:rPr>
                  </w:pPr>
                  <w:r>
                    <w:rPr>
                      <w:rFonts w:hint="eastAsia"/>
                      <w:kern w:val="2"/>
                      <w:szCs w:val="21"/>
                    </w:rPr>
                    <w:t>环保工程</w:t>
                  </w:r>
                </w:p>
              </w:tc>
              <w:tc>
                <w:tcPr>
                  <w:tcW w:w="1106" w:type="dxa"/>
                  <w:vAlign w:val="center"/>
                </w:tcPr>
                <w:p>
                  <w:pPr>
                    <w:adjustRightInd/>
                    <w:spacing w:line="240" w:lineRule="auto"/>
                    <w:jc w:val="center"/>
                    <w:rPr>
                      <w:kern w:val="2"/>
                      <w:szCs w:val="21"/>
                    </w:rPr>
                  </w:pPr>
                  <w:r>
                    <w:rPr>
                      <w:kern w:val="2"/>
                      <w:szCs w:val="21"/>
                    </w:rPr>
                    <w:t>废水处理</w:t>
                  </w:r>
                </w:p>
              </w:tc>
              <w:tc>
                <w:tcPr>
                  <w:tcW w:w="4619" w:type="dxa"/>
                  <w:vAlign w:val="center"/>
                </w:tcPr>
                <w:p>
                  <w:pPr>
                    <w:adjustRightInd/>
                    <w:spacing w:line="240" w:lineRule="auto"/>
                    <w:rPr>
                      <w:szCs w:val="28"/>
                    </w:rPr>
                  </w:pPr>
                  <w:r>
                    <w:rPr>
                      <w:rFonts w:hint="eastAsia"/>
                      <w:kern w:val="2"/>
                      <w:szCs w:val="21"/>
                    </w:rPr>
                    <w:t>反冲洗水由废水回收系统回收，已建回收水池</w:t>
                  </w:r>
                  <w:r>
                    <w:rPr>
                      <w:szCs w:val="28"/>
                    </w:rPr>
                    <w:t>有效容积824m</w:t>
                  </w:r>
                  <w:r>
                    <w:rPr>
                      <w:szCs w:val="28"/>
                      <w:vertAlign w:val="superscript"/>
                    </w:rPr>
                    <w:t>3</w:t>
                  </w:r>
                  <w:r>
                    <w:rPr>
                      <w:rFonts w:hint="eastAsia"/>
                      <w:szCs w:val="28"/>
                    </w:rPr>
                    <w:t>；</w:t>
                  </w:r>
                </w:p>
              </w:tc>
              <w:tc>
                <w:tcPr>
                  <w:tcW w:w="2325" w:type="dxa"/>
                  <w:vAlign w:val="center"/>
                </w:tcPr>
                <w:p>
                  <w:pPr>
                    <w:adjustRightInd/>
                    <w:spacing w:line="240" w:lineRule="auto"/>
                    <w:jc w:val="center"/>
                    <w:rPr>
                      <w:kern w:val="2"/>
                      <w:szCs w:val="21"/>
                    </w:rPr>
                  </w:pPr>
                  <w:r>
                    <w:rPr>
                      <w:rFonts w:eastAsiaTheme="minorEastAsia"/>
                      <w:szCs w:val="21"/>
                    </w:rPr>
                    <w:t>本次扩建后，滤池共有12格，冲洗</w:t>
                  </w:r>
                  <w:r>
                    <w:rPr>
                      <w:rFonts w:eastAsiaTheme="minorEastAsia" w:hint="eastAsia"/>
                      <w:szCs w:val="21"/>
                    </w:rPr>
                    <w:t>/</w:t>
                  </w:r>
                  <w:r>
                    <w:rPr>
                      <w:rFonts w:eastAsiaTheme="minorEastAsia"/>
                      <w:szCs w:val="21"/>
                    </w:rPr>
                    <w:t>周期24小时，单格滤池每天反冲洗一次排出废水量为404m</w:t>
                  </w:r>
                  <w:r>
                    <w:rPr>
                      <w:rFonts w:eastAsiaTheme="minorEastAsia"/>
                      <w:szCs w:val="21"/>
                      <w:vertAlign w:val="superscript"/>
                    </w:rPr>
                    <w:t>3</w:t>
                  </w:r>
                  <w:r>
                    <w:rPr>
                      <w:rFonts w:eastAsiaTheme="minorEastAsia"/>
                      <w:szCs w:val="21"/>
                    </w:rPr>
                    <w:t>，每次可连续冲洗2格，间隔4h均匀，24h可完成滤池反冲洗</w:t>
                  </w:r>
                  <w:r>
                    <w:rPr>
                      <w:rFonts w:eastAsiaTheme="minorEastAsia" w:hint="eastAsia"/>
                      <w:szCs w:val="21"/>
                    </w:rPr>
                    <w:t>，</w:t>
                  </w:r>
                  <w:r>
                    <w:rPr>
                      <w:rFonts w:hint="eastAsia"/>
                      <w:szCs w:val="28"/>
                    </w:rPr>
                    <w:t>本项目依托可行</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ign w:val="center"/>
                </w:tcPr>
                <w:p>
                  <w:pPr>
                    <w:adjustRightInd/>
                    <w:spacing w:line="240" w:lineRule="auto"/>
                    <w:jc w:val="center"/>
                    <w:rPr>
                      <w:kern w:val="2"/>
                      <w:szCs w:val="21"/>
                    </w:rPr>
                  </w:pPr>
                </w:p>
              </w:tc>
              <w:tc>
                <w:tcPr>
                  <w:tcW w:w="1106" w:type="dxa"/>
                  <w:vAlign w:val="center"/>
                </w:tcPr>
                <w:p>
                  <w:pPr>
                    <w:adjustRightInd/>
                    <w:spacing w:line="240" w:lineRule="auto"/>
                    <w:jc w:val="center"/>
                    <w:rPr>
                      <w:kern w:val="2"/>
                      <w:szCs w:val="21"/>
                    </w:rPr>
                  </w:pPr>
                  <w:r>
                    <w:rPr>
                      <w:kern w:val="2"/>
                      <w:szCs w:val="21"/>
                    </w:rPr>
                    <w:t>噪声污染防治</w:t>
                  </w:r>
                </w:p>
              </w:tc>
              <w:tc>
                <w:tcPr>
                  <w:tcW w:w="4619" w:type="dxa"/>
                  <w:vAlign w:val="center"/>
                </w:tcPr>
                <w:p>
                  <w:pPr>
                    <w:adjustRightInd/>
                    <w:spacing w:line="240" w:lineRule="auto"/>
                    <w:rPr>
                      <w:kern w:val="2"/>
                      <w:szCs w:val="21"/>
                    </w:rPr>
                  </w:pPr>
                  <w:r>
                    <w:rPr>
                      <w:szCs w:val="21"/>
                    </w:rPr>
                    <w:t>项目需选用低噪声设备，且需定时对设备进行维护，并进行隔声、减振、消声，产生高噪声的淘汰设备需及时更换</w:t>
                  </w:r>
                </w:p>
              </w:tc>
              <w:tc>
                <w:tcPr>
                  <w:tcW w:w="2325" w:type="dxa"/>
                  <w:vAlign w:val="center"/>
                </w:tcPr>
                <w:p>
                  <w:pPr>
                    <w:adjustRightInd/>
                    <w:spacing w:line="240" w:lineRule="auto"/>
                    <w:jc w:val="center"/>
                    <w:rPr>
                      <w:kern w:val="2"/>
                      <w:szCs w:val="21"/>
                    </w:rPr>
                  </w:pPr>
                  <w:r>
                    <w:rPr>
                      <w:rFonts w:hint="eastAsia"/>
                      <w:kern w:val="2"/>
                      <w:szCs w:val="21"/>
                    </w:rPr>
                    <w:t>/</w:t>
                  </w:r>
                </w:p>
              </w:tc>
            </w:tr>
            <w:tr>
              <w:tblPrEx>
                <w:tblW w:w="8742" w:type="dxa"/>
                <w:jc w:val="center"/>
                <w:tblLayout w:type="fixed"/>
                <w:tblCellMar>
                  <w:top w:w="0" w:type="dxa"/>
                  <w:left w:w="108" w:type="dxa"/>
                  <w:bottom w:w="0" w:type="dxa"/>
                  <w:right w:w="108" w:type="dxa"/>
                </w:tblCellMar>
              </w:tblPrEx>
              <w:trPr>
                <w:trHeight w:val="341"/>
                <w:jc w:val="center"/>
              </w:trPr>
              <w:tc>
                <w:tcPr>
                  <w:tcW w:w="692" w:type="dxa"/>
                  <w:vMerge/>
                  <w:vAlign w:val="center"/>
                </w:tcPr>
                <w:p>
                  <w:pPr>
                    <w:adjustRightInd/>
                    <w:spacing w:line="240" w:lineRule="auto"/>
                    <w:jc w:val="center"/>
                    <w:rPr>
                      <w:kern w:val="2"/>
                      <w:szCs w:val="21"/>
                    </w:rPr>
                  </w:pPr>
                </w:p>
              </w:tc>
              <w:tc>
                <w:tcPr>
                  <w:tcW w:w="1106" w:type="dxa"/>
                  <w:vAlign w:val="center"/>
                </w:tcPr>
                <w:p>
                  <w:pPr>
                    <w:adjustRightInd/>
                    <w:spacing w:line="240" w:lineRule="auto"/>
                    <w:jc w:val="center"/>
                    <w:rPr>
                      <w:kern w:val="2"/>
                      <w:szCs w:val="21"/>
                    </w:rPr>
                  </w:pPr>
                  <w:r>
                    <w:rPr>
                      <w:kern w:val="2"/>
                      <w:szCs w:val="21"/>
                    </w:rPr>
                    <w:t>固废处理</w:t>
                  </w:r>
                </w:p>
              </w:tc>
              <w:tc>
                <w:tcPr>
                  <w:tcW w:w="4619" w:type="dxa"/>
                  <w:vAlign w:val="center"/>
                </w:tcPr>
                <w:p>
                  <w:pPr>
                    <w:adjustRightInd/>
                    <w:spacing w:line="240" w:lineRule="auto"/>
                    <w:rPr>
                      <w:kern w:val="2"/>
                      <w:szCs w:val="21"/>
                    </w:rPr>
                  </w:pPr>
                  <w:r>
                    <w:rPr>
                      <w:rFonts w:hint="eastAsia"/>
                      <w:kern w:val="2"/>
                      <w:szCs w:val="21"/>
                    </w:rPr>
                    <w:t>生产过程产生中的污泥定期由车辆运输至垃圾填埋场填埋</w:t>
                  </w:r>
                </w:p>
                <w:p>
                  <w:pPr>
                    <w:adjustRightInd/>
                    <w:spacing w:line="240" w:lineRule="auto"/>
                  </w:pPr>
                  <w:r>
                    <w:rPr>
                      <w:rFonts w:hint="eastAsia"/>
                    </w:rPr>
                    <w:t>已建1座有效容积为</w:t>
                  </w:r>
                  <w:r>
                    <w:t>600m</w:t>
                  </w:r>
                  <w:r>
                    <w:rPr>
                      <w:vertAlign w:val="superscript"/>
                    </w:rPr>
                    <w:t>3</w:t>
                  </w:r>
                  <w:r>
                    <w:rPr>
                      <w:rFonts w:hint="eastAsia"/>
                    </w:rPr>
                    <w:t>排泥池，</w:t>
                  </w:r>
                  <w:r>
                    <w:t>共设有4台水泵机位</w:t>
                  </w:r>
                  <w:r>
                    <w:rPr>
                      <w:rFonts w:hint="eastAsia"/>
                    </w:rPr>
                    <w:t>，</w:t>
                  </w:r>
                  <w:r>
                    <w:t>水泵参数：Q= 70m</w:t>
                  </w:r>
                  <w:r>
                    <w:rPr>
                      <w:vertAlign w:val="superscript"/>
                    </w:rPr>
                    <w:t>3</w:t>
                  </w:r>
                  <w:r>
                    <w:t>/h，H=12m，额定功率5.5kW</w:t>
                  </w:r>
                  <w:r>
                    <w:rPr>
                      <w:rFonts w:hint="eastAsia"/>
                    </w:rPr>
                    <w:t>；</w:t>
                  </w:r>
                </w:p>
              </w:tc>
              <w:tc>
                <w:tcPr>
                  <w:tcW w:w="2325" w:type="dxa"/>
                  <w:vAlign w:val="center"/>
                </w:tcPr>
                <w:p>
                  <w:pPr>
                    <w:adjustRightInd/>
                    <w:spacing w:line="240" w:lineRule="auto"/>
                    <w:jc w:val="center"/>
                    <w:rPr>
                      <w:kern w:val="2"/>
                      <w:szCs w:val="21"/>
                    </w:rPr>
                  </w:pPr>
                  <w:r>
                    <w:t>本次水厂扩建后，总排水量为2460m</w:t>
                  </w:r>
                  <w:r>
                    <w:rPr>
                      <w:vertAlign w:val="superscript"/>
                    </w:rPr>
                    <w:t>3</w:t>
                  </w:r>
                  <w:r>
                    <w:t>/d</w:t>
                  </w:r>
                  <w:r>
                    <w:rPr>
                      <w:rFonts w:hint="eastAsia"/>
                    </w:rPr>
                    <w:t>，</w:t>
                  </w:r>
                  <w:r>
                    <w:t>水泵三用一备12个小时内完成排放</w:t>
                  </w:r>
                  <w:r>
                    <w:rPr>
                      <w:rFonts w:hint="eastAsia"/>
                    </w:rPr>
                    <w:t>，无需新增设备</w:t>
                  </w:r>
                  <w:r>
                    <w:rPr>
                      <w:kern w:val="2"/>
                      <w:szCs w:val="21"/>
                    </w:rPr>
                    <w:t xml:space="preserve"> </w:t>
                  </w:r>
                </w:p>
              </w:tc>
            </w:tr>
          </w:tbl>
          <w:p>
            <w:pPr>
              <w:spacing w:line="360" w:lineRule="auto"/>
              <w:ind w:firstLine="480" w:firstLineChars="200"/>
              <w:rPr>
                <w:kern w:val="2"/>
                <w:sz w:val="24"/>
                <w:szCs w:val="24"/>
              </w:rPr>
            </w:pPr>
            <w:r>
              <w:rPr>
                <w:rFonts w:hint="eastAsia"/>
                <w:kern w:val="2"/>
                <w:sz w:val="24"/>
                <w:szCs w:val="24"/>
              </w:rPr>
              <w:t>3、原有工程原辅材料</w:t>
            </w:r>
          </w:p>
        </w:tc>
      </w:tr>
    </w:tbl>
    <w:p>
      <w:pPr>
        <w:sectPr>
          <w:footerReference w:type="even" r:id="rId52"/>
          <w:footerReference w:type="default" r:id="rId53"/>
          <w:footerReference w:type="first" r:id="rId54"/>
          <w:type w:val="nextPage"/>
          <w:pgSz w:w="11907" w:h="16840"/>
          <w:pgMar w:top="1418" w:right="1418" w:bottom="1418" w:left="1418" w:header="851" w:footer="680" w:gutter="113"/>
          <w:pgNumType w:start="11"/>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517"/>
          <w:jc w:val="center"/>
        </w:trPr>
        <w:tc>
          <w:tcPr>
            <w:tcW w:w="8916" w:type="dxa"/>
          </w:tcPr>
          <w:p>
            <w:pPr>
              <w:adjustRightInd/>
              <w:spacing w:line="240" w:lineRule="auto"/>
              <w:jc w:val="center"/>
              <w:rPr>
                <w:b/>
                <w:bCs/>
                <w:kern w:val="2"/>
                <w:szCs w:val="21"/>
              </w:rPr>
            </w:pPr>
            <w:r>
              <w:rPr>
                <w:b/>
                <w:bCs/>
                <w:kern w:val="2"/>
                <w:szCs w:val="21"/>
              </w:rPr>
              <w:t>表</w:t>
            </w:r>
            <w:r>
              <w:rPr>
                <w:rFonts w:hint="eastAsia"/>
                <w:b/>
                <w:bCs/>
                <w:kern w:val="2"/>
                <w:szCs w:val="21"/>
              </w:rPr>
              <w:t>5</w:t>
            </w:r>
            <w:r>
              <w:rPr>
                <w:b/>
                <w:bCs/>
                <w:kern w:val="2"/>
                <w:szCs w:val="21"/>
              </w:rPr>
              <w:t xml:space="preserve"> </w:t>
            </w:r>
            <w:r>
              <w:rPr>
                <w:rFonts w:hint="eastAsia"/>
                <w:b/>
                <w:bCs/>
                <w:kern w:val="2"/>
                <w:szCs w:val="21"/>
              </w:rPr>
              <w:t xml:space="preserve"> 原有工程原辅材料及能耗</w:t>
            </w:r>
            <w:r>
              <w:rPr>
                <w:b/>
                <w:bCs/>
                <w:kern w:val="2"/>
                <w:szCs w:val="21"/>
              </w:rPr>
              <w:t>一览表</w:t>
            </w:r>
          </w:p>
          <w:tbl>
            <w:tblPr>
              <w:tblStyle w:val="TableGrid1"/>
              <w:tblW w:w="876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83"/>
              <w:gridCol w:w="992"/>
              <w:gridCol w:w="1276"/>
              <w:gridCol w:w="1701"/>
              <w:gridCol w:w="851"/>
              <w:gridCol w:w="2765"/>
            </w:tblGrid>
            <w:tr>
              <w:tblPrEx>
                <w:tblW w:w="876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53"/>
                <w:jc w:val="center"/>
              </w:trPr>
              <w:tc>
                <w:tcPr>
                  <w:tcW w:w="1183" w:type="dxa"/>
                  <w:tcBorders>
                    <w:tl2br w:val="nil"/>
                    <w:tr2bl w:val="nil"/>
                  </w:tcBorders>
                  <w:vAlign w:val="center"/>
                </w:tcPr>
                <w:p>
                  <w:pPr>
                    <w:pStyle w:val="aa"/>
                    <w:adjustRightInd/>
                    <w:snapToGrid/>
                    <w:spacing w:line="240" w:lineRule="auto"/>
                    <w:ind w:firstLine="0" w:firstLineChars="0"/>
                    <w:jc w:val="center"/>
                    <w:rPr>
                      <w:b/>
                      <w:kern w:val="21"/>
                      <w:sz w:val="21"/>
                      <w:szCs w:val="21"/>
                    </w:rPr>
                  </w:pPr>
                  <w:r>
                    <w:rPr>
                      <w:rFonts w:hint="eastAsia"/>
                      <w:b/>
                      <w:kern w:val="21"/>
                      <w:sz w:val="21"/>
                      <w:szCs w:val="21"/>
                    </w:rPr>
                    <w:t>名称</w:t>
                  </w:r>
                </w:p>
              </w:tc>
              <w:tc>
                <w:tcPr>
                  <w:tcW w:w="992" w:type="dxa"/>
                  <w:tcBorders>
                    <w:tl2br w:val="nil"/>
                    <w:tr2bl w:val="nil"/>
                  </w:tcBorders>
                  <w:vAlign w:val="center"/>
                </w:tcPr>
                <w:p>
                  <w:pPr>
                    <w:pStyle w:val="aa"/>
                    <w:adjustRightInd/>
                    <w:snapToGrid/>
                    <w:spacing w:line="240" w:lineRule="auto"/>
                    <w:ind w:firstLine="0" w:firstLineChars="0"/>
                    <w:jc w:val="center"/>
                    <w:rPr>
                      <w:b/>
                      <w:kern w:val="21"/>
                      <w:sz w:val="21"/>
                      <w:szCs w:val="21"/>
                    </w:rPr>
                  </w:pPr>
                  <w:r>
                    <w:rPr>
                      <w:rFonts w:hint="eastAsia"/>
                      <w:b/>
                      <w:kern w:val="21"/>
                      <w:sz w:val="21"/>
                      <w:szCs w:val="21"/>
                    </w:rPr>
                    <w:t>投加率</w:t>
                  </w:r>
                </w:p>
              </w:tc>
              <w:tc>
                <w:tcPr>
                  <w:tcW w:w="1276" w:type="dxa"/>
                  <w:tcBorders>
                    <w:tl2br w:val="nil"/>
                    <w:tr2bl w:val="nil"/>
                  </w:tcBorders>
                  <w:vAlign w:val="center"/>
                </w:tcPr>
                <w:p>
                  <w:pPr>
                    <w:pStyle w:val="aa"/>
                    <w:adjustRightInd/>
                    <w:snapToGrid/>
                    <w:spacing w:line="240" w:lineRule="auto"/>
                    <w:ind w:firstLine="0" w:firstLineChars="0"/>
                    <w:jc w:val="center"/>
                    <w:rPr>
                      <w:b/>
                      <w:kern w:val="21"/>
                      <w:sz w:val="21"/>
                      <w:szCs w:val="21"/>
                    </w:rPr>
                  </w:pPr>
                  <w:r>
                    <w:rPr>
                      <w:rFonts w:hint="eastAsia"/>
                      <w:b/>
                      <w:kern w:val="21"/>
                      <w:sz w:val="21"/>
                      <w:szCs w:val="21"/>
                    </w:rPr>
                    <w:t>成分</w:t>
                  </w:r>
                </w:p>
              </w:tc>
              <w:tc>
                <w:tcPr>
                  <w:tcW w:w="1701" w:type="dxa"/>
                  <w:tcBorders>
                    <w:tl2br w:val="nil"/>
                    <w:tr2bl w:val="nil"/>
                  </w:tcBorders>
                  <w:vAlign w:val="center"/>
                </w:tcPr>
                <w:p>
                  <w:pPr>
                    <w:pStyle w:val="aa"/>
                    <w:adjustRightInd/>
                    <w:snapToGrid/>
                    <w:spacing w:line="240" w:lineRule="auto"/>
                    <w:ind w:firstLine="0" w:firstLineChars="0"/>
                    <w:jc w:val="center"/>
                    <w:rPr>
                      <w:b/>
                      <w:kern w:val="21"/>
                      <w:sz w:val="21"/>
                      <w:szCs w:val="21"/>
                    </w:rPr>
                  </w:pPr>
                  <w:r>
                    <w:rPr>
                      <w:rFonts w:hint="eastAsia"/>
                      <w:b/>
                      <w:kern w:val="21"/>
                      <w:sz w:val="21"/>
                      <w:szCs w:val="21"/>
                    </w:rPr>
                    <w:t>年用量</w:t>
                  </w:r>
                </w:p>
              </w:tc>
              <w:tc>
                <w:tcPr>
                  <w:tcW w:w="851" w:type="dxa"/>
                  <w:tcBorders>
                    <w:tl2br w:val="nil"/>
                    <w:tr2bl w:val="nil"/>
                  </w:tcBorders>
                  <w:vAlign w:val="center"/>
                </w:tcPr>
                <w:p>
                  <w:pPr>
                    <w:pStyle w:val="aa"/>
                    <w:adjustRightInd/>
                    <w:snapToGrid/>
                    <w:spacing w:line="240" w:lineRule="auto"/>
                    <w:ind w:firstLine="0" w:firstLineChars="0"/>
                    <w:jc w:val="center"/>
                    <w:rPr>
                      <w:b/>
                      <w:kern w:val="21"/>
                      <w:sz w:val="21"/>
                      <w:szCs w:val="21"/>
                    </w:rPr>
                  </w:pPr>
                  <w:r>
                    <w:rPr>
                      <w:rFonts w:hint="eastAsia"/>
                      <w:b/>
                      <w:kern w:val="21"/>
                      <w:sz w:val="21"/>
                      <w:szCs w:val="21"/>
                    </w:rPr>
                    <w:t>用途</w:t>
                  </w:r>
                </w:p>
              </w:tc>
              <w:tc>
                <w:tcPr>
                  <w:tcW w:w="2765" w:type="dxa"/>
                  <w:tcBorders>
                    <w:tl2br w:val="nil"/>
                    <w:tr2bl w:val="nil"/>
                  </w:tcBorders>
                  <w:vAlign w:val="center"/>
                </w:tcPr>
                <w:p>
                  <w:pPr>
                    <w:pStyle w:val="aa"/>
                    <w:adjustRightInd/>
                    <w:snapToGrid/>
                    <w:spacing w:line="240" w:lineRule="auto"/>
                    <w:ind w:firstLine="0" w:firstLineChars="0"/>
                    <w:jc w:val="center"/>
                    <w:rPr>
                      <w:b/>
                      <w:kern w:val="21"/>
                      <w:sz w:val="21"/>
                      <w:szCs w:val="21"/>
                    </w:rPr>
                  </w:pPr>
                  <w:r>
                    <w:rPr>
                      <w:rFonts w:hint="eastAsia"/>
                      <w:b/>
                      <w:kern w:val="21"/>
                      <w:sz w:val="21"/>
                      <w:szCs w:val="21"/>
                    </w:rPr>
                    <w:t>备注</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3"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电能</w:t>
                  </w:r>
                </w:p>
              </w:tc>
              <w:tc>
                <w:tcPr>
                  <w:tcW w:w="992"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w:t>
                  </w:r>
                </w:p>
              </w:tc>
              <w:tc>
                <w:tcPr>
                  <w:tcW w:w="1701"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color w:val="000000" w:themeColor="text1"/>
                      <w:kern w:val="2"/>
                      <w:sz w:val="21"/>
                      <w:szCs w:val="21"/>
                      <w14:textFill>
                        <w14:solidFill>
                          <w14:schemeClr w14:val="tx1"/>
                        </w14:solidFill>
                      </w14:textFill>
                    </w:rPr>
                    <w:t>900</w:t>
                  </w:r>
                  <w:r>
                    <w:rPr>
                      <w:rFonts w:hint="eastAsia"/>
                      <w:color w:val="000000" w:themeColor="text1"/>
                      <w:kern w:val="2"/>
                      <w:sz w:val="21"/>
                      <w:szCs w:val="21"/>
                      <w14:textFill>
                        <w14:solidFill>
                          <w14:schemeClr w14:val="tx1"/>
                        </w14:solidFill>
                      </w14:textFill>
                    </w:rPr>
                    <w:t>万kWh</w:t>
                  </w:r>
                </w:p>
              </w:tc>
              <w:tc>
                <w:tcPr>
                  <w:tcW w:w="851"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w:t>
                  </w:r>
                </w:p>
              </w:tc>
              <w:tc>
                <w:tcPr>
                  <w:tcW w:w="2765"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抚河提供</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3"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原水</w:t>
                  </w:r>
                </w:p>
              </w:tc>
              <w:tc>
                <w:tcPr>
                  <w:tcW w:w="992"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w:t>
                  </w:r>
                </w:p>
              </w:tc>
              <w:tc>
                <w:tcPr>
                  <w:tcW w:w="1701"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3</w:t>
                  </w:r>
                  <w:r>
                    <w:rPr>
                      <w:bCs/>
                      <w:color w:val="000000" w:themeColor="text1"/>
                      <w:kern w:val="21"/>
                      <w:sz w:val="21"/>
                      <w:szCs w:val="21"/>
                      <w14:textFill>
                        <w14:solidFill>
                          <w14:schemeClr w14:val="tx1"/>
                        </w14:solidFill>
                      </w14:textFill>
                    </w:rPr>
                    <w:t>.71*10</w:t>
                  </w:r>
                  <w:r>
                    <w:rPr>
                      <w:bCs/>
                      <w:color w:val="000000" w:themeColor="text1"/>
                      <w:kern w:val="21"/>
                      <w:sz w:val="21"/>
                      <w:szCs w:val="21"/>
                      <w:vertAlign w:val="superscript"/>
                      <w14:textFill>
                        <w14:solidFill>
                          <w14:schemeClr w14:val="tx1"/>
                        </w14:solidFill>
                      </w14:textFill>
                    </w:rPr>
                    <w:t>7</w:t>
                  </w:r>
                  <w:r>
                    <w:rPr>
                      <w:bCs/>
                      <w:color w:val="000000" w:themeColor="text1"/>
                      <w:kern w:val="21"/>
                      <w:sz w:val="21"/>
                      <w:szCs w:val="21"/>
                      <w14:textFill>
                        <w14:solidFill>
                          <w14:schemeClr w14:val="tx1"/>
                        </w14:solidFill>
                      </w14:textFill>
                    </w:rPr>
                    <w:t>m</w:t>
                  </w:r>
                  <w:r>
                    <w:rPr>
                      <w:bCs/>
                      <w:color w:val="000000" w:themeColor="text1"/>
                      <w:kern w:val="21"/>
                      <w:sz w:val="21"/>
                      <w:szCs w:val="21"/>
                      <w:vertAlign w:val="superscript"/>
                      <w14:textFill>
                        <w14:solidFill>
                          <w14:schemeClr w14:val="tx1"/>
                        </w14:solidFill>
                      </w14:textFill>
                    </w:rPr>
                    <w:t>3</w:t>
                  </w:r>
                  <w:r>
                    <w:rPr>
                      <w:bCs/>
                      <w:color w:val="000000" w:themeColor="text1"/>
                      <w:kern w:val="21"/>
                      <w:sz w:val="21"/>
                      <w:szCs w:val="21"/>
                      <w14:textFill>
                        <w14:solidFill>
                          <w14:schemeClr w14:val="tx1"/>
                        </w14:solidFill>
                      </w14:textFill>
                    </w:rPr>
                    <w:t>/a</w:t>
                  </w:r>
                </w:p>
              </w:tc>
              <w:tc>
                <w:tcPr>
                  <w:tcW w:w="851"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w:t>
                  </w:r>
                </w:p>
              </w:tc>
              <w:tc>
                <w:tcPr>
                  <w:tcW w:w="2765"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市政供电系统</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3"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混凝剂</w:t>
                  </w:r>
                </w:p>
              </w:tc>
              <w:tc>
                <w:tcPr>
                  <w:tcW w:w="992"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1</w:t>
                  </w:r>
                  <w:r>
                    <w:rPr>
                      <w:bCs/>
                      <w:color w:val="000000" w:themeColor="text1"/>
                      <w:kern w:val="21"/>
                      <w:sz w:val="21"/>
                      <w:szCs w:val="21"/>
                      <w14:textFill>
                        <w14:solidFill>
                          <w14:schemeClr w14:val="tx1"/>
                        </w14:solidFill>
                      </w14:textFill>
                    </w:rPr>
                    <w:t>0mg/L</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聚合氯化铝</w:t>
                  </w:r>
                </w:p>
              </w:tc>
              <w:tc>
                <w:tcPr>
                  <w:tcW w:w="1701"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bCs/>
                      <w:color w:val="000000" w:themeColor="text1"/>
                      <w:kern w:val="21"/>
                      <w:sz w:val="21"/>
                      <w:szCs w:val="21"/>
                      <w14:textFill>
                        <w14:solidFill>
                          <w14:schemeClr w14:val="tx1"/>
                        </w14:solidFill>
                      </w14:textFill>
                    </w:rPr>
                    <w:t>365t/a</w:t>
                  </w:r>
                </w:p>
              </w:tc>
              <w:tc>
                <w:tcPr>
                  <w:tcW w:w="851" w:type="dxa"/>
                  <w:tcBorders>
                    <w:tl2br w:val="nil"/>
                    <w:tr2bl w:val="nil"/>
                  </w:tcBorders>
                  <w:vAlign w:val="center"/>
                </w:tcPr>
                <w:p>
                  <w:pPr>
                    <w:widowControl/>
                    <w:jc w:val="center"/>
                    <w:textAlignment w:val="center"/>
                    <w:rPr>
                      <w:color w:val="000000" w:themeColor="text1"/>
                      <w:kern w:val="2"/>
                      <w:szCs w:val="21"/>
                      <w:lang w:bidi="ar"/>
                      <w14:textFill>
                        <w14:solidFill>
                          <w14:schemeClr w14:val="tx1"/>
                        </w14:solidFill>
                      </w14:textFill>
                    </w:rPr>
                  </w:pPr>
                  <w:r>
                    <w:rPr>
                      <w:rFonts w:hint="eastAsia"/>
                      <w:color w:val="000000" w:themeColor="text1"/>
                      <w:kern w:val="2"/>
                      <w:szCs w:val="21"/>
                      <w:lang w:bidi="ar"/>
                      <w14:textFill>
                        <w14:solidFill>
                          <w14:schemeClr w14:val="tx1"/>
                        </w14:solidFill>
                      </w14:textFill>
                    </w:rPr>
                    <w:t>絮凝</w:t>
                  </w:r>
                </w:p>
              </w:tc>
              <w:tc>
                <w:tcPr>
                  <w:tcW w:w="2765" w:type="dxa"/>
                  <w:tcBorders>
                    <w:tl2br w:val="nil"/>
                    <w:tr2bl w:val="nil"/>
                  </w:tcBorders>
                  <w:vAlign w:val="center"/>
                </w:tcPr>
                <w:p>
                  <w:pPr>
                    <w:widowControl/>
                    <w:jc w:val="center"/>
                    <w:textAlignment w:val="center"/>
                    <w:rPr>
                      <w:color w:val="000000" w:themeColor="text1"/>
                      <w:kern w:val="2"/>
                      <w:szCs w:val="21"/>
                      <w:lang w:bidi="ar"/>
                      <w14:textFill>
                        <w14:solidFill>
                          <w14:schemeClr w14:val="tx1"/>
                        </w14:solidFill>
                      </w14:textFill>
                    </w:rPr>
                  </w:pPr>
                  <w:r>
                    <w:rPr>
                      <w:rFonts w:hint="eastAsia"/>
                      <w:color w:val="000000" w:themeColor="text1"/>
                      <w:kern w:val="2"/>
                      <w:szCs w:val="21"/>
                      <w:lang w:bidi="ar"/>
                      <w14:textFill>
                        <w14:solidFill>
                          <w14:schemeClr w14:val="tx1"/>
                        </w14:solidFill>
                      </w14:textFill>
                    </w:rPr>
                    <w:t>外购，袋装，最大储存量2</w:t>
                  </w:r>
                  <w:r>
                    <w:rPr>
                      <w:color w:val="000000" w:themeColor="text1"/>
                      <w:kern w:val="2"/>
                      <w:szCs w:val="21"/>
                      <w:lang w:bidi="ar"/>
                      <w14:textFill>
                        <w14:solidFill>
                          <w14:schemeClr w14:val="tx1"/>
                        </w14:solidFill>
                      </w14:textFill>
                    </w:rPr>
                    <w:t>0t</w:t>
                  </w:r>
                </w:p>
              </w:tc>
            </w:tr>
            <w:tr>
              <w:tblPrEx>
                <w:tblW w:w="8768" w:type="dxa"/>
                <w:jc w:val="center"/>
                <w:tblLayout w:type="fixed"/>
                <w:tblCellMar>
                  <w:top w:w="0" w:type="dxa"/>
                  <w:left w:w="108" w:type="dxa"/>
                  <w:bottom w:w="0" w:type="dxa"/>
                  <w:right w:w="108" w:type="dxa"/>
                </w:tblCellMar>
              </w:tblPrEx>
              <w:trPr>
                <w:cantSplit/>
                <w:trHeight w:val="353"/>
                <w:jc w:val="center"/>
              </w:trPr>
              <w:tc>
                <w:tcPr>
                  <w:tcW w:w="1183"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液氯</w:t>
                  </w:r>
                </w:p>
              </w:tc>
              <w:tc>
                <w:tcPr>
                  <w:tcW w:w="992"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1</w:t>
                  </w:r>
                  <w:r>
                    <w:rPr>
                      <w:bCs/>
                      <w:color w:val="000000" w:themeColor="text1"/>
                      <w:kern w:val="21"/>
                      <w:sz w:val="21"/>
                      <w:szCs w:val="21"/>
                      <w14:textFill>
                        <w14:solidFill>
                          <w14:schemeClr w14:val="tx1"/>
                        </w14:solidFill>
                      </w14:textFill>
                    </w:rPr>
                    <w:t>.5mg/L</w:t>
                  </w:r>
                </w:p>
              </w:tc>
              <w:tc>
                <w:tcPr>
                  <w:tcW w:w="1276"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rFonts w:hint="eastAsia"/>
                      <w:bCs/>
                      <w:color w:val="000000" w:themeColor="text1"/>
                      <w:kern w:val="21"/>
                      <w:sz w:val="21"/>
                      <w:szCs w:val="21"/>
                      <w14:textFill>
                        <w14:solidFill>
                          <w14:schemeClr w14:val="tx1"/>
                        </w14:solidFill>
                      </w14:textFill>
                    </w:rPr>
                    <w:t>次氯酸钠</w:t>
                  </w:r>
                </w:p>
              </w:tc>
              <w:tc>
                <w:tcPr>
                  <w:tcW w:w="1701" w:type="dxa"/>
                  <w:tcBorders>
                    <w:tl2br w:val="nil"/>
                    <w:tr2bl w:val="nil"/>
                  </w:tcBorders>
                  <w:vAlign w:val="center"/>
                </w:tcPr>
                <w:p>
                  <w:pPr>
                    <w:pStyle w:val="aa"/>
                    <w:adjustRightInd/>
                    <w:snapToGrid/>
                    <w:spacing w:line="240" w:lineRule="auto"/>
                    <w:ind w:firstLine="0" w:firstLineChars="0"/>
                    <w:jc w:val="center"/>
                    <w:rPr>
                      <w:bCs/>
                      <w:color w:val="000000" w:themeColor="text1"/>
                      <w:kern w:val="21"/>
                      <w:sz w:val="21"/>
                      <w:szCs w:val="21"/>
                      <w14:textFill>
                        <w14:solidFill>
                          <w14:schemeClr w14:val="tx1"/>
                        </w14:solidFill>
                      </w14:textFill>
                    </w:rPr>
                  </w:pPr>
                  <w:r>
                    <w:rPr>
                      <w:bCs/>
                      <w:color w:val="000000" w:themeColor="text1"/>
                      <w:kern w:val="21"/>
                      <w:sz w:val="21"/>
                      <w:szCs w:val="21"/>
                      <w14:textFill>
                        <w14:solidFill>
                          <w14:schemeClr w14:val="tx1"/>
                        </w14:solidFill>
                      </w14:textFill>
                    </w:rPr>
                    <w:t>60.83t/a</w:t>
                  </w:r>
                </w:p>
              </w:tc>
              <w:tc>
                <w:tcPr>
                  <w:tcW w:w="851" w:type="dxa"/>
                  <w:tcBorders>
                    <w:tl2br w:val="nil"/>
                    <w:tr2bl w:val="nil"/>
                  </w:tcBorders>
                  <w:vAlign w:val="center"/>
                </w:tcPr>
                <w:p>
                  <w:pPr>
                    <w:widowControl/>
                    <w:jc w:val="center"/>
                    <w:textAlignment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消毒</w:t>
                  </w:r>
                </w:p>
              </w:tc>
              <w:tc>
                <w:tcPr>
                  <w:tcW w:w="2765" w:type="dxa"/>
                  <w:tcBorders>
                    <w:tl2br w:val="nil"/>
                    <w:tr2bl w:val="nil"/>
                  </w:tcBorders>
                  <w:vAlign w:val="center"/>
                </w:tcPr>
                <w:p>
                  <w:pPr>
                    <w:widowControl/>
                    <w:jc w:val="center"/>
                    <w:textAlignment w:val="center"/>
                    <w:rPr>
                      <w:bCs/>
                      <w:color w:val="000000" w:themeColor="text1"/>
                      <w:kern w:val="21"/>
                      <w:szCs w:val="21"/>
                      <w14:textFill>
                        <w14:solidFill>
                          <w14:schemeClr w14:val="tx1"/>
                        </w14:solidFill>
                      </w14:textFill>
                    </w:rPr>
                  </w:pPr>
                  <w:r>
                    <w:rPr>
                      <w:rFonts w:hint="eastAsia"/>
                      <w:bCs/>
                      <w:color w:val="000000" w:themeColor="text1"/>
                      <w:kern w:val="21"/>
                      <w:szCs w:val="21"/>
                      <w14:textFill>
                        <w14:solidFill>
                          <w14:schemeClr w14:val="tx1"/>
                        </w14:solidFill>
                      </w14:textFill>
                    </w:rPr>
                    <w:t>外购，桶装，最大储存量5</w:t>
                  </w:r>
                  <w:r>
                    <w:rPr>
                      <w:bCs/>
                      <w:color w:val="000000" w:themeColor="text1"/>
                      <w:kern w:val="21"/>
                      <w:szCs w:val="21"/>
                      <w14:textFill>
                        <w14:solidFill>
                          <w14:schemeClr w14:val="tx1"/>
                        </w14:solidFill>
                      </w14:textFill>
                    </w:rPr>
                    <w:t>t</w:t>
                  </w:r>
                </w:p>
              </w:tc>
            </w:tr>
          </w:tbl>
          <w:p>
            <w:pPr>
              <w:spacing w:line="360" w:lineRule="auto"/>
              <w:ind w:firstLine="480" w:firstLineChars="200"/>
              <w:rPr>
                <w:kern w:val="2"/>
                <w:sz w:val="24"/>
                <w:szCs w:val="24"/>
              </w:rPr>
            </w:pPr>
            <w:r>
              <w:rPr>
                <w:rFonts w:hint="eastAsia"/>
                <w:kern w:val="2"/>
                <w:sz w:val="24"/>
                <w:szCs w:val="24"/>
              </w:rPr>
              <w:t>4、原有工程设备清单</w:t>
            </w:r>
          </w:p>
          <w:p>
            <w:pPr>
              <w:tabs>
                <w:tab w:val="left" w:pos="1021"/>
              </w:tabs>
              <w:adjustRightInd/>
              <w:spacing w:line="240" w:lineRule="auto"/>
              <w:jc w:val="center"/>
              <w:textAlignment w:val="auto"/>
              <w:rPr>
                <w:b/>
                <w:kern w:val="2"/>
                <w:szCs w:val="21"/>
              </w:rPr>
            </w:pPr>
            <w:r>
              <w:rPr>
                <w:b/>
                <w:kern w:val="2"/>
                <w:szCs w:val="21"/>
              </w:rPr>
              <w:t>表</w:t>
            </w:r>
            <w:r>
              <w:rPr>
                <w:rFonts w:hint="eastAsia"/>
                <w:b/>
                <w:kern w:val="2"/>
                <w:szCs w:val="21"/>
              </w:rPr>
              <w:t>6  设备</w:t>
            </w:r>
            <w:r>
              <w:rPr>
                <w:b/>
                <w:kern w:val="2"/>
                <w:szCs w:val="21"/>
              </w:rPr>
              <w:t>一览表</w:t>
            </w:r>
          </w:p>
          <w:tbl>
            <w:tblPr>
              <w:tblStyle w:val="TableTheme1"/>
              <w:tblW w:w="8704"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584"/>
              <w:gridCol w:w="1498"/>
              <w:gridCol w:w="3322"/>
              <w:gridCol w:w="992"/>
              <w:gridCol w:w="2308"/>
            </w:tblGrid>
            <w:tr>
              <w:tblPrEx>
                <w:tblW w:w="8704"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b/>
                      <w:kern w:val="2"/>
                      <w:szCs w:val="21"/>
                    </w:rPr>
                  </w:pPr>
                  <w:r>
                    <w:rPr>
                      <w:rFonts w:hint="eastAsia"/>
                      <w:b/>
                      <w:kern w:val="2"/>
                      <w:szCs w:val="21"/>
                    </w:rPr>
                    <w:t>序号</w:t>
                  </w:r>
                </w:p>
              </w:tc>
              <w:tc>
                <w:tcPr>
                  <w:tcW w:w="1498" w:type="dxa"/>
                  <w:vAlign w:val="center"/>
                </w:tcPr>
                <w:p>
                  <w:pPr>
                    <w:adjustRightInd/>
                    <w:spacing w:line="240" w:lineRule="auto"/>
                    <w:jc w:val="center"/>
                    <w:rPr>
                      <w:b/>
                      <w:kern w:val="2"/>
                      <w:szCs w:val="21"/>
                    </w:rPr>
                  </w:pPr>
                  <w:r>
                    <w:rPr>
                      <w:rFonts w:hint="eastAsia"/>
                      <w:b/>
                      <w:kern w:val="2"/>
                      <w:szCs w:val="21"/>
                    </w:rPr>
                    <w:t>设备名称</w:t>
                  </w:r>
                </w:p>
              </w:tc>
              <w:tc>
                <w:tcPr>
                  <w:tcW w:w="3322" w:type="dxa"/>
                  <w:vAlign w:val="center"/>
                </w:tcPr>
                <w:p>
                  <w:pPr>
                    <w:adjustRightInd/>
                    <w:spacing w:line="240" w:lineRule="auto"/>
                    <w:jc w:val="center"/>
                    <w:rPr>
                      <w:rFonts w:ascii="宋体" w:hAnsi="宋体"/>
                      <w:b/>
                      <w:kern w:val="2"/>
                      <w:szCs w:val="21"/>
                    </w:rPr>
                  </w:pPr>
                  <w:r>
                    <w:rPr>
                      <w:rFonts w:ascii="宋体" w:hAnsi="宋体" w:hint="eastAsia"/>
                      <w:b/>
                      <w:kern w:val="2"/>
                      <w:szCs w:val="21"/>
                    </w:rPr>
                    <w:t>规格/型号</w:t>
                  </w:r>
                </w:p>
              </w:tc>
              <w:tc>
                <w:tcPr>
                  <w:tcW w:w="992" w:type="dxa"/>
                  <w:tcBorders>
                    <w:bottom w:val="single" w:sz="4" w:space="0" w:color="auto"/>
                  </w:tcBorders>
                  <w:vAlign w:val="center"/>
                </w:tcPr>
                <w:p>
                  <w:pPr>
                    <w:adjustRightInd/>
                    <w:spacing w:line="240" w:lineRule="auto"/>
                    <w:jc w:val="center"/>
                    <w:rPr>
                      <w:b/>
                      <w:kern w:val="2"/>
                      <w:szCs w:val="21"/>
                    </w:rPr>
                  </w:pPr>
                  <w:r>
                    <w:rPr>
                      <w:rFonts w:hint="eastAsia"/>
                      <w:b/>
                      <w:kern w:val="2"/>
                      <w:szCs w:val="21"/>
                    </w:rPr>
                    <w:t>台数（台/套）</w:t>
                  </w:r>
                </w:p>
              </w:tc>
              <w:tc>
                <w:tcPr>
                  <w:tcW w:w="2308" w:type="dxa"/>
                  <w:tcBorders>
                    <w:bottom w:val="single" w:sz="4" w:space="0" w:color="auto"/>
                  </w:tcBorders>
                  <w:vAlign w:val="center"/>
                </w:tcPr>
                <w:p>
                  <w:pPr>
                    <w:adjustRightInd/>
                    <w:spacing w:line="240" w:lineRule="auto"/>
                    <w:jc w:val="center"/>
                    <w:rPr>
                      <w:b/>
                      <w:kern w:val="2"/>
                      <w:szCs w:val="21"/>
                    </w:rPr>
                  </w:pPr>
                  <w:r>
                    <w:rPr>
                      <w:rFonts w:hint="eastAsia"/>
                      <w:b/>
                      <w:kern w:val="2"/>
                      <w:szCs w:val="21"/>
                    </w:rPr>
                    <w:t>安装位置</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1</w:t>
                  </w:r>
                </w:p>
              </w:tc>
              <w:tc>
                <w:tcPr>
                  <w:tcW w:w="1498" w:type="dxa"/>
                  <w:vAlign w:val="center"/>
                </w:tcPr>
                <w:p>
                  <w:pPr>
                    <w:adjustRightInd/>
                    <w:spacing w:line="240" w:lineRule="auto"/>
                    <w:jc w:val="center"/>
                    <w:rPr>
                      <w:kern w:val="2"/>
                      <w:szCs w:val="21"/>
                    </w:rPr>
                  </w:pPr>
                  <w:r>
                    <w:rPr>
                      <w:rFonts w:hint="eastAsia"/>
                      <w:kern w:val="2"/>
                      <w:szCs w:val="21"/>
                    </w:rPr>
                    <w:t>卧式离心泵</w:t>
                  </w:r>
                </w:p>
              </w:tc>
              <w:tc>
                <w:tcPr>
                  <w:tcW w:w="3322" w:type="dxa"/>
                  <w:vAlign w:val="center"/>
                </w:tcPr>
                <w:p>
                  <w:pPr>
                    <w:pStyle w:val="Default"/>
                    <w:spacing w:line="240" w:lineRule="auto"/>
                    <w:jc w:val="center"/>
                    <w:textAlignment w:val="baseline"/>
                    <w:rPr>
                      <w:rFonts w:ascii="Times New Roman" w:eastAsia="宋体" w:hAnsi="Times New Roman" w:hint="default"/>
                      <w:color w:val="auto"/>
                      <w:kern w:val="2"/>
                      <w:sz w:val="21"/>
                      <w:szCs w:val="21"/>
                    </w:rPr>
                  </w:pPr>
                  <w:r>
                    <w:rPr>
                      <w:rFonts w:ascii="Times New Roman" w:hAnsi="Times New Roman" w:hint="default"/>
                      <w:sz w:val="21"/>
                      <w:szCs w:val="21"/>
                    </w:rPr>
                    <w:t>Q=2290m</w:t>
                  </w:r>
                  <w:r>
                    <w:rPr>
                      <w:rFonts w:ascii="Times New Roman" w:hAnsi="Times New Roman" w:hint="default"/>
                      <w:sz w:val="21"/>
                      <w:szCs w:val="21"/>
                      <w:vertAlign w:val="superscript"/>
                    </w:rPr>
                    <w:t>3</w:t>
                  </w:r>
                  <w:r>
                    <w:rPr>
                      <w:rFonts w:ascii="Times New Roman" w:hAnsi="Times New Roman" w:hint="default"/>
                      <w:sz w:val="21"/>
                      <w:szCs w:val="21"/>
                    </w:rPr>
                    <w:t>/h，H=20m，N=200kW</w:t>
                  </w:r>
                </w:p>
              </w:tc>
              <w:tc>
                <w:tcPr>
                  <w:tcW w:w="992" w:type="dxa"/>
                  <w:vAlign w:val="center"/>
                </w:tcPr>
                <w:p>
                  <w:pPr>
                    <w:adjustRightInd/>
                    <w:spacing w:line="240" w:lineRule="auto"/>
                    <w:jc w:val="center"/>
                    <w:rPr>
                      <w:kern w:val="2"/>
                      <w:szCs w:val="21"/>
                    </w:rPr>
                  </w:pPr>
                  <w:r>
                    <w:rPr>
                      <w:rFonts w:hint="eastAsia"/>
                      <w:kern w:val="2"/>
                      <w:szCs w:val="21"/>
                    </w:rPr>
                    <w:t>4</w:t>
                  </w:r>
                </w:p>
              </w:tc>
              <w:tc>
                <w:tcPr>
                  <w:tcW w:w="2308" w:type="dxa"/>
                  <w:vAlign w:val="center"/>
                </w:tcPr>
                <w:p>
                  <w:pPr>
                    <w:adjustRightInd/>
                    <w:spacing w:line="240" w:lineRule="auto"/>
                    <w:jc w:val="center"/>
                    <w:rPr>
                      <w:kern w:val="2"/>
                      <w:szCs w:val="21"/>
                    </w:rPr>
                  </w:pPr>
                  <w:r>
                    <w:rPr>
                      <w:rFonts w:hint="eastAsia"/>
                      <w:kern w:val="2"/>
                      <w:szCs w:val="21"/>
                    </w:rPr>
                    <w:t>取水泵房</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2</w:t>
                  </w:r>
                </w:p>
              </w:tc>
              <w:tc>
                <w:tcPr>
                  <w:tcW w:w="1498" w:type="dxa"/>
                  <w:vAlign w:val="center"/>
                </w:tcPr>
                <w:p>
                  <w:pPr>
                    <w:adjustRightInd/>
                    <w:spacing w:line="240" w:lineRule="auto"/>
                    <w:jc w:val="center"/>
                    <w:rPr>
                      <w:kern w:val="2"/>
                      <w:szCs w:val="21"/>
                    </w:rPr>
                  </w:pPr>
                  <w:r>
                    <w:rPr>
                      <w:rFonts w:hint="eastAsia"/>
                      <w:kern w:val="2"/>
                      <w:szCs w:val="21"/>
                    </w:rPr>
                    <w:t>混合搅拌器</w:t>
                  </w:r>
                </w:p>
              </w:tc>
              <w:tc>
                <w:tcPr>
                  <w:tcW w:w="3322" w:type="dxa"/>
                  <w:vAlign w:val="center"/>
                </w:tcPr>
                <w:p>
                  <w:pPr>
                    <w:pStyle w:val="Default"/>
                    <w:spacing w:line="240" w:lineRule="auto"/>
                    <w:jc w:val="center"/>
                    <w:textAlignment w:val="baseline"/>
                    <w:rPr>
                      <w:rFonts w:ascii="Times New Roman" w:eastAsia="宋体" w:hAnsi="Times New Roman" w:hint="default"/>
                      <w:color w:val="auto"/>
                      <w:kern w:val="2"/>
                      <w:sz w:val="21"/>
                      <w:szCs w:val="21"/>
                    </w:rPr>
                  </w:pPr>
                  <w:r>
                    <w:rPr>
                      <w:rFonts w:ascii="Times New Roman" w:eastAsia="宋体" w:hAnsi="Times New Roman"/>
                      <w:color w:val="auto"/>
                      <w:kern w:val="2"/>
                      <w:sz w:val="21"/>
                      <w:szCs w:val="21"/>
                    </w:rPr>
                    <w:t>功率：</w:t>
                  </w:r>
                  <w:r>
                    <w:rPr>
                      <w:rFonts w:ascii="Times New Roman" w:eastAsia="宋体" w:hAnsi="Times New Roman" w:hint="default"/>
                      <w:color w:val="auto"/>
                      <w:kern w:val="2"/>
                      <w:sz w:val="21"/>
                      <w:szCs w:val="21"/>
                    </w:rPr>
                    <w:t>5.5kw</w:t>
                  </w:r>
                </w:p>
              </w:tc>
              <w:tc>
                <w:tcPr>
                  <w:tcW w:w="992" w:type="dxa"/>
                  <w:vAlign w:val="center"/>
                </w:tcPr>
                <w:p>
                  <w:pPr>
                    <w:adjustRightInd/>
                    <w:spacing w:line="240" w:lineRule="auto"/>
                    <w:jc w:val="center"/>
                    <w:rPr>
                      <w:kern w:val="2"/>
                      <w:szCs w:val="21"/>
                    </w:rPr>
                  </w:pPr>
                  <w:r>
                    <w:rPr>
                      <w:kern w:val="2"/>
                      <w:szCs w:val="21"/>
                    </w:rPr>
                    <w:t>2</w:t>
                  </w:r>
                </w:p>
              </w:tc>
              <w:tc>
                <w:tcPr>
                  <w:tcW w:w="2308" w:type="dxa"/>
                  <w:vAlign w:val="center"/>
                </w:tcPr>
                <w:p>
                  <w:pPr>
                    <w:adjustRightInd/>
                    <w:spacing w:line="240" w:lineRule="auto"/>
                    <w:jc w:val="center"/>
                    <w:rPr>
                      <w:kern w:val="2"/>
                      <w:szCs w:val="21"/>
                    </w:rPr>
                  </w:pPr>
                  <w:r>
                    <w:rPr>
                      <w:szCs w:val="21"/>
                    </w:rPr>
                    <w:t>机械混合折板絮凝池</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kern w:val="2"/>
                      <w:szCs w:val="21"/>
                    </w:rPr>
                    <w:t>3</w:t>
                  </w:r>
                </w:p>
              </w:tc>
              <w:tc>
                <w:tcPr>
                  <w:tcW w:w="1498" w:type="dxa"/>
                  <w:vAlign w:val="center"/>
                </w:tcPr>
                <w:p>
                  <w:pPr>
                    <w:adjustRightInd/>
                    <w:spacing w:line="240" w:lineRule="auto"/>
                    <w:jc w:val="center"/>
                    <w:rPr>
                      <w:kern w:val="2"/>
                      <w:szCs w:val="21"/>
                    </w:rPr>
                  </w:pPr>
                  <w:r>
                    <w:rPr>
                      <w:szCs w:val="21"/>
                    </w:rPr>
                    <w:t>泵吸式排泥机</w:t>
                  </w:r>
                </w:p>
              </w:tc>
              <w:tc>
                <w:tcPr>
                  <w:tcW w:w="3322" w:type="dxa"/>
                  <w:vAlign w:val="center"/>
                </w:tcPr>
                <w:p>
                  <w:pPr>
                    <w:adjustRightInd/>
                    <w:spacing w:line="240" w:lineRule="auto"/>
                    <w:jc w:val="center"/>
                    <w:rPr>
                      <w:rFonts w:ascii="宋体" w:hAnsi="宋体"/>
                      <w:kern w:val="2"/>
                      <w:szCs w:val="21"/>
                    </w:rPr>
                  </w:pPr>
                </w:p>
              </w:tc>
              <w:tc>
                <w:tcPr>
                  <w:tcW w:w="992" w:type="dxa"/>
                  <w:vAlign w:val="center"/>
                </w:tcPr>
                <w:p>
                  <w:pPr>
                    <w:adjustRightInd/>
                    <w:spacing w:line="240" w:lineRule="auto"/>
                    <w:jc w:val="center"/>
                    <w:rPr>
                      <w:kern w:val="2"/>
                      <w:szCs w:val="21"/>
                    </w:rPr>
                  </w:pPr>
                  <w:r>
                    <w:rPr>
                      <w:kern w:val="2"/>
                      <w:szCs w:val="21"/>
                    </w:rPr>
                    <w:t>2</w:t>
                  </w:r>
                </w:p>
              </w:tc>
              <w:tc>
                <w:tcPr>
                  <w:tcW w:w="2308" w:type="dxa"/>
                  <w:vAlign w:val="center"/>
                </w:tcPr>
                <w:p>
                  <w:pPr>
                    <w:adjustRightInd/>
                    <w:spacing w:line="240" w:lineRule="auto"/>
                    <w:jc w:val="center"/>
                    <w:rPr>
                      <w:kern w:val="2"/>
                      <w:szCs w:val="21"/>
                    </w:rPr>
                  </w:pPr>
                  <w:r>
                    <w:rPr>
                      <w:rFonts w:hint="eastAsia"/>
                      <w:kern w:val="2"/>
                      <w:szCs w:val="21"/>
                    </w:rPr>
                    <w:t>平流沉淀池</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kern w:val="2"/>
                      <w:szCs w:val="21"/>
                    </w:rPr>
                    <w:t>4</w:t>
                  </w:r>
                </w:p>
              </w:tc>
              <w:tc>
                <w:tcPr>
                  <w:tcW w:w="1498" w:type="dxa"/>
                  <w:vAlign w:val="center"/>
                </w:tcPr>
                <w:p>
                  <w:pPr>
                    <w:adjustRightInd/>
                    <w:spacing w:line="240" w:lineRule="auto"/>
                    <w:jc w:val="center"/>
                    <w:rPr>
                      <w:kern w:val="2"/>
                      <w:szCs w:val="21"/>
                    </w:rPr>
                  </w:pPr>
                  <w:r>
                    <w:rPr>
                      <w:rFonts w:hint="eastAsia"/>
                      <w:kern w:val="2"/>
                      <w:szCs w:val="21"/>
                    </w:rPr>
                    <w:t>反冲洗泵</w:t>
                  </w:r>
                </w:p>
              </w:tc>
              <w:tc>
                <w:tcPr>
                  <w:tcW w:w="3322" w:type="dxa"/>
                  <w:vAlign w:val="center"/>
                </w:tcPr>
                <w:p>
                  <w:pPr>
                    <w:adjustRightInd/>
                    <w:spacing w:line="240" w:lineRule="auto"/>
                    <w:jc w:val="center"/>
                    <w:rPr>
                      <w:rFonts w:ascii="宋体" w:hAnsi="宋体"/>
                      <w:kern w:val="2"/>
                      <w:szCs w:val="21"/>
                    </w:rPr>
                  </w:pPr>
                  <w:r>
                    <w:rPr>
                      <w:szCs w:val="21"/>
                    </w:rPr>
                    <w:t>Q=840m</w:t>
                  </w:r>
                  <w:r>
                    <w:rPr>
                      <w:szCs w:val="21"/>
                      <w:vertAlign w:val="superscript"/>
                    </w:rPr>
                    <w:t>3</w:t>
                  </w:r>
                  <w:r>
                    <w:rPr>
                      <w:szCs w:val="21"/>
                    </w:rPr>
                    <w:t>/h， H=8m，N=37kW</w:t>
                  </w:r>
                </w:p>
              </w:tc>
              <w:tc>
                <w:tcPr>
                  <w:tcW w:w="992" w:type="dxa"/>
                  <w:vAlign w:val="center"/>
                </w:tcPr>
                <w:p>
                  <w:pPr>
                    <w:adjustRightInd/>
                    <w:spacing w:line="240" w:lineRule="auto"/>
                    <w:jc w:val="center"/>
                    <w:rPr>
                      <w:kern w:val="2"/>
                      <w:szCs w:val="21"/>
                    </w:rPr>
                  </w:pPr>
                  <w:r>
                    <w:rPr>
                      <w:rFonts w:hint="eastAsia"/>
                      <w:kern w:val="2"/>
                      <w:szCs w:val="21"/>
                    </w:rPr>
                    <w:t>3</w:t>
                  </w:r>
                </w:p>
              </w:tc>
              <w:tc>
                <w:tcPr>
                  <w:tcW w:w="2308" w:type="dxa"/>
                  <w:vAlign w:val="center"/>
                </w:tcPr>
                <w:p>
                  <w:pPr>
                    <w:adjustRightInd/>
                    <w:spacing w:line="240" w:lineRule="auto"/>
                    <w:jc w:val="center"/>
                    <w:rPr>
                      <w:kern w:val="2"/>
                      <w:szCs w:val="21"/>
                    </w:rPr>
                  </w:pPr>
                  <w:r>
                    <w:rPr>
                      <w:rFonts w:hint="eastAsia"/>
                      <w:kern w:val="2"/>
                      <w:szCs w:val="21"/>
                    </w:rPr>
                    <w:t>反冲洗泵房，</w:t>
                  </w:r>
                  <w:r>
                    <w:rPr>
                      <w:szCs w:val="21"/>
                    </w:rPr>
                    <w:t>2用1备</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5</w:t>
                  </w:r>
                </w:p>
              </w:tc>
              <w:tc>
                <w:tcPr>
                  <w:tcW w:w="1498" w:type="dxa"/>
                  <w:vAlign w:val="center"/>
                </w:tcPr>
                <w:p>
                  <w:pPr>
                    <w:adjustRightInd/>
                    <w:spacing w:line="240" w:lineRule="auto"/>
                    <w:jc w:val="center"/>
                    <w:rPr>
                      <w:kern w:val="2"/>
                      <w:szCs w:val="21"/>
                    </w:rPr>
                  </w:pPr>
                  <w:r>
                    <w:rPr>
                      <w:rFonts w:hint="eastAsia"/>
                      <w:kern w:val="2"/>
                      <w:szCs w:val="21"/>
                    </w:rPr>
                    <w:t>鼓风机</w:t>
                  </w:r>
                </w:p>
              </w:tc>
              <w:tc>
                <w:tcPr>
                  <w:tcW w:w="3322" w:type="dxa"/>
                  <w:vAlign w:val="center"/>
                </w:tcPr>
                <w:p>
                  <w:pPr>
                    <w:adjustRightInd/>
                    <w:spacing w:line="240" w:lineRule="auto"/>
                    <w:jc w:val="center"/>
                    <w:rPr>
                      <w:szCs w:val="21"/>
                    </w:rPr>
                  </w:pPr>
                  <w:r>
                    <w:rPr>
                      <w:szCs w:val="21"/>
                    </w:rPr>
                    <w:t>Q=76m</w:t>
                  </w:r>
                  <w:r>
                    <w:rPr>
                      <w:szCs w:val="21"/>
                      <w:vertAlign w:val="superscript"/>
                    </w:rPr>
                    <w:t>3</w:t>
                  </w:r>
                  <w:r>
                    <w:rPr>
                      <w:szCs w:val="21"/>
                    </w:rPr>
                    <w:t>/min</w:t>
                  </w:r>
                </w:p>
              </w:tc>
              <w:tc>
                <w:tcPr>
                  <w:tcW w:w="992" w:type="dxa"/>
                  <w:vAlign w:val="center"/>
                </w:tcPr>
                <w:p>
                  <w:pPr>
                    <w:adjustRightInd/>
                    <w:spacing w:line="240" w:lineRule="auto"/>
                    <w:jc w:val="center"/>
                    <w:rPr>
                      <w:kern w:val="2"/>
                      <w:szCs w:val="21"/>
                    </w:rPr>
                  </w:pPr>
                  <w:r>
                    <w:rPr>
                      <w:rFonts w:hint="eastAsia"/>
                      <w:kern w:val="2"/>
                      <w:szCs w:val="21"/>
                    </w:rPr>
                    <w:t>2</w:t>
                  </w:r>
                </w:p>
              </w:tc>
              <w:tc>
                <w:tcPr>
                  <w:tcW w:w="2308" w:type="dxa"/>
                  <w:vAlign w:val="center"/>
                </w:tcPr>
                <w:p>
                  <w:pPr>
                    <w:adjustRightInd/>
                    <w:spacing w:line="240" w:lineRule="auto"/>
                    <w:jc w:val="center"/>
                    <w:rPr>
                      <w:kern w:val="2"/>
                      <w:szCs w:val="21"/>
                    </w:rPr>
                  </w:pPr>
                  <w:r>
                    <w:rPr>
                      <w:rFonts w:hint="eastAsia"/>
                      <w:kern w:val="2"/>
                      <w:szCs w:val="21"/>
                    </w:rPr>
                    <w:t>反冲洗泵房，1用1备</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6</w:t>
                  </w:r>
                </w:p>
              </w:tc>
              <w:tc>
                <w:tcPr>
                  <w:tcW w:w="1498" w:type="dxa"/>
                  <w:vAlign w:val="center"/>
                </w:tcPr>
                <w:p>
                  <w:pPr>
                    <w:adjustRightInd/>
                    <w:spacing w:line="240" w:lineRule="auto"/>
                    <w:jc w:val="center"/>
                    <w:rPr>
                      <w:kern w:val="2"/>
                      <w:szCs w:val="21"/>
                    </w:rPr>
                  </w:pPr>
                  <w:r>
                    <w:rPr>
                      <w:rFonts w:hint="eastAsia"/>
                      <w:kern w:val="2"/>
                      <w:szCs w:val="21"/>
                    </w:rPr>
                    <w:t>空压机组</w:t>
                  </w:r>
                </w:p>
              </w:tc>
              <w:tc>
                <w:tcPr>
                  <w:tcW w:w="3322" w:type="dxa"/>
                  <w:vAlign w:val="center"/>
                </w:tcPr>
                <w:p>
                  <w:pPr>
                    <w:adjustRightInd/>
                    <w:spacing w:line="240" w:lineRule="auto"/>
                    <w:jc w:val="center"/>
                    <w:rPr>
                      <w:rFonts w:ascii="宋体" w:hAnsi="宋体"/>
                      <w:kern w:val="2"/>
                      <w:szCs w:val="21"/>
                    </w:rPr>
                  </w:pPr>
                  <w:r>
                    <w:rPr>
                      <w:szCs w:val="21"/>
                    </w:rPr>
                    <w:t>Q=1.0m</w:t>
                  </w:r>
                  <w:r>
                    <w:rPr>
                      <w:szCs w:val="21"/>
                      <w:vertAlign w:val="superscript"/>
                    </w:rPr>
                    <w:t>3</w:t>
                  </w:r>
                  <w:r>
                    <w:rPr>
                      <w:szCs w:val="21"/>
                    </w:rPr>
                    <w:t>/min</w:t>
                  </w:r>
                </w:p>
              </w:tc>
              <w:tc>
                <w:tcPr>
                  <w:tcW w:w="992" w:type="dxa"/>
                  <w:vAlign w:val="center"/>
                </w:tcPr>
                <w:p>
                  <w:pPr>
                    <w:adjustRightInd/>
                    <w:spacing w:line="240" w:lineRule="auto"/>
                    <w:jc w:val="center"/>
                    <w:rPr>
                      <w:kern w:val="2"/>
                      <w:szCs w:val="21"/>
                    </w:rPr>
                  </w:pPr>
                  <w:r>
                    <w:rPr>
                      <w:rFonts w:hint="eastAsia"/>
                      <w:kern w:val="2"/>
                      <w:szCs w:val="21"/>
                    </w:rPr>
                    <w:t>2</w:t>
                  </w:r>
                </w:p>
              </w:tc>
              <w:tc>
                <w:tcPr>
                  <w:tcW w:w="2308" w:type="dxa"/>
                  <w:vAlign w:val="center"/>
                </w:tcPr>
                <w:p>
                  <w:pPr>
                    <w:adjustRightInd/>
                    <w:spacing w:line="240" w:lineRule="auto"/>
                    <w:jc w:val="center"/>
                    <w:rPr>
                      <w:kern w:val="2"/>
                      <w:szCs w:val="21"/>
                    </w:rPr>
                  </w:pPr>
                  <w:r>
                    <w:rPr>
                      <w:rFonts w:hint="eastAsia"/>
                      <w:kern w:val="2"/>
                      <w:szCs w:val="21"/>
                    </w:rPr>
                    <w:t>反冲洗泵房，1用1备</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7</w:t>
                  </w:r>
                </w:p>
              </w:tc>
              <w:tc>
                <w:tcPr>
                  <w:tcW w:w="1498" w:type="dxa"/>
                  <w:vAlign w:val="center"/>
                </w:tcPr>
                <w:p>
                  <w:pPr>
                    <w:adjustRightInd/>
                    <w:spacing w:line="240" w:lineRule="auto"/>
                    <w:jc w:val="center"/>
                    <w:rPr>
                      <w:kern w:val="2"/>
                      <w:szCs w:val="21"/>
                    </w:rPr>
                  </w:pPr>
                  <w:r>
                    <w:rPr>
                      <w:rFonts w:hint="eastAsia"/>
                      <w:kern w:val="2"/>
                      <w:szCs w:val="21"/>
                    </w:rPr>
                    <w:t>送水泵</w:t>
                  </w:r>
                </w:p>
              </w:tc>
              <w:tc>
                <w:tcPr>
                  <w:tcW w:w="3322" w:type="dxa"/>
                  <w:vAlign w:val="center"/>
                </w:tcPr>
                <w:p>
                  <w:pPr>
                    <w:adjustRightInd/>
                    <w:spacing w:line="240" w:lineRule="auto"/>
                    <w:jc w:val="center"/>
                    <w:rPr>
                      <w:szCs w:val="21"/>
                    </w:rPr>
                  </w:pPr>
                  <w:r>
                    <w:rPr>
                      <w:szCs w:val="21"/>
                    </w:rPr>
                    <w:t>Q=2850m</w:t>
                  </w:r>
                  <w:r>
                    <w:rPr>
                      <w:szCs w:val="21"/>
                      <w:vertAlign w:val="superscript"/>
                    </w:rPr>
                    <w:t>3</w:t>
                  </w:r>
                  <w:r>
                    <w:rPr>
                      <w:szCs w:val="21"/>
                    </w:rPr>
                    <w:t>/h，H=50，N=500kW，</w:t>
                  </w:r>
                </w:p>
              </w:tc>
              <w:tc>
                <w:tcPr>
                  <w:tcW w:w="992" w:type="dxa"/>
                  <w:vAlign w:val="center"/>
                </w:tcPr>
                <w:p>
                  <w:pPr>
                    <w:adjustRightInd/>
                    <w:spacing w:line="240" w:lineRule="auto"/>
                    <w:jc w:val="center"/>
                    <w:rPr>
                      <w:kern w:val="2"/>
                      <w:szCs w:val="21"/>
                    </w:rPr>
                  </w:pPr>
                  <w:r>
                    <w:rPr>
                      <w:rFonts w:hint="eastAsia"/>
                      <w:kern w:val="2"/>
                      <w:szCs w:val="21"/>
                    </w:rPr>
                    <w:t>3</w:t>
                  </w:r>
                </w:p>
              </w:tc>
              <w:tc>
                <w:tcPr>
                  <w:tcW w:w="2308" w:type="dxa"/>
                  <w:vAlign w:val="center"/>
                </w:tcPr>
                <w:p>
                  <w:pPr>
                    <w:adjustRightInd/>
                    <w:spacing w:line="240" w:lineRule="auto"/>
                    <w:jc w:val="center"/>
                    <w:rPr>
                      <w:kern w:val="2"/>
                      <w:szCs w:val="21"/>
                    </w:rPr>
                  </w:pPr>
                  <w:r>
                    <w:rPr>
                      <w:rFonts w:hint="eastAsia"/>
                      <w:kern w:val="2"/>
                      <w:szCs w:val="21"/>
                    </w:rPr>
                    <w:t>送水泵房，</w:t>
                  </w:r>
                  <w:r>
                    <w:rPr>
                      <w:szCs w:val="21"/>
                    </w:rPr>
                    <w:t>2用1备</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8</w:t>
                  </w:r>
                </w:p>
              </w:tc>
              <w:tc>
                <w:tcPr>
                  <w:tcW w:w="1498" w:type="dxa"/>
                  <w:vAlign w:val="center"/>
                </w:tcPr>
                <w:p>
                  <w:pPr>
                    <w:adjustRightInd/>
                    <w:spacing w:line="240" w:lineRule="auto"/>
                    <w:jc w:val="center"/>
                    <w:rPr>
                      <w:kern w:val="2"/>
                      <w:szCs w:val="21"/>
                    </w:rPr>
                  </w:pPr>
                  <w:r>
                    <w:rPr>
                      <w:rFonts w:hint="eastAsia"/>
                      <w:kern w:val="2"/>
                      <w:szCs w:val="21"/>
                    </w:rPr>
                    <w:t>送水泵</w:t>
                  </w:r>
                </w:p>
              </w:tc>
              <w:tc>
                <w:tcPr>
                  <w:tcW w:w="3322" w:type="dxa"/>
                  <w:vAlign w:val="center"/>
                </w:tcPr>
                <w:p>
                  <w:pPr>
                    <w:adjustRightInd/>
                    <w:spacing w:line="240" w:lineRule="auto"/>
                    <w:jc w:val="center"/>
                    <w:rPr>
                      <w:szCs w:val="21"/>
                    </w:rPr>
                  </w:pPr>
                  <w:r>
                    <w:rPr>
                      <w:szCs w:val="21"/>
                    </w:rPr>
                    <w:t>Q=1400m</w:t>
                  </w:r>
                  <w:r>
                    <w:rPr>
                      <w:szCs w:val="21"/>
                      <w:vertAlign w:val="superscript"/>
                    </w:rPr>
                    <w:t>3</w:t>
                  </w:r>
                  <w:r>
                    <w:rPr>
                      <w:szCs w:val="21"/>
                    </w:rPr>
                    <w:t>/h，H=50m，N=315kW</w:t>
                  </w:r>
                </w:p>
              </w:tc>
              <w:tc>
                <w:tcPr>
                  <w:tcW w:w="992" w:type="dxa"/>
                  <w:vAlign w:val="center"/>
                </w:tcPr>
                <w:p>
                  <w:pPr>
                    <w:adjustRightInd/>
                    <w:spacing w:line="240" w:lineRule="auto"/>
                    <w:jc w:val="center"/>
                    <w:rPr>
                      <w:kern w:val="2"/>
                      <w:szCs w:val="21"/>
                    </w:rPr>
                  </w:pPr>
                  <w:r>
                    <w:rPr>
                      <w:kern w:val="2"/>
                      <w:szCs w:val="21"/>
                    </w:rPr>
                    <w:t>1</w:t>
                  </w:r>
                </w:p>
              </w:tc>
              <w:tc>
                <w:tcPr>
                  <w:tcW w:w="2308" w:type="dxa"/>
                  <w:vAlign w:val="center"/>
                </w:tcPr>
                <w:p>
                  <w:pPr>
                    <w:adjustRightInd/>
                    <w:spacing w:line="240" w:lineRule="auto"/>
                    <w:jc w:val="center"/>
                    <w:rPr>
                      <w:kern w:val="2"/>
                      <w:szCs w:val="21"/>
                    </w:rPr>
                  </w:pPr>
                  <w:r>
                    <w:rPr>
                      <w:rFonts w:hint="eastAsia"/>
                      <w:kern w:val="2"/>
                      <w:szCs w:val="21"/>
                    </w:rPr>
                    <w:t>送水泵房（本项目更换）</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9</w:t>
                  </w:r>
                </w:p>
              </w:tc>
              <w:tc>
                <w:tcPr>
                  <w:tcW w:w="1498" w:type="dxa"/>
                  <w:vAlign w:val="center"/>
                </w:tcPr>
                <w:p>
                  <w:pPr>
                    <w:adjustRightInd/>
                    <w:spacing w:line="240" w:lineRule="auto"/>
                    <w:jc w:val="center"/>
                    <w:rPr>
                      <w:kern w:val="2"/>
                      <w:szCs w:val="21"/>
                    </w:rPr>
                  </w:pPr>
                  <w:r>
                    <w:rPr>
                      <w:rFonts w:hint="eastAsia"/>
                      <w:kern w:val="2"/>
                      <w:szCs w:val="21"/>
                    </w:rPr>
                    <w:t>隔膜计量泵</w:t>
                  </w:r>
                </w:p>
              </w:tc>
              <w:tc>
                <w:tcPr>
                  <w:tcW w:w="3322" w:type="dxa"/>
                  <w:vAlign w:val="center"/>
                </w:tcPr>
                <w:p>
                  <w:pPr>
                    <w:adjustRightInd/>
                    <w:spacing w:line="240" w:lineRule="auto"/>
                    <w:jc w:val="center"/>
                    <w:rPr>
                      <w:szCs w:val="21"/>
                    </w:rPr>
                  </w:pPr>
                  <w:r>
                    <w:rPr>
                      <w:szCs w:val="21"/>
                    </w:rPr>
                    <w:t>Q=1000L/h，加注压力3bar</w:t>
                  </w:r>
                </w:p>
              </w:tc>
              <w:tc>
                <w:tcPr>
                  <w:tcW w:w="992" w:type="dxa"/>
                  <w:vAlign w:val="center"/>
                </w:tcPr>
                <w:p>
                  <w:pPr>
                    <w:adjustRightInd/>
                    <w:spacing w:line="240" w:lineRule="auto"/>
                    <w:jc w:val="center"/>
                    <w:rPr>
                      <w:kern w:val="2"/>
                      <w:szCs w:val="21"/>
                    </w:rPr>
                  </w:pPr>
                  <w:r>
                    <w:rPr>
                      <w:rFonts w:hint="eastAsia"/>
                      <w:kern w:val="2"/>
                      <w:szCs w:val="21"/>
                    </w:rPr>
                    <w:t>3</w:t>
                  </w:r>
                </w:p>
              </w:tc>
              <w:tc>
                <w:tcPr>
                  <w:tcW w:w="2308" w:type="dxa"/>
                  <w:vAlign w:val="center"/>
                </w:tcPr>
                <w:p>
                  <w:pPr>
                    <w:adjustRightInd/>
                    <w:spacing w:line="240" w:lineRule="auto"/>
                    <w:jc w:val="center"/>
                    <w:rPr>
                      <w:kern w:val="2"/>
                      <w:szCs w:val="21"/>
                    </w:rPr>
                  </w:pPr>
                  <w:r>
                    <w:rPr>
                      <w:rFonts w:hint="eastAsia"/>
                      <w:kern w:val="2"/>
                      <w:szCs w:val="21"/>
                    </w:rPr>
                    <w:t>加药间（2用1备）</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10</w:t>
                  </w:r>
                </w:p>
              </w:tc>
              <w:tc>
                <w:tcPr>
                  <w:tcW w:w="1498" w:type="dxa"/>
                  <w:vAlign w:val="center"/>
                </w:tcPr>
                <w:p>
                  <w:pPr>
                    <w:adjustRightInd/>
                    <w:spacing w:line="240" w:lineRule="auto"/>
                    <w:jc w:val="center"/>
                    <w:rPr>
                      <w:kern w:val="2"/>
                      <w:szCs w:val="21"/>
                    </w:rPr>
                  </w:pPr>
                  <w:r>
                    <w:rPr>
                      <w:rFonts w:hint="eastAsia"/>
                      <w:kern w:val="2"/>
                      <w:szCs w:val="21"/>
                    </w:rPr>
                    <w:t>消毒系统</w:t>
                  </w:r>
                </w:p>
              </w:tc>
              <w:tc>
                <w:tcPr>
                  <w:tcW w:w="3322" w:type="dxa"/>
                  <w:vAlign w:val="center"/>
                </w:tcPr>
                <w:p>
                  <w:pPr>
                    <w:adjustRightInd/>
                    <w:spacing w:line="240" w:lineRule="auto"/>
                    <w:jc w:val="center"/>
                    <w:rPr>
                      <w:szCs w:val="21"/>
                    </w:rPr>
                  </w:pPr>
                  <w:r>
                    <w:rPr>
                      <w:rFonts w:hint="eastAsia"/>
                      <w:szCs w:val="21"/>
                    </w:rPr>
                    <w:t>10万</w:t>
                  </w:r>
                  <w:r>
                    <w:rPr>
                      <w:szCs w:val="21"/>
                    </w:rPr>
                    <w:t>m</w:t>
                  </w:r>
                  <w:r>
                    <w:rPr>
                      <w:szCs w:val="21"/>
                      <w:vertAlign w:val="superscript"/>
                    </w:rPr>
                    <w:t>3</w:t>
                  </w:r>
                  <w:r>
                    <w:rPr>
                      <w:szCs w:val="21"/>
                    </w:rPr>
                    <w:t>/d</w:t>
                  </w:r>
                </w:p>
              </w:tc>
              <w:tc>
                <w:tcPr>
                  <w:tcW w:w="992" w:type="dxa"/>
                  <w:vAlign w:val="center"/>
                </w:tcPr>
                <w:p>
                  <w:pPr>
                    <w:adjustRightInd/>
                    <w:spacing w:line="240" w:lineRule="auto"/>
                    <w:jc w:val="center"/>
                    <w:rPr>
                      <w:kern w:val="2"/>
                      <w:szCs w:val="21"/>
                    </w:rPr>
                  </w:pPr>
                  <w:r>
                    <w:rPr>
                      <w:rFonts w:hint="eastAsia"/>
                      <w:kern w:val="2"/>
                      <w:szCs w:val="21"/>
                    </w:rPr>
                    <w:t>1</w:t>
                  </w:r>
                </w:p>
              </w:tc>
              <w:tc>
                <w:tcPr>
                  <w:tcW w:w="2308" w:type="dxa"/>
                  <w:vAlign w:val="center"/>
                </w:tcPr>
                <w:p>
                  <w:pPr>
                    <w:adjustRightInd/>
                    <w:spacing w:line="240" w:lineRule="auto"/>
                    <w:jc w:val="center"/>
                    <w:rPr>
                      <w:kern w:val="2"/>
                      <w:szCs w:val="21"/>
                    </w:rPr>
                  </w:pPr>
                  <w:r>
                    <w:rPr>
                      <w:rFonts w:hint="eastAsia"/>
                      <w:kern w:val="2"/>
                      <w:szCs w:val="21"/>
                    </w:rPr>
                    <w:t>加药间</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11</w:t>
                  </w:r>
                </w:p>
              </w:tc>
              <w:tc>
                <w:tcPr>
                  <w:tcW w:w="1498" w:type="dxa"/>
                  <w:vAlign w:val="center"/>
                </w:tcPr>
                <w:p>
                  <w:pPr>
                    <w:adjustRightInd/>
                    <w:spacing w:line="240" w:lineRule="auto"/>
                    <w:jc w:val="center"/>
                    <w:rPr>
                      <w:kern w:val="2"/>
                      <w:szCs w:val="21"/>
                    </w:rPr>
                  </w:pPr>
                  <w:r>
                    <w:rPr>
                      <w:szCs w:val="21"/>
                    </w:rPr>
                    <w:t>潜污泵</w:t>
                  </w:r>
                </w:p>
              </w:tc>
              <w:tc>
                <w:tcPr>
                  <w:tcW w:w="3322" w:type="dxa"/>
                  <w:vAlign w:val="center"/>
                </w:tcPr>
                <w:p>
                  <w:pPr>
                    <w:adjustRightInd/>
                    <w:spacing w:line="240" w:lineRule="auto"/>
                    <w:jc w:val="center"/>
                    <w:rPr>
                      <w:szCs w:val="21"/>
                    </w:rPr>
                  </w:pPr>
                  <w:r>
                    <w:rPr>
                      <w:szCs w:val="21"/>
                    </w:rPr>
                    <w:t>Q=100m</w:t>
                  </w:r>
                  <w:r>
                    <w:rPr>
                      <w:szCs w:val="21"/>
                      <w:vertAlign w:val="superscript"/>
                    </w:rPr>
                    <w:t>3</w:t>
                  </w:r>
                  <w:r>
                    <w:rPr>
                      <w:szCs w:val="21"/>
                    </w:rPr>
                    <w:t>/h，H=14m，N＝7.5kW</w:t>
                  </w:r>
                </w:p>
              </w:tc>
              <w:tc>
                <w:tcPr>
                  <w:tcW w:w="992" w:type="dxa"/>
                  <w:vAlign w:val="center"/>
                </w:tcPr>
                <w:p>
                  <w:pPr>
                    <w:adjustRightInd/>
                    <w:spacing w:line="240" w:lineRule="auto"/>
                    <w:jc w:val="center"/>
                    <w:rPr>
                      <w:kern w:val="2"/>
                      <w:szCs w:val="21"/>
                    </w:rPr>
                  </w:pPr>
                  <w:r>
                    <w:rPr>
                      <w:rFonts w:hint="eastAsia"/>
                      <w:kern w:val="2"/>
                      <w:szCs w:val="21"/>
                    </w:rPr>
                    <w:t>4</w:t>
                  </w:r>
                </w:p>
              </w:tc>
              <w:tc>
                <w:tcPr>
                  <w:tcW w:w="2308" w:type="dxa"/>
                  <w:vAlign w:val="center"/>
                </w:tcPr>
                <w:p>
                  <w:pPr>
                    <w:adjustRightInd/>
                    <w:spacing w:line="240" w:lineRule="auto"/>
                    <w:jc w:val="center"/>
                    <w:rPr>
                      <w:kern w:val="2"/>
                      <w:szCs w:val="21"/>
                    </w:rPr>
                  </w:pPr>
                  <w:r>
                    <w:rPr>
                      <w:szCs w:val="21"/>
                    </w:rPr>
                    <w:t>回收水池，2用2备</w:t>
                  </w:r>
                  <w:r>
                    <w:rPr>
                      <w:rFonts w:hint="eastAsia"/>
                      <w:szCs w:val="21"/>
                    </w:rPr>
                    <w:t>，扩建后改为3用1备</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12</w:t>
                  </w:r>
                </w:p>
              </w:tc>
              <w:tc>
                <w:tcPr>
                  <w:tcW w:w="1498" w:type="dxa"/>
                  <w:vAlign w:val="center"/>
                </w:tcPr>
                <w:p>
                  <w:pPr>
                    <w:adjustRightInd/>
                    <w:spacing w:line="240" w:lineRule="auto"/>
                    <w:jc w:val="center"/>
                    <w:rPr>
                      <w:szCs w:val="21"/>
                    </w:rPr>
                  </w:pPr>
                  <w:r>
                    <w:rPr>
                      <w:rFonts w:hint="eastAsia"/>
                      <w:szCs w:val="21"/>
                    </w:rPr>
                    <w:t>排泥水泵</w:t>
                  </w:r>
                </w:p>
              </w:tc>
              <w:tc>
                <w:tcPr>
                  <w:tcW w:w="3322" w:type="dxa"/>
                  <w:vAlign w:val="center"/>
                </w:tcPr>
                <w:p>
                  <w:pPr>
                    <w:adjustRightInd/>
                    <w:spacing w:line="240" w:lineRule="auto"/>
                    <w:jc w:val="center"/>
                    <w:rPr>
                      <w:szCs w:val="21"/>
                    </w:rPr>
                  </w:pPr>
                  <w:r>
                    <w:rPr>
                      <w:szCs w:val="21"/>
                    </w:rPr>
                    <w:t>Q= 70m</w:t>
                  </w:r>
                  <w:r>
                    <w:rPr>
                      <w:szCs w:val="21"/>
                      <w:vertAlign w:val="superscript"/>
                    </w:rPr>
                    <w:t>3</w:t>
                  </w:r>
                  <w:r>
                    <w:rPr>
                      <w:szCs w:val="21"/>
                    </w:rPr>
                    <w:t>/h，H=12m，N＝5.5kW</w:t>
                  </w:r>
                </w:p>
              </w:tc>
              <w:tc>
                <w:tcPr>
                  <w:tcW w:w="992" w:type="dxa"/>
                  <w:vAlign w:val="center"/>
                </w:tcPr>
                <w:p>
                  <w:pPr>
                    <w:adjustRightInd/>
                    <w:spacing w:line="240" w:lineRule="auto"/>
                    <w:jc w:val="center"/>
                    <w:rPr>
                      <w:kern w:val="2"/>
                      <w:szCs w:val="21"/>
                    </w:rPr>
                  </w:pPr>
                  <w:r>
                    <w:rPr>
                      <w:rFonts w:hint="eastAsia"/>
                      <w:kern w:val="2"/>
                      <w:szCs w:val="21"/>
                    </w:rPr>
                    <w:t>4</w:t>
                  </w:r>
                </w:p>
              </w:tc>
              <w:tc>
                <w:tcPr>
                  <w:tcW w:w="2308" w:type="dxa"/>
                  <w:vAlign w:val="center"/>
                </w:tcPr>
                <w:p>
                  <w:pPr>
                    <w:adjustRightInd/>
                    <w:spacing w:line="240" w:lineRule="auto"/>
                    <w:jc w:val="center"/>
                    <w:rPr>
                      <w:szCs w:val="21"/>
                    </w:rPr>
                  </w:pPr>
                  <w:r>
                    <w:rPr>
                      <w:szCs w:val="21"/>
                    </w:rPr>
                    <w:t>排泥池</w:t>
                  </w:r>
                  <w:r>
                    <w:rPr>
                      <w:rFonts w:hint="eastAsia"/>
                      <w:szCs w:val="21"/>
                    </w:rPr>
                    <w:t>，</w:t>
                  </w:r>
                  <w:r>
                    <w:rPr>
                      <w:szCs w:val="21"/>
                    </w:rPr>
                    <w:t>2用2备</w:t>
                  </w:r>
                  <w:r>
                    <w:rPr>
                      <w:rFonts w:hint="eastAsia"/>
                      <w:szCs w:val="21"/>
                    </w:rPr>
                    <w:t>，扩建后改为3用1备</w:t>
                  </w:r>
                </w:p>
              </w:tc>
            </w:tr>
            <w:tr>
              <w:tblPrEx>
                <w:tblW w:w="8704" w:type="dxa"/>
                <w:jc w:val="center"/>
                <w:tblLayout w:type="fixed"/>
                <w:tblCellMar>
                  <w:top w:w="0" w:type="dxa"/>
                  <w:left w:w="108" w:type="dxa"/>
                  <w:bottom w:w="0" w:type="dxa"/>
                  <w:right w:w="108" w:type="dxa"/>
                </w:tblCellMar>
              </w:tblPrEx>
              <w:trPr>
                <w:trHeight w:val="360"/>
                <w:jc w:val="center"/>
              </w:trPr>
              <w:tc>
                <w:tcPr>
                  <w:tcW w:w="584" w:type="dxa"/>
                  <w:vAlign w:val="center"/>
                </w:tcPr>
                <w:p>
                  <w:pPr>
                    <w:adjustRightInd/>
                    <w:spacing w:line="240" w:lineRule="auto"/>
                    <w:jc w:val="center"/>
                    <w:rPr>
                      <w:kern w:val="2"/>
                      <w:szCs w:val="21"/>
                    </w:rPr>
                  </w:pPr>
                  <w:r>
                    <w:rPr>
                      <w:rFonts w:hint="eastAsia"/>
                      <w:kern w:val="2"/>
                      <w:szCs w:val="21"/>
                    </w:rPr>
                    <w:t>13</w:t>
                  </w:r>
                </w:p>
              </w:tc>
              <w:tc>
                <w:tcPr>
                  <w:tcW w:w="1498" w:type="dxa"/>
                  <w:vAlign w:val="center"/>
                </w:tcPr>
                <w:p>
                  <w:pPr>
                    <w:adjustRightInd/>
                    <w:spacing w:line="240" w:lineRule="auto"/>
                    <w:jc w:val="center"/>
                    <w:rPr>
                      <w:szCs w:val="21"/>
                    </w:rPr>
                  </w:pPr>
                  <w:r>
                    <w:rPr>
                      <w:szCs w:val="21"/>
                    </w:rPr>
                    <w:t>离心脱水机</w:t>
                  </w:r>
                </w:p>
              </w:tc>
              <w:tc>
                <w:tcPr>
                  <w:tcW w:w="3322" w:type="dxa"/>
                  <w:vAlign w:val="center"/>
                </w:tcPr>
                <w:p>
                  <w:pPr>
                    <w:adjustRightInd/>
                    <w:spacing w:line="240" w:lineRule="auto"/>
                    <w:jc w:val="center"/>
                    <w:rPr>
                      <w:szCs w:val="21"/>
                    </w:rPr>
                  </w:pPr>
                  <w:r>
                    <w:rPr>
                      <w:szCs w:val="21"/>
                    </w:rPr>
                    <w:t>Q=15m</w:t>
                  </w:r>
                  <w:r>
                    <w:rPr>
                      <w:szCs w:val="21"/>
                      <w:vertAlign w:val="superscript"/>
                    </w:rPr>
                    <w:t>3</w:t>
                  </w:r>
                  <w:r>
                    <w:rPr>
                      <w:szCs w:val="21"/>
                    </w:rPr>
                    <w:t>/h，N＝30kW</w:t>
                  </w:r>
                </w:p>
              </w:tc>
              <w:tc>
                <w:tcPr>
                  <w:tcW w:w="992" w:type="dxa"/>
                  <w:vAlign w:val="center"/>
                </w:tcPr>
                <w:p>
                  <w:pPr>
                    <w:adjustRightInd/>
                    <w:spacing w:line="240" w:lineRule="auto"/>
                    <w:jc w:val="center"/>
                    <w:rPr>
                      <w:kern w:val="2"/>
                      <w:szCs w:val="21"/>
                    </w:rPr>
                  </w:pPr>
                  <w:r>
                    <w:rPr>
                      <w:rFonts w:hint="eastAsia"/>
                      <w:kern w:val="2"/>
                      <w:szCs w:val="21"/>
                    </w:rPr>
                    <w:t>2</w:t>
                  </w:r>
                </w:p>
              </w:tc>
              <w:tc>
                <w:tcPr>
                  <w:tcW w:w="2308" w:type="dxa"/>
                  <w:vAlign w:val="center"/>
                </w:tcPr>
                <w:p>
                  <w:pPr>
                    <w:adjustRightInd/>
                    <w:spacing w:line="240" w:lineRule="auto"/>
                    <w:jc w:val="center"/>
                    <w:rPr>
                      <w:szCs w:val="21"/>
                    </w:rPr>
                  </w:pPr>
                  <w:r>
                    <w:rPr>
                      <w:rFonts w:hint="eastAsia"/>
                      <w:szCs w:val="21"/>
                    </w:rPr>
                    <w:t>脱水车间</w:t>
                  </w:r>
                </w:p>
              </w:tc>
            </w:tr>
          </w:tbl>
          <w:p>
            <w:pPr>
              <w:spacing w:line="360" w:lineRule="auto"/>
              <w:ind w:firstLine="480" w:firstLineChars="200"/>
              <w:rPr>
                <w:kern w:val="2"/>
                <w:sz w:val="24"/>
                <w:szCs w:val="24"/>
              </w:rPr>
            </w:pPr>
            <w:r>
              <w:rPr>
                <w:kern w:val="2"/>
                <w:sz w:val="24"/>
                <w:szCs w:val="24"/>
              </w:rPr>
              <w:t>5、原有工程劳动定员</w:t>
            </w:r>
          </w:p>
          <w:p>
            <w:pPr>
              <w:spacing w:line="360" w:lineRule="auto"/>
              <w:ind w:firstLine="480" w:firstLineChars="200"/>
              <w:rPr>
                <w:kern w:val="2"/>
                <w:sz w:val="24"/>
                <w:szCs w:val="24"/>
              </w:rPr>
            </w:pPr>
            <w:r>
              <w:rPr>
                <w:rFonts w:hint="eastAsia"/>
                <w:kern w:val="2"/>
                <w:sz w:val="24"/>
                <w:szCs w:val="24"/>
              </w:rPr>
              <w:t>原有劳动定员30人，工作制度为3班制（8h），年工作时间为365天，厂区内不提供食宿。</w:t>
            </w:r>
          </w:p>
          <w:p>
            <w:pPr>
              <w:spacing w:line="240" w:lineRule="auto"/>
              <w:ind w:firstLine="480" w:firstLineChars="200"/>
              <w:rPr>
                <w:kern w:val="2"/>
                <w:sz w:val="24"/>
                <w:szCs w:val="24"/>
              </w:rPr>
            </w:pPr>
            <w:r>
              <w:rPr>
                <w:rFonts w:hint="eastAsia"/>
                <w:kern w:val="2"/>
                <w:sz w:val="24"/>
                <w:szCs w:val="24"/>
              </w:rPr>
              <w:t>6、生产工艺</w:t>
            </w: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tc>
      </w:tr>
    </w:tbl>
    <w:p>
      <w:pPr>
        <w:sectPr>
          <w:footerReference w:type="even" r:id="rId55"/>
          <w:footerReference w:type="default" r:id="rId56"/>
          <w:footerReference w:type="first" r:id="rId57"/>
          <w:type w:val="nextPage"/>
          <w:pgSz w:w="11907" w:h="16840"/>
          <w:pgMar w:top="1418" w:right="1418" w:bottom="1418" w:left="1418" w:header="851" w:footer="680" w:gutter="113"/>
          <w:pgNumType w:start="12"/>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517"/>
          <w:jc w:val="center"/>
        </w:trPr>
        <w:tc>
          <w:tcPr>
            <w:tcW w:w="8916" w:type="dxa"/>
          </w:tcPr>
          <w:p>
            <w:pPr>
              <w:pStyle w:val="Default"/>
              <w:rPr>
                <w:rFonts w:hint="default"/>
              </w:rPr>
            </w:pPr>
          </w:p>
          <w:p>
            <w:pPr>
              <w:pStyle w:val="Default"/>
              <w:rPr>
                <w:rFonts w:hint="default"/>
              </w:rPr>
            </w:pPr>
          </w:p>
          <w:p>
            <w:pPr>
              <w:pStyle w:val="Default"/>
              <w:rPr>
                <w:rFonts w:hint="default"/>
              </w:rPr>
            </w:pPr>
          </w:p>
          <w:p>
            <w:pPr>
              <w:pStyle w:val="Default"/>
            </w:pPr>
          </w:p>
          <w:p>
            <w:pPr>
              <w:spacing w:line="240" w:lineRule="auto"/>
              <w:jc w:val="center"/>
              <w:rPr>
                <w:kern w:val="2"/>
                <w:sz w:val="24"/>
                <w:szCs w:val="24"/>
              </w:rPr>
            </w:pPr>
            <w:r>
              <w:rPr>
                <w:rFonts w:hint="eastAsia"/>
                <w:kern w:val="2"/>
                <w:sz w:val="24"/>
                <w:szCs w:val="24"/>
              </w:rPr>
              <mc:AlternateContent>
                <mc:Choice Requires="wpc">
                  <w:drawing>
                    <wp:inline distT="0" distB="0" distL="0" distR="0">
                      <wp:extent cx="5522595" cy="4087495"/>
                      <wp:effectExtent l="0" t="0" r="20955" b="0"/>
                      <wp:docPr id="10" name="画布 10"/>
                      <wp:cNvGraphicFramePr>
                        <a:graphicFrameLocks xmlns:a="http://schemas.openxmlformats.org/drawingml/2006/main" noChangeAspect="1"/>
                      </wp:cNvGraphicFramePr>
                      <a:graphic xmlns:a="http://schemas.openxmlformats.org/drawingml/2006/main">
                        <a:graphicData uri="http://schemas.microsoft.com/office/word/2010/wordprocessingCanvas">
                          <wpc:wpc>
                            <wps:wsp xmlns:wps="http://schemas.microsoft.com/office/word/2010/wordprocessingShape">
                              <wps:cNvPr id="243" name="文本框 243"/>
                              <wps:cNvSpPr txBox="1"/>
                              <wps:spPr>
                                <a:xfrm>
                                  <a:off x="234401" y="639651"/>
                                  <a:ext cx="869950" cy="330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取水构筑物</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44" name="文本框 243"/>
                              <wps:cNvSpPr txBox="1"/>
                              <wps:spPr>
                                <a:xfrm>
                                  <a:off x="3132201" y="635319"/>
                                  <a:ext cx="1191600" cy="3295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int="eastAsia"/>
                                        <w:sz w:val="21"/>
                                        <w:szCs w:val="21"/>
                                      </w:rPr>
                                      <w:t>絮凝、沉淀池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45" name="文本框 243"/>
                              <wps:cNvSpPr txBox="1"/>
                              <wps:spPr>
                                <a:xfrm>
                                  <a:off x="1702521" y="635351"/>
                                  <a:ext cx="869950" cy="3295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int="eastAsia"/>
                                        <w:sz w:val="21"/>
                                        <w:szCs w:val="21"/>
                                      </w:rPr>
                                      <w:t>加药混合</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46" name="直接箭头连接符 246"/>
                              <wps:cNvCnPr/>
                              <wps:spPr>
                                <a:xfrm flipH="1">
                                  <a:off x="669376" y="289019"/>
                                  <a:ext cx="0" cy="36000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47" name="文本框 247"/>
                              <wps:cNvSpPr txBox="1"/>
                              <wps:spPr>
                                <a:xfrm>
                                  <a:off x="1099271" y="514524"/>
                                  <a:ext cx="7048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原水</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48" name="直接箭头连接符 248"/>
                              <wps:cNvCnPr/>
                              <wps:spPr>
                                <a:xfrm>
                                  <a:off x="1142451" y="797019"/>
                                  <a:ext cx="54000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49" name="文本框 247"/>
                              <wps:cNvSpPr txBox="1"/>
                              <wps:spPr>
                                <a:xfrm>
                                  <a:off x="337271" y="43569"/>
                                  <a:ext cx="704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int="eastAsia"/>
                                        <w:sz w:val="21"/>
                                        <w:szCs w:val="21"/>
                                      </w:rPr>
                                      <w:t>抚河</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50" name="直接箭头连接符 250"/>
                              <wps:cNvCnPr/>
                              <wps:spPr>
                                <a:xfrm>
                                  <a:off x="2572471" y="797052"/>
                                  <a:ext cx="53975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51" name="直接箭头连接符 251"/>
                              <wps:cNvCnPr/>
                              <wps:spPr>
                                <a:xfrm flipV="1">
                                  <a:off x="1169325" y="1656877"/>
                                  <a:ext cx="0" cy="432000"/>
                                </a:xfrm>
                                <a:prstGeom prst="straightConnector1">
                                  <a:avLst/>
                                </a:prstGeom>
                                <a:ln>
                                  <a:solidFill>
                                    <a:schemeClr val="tx1"/>
                                  </a:solidFill>
                                  <a:prstDash val="dash"/>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52" name="直接箭头连接符 252"/>
                              <wps:cNvCnPr/>
                              <wps:spPr>
                                <a:xfrm flipH="1" flipV="1">
                                  <a:off x="5046997" y="951385"/>
                                  <a:ext cx="0" cy="396000"/>
                                </a:xfrm>
                                <a:prstGeom prst="straightConnector1">
                                  <a:avLst/>
                                </a:prstGeom>
                                <a:ln>
                                  <a:solidFill>
                                    <a:schemeClr val="tx1"/>
                                  </a:solidFill>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53" name="直接箭头连接符 253"/>
                              <wps:cNvCnPr/>
                              <wps:spPr>
                                <a:xfrm flipH="1">
                                  <a:off x="2147951" y="292048"/>
                                  <a:ext cx="0" cy="35941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54" name="文本框 247"/>
                              <wps:cNvSpPr txBox="1"/>
                              <wps:spPr>
                                <a:xfrm>
                                  <a:off x="1620901" y="12553"/>
                                  <a:ext cx="1066550" cy="32393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絮凝剂、液氯</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55" name="直接箭头连接符 255"/>
                              <wps:cNvCnPr/>
                              <wps:spPr>
                                <a:xfrm flipH="1">
                                  <a:off x="3727391" y="969807"/>
                                  <a:ext cx="0" cy="358775"/>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56" name="文本框 243"/>
                              <wps:cNvSpPr txBox="1"/>
                              <wps:spPr>
                                <a:xfrm>
                                  <a:off x="3073245" y="1342364"/>
                                  <a:ext cx="1316483" cy="3289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气水反冲洗滤池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57" name="直接连接符 257"/>
                              <wps:cNvCnPr/>
                              <wps:spPr>
                                <a:xfrm flipH="1" flipV="1">
                                  <a:off x="3727325" y="1835965"/>
                                  <a:ext cx="288000" cy="0"/>
                                </a:xfrm>
                                <a:prstGeom prst="line">
                                  <a:avLst/>
                                </a:prstGeom>
                                <a:ln>
                                  <a:solidFill>
                                    <a:schemeClr val="tx1"/>
                                  </a:solidFill>
                                  <a:prstDash val="solid"/>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58" name="文本框 247"/>
                              <wps:cNvSpPr txBox="1"/>
                              <wps:spPr>
                                <a:xfrm>
                                  <a:off x="4692552" y="628805"/>
                                  <a:ext cx="704215" cy="322580"/>
                                </a:xfrm>
                                <a:prstGeom prst="rect">
                                  <a:avLst/>
                                </a:prstGeom>
                                <a:noFill/>
                                <a:ln w="6350">
                                  <a:solidFill>
                                    <a:schemeClr val="tx1"/>
                                  </a:solidFill>
                                  <a:prstDash val="dash"/>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排泥水</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59" name="文本框 243"/>
                              <wps:cNvSpPr txBox="1"/>
                              <wps:spPr>
                                <a:xfrm>
                                  <a:off x="3294186" y="1986869"/>
                                  <a:ext cx="869315" cy="3289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清水池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60" name="文本框 247"/>
                              <wps:cNvSpPr txBox="1"/>
                              <wps:spPr>
                                <a:xfrm>
                                  <a:off x="3342845" y="2461114"/>
                                  <a:ext cx="804387" cy="322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供水系统</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61" name="直接箭头连接符 261"/>
                              <wps:cNvCnPr/>
                              <wps:spPr>
                                <a:xfrm flipH="1">
                                  <a:off x="1169313" y="978011"/>
                                  <a:ext cx="698695" cy="364353"/>
                                </a:xfrm>
                                <a:prstGeom prst="straightConnector1">
                                  <a:avLst/>
                                </a:prstGeom>
                                <a:ln>
                                  <a:solidFill>
                                    <a:schemeClr val="tx1"/>
                                  </a:solidFill>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62" name="文本框 247"/>
                              <wps:cNvSpPr txBox="1"/>
                              <wps:spPr>
                                <a:xfrm>
                                  <a:off x="3829523" y="1671541"/>
                                  <a:ext cx="704215" cy="322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加液氯</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63" name="直接连接符 263"/>
                              <wps:cNvCnPr/>
                              <wps:spPr>
                                <a:xfrm>
                                  <a:off x="3726017" y="1680517"/>
                                  <a:ext cx="0" cy="317641"/>
                                </a:xfrm>
                                <a:prstGeom prst="line">
                                  <a:avLst/>
                                </a:prstGeom>
                                <a:ln>
                                  <a:solidFill>
                                    <a:schemeClr val="tx1"/>
                                  </a:solidFill>
                                  <a:prstDash val="solid"/>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64" name="文本框 247"/>
                              <wps:cNvSpPr txBox="1"/>
                              <wps:spPr>
                                <a:xfrm>
                                  <a:off x="1991817" y="1336533"/>
                                  <a:ext cx="703580" cy="321945"/>
                                </a:xfrm>
                                <a:prstGeom prst="rect">
                                  <a:avLst/>
                                </a:prstGeom>
                                <a:noFill/>
                                <a:ln w="6350">
                                  <a:solidFill>
                                    <a:schemeClr val="tx1"/>
                                  </a:solidFill>
                                  <a:prstDash val="dash"/>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sz w:val="21"/>
                                        <w:szCs w:val="21"/>
                                      </w:rPr>
                                      <w:t>排泥水</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65" name="文本框 243"/>
                              <wps:cNvSpPr txBox="1"/>
                              <wps:spPr>
                                <a:xfrm>
                                  <a:off x="866142" y="1328582"/>
                                  <a:ext cx="683455" cy="3282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回水池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66" name="直接箭头连接符 266"/>
                              <wps:cNvCnPr/>
                              <wps:spPr>
                                <a:xfrm>
                                  <a:off x="2668529" y="1498674"/>
                                  <a:ext cx="432000" cy="0"/>
                                </a:xfrm>
                                <a:prstGeom prst="straightConnector1">
                                  <a:avLst/>
                                </a:prstGeom>
                                <a:ln>
                                  <a:solidFill>
                                    <a:schemeClr val="tx1"/>
                                  </a:solidFill>
                                  <a:prstDash val="dash"/>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67" name="直接箭头连接符 267"/>
                              <wps:cNvCnPr/>
                              <wps:spPr>
                                <a:xfrm>
                                  <a:off x="1538481" y="1478665"/>
                                  <a:ext cx="432000" cy="0"/>
                                </a:xfrm>
                                <a:prstGeom prst="straightConnector1">
                                  <a:avLst/>
                                </a:prstGeom>
                                <a:ln>
                                  <a:solidFill>
                                    <a:schemeClr val="tx1"/>
                                  </a:solidFill>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69" name="直接箭头连接符 269"/>
                              <wps:cNvCnPr/>
                              <wps:spPr>
                                <a:xfrm flipH="1">
                                  <a:off x="4315373" y="787179"/>
                                  <a:ext cx="360000" cy="0"/>
                                </a:xfrm>
                                <a:prstGeom prst="straightConnector1">
                                  <a:avLst/>
                                </a:prstGeom>
                                <a:ln>
                                  <a:solidFill>
                                    <a:schemeClr val="tx1"/>
                                  </a:solidFill>
                                  <a:prstDash val="dash"/>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70" name="文本框 243"/>
                              <wps:cNvSpPr txBox="1"/>
                              <wps:spPr>
                                <a:xfrm>
                                  <a:off x="4578560" y="2707617"/>
                                  <a:ext cx="944035" cy="3276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line="312" w:lineRule="exact"/>
                                      <w:jc w:val="center"/>
                                    </w:pPr>
                                    <w:r>
                                      <w:rPr>
                                        <w:rFonts w:ascii="Times New Roman" w:hAnsi="Times New Roman" w:hint="eastAsia"/>
                                        <w:sz w:val="21"/>
                                        <w:szCs w:val="21"/>
                                      </w:rPr>
                                      <w:t>污泥浓缩池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71" name="直接箭头连接符 271"/>
                              <wps:cNvCnPr/>
                              <wps:spPr>
                                <a:xfrm>
                                  <a:off x="3721318" y="2315700"/>
                                  <a:ext cx="0" cy="212815"/>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72" name="文本框 247"/>
                              <wps:cNvSpPr txBox="1"/>
                              <wps:spPr>
                                <a:xfrm>
                                  <a:off x="3155707" y="3284854"/>
                                  <a:ext cx="811446" cy="262702"/>
                                </a:xfrm>
                                <a:prstGeom prst="rect">
                                  <a:avLst/>
                                </a:prstGeom>
                                <a:noFill/>
                                <a:ln w="6350">
                                  <a:solidFill>
                                    <a:schemeClr val="tx1"/>
                                  </a:solidFill>
                                  <a:prstDash val="solid"/>
                                </a:ln>
                                <a:effectLst/>
                              </wps:spPr>
                              <wps:style>
                                <a:lnRef idx="0">
                                  <a:schemeClr val="accent1"/>
                                </a:lnRef>
                                <a:fillRef idx="0">
                                  <a:schemeClr val="accent1"/>
                                </a:fillRef>
                                <a:effectRef idx="0">
                                  <a:schemeClr val="accent1"/>
                                </a:effectRef>
                                <a:fontRef idx="minor">
                                  <a:schemeClr val="dk1"/>
                                </a:fontRef>
                              </wps:style>
                              <wps:txbx>
                                <w:txbxContent>
                                  <w:p>
                                    <w:pPr>
                                      <w:pStyle w:val="NormalWeb"/>
                                      <w:spacing w:before="0" w:beforeAutospacing="0" w:after="0" w:afterAutospacing="0"/>
                                      <w:jc w:val="center"/>
                                    </w:pPr>
                                    <w:r>
                                      <w:rPr>
                                        <w:rFonts w:ascii="Times New Roman" w:hAnsi="Times New Roman" w:hint="eastAsia"/>
                                        <w:sz w:val="21"/>
                                        <w:szCs w:val="21"/>
                                      </w:rPr>
                                      <w:t>离心脱水</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72" name="文本框 247"/>
                              <wps:cNvSpPr txBox="1"/>
                              <wps:spPr>
                                <a:xfrm>
                                  <a:off x="815555" y="2104217"/>
                                  <a:ext cx="703580" cy="322580"/>
                                </a:xfrm>
                                <a:prstGeom prst="rect">
                                  <a:avLst/>
                                </a:prstGeom>
                                <a:noFill/>
                                <a:ln w="6350">
                                  <a:solidFill>
                                    <a:schemeClr val="tx1"/>
                                  </a:solidFill>
                                  <a:prstDash val="dash"/>
                                </a:ln>
                                <a:effectLst/>
                              </wps:spPr>
                              <wps:style>
                                <a:lnRef idx="0">
                                  <a:schemeClr val="accent1"/>
                                </a:lnRef>
                                <a:fillRef idx="0">
                                  <a:schemeClr val="accent1"/>
                                </a:fillRef>
                                <a:effectRef idx="0">
                                  <a:schemeClr val="accent1"/>
                                </a:effectRef>
                                <a:fontRef idx="minor">
                                  <a:schemeClr val="dk1"/>
                                </a:fontRef>
                              </wps:style>
                              <wps:txbx>
                                <w:txbxContent>
                                  <w:p>
                                    <w:pPr>
                                      <w:spacing w:line="312" w:lineRule="exact"/>
                                      <w:jc w:val="center"/>
                                      <w:rPr>
                                        <w:sz w:val="24"/>
                                        <w:szCs w:val="24"/>
                                      </w:rPr>
                                    </w:pPr>
                                    <w:r>
                                      <w:rPr>
                                        <w:rFonts w:hint="eastAsia"/>
                                        <w:szCs w:val="21"/>
                                      </w:rPr>
                                      <w:t>沉淀泥</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173" name="文本框 247"/>
                              <wps:cNvSpPr txBox="1"/>
                              <wps:spPr>
                                <a:xfrm>
                                  <a:off x="910962" y="927424"/>
                                  <a:ext cx="813922" cy="3447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312" w:lineRule="exact"/>
                                      <w:jc w:val="center"/>
                                      <w:rPr>
                                        <w:sz w:val="24"/>
                                        <w:szCs w:val="24"/>
                                      </w:rPr>
                                    </w:pPr>
                                    <w:r>
                                      <w:rPr>
                                        <w:rFonts w:hint="eastAsia"/>
                                        <w:szCs w:val="21"/>
                                      </w:rPr>
                                      <w:t>上清液</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7" name="直接连接符 7"/>
                              <wps:cNvCnPr/>
                              <wps:spPr>
                                <a:xfrm>
                                  <a:off x="1158354" y="2417196"/>
                                  <a:ext cx="0" cy="41400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175" name="直接箭头连接符 175"/>
                              <wps:cNvCnPr/>
                              <wps:spPr>
                                <a:xfrm flipH="1" flipV="1">
                                  <a:off x="5046996" y="1680346"/>
                                  <a:ext cx="0" cy="1008000"/>
                                </a:xfrm>
                                <a:prstGeom prst="straightConnector1">
                                  <a:avLst/>
                                </a:prstGeom>
                                <a:ln>
                                  <a:solidFill>
                                    <a:schemeClr val="tx1"/>
                                  </a:solidFill>
                                  <a:prstDash val="solid"/>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80" name="直接箭头连接符 280"/>
                              <wps:cNvCnPr/>
                              <wps:spPr>
                                <a:xfrm flipH="1">
                                  <a:off x="3561452" y="3553615"/>
                                  <a:ext cx="0" cy="279549"/>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82" name="文本框 282"/>
                              <wps:cNvSpPr txBox="1"/>
                              <wps:spPr>
                                <a:xfrm>
                                  <a:off x="3331051" y="3785465"/>
                                  <a:ext cx="636102" cy="278635"/>
                                </a:xfrm>
                                <a:prstGeom prst="rect">
                                  <a:avLst/>
                                </a:prstGeom>
                                <a:noFill/>
                                <a:ln w="6350">
                                  <a:noFill/>
                                </a:ln>
                              </wps:spPr>
                              <wps:txbx>
                                <w:txbxContent>
                                  <w:p>
                                    <w:pPr>
                                      <w:spacing w:line="240" w:lineRule="auto"/>
                                    </w:pPr>
                                    <w:r>
                                      <w:rPr>
                                        <w:rFonts w:hint="eastAsia"/>
                                      </w:rPr>
                                      <w:t>污泥</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23" name="文本框 247"/>
                              <wps:cNvSpPr txBox="1"/>
                              <wps:spPr>
                                <a:xfrm>
                                  <a:off x="3347500" y="28924"/>
                                  <a:ext cx="81727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312" w:lineRule="exact"/>
                                      <w:jc w:val="center"/>
                                      <w:rPr>
                                        <w:sz w:val="24"/>
                                        <w:szCs w:val="24"/>
                                      </w:rPr>
                                    </w:pPr>
                                    <w:r>
                                      <w:rPr>
                                        <w:rFonts w:hint="eastAsia"/>
                                        <w:szCs w:val="21"/>
                                      </w:rPr>
                                      <w:t>噪声</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83" name="直接箭头连接符 283"/>
                              <wps:cNvCnPr/>
                              <wps:spPr>
                                <a:xfrm flipV="1">
                                  <a:off x="2600077" y="318052"/>
                                  <a:ext cx="850790" cy="254422"/>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84" name="直接箭头连接符 284"/>
                              <wps:cNvCnPr/>
                              <wps:spPr>
                                <a:xfrm flipV="1">
                                  <a:off x="3734427" y="349913"/>
                                  <a:ext cx="0" cy="288000"/>
                                </a:xfrm>
                                <a:prstGeom prst="straightConnector1">
                                  <a:avLst/>
                                </a:prstGeom>
                                <a:ln>
                                  <a:solidFill>
                                    <a:schemeClr val="tx1"/>
                                  </a:solidFill>
                                  <a:prstDash val="dash"/>
                                  <a:headEnd/>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285" name="文本框 247"/>
                              <wps:cNvSpPr txBox="1"/>
                              <wps:spPr>
                                <a:xfrm>
                                  <a:off x="1945189" y="1873627"/>
                                  <a:ext cx="817245"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312" w:lineRule="exact"/>
                                      <w:jc w:val="center"/>
                                      <w:rPr>
                                        <w:sz w:val="24"/>
                                        <w:szCs w:val="24"/>
                                      </w:rPr>
                                    </w:pPr>
                                    <w:r>
                                      <w:rPr>
                                        <w:rFonts w:hint="eastAsia"/>
                                        <w:szCs w:val="21"/>
                                      </w:rPr>
                                      <w:t>噪声</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286" name="直接箭头连接符 286"/>
                              <wps:cNvCnPr/>
                              <wps:spPr>
                                <a:xfrm flipV="1">
                                  <a:off x="2564520" y="1752051"/>
                                  <a:ext cx="850265" cy="254000"/>
                                </a:xfrm>
                                <a:prstGeom prst="straightConnector1">
                                  <a:avLst/>
                                </a:prstGeom>
                                <a:ln>
                                  <a:solidFill>
                                    <a:schemeClr val="tx1"/>
                                  </a:solidFill>
                                  <a:prstDash val="dash"/>
                                  <a:headEnd type="triangle"/>
                                  <a:tailEnd/>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34" name="直接箭头连接符 34"/>
                              <wps:cNvCnPr/>
                              <wps:spPr>
                                <a:xfrm>
                                  <a:off x="1169313" y="2830665"/>
                                  <a:ext cx="3409247" cy="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301" name="文本框 243"/>
                              <wps:cNvSpPr txBox="1"/>
                              <wps:spPr>
                                <a:xfrm>
                                  <a:off x="4664536" y="1347329"/>
                                  <a:ext cx="748030" cy="327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spacing w:line="312" w:lineRule="exact"/>
                                      <w:jc w:val="center"/>
                                      <w:rPr>
                                        <w:sz w:val="24"/>
                                        <w:szCs w:val="24"/>
                                      </w:rPr>
                                    </w:pPr>
                                    <w:r>
                                      <w:rPr>
                                        <w:rFonts w:hint="eastAsia"/>
                                        <w:szCs w:val="21"/>
                                      </w:rPr>
                                      <w:t>排泥池</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35" name="直接箭头连接符 35"/>
                              <wps:cNvCnPr/>
                              <wps:spPr>
                                <a:xfrm>
                                  <a:off x="5064981" y="3013416"/>
                                  <a:ext cx="0" cy="445402"/>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302" name="文本框 282"/>
                              <wps:cNvSpPr txBox="1"/>
                              <wps:spPr>
                                <a:xfrm>
                                  <a:off x="3171943" y="2959777"/>
                                  <a:ext cx="635635" cy="278130"/>
                                </a:xfrm>
                                <a:prstGeom prst="rect">
                                  <a:avLst/>
                                </a:prstGeom>
                                <a:noFill/>
                                <a:ln w="6350">
                                  <a:noFill/>
                                </a:ln>
                              </wps:spPr>
                              <wps:txbx>
                                <w:txbxContent>
                                  <w:p>
                                    <w:pPr>
                                      <w:spacing w:line="312" w:lineRule="exact"/>
                                      <w:rPr>
                                        <w:sz w:val="24"/>
                                        <w:szCs w:val="24"/>
                                      </w:rPr>
                                    </w:pPr>
                                    <w:r>
                                      <w:rPr>
                                        <w:rFonts w:hint="eastAsia"/>
                                        <w:szCs w:val="21"/>
                                      </w:rPr>
                                      <w:t>废水</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303" name="文本框 282"/>
                              <wps:cNvSpPr txBox="1"/>
                              <wps:spPr>
                                <a:xfrm>
                                  <a:off x="4715124" y="3391825"/>
                                  <a:ext cx="759975" cy="313482"/>
                                </a:xfrm>
                                <a:prstGeom prst="rect">
                                  <a:avLst/>
                                </a:prstGeom>
                                <a:noFill/>
                                <a:ln w="6350">
                                  <a:noFill/>
                                </a:ln>
                              </wps:spPr>
                              <wps:txbx>
                                <w:txbxContent>
                                  <w:p>
                                    <w:pPr>
                                      <w:spacing w:line="312" w:lineRule="exact"/>
                                      <w:jc w:val="center"/>
                                      <w:rPr>
                                        <w:sz w:val="24"/>
                                        <w:szCs w:val="24"/>
                                      </w:rPr>
                                    </w:pPr>
                                    <w:r>
                                      <w:rPr>
                                        <w:rFonts w:hint="eastAsia"/>
                                        <w:szCs w:val="21"/>
                                      </w:rPr>
                                      <w:t>废水</w:t>
                                    </w:r>
                                  </w:p>
                                </w:txbxContent>
                              </wps:txbx>
                              <wps:bodyPr rot="0" spcFirstLastPara="0" vert="horz" wrap="square" lIns="91440" tIns="45720" rIns="91440" bIns="45720" numCol="1" spcCol="0" rtlCol="0" fromWordArt="0" anchor="t" anchorCtr="0" forceAA="0" compatLnSpc="1"/>
                            </wps:wsp>
                            <wps:wsp xmlns:wps="http://schemas.microsoft.com/office/word/2010/wordprocessingShape">
                              <wps:cNvPr id="36" name="连接符: 肘形 36"/>
                              <wps:cNvCnPr>
                                <a:stCxn id="272" idx="0"/>
                              </wps:cNvCnPr>
                              <wps:spPr>
                                <a:xfrm rot="5400000" flipH="1" flipV="1">
                                  <a:off x="3879696" y="2600500"/>
                                  <a:ext cx="366089" cy="1002621"/>
                                </a:xfrm>
                                <a:prstGeom prst="bentConnector2">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i1066" editas="canvas" style="width:434.85pt;height:321.85pt" coordsize="5522595,4087546">
                      <o:lock v:ext="edit" aspectratio="f"/>
                      <v:shape id="_x0000_s1026" o:spid="_x0000_s1067" style="width:5522595;height:4087546;position:absolute" coordsize="21600,21600" filled="f" stroked="f">
                        <o:lock v:ext="edit" aspectratio="t"/>
                      </v:shape>
                      <v:shape id="_x0000_s1026" o:spid="_x0000_s1068" type="#_x0000_t202" style="width:869950;height:330200;left:234401;position:absolute;top:639651" coordsize="21600,21600" filled="t" fillcolor="white" stroked="t" strokecolor="black">
                        <v:stroke joinstyle="round"/>
                        <o:lock v:ext="edit" aspectratio="f"/>
                        <v:textbox>
                          <w:txbxContent>
                            <w:p>
                              <w:pPr>
                                <w:jc w:val="center"/>
                              </w:pPr>
                              <w:r>
                                <w:rPr>
                                  <w:rFonts w:hint="eastAsia"/>
                                </w:rPr>
                                <w:t>取水构筑物</w:t>
                              </w:r>
                            </w:p>
                          </w:txbxContent>
                        </v:textbox>
                      </v:shape>
                      <v:shape id="文本框 243" o:spid="_x0000_s1069" type="#_x0000_t202" style="width:1191600;height:329565;left:3132201;position:absolute;top:635319" coordsize="21600,21600" filled="t" fillcolor="white" stroked="t" strokecolor="black">
                        <v:stroke joinstyle="round"/>
                        <o:lock v:ext="edit" aspectratio="f"/>
                        <v:textbox>
                          <w:txbxContent>
                            <w:p>
                              <w:pPr>
                                <w:pStyle w:val="NormalWeb"/>
                                <w:spacing w:before="0" w:beforeAutospacing="0" w:after="0" w:afterAutospacing="0" w:line="312" w:lineRule="exact"/>
                                <w:jc w:val="center"/>
                              </w:pPr>
                              <w:r>
                                <w:rPr>
                                  <w:rFonts w:ascii="Times New Roman" w:hint="eastAsia"/>
                                  <w:sz w:val="21"/>
                                  <w:szCs w:val="21"/>
                                </w:rPr>
                                <w:t>絮凝、沉淀池</w:t>
                              </w:r>
                            </w:p>
                          </w:txbxContent>
                        </v:textbox>
                      </v:shape>
                      <v:shape id="文本框 243" o:spid="_x0000_s1070" type="#_x0000_t202" style="width:869950;height:329565;left:1702521;position:absolute;top:635351" coordsize="21600,21600" filled="t" fillcolor="white" stroked="t" strokecolor="black">
                        <v:stroke joinstyle="round"/>
                        <o:lock v:ext="edit" aspectratio="f"/>
                        <v:textbox>
                          <w:txbxContent>
                            <w:p>
                              <w:pPr>
                                <w:pStyle w:val="NormalWeb"/>
                                <w:spacing w:before="0" w:beforeAutospacing="0" w:after="0" w:afterAutospacing="0" w:line="312" w:lineRule="exact"/>
                                <w:jc w:val="center"/>
                              </w:pPr>
                              <w:r>
                                <w:rPr>
                                  <w:rFonts w:ascii="Times New Roman" w:hint="eastAsia"/>
                                  <w:sz w:val="21"/>
                                  <w:szCs w:val="21"/>
                                </w:rPr>
                                <w:t>加药混合</w:t>
                              </w:r>
                            </w:p>
                          </w:txbxContent>
                        </v:textbox>
                      </v:shape>
                      <v:shape id="_x0000_s1026" o:spid="_x0000_s1071" type="#_x0000_t32" style="width:0;height:360000;flip:x;left:669376;position:absolute;top:289019" coordsize="21600,21600" filled="f" stroked="t" strokecolor="black">
                        <v:stroke joinstyle="round" endarrow="block"/>
                        <o:lock v:ext="edit" aspectratio="f"/>
                      </v:shape>
                      <v:shape id="_x0000_s1026" o:spid="_x0000_s1072" type="#_x0000_t202" style="width:704850;height:323850;left:1099271;position:absolute;top:514524" coordsize="21600,21600" filled="f" stroked="f">
                        <o:lock v:ext="edit" aspectratio="f"/>
                        <v:textbox>
                          <w:txbxContent>
                            <w:p>
                              <w:pPr>
                                <w:jc w:val="center"/>
                              </w:pPr>
                              <w:r>
                                <w:rPr>
                                  <w:rFonts w:hint="eastAsia"/>
                                </w:rPr>
                                <w:t>原水</w:t>
                              </w:r>
                            </w:p>
                          </w:txbxContent>
                        </v:textbox>
                      </v:shape>
                      <v:shape id="_x0000_s1026" o:spid="_x0000_s1073" type="#_x0000_t32" style="width:540000;height:0;left:1142451;position:absolute;top:797019" coordsize="21600,21600" filled="f" stroked="t" strokecolor="black">
                        <v:stroke joinstyle="round" endarrow="block"/>
                        <o:lock v:ext="edit" aspectratio="f"/>
                      </v:shape>
                      <v:shape id="文本框 247" o:spid="_x0000_s1074" type="#_x0000_t202" style="width:704850;height:323215;left:337271;position:absolute;top:43569" coordsize="21600,21600" filled="f" stroked="f">
                        <o:lock v:ext="edit" aspectratio="f"/>
                        <v:textbox>
                          <w:txbxContent>
                            <w:p>
                              <w:pPr>
                                <w:pStyle w:val="NormalWeb"/>
                                <w:spacing w:before="0" w:beforeAutospacing="0" w:after="0" w:afterAutospacing="0" w:line="312" w:lineRule="exact"/>
                                <w:jc w:val="center"/>
                              </w:pPr>
                              <w:r>
                                <w:rPr>
                                  <w:rFonts w:ascii="Times New Roman" w:hint="eastAsia"/>
                                  <w:sz w:val="21"/>
                                  <w:szCs w:val="21"/>
                                </w:rPr>
                                <w:t>抚河</w:t>
                              </w:r>
                            </w:p>
                          </w:txbxContent>
                        </v:textbox>
                      </v:shape>
                      <v:shape id="_x0000_s1026" o:spid="_x0000_s1075" type="#_x0000_t32" style="width:539750;height:0;left:2572471;position:absolute;top:797052" coordsize="21600,21600" filled="f" stroked="t" strokecolor="black">
                        <v:stroke joinstyle="round" endarrow="block"/>
                        <o:lock v:ext="edit" aspectratio="f"/>
                      </v:shape>
                      <v:shape id="_x0000_s1026" o:spid="_x0000_s1076" type="#_x0000_t32" style="width:0;height:432000;flip:y;left:1169325;position:absolute;top:1656877" coordsize="21600,21600" filled="f" stroked="t" strokecolor="black">
                        <v:stroke joinstyle="round" dashstyle="dash" startarrow="block"/>
                        <o:lock v:ext="edit" aspectratio="f"/>
                      </v:shape>
                      <v:shape id="_x0000_s1026" o:spid="_x0000_s1077" type="#_x0000_t32" style="width:0;height:396000;flip:x y;left:5046997;position:absolute;top:951385" coordsize="21600,21600" filled="f" stroked="t" strokecolor="black">
                        <v:stroke joinstyle="round" startarrow="block"/>
                        <o:lock v:ext="edit" aspectratio="f"/>
                      </v:shape>
                      <v:shape id="_x0000_s1026" o:spid="_x0000_s1078" type="#_x0000_t32" style="width:0;height:359410;flip:x;left:2147951;position:absolute;top:292048" coordsize="21600,21600" filled="f" stroked="t" strokecolor="black">
                        <v:stroke joinstyle="round" endarrow="block"/>
                        <o:lock v:ext="edit" aspectratio="f"/>
                      </v:shape>
                      <v:shape id="文本框 247" o:spid="_x0000_s1079" type="#_x0000_t202" style="width:1066550;height:323938;left:1620901;position:absolute;top:12553" coordsize="21600,21600" filled="f" stroked="f">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絮凝剂、液氯</w:t>
                              </w:r>
                            </w:p>
                          </w:txbxContent>
                        </v:textbox>
                      </v:shape>
                      <v:shape id="_x0000_s1026" o:spid="_x0000_s1080" type="#_x0000_t32" style="width:0;height:358775;flip:x;left:3727391;position:absolute;top:969807" coordsize="21600,21600" filled="f" stroked="t" strokecolor="black">
                        <v:stroke joinstyle="round" endarrow="block"/>
                        <o:lock v:ext="edit" aspectratio="f"/>
                      </v:shape>
                      <v:shape id="文本框 243" o:spid="_x0000_s1081" type="#_x0000_t202" style="width:1316483;height:328930;left:3073245;position:absolute;top:1342364" coordsize="21600,21600" filled="t" fillcolor="white" stroked="t" strokecolor="black">
                        <v:stroke joinstyle="round"/>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气水反冲洗滤池</w:t>
                              </w:r>
                            </w:p>
                          </w:txbxContent>
                        </v:textbox>
                      </v:shape>
                      <v:line id="_x0000_s1026" o:spid="_x0000_s1082" style="flip:x y;position:absolute" from="3727325,1835965" to="4015325,1835965" coordsize="21600,21600" stroked="t" strokecolor="black">
                        <v:stroke joinstyle="round" endarrow="block"/>
                        <o:lock v:ext="edit" aspectratio="f"/>
                      </v:line>
                      <v:shape id="文本框 247" o:spid="_x0000_s1083" type="#_x0000_t202" style="width:704215;height:322580;left:4692552;position:absolute;top:628805" coordsize="21600,21600" filled="f" stroked="t" strokecolor="black">
                        <v:stroke joinstyle="round" dashstyle="dash"/>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排泥水</w:t>
                              </w:r>
                            </w:p>
                          </w:txbxContent>
                        </v:textbox>
                      </v:shape>
                      <v:shape id="文本框 243" o:spid="_x0000_s1084" type="#_x0000_t202" style="width:869315;height:328930;left:3294186;position:absolute;top:1986869" coordsize="21600,21600" filled="t" fillcolor="white" stroked="t" strokecolor="black">
                        <v:stroke joinstyle="round"/>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清水池</w:t>
                              </w:r>
                            </w:p>
                          </w:txbxContent>
                        </v:textbox>
                      </v:shape>
                      <v:shape id="文本框 247" o:spid="_x0000_s1085" type="#_x0000_t202" style="width:804387;height:322580;left:3342845;position:absolute;top:2461114" coordsize="21600,21600" filled="f" stroked="f">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供水系统</w:t>
                              </w:r>
                            </w:p>
                          </w:txbxContent>
                        </v:textbox>
                      </v:shape>
                      <v:shape id="_x0000_s1026" o:spid="_x0000_s1086" type="#_x0000_t32" style="width:698695;height:364353;flip:x;left:1169313;position:absolute;top:978011" coordsize="21600,21600" filled="f" stroked="t" strokecolor="black">
                        <v:stroke joinstyle="round" startarrow="block"/>
                        <o:lock v:ext="edit" aspectratio="f"/>
                      </v:shape>
                      <v:shape id="文本框 247" o:spid="_x0000_s1087" type="#_x0000_t202" style="width:704215;height:322580;left:3829523;position:absolute;top:1671541" coordsize="21600,21600" filled="f" stroked="f">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加液氯</w:t>
                              </w:r>
                            </w:p>
                          </w:txbxContent>
                        </v:textbox>
                      </v:shape>
                      <v:line id="_x0000_s1026" o:spid="_x0000_s1088" style="position:absolute" from="3726017,1680517" to="3726017,1998158" coordsize="21600,21600" stroked="t" strokecolor="black">
                        <v:stroke joinstyle="round" endarrow="block"/>
                        <o:lock v:ext="edit" aspectratio="f"/>
                      </v:line>
                      <v:shape id="文本框 247" o:spid="_x0000_s1089" type="#_x0000_t202" style="width:703580;height:321945;left:1991817;position:absolute;top:1336533" coordsize="21600,21600" filled="f" stroked="t" strokecolor="black">
                        <v:stroke joinstyle="round" dashstyle="dash"/>
                        <o:lock v:ext="edit" aspectratio="f"/>
                        <v:textbox>
                          <w:txbxContent>
                            <w:p>
                              <w:pPr>
                                <w:pStyle w:val="NormalWeb"/>
                                <w:spacing w:before="0" w:beforeAutospacing="0" w:after="0" w:afterAutospacing="0" w:line="312" w:lineRule="exact"/>
                                <w:jc w:val="center"/>
                              </w:pPr>
                              <w:r>
                                <w:rPr>
                                  <w:rFonts w:ascii="Times New Roman" w:hAnsi="Times New Roman"/>
                                  <w:sz w:val="21"/>
                                  <w:szCs w:val="21"/>
                                </w:rPr>
                                <w:t>排泥水</w:t>
                              </w:r>
                            </w:p>
                          </w:txbxContent>
                        </v:textbox>
                      </v:shape>
                      <v:shape id="文本框 243" o:spid="_x0000_s1090" type="#_x0000_t202" style="width:683455;height:328295;left:866142;position:absolute;top:1328582" coordsize="21600,21600" filled="t" fillcolor="white" stroked="t" strokecolor="black">
                        <v:stroke joinstyle="round"/>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回水池</w:t>
                              </w:r>
                            </w:p>
                          </w:txbxContent>
                        </v:textbox>
                      </v:shape>
                      <v:shape id="_x0000_s1026" o:spid="_x0000_s1091" type="#_x0000_t32" style="width:432000;height:0;left:2668529;position:absolute;top:1498674" coordsize="21600,21600" filled="f" stroked="t" strokecolor="black">
                        <v:stroke joinstyle="round" dashstyle="dash" startarrow="block"/>
                        <o:lock v:ext="edit" aspectratio="f"/>
                      </v:shape>
                      <v:shape id="_x0000_s1026" o:spid="_x0000_s1092" type="#_x0000_t32" style="width:432000;height:0;left:1538481;position:absolute;top:1478665" coordsize="21600,21600" filled="f" stroked="t" strokecolor="black">
                        <v:stroke joinstyle="round" startarrow="block"/>
                        <o:lock v:ext="edit" aspectratio="f"/>
                      </v:shape>
                      <v:shape id="_x0000_s1026" o:spid="_x0000_s1093" type="#_x0000_t32" style="width:360000;height:0;flip:x;left:4315373;position:absolute;top:787179" coordsize="21600,21600" filled="f" stroked="t" strokecolor="black">
                        <v:stroke joinstyle="round" dashstyle="dash" startarrow="block"/>
                        <o:lock v:ext="edit" aspectratio="f"/>
                      </v:shape>
                      <v:shape id="文本框 243" o:spid="_x0000_s1094" type="#_x0000_t202" style="width:944035;height:327660;left:4578560;position:absolute;top:2707617" coordsize="21600,21600" filled="t" fillcolor="white" stroked="t" strokecolor="black">
                        <v:stroke joinstyle="round"/>
                        <o:lock v:ext="edit" aspectratio="f"/>
                        <v:textbox>
                          <w:txbxContent>
                            <w:p>
                              <w:pPr>
                                <w:pStyle w:val="NormalWeb"/>
                                <w:spacing w:before="0" w:beforeAutospacing="0" w:after="0" w:afterAutospacing="0" w:line="312" w:lineRule="exact"/>
                                <w:jc w:val="center"/>
                              </w:pPr>
                              <w:r>
                                <w:rPr>
                                  <w:rFonts w:ascii="Times New Roman" w:hAnsi="Times New Roman" w:hint="eastAsia"/>
                                  <w:sz w:val="21"/>
                                  <w:szCs w:val="21"/>
                                </w:rPr>
                                <w:t>污泥浓缩池</w:t>
                              </w:r>
                            </w:p>
                          </w:txbxContent>
                        </v:textbox>
                      </v:shape>
                      <v:shape id="_x0000_s1026" o:spid="_x0000_s1095" type="#_x0000_t32" style="width:0;height:212815;left:3721318;position:absolute;top:2315700" coordsize="21600,21600" filled="f" stroked="t" strokecolor="black">
                        <v:stroke joinstyle="round" endarrow="block"/>
                        <o:lock v:ext="edit" aspectratio="f"/>
                      </v:shape>
                      <v:shape id="文本框 247" o:spid="_x0000_s1096" type="#_x0000_t202" style="width:811446;height:262702;left:3155707;position:absolute;top:3284854" coordsize="21600,21600" filled="f" stroked="t" strokecolor="black">
                        <v:stroke joinstyle="round"/>
                        <o:lock v:ext="edit" aspectratio="f"/>
                        <v:textbox>
                          <w:txbxContent>
                            <w:p>
                              <w:pPr>
                                <w:pStyle w:val="NormalWeb"/>
                                <w:spacing w:before="0" w:beforeAutospacing="0" w:after="0" w:afterAutospacing="0"/>
                                <w:jc w:val="center"/>
                              </w:pPr>
                              <w:r>
                                <w:rPr>
                                  <w:rFonts w:ascii="Times New Roman" w:hAnsi="Times New Roman" w:hint="eastAsia"/>
                                  <w:sz w:val="21"/>
                                  <w:szCs w:val="21"/>
                                </w:rPr>
                                <w:t>离心脱水</w:t>
                              </w:r>
                            </w:p>
                          </w:txbxContent>
                        </v:textbox>
                      </v:shape>
                      <v:shape id="文本框 247" o:spid="_x0000_s1097" type="#_x0000_t202" style="width:703580;height:322580;left:815555;position:absolute;top:2104217" coordsize="21600,21600" filled="f" stroked="t" strokecolor="black">
                        <v:stroke joinstyle="round" dashstyle="dash"/>
                        <o:lock v:ext="edit" aspectratio="f"/>
                        <v:textbox>
                          <w:txbxContent>
                            <w:p>
                              <w:pPr>
                                <w:spacing w:line="312" w:lineRule="exact"/>
                                <w:jc w:val="center"/>
                                <w:rPr>
                                  <w:sz w:val="24"/>
                                  <w:szCs w:val="24"/>
                                </w:rPr>
                              </w:pPr>
                              <w:r>
                                <w:rPr>
                                  <w:rFonts w:hint="eastAsia"/>
                                  <w:szCs w:val="21"/>
                                </w:rPr>
                                <w:t>沉淀泥</w:t>
                              </w:r>
                            </w:p>
                          </w:txbxContent>
                        </v:textbox>
                      </v:shape>
                      <v:shape id="文本框 247" o:spid="_x0000_s1098" type="#_x0000_t202" style="width:813922;height:344786;left:910962;position:absolute;top:927424" coordsize="21600,21600" filled="f" stroked="f">
                        <o:lock v:ext="edit" aspectratio="f"/>
                        <v:textbox>
                          <w:txbxContent>
                            <w:p>
                              <w:pPr>
                                <w:spacing w:line="312" w:lineRule="exact"/>
                                <w:jc w:val="center"/>
                                <w:rPr>
                                  <w:sz w:val="24"/>
                                  <w:szCs w:val="24"/>
                                </w:rPr>
                              </w:pPr>
                              <w:r>
                                <w:rPr>
                                  <w:rFonts w:hint="eastAsia"/>
                                  <w:szCs w:val="21"/>
                                </w:rPr>
                                <w:t>上清液</w:t>
                              </w:r>
                            </w:p>
                          </w:txbxContent>
                        </v:textbox>
                      </v:shape>
                      <v:line id="_x0000_s1026" o:spid="_x0000_s1099" style="position:absolute" from="1158354,2417196" to="1158354,2831196" coordsize="21600,21600" stroked="t" strokecolor="black">
                        <v:stroke joinstyle="round" dashstyle="dash"/>
                        <o:lock v:ext="edit" aspectratio="f"/>
                      </v:line>
                      <v:shape id="_x0000_s1026" o:spid="_x0000_s1100" type="#_x0000_t32" style="width:0;height:1008000;flip:x y;left:5046996;position:absolute;top:1680346" coordsize="21600,21600" filled="f" stroked="t" strokecolor="black">
                        <v:stroke joinstyle="round" startarrow="block"/>
                        <o:lock v:ext="edit" aspectratio="f"/>
                      </v:shape>
                      <v:shape id="_x0000_s1026" o:spid="_x0000_s1101" type="#_x0000_t32" style="width:0;height:279549;flip:x;left:3561452;position:absolute;top:3553615" coordsize="21600,21600" filled="f" stroked="t" strokecolor="black">
                        <v:stroke joinstyle="round" dashstyle="dash" endarrow="block"/>
                        <o:lock v:ext="edit" aspectratio="f"/>
                      </v:shape>
                      <v:shape id="_x0000_s1026" o:spid="_x0000_s1102" type="#_x0000_t202" style="width:636102;height:278635;left:3331051;position:absolute;top:3785465" coordsize="21600,21600" filled="f" stroked="f">
                        <o:lock v:ext="edit" aspectratio="f"/>
                        <v:textbox>
                          <w:txbxContent>
                            <w:p>
                              <w:pPr>
                                <w:spacing w:line="240" w:lineRule="auto"/>
                              </w:pPr>
                              <w:r>
                                <w:rPr>
                                  <w:rFonts w:hint="eastAsia"/>
                                </w:rPr>
                                <w:t>污泥</w:t>
                              </w:r>
                            </w:p>
                          </w:txbxContent>
                        </v:textbox>
                      </v:shape>
                      <v:shape id="文本框 247" o:spid="_x0000_s1103" type="#_x0000_t202" style="width:817275;height:323850;left:3347500;position:absolute;top:28924" coordsize="21600,21600" filled="f" stroked="f">
                        <o:lock v:ext="edit" aspectratio="f"/>
                        <v:textbox>
                          <w:txbxContent>
                            <w:p>
                              <w:pPr>
                                <w:spacing w:line="312" w:lineRule="exact"/>
                                <w:jc w:val="center"/>
                                <w:rPr>
                                  <w:sz w:val="24"/>
                                  <w:szCs w:val="24"/>
                                </w:rPr>
                              </w:pPr>
                              <w:r>
                                <w:rPr>
                                  <w:rFonts w:hint="eastAsia"/>
                                  <w:szCs w:val="21"/>
                                </w:rPr>
                                <w:t>噪声</w:t>
                              </w:r>
                            </w:p>
                          </w:txbxContent>
                        </v:textbox>
                      </v:shape>
                      <v:shape id="_x0000_s1026" o:spid="_x0000_s1104" type="#_x0000_t32" style="width:850790;height:254422;flip:y;left:2600077;position:absolute;top:318052" coordsize="21600,21600" filled="f" stroked="t" strokecolor="black">
                        <v:stroke joinstyle="round" dashstyle="dash" endarrow="block"/>
                        <o:lock v:ext="edit" aspectratio="f"/>
                      </v:shape>
                      <v:shape id="_x0000_s1026" o:spid="_x0000_s1105" type="#_x0000_t32" style="width:0;height:288000;flip:y;left:3734427;position:absolute;top:349913" coordsize="21600,21600" filled="f" stroked="t" strokecolor="black">
                        <v:stroke joinstyle="round" dashstyle="dash" endarrow="block"/>
                        <o:lock v:ext="edit" aspectratio="f"/>
                      </v:shape>
                      <v:shape id="文本框 247" o:spid="_x0000_s1106" type="#_x0000_t202" style="width:817245;height:323215;left:1945189;position:absolute;top:1873627" coordsize="21600,21600" filled="f" stroked="f">
                        <o:lock v:ext="edit" aspectratio="f"/>
                        <v:textbox>
                          <w:txbxContent>
                            <w:p>
                              <w:pPr>
                                <w:spacing w:line="312" w:lineRule="exact"/>
                                <w:jc w:val="center"/>
                                <w:rPr>
                                  <w:sz w:val="24"/>
                                  <w:szCs w:val="24"/>
                                </w:rPr>
                              </w:pPr>
                              <w:r>
                                <w:rPr>
                                  <w:rFonts w:hint="eastAsia"/>
                                  <w:szCs w:val="21"/>
                                </w:rPr>
                                <w:t>噪声</w:t>
                              </w:r>
                            </w:p>
                          </w:txbxContent>
                        </v:textbox>
                      </v:shape>
                      <v:shape id="_x0000_s1026" o:spid="_x0000_s1107" type="#_x0000_t32" style="width:850265;height:254000;flip:y;left:2564520;position:absolute;top:1752051" coordsize="21600,21600" filled="f" stroked="t" strokecolor="black">
                        <v:stroke joinstyle="round" dashstyle="dash" startarrow="block"/>
                        <o:lock v:ext="edit" aspectratio="f"/>
                      </v:shape>
                      <v:shape id="_x0000_s1026" o:spid="_x0000_s1108" type="#_x0000_t32" style="width:3409247;height:0;left:1169313;position:absolute;top:2830665" coordsize="21600,21600" filled="f" stroked="t" strokecolor="black">
                        <v:stroke joinstyle="round" dashstyle="dash" endarrow="block"/>
                        <o:lock v:ext="edit" aspectratio="f"/>
                      </v:shape>
                      <v:shape id="文本框 243" o:spid="_x0000_s1109" type="#_x0000_t202" style="width:748030;height:327025;left:4664536;position:absolute;top:1347329" coordsize="21600,21600" filled="t" fillcolor="white" stroked="t" strokecolor="black">
                        <v:stroke joinstyle="round"/>
                        <o:lock v:ext="edit" aspectratio="f"/>
                        <v:textbox>
                          <w:txbxContent>
                            <w:p>
                              <w:pPr>
                                <w:spacing w:line="312" w:lineRule="exact"/>
                                <w:jc w:val="center"/>
                                <w:rPr>
                                  <w:sz w:val="24"/>
                                  <w:szCs w:val="24"/>
                                </w:rPr>
                              </w:pPr>
                              <w:r>
                                <w:rPr>
                                  <w:rFonts w:hint="eastAsia"/>
                                  <w:szCs w:val="21"/>
                                </w:rPr>
                                <w:t>排泥池</w:t>
                              </w:r>
                            </w:p>
                          </w:txbxContent>
                        </v:textbox>
                      </v:shape>
                      <v:shape id="_x0000_s1026" o:spid="_x0000_s1110" type="#_x0000_t32" style="width:0;height:445402;left:5064981;position:absolute;top:3013416" coordsize="21600,21600" filled="f" stroked="t" strokecolor="black">
                        <v:stroke joinstyle="round" dashstyle="dash" endarrow="block"/>
                        <o:lock v:ext="edit" aspectratio="f"/>
                      </v:shape>
                      <v:shape id="文本框 282" o:spid="_x0000_s1111" type="#_x0000_t202" style="width:635635;height:278130;left:3171943;position:absolute;top:2959777" coordsize="21600,21600" filled="f" stroked="f">
                        <o:lock v:ext="edit" aspectratio="f"/>
                        <v:textbox>
                          <w:txbxContent>
                            <w:p>
                              <w:pPr>
                                <w:spacing w:line="312" w:lineRule="exact"/>
                                <w:rPr>
                                  <w:sz w:val="24"/>
                                  <w:szCs w:val="24"/>
                                </w:rPr>
                              </w:pPr>
                              <w:r>
                                <w:rPr>
                                  <w:rFonts w:hint="eastAsia"/>
                                  <w:szCs w:val="21"/>
                                </w:rPr>
                                <w:t>废水</w:t>
                              </w:r>
                            </w:p>
                          </w:txbxContent>
                        </v:textbox>
                      </v:shape>
                      <v:shape id="文本框 282" o:spid="_x0000_s1112" type="#_x0000_t202" style="width:759975;height:313482;left:4715124;position:absolute;top:3391825" coordsize="21600,21600" filled="f" stroked="f">
                        <o:lock v:ext="edit" aspectratio="f"/>
                        <v:textbox>
                          <w:txbxContent>
                            <w:p>
                              <w:pPr>
                                <w:spacing w:line="312" w:lineRule="exact"/>
                                <w:jc w:val="center"/>
                                <w:rPr>
                                  <w:sz w:val="24"/>
                                  <w:szCs w:val="24"/>
                                </w:rPr>
                              </w:pPr>
                              <w:r>
                                <w:rPr>
                                  <w:rFonts w:hint="eastAsia"/>
                                  <w:szCs w:val="21"/>
                                </w:rPr>
                                <w:t>废水</w:t>
                              </w:r>
                            </w:p>
                          </w:txbxContent>
                        </v:textbox>
                      </v:shape>
                      <v:shape id="连接符: 肘形 36" o:spid="_x0000_s1113" type="#_x0000_t33" style="width:366089;height:1002621;flip:x y;left:3879696;position:absolute;rotation:90;top:2600500" coordsize="21600,21600" filled="f" stroked="t" strokecolor="black">
                        <v:stroke joinstyle="round" dashstyle="dash" endarrow="block"/>
                        <o:lock v:ext="edit" aspectratio="f"/>
                      </v:shape>
                      <w10:anchorlock/>
                    </v:group>
                  </w:pict>
                </mc:Fallback>
              </mc:AlternateContent>
            </w:r>
          </w:p>
          <w:p>
            <w:pPr>
              <w:spacing w:line="240" w:lineRule="auto"/>
              <w:jc w:val="center"/>
              <w:rPr>
                <w:b/>
                <w:bCs/>
                <w:color w:val="000000" w:themeColor="text1"/>
                <w:kern w:val="2"/>
                <w:szCs w:val="21"/>
                <w14:textFill>
                  <w14:solidFill>
                    <w14:schemeClr w14:val="tx1"/>
                  </w14:solidFill>
                </w14:textFill>
              </w:rPr>
            </w:pPr>
            <w:r>
              <w:rPr>
                <w:rFonts w:hint="eastAsia"/>
                <w:b/>
                <w:bCs/>
                <w:color w:val="000000" w:themeColor="text1"/>
                <w:kern w:val="2"/>
                <w:szCs w:val="21"/>
                <w14:textFill>
                  <w14:solidFill>
                    <w14:schemeClr w14:val="tx1"/>
                  </w14:solidFill>
                </w14:textFill>
              </w:rPr>
              <w:t>图</w:t>
            </w:r>
            <w:r>
              <w:rPr>
                <w:b/>
                <w:bCs/>
                <w:color w:val="000000" w:themeColor="text1"/>
                <w:kern w:val="2"/>
                <w:szCs w:val="21"/>
                <w14:textFill>
                  <w14:solidFill>
                    <w14:schemeClr w14:val="tx1"/>
                  </w14:solidFill>
                </w14:textFill>
              </w:rPr>
              <w:t>3</w:t>
            </w:r>
            <w:r>
              <w:rPr>
                <w:rFonts w:hint="eastAsia"/>
                <w:b/>
                <w:bCs/>
                <w:color w:val="000000" w:themeColor="text1"/>
                <w:kern w:val="2"/>
                <w:szCs w:val="21"/>
                <w14:textFill>
                  <w14:solidFill>
                    <w14:schemeClr w14:val="tx1"/>
                  </w14:solidFill>
                </w14:textFill>
              </w:rPr>
              <w:t xml:space="preserve">  原有工程生产流程图</w:t>
            </w:r>
          </w:p>
          <w:p>
            <w:pPr>
              <w:spacing w:before="120"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工艺说明：</w:t>
            </w:r>
          </w:p>
          <w:p>
            <w:pPr>
              <w:spacing w:line="360" w:lineRule="auto"/>
              <w:ind w:firstLine="480" w:firstLineChars="200"/>
              <w:rPr>
                <w:sz w:val="24"/>
                <w:szCs w:val="24"/>
              </w:rPr>
            </w:pPr>
            <w:r>
              <w:rPr>
                <w:sz w:val="24"/>
                <w:szCs w:val="24"/>
              </w:rPr>
              <w:t>本工程净水工艺推荐采用混合—絮凝—沉淀—砂滤—清水池的处理工艺。混合采用机械混合；絮凝采用折板絮凝池；沉淀采用平流沉淀池；滤池采用气水反冲洗滤池（V型滤池）；絮凝剂采用聚合氯化铝，消毒采用</w:t>
            </w:r>
            <w:r>
              <w:rPr>
                <w:rFonts w:hint="eastAsia"/>
                <w:sz w:val="24"/>
                <w:szCs w:val="24"/>
              </w:rPr>
              <w:t>液氯。</w:t>
            </w:r>
          </w:p>
          <w:p>
            <w:pPr>
              <w:spacing w:line="360" w:lineRule="auto"/>
              <w:ind w:firstLine="480" w:firstLineChars="200"/>
              <w:rPr>
                <w:kern w:val="2"/>
                <w:sz w:val="24"/>
                <w:szCs w:val="24"/>
              </w:rPr>
            </w:pPr>
            <w:r>
              <w:rPr>
                <w:rFonts w:hint="eastAsia"/>
                <w:sz w:val="24"/>
                <w:szCs w:val="24"/>
              </w:rPr>
              <w:t>回水系统及排泥系统：</w:t>
            </w:r>
            <w:r>
              <w:rPr>
                <w:sz w:val="24"/>
                <w:szCs w:val="24"/>
              </w:rPr>
              <w:t>将絮凝沉淀池排泥水和滤池反冲洗废水分别处理，滤池反冲洗水进入回收水池，通过水泵直接输送至进水混合井进行回用，底泥排至浓缩池；絮凝沉淀池排泥水进入专用排泥池，污泥采用重力浓缩池进行浓缩处理，污泥脱水设备采用离心式污泥脱水机，脱水上清液进进入排泥池进行再处理，浓缩池上清液排入市政污水管网。</w:t>
            </w:r>
          </w:p>
          <w:p>
            <w:pPr>
              <w:spacing w:line="360" w:lineRule="auto"/>
              <w:ind w:firstLine="480" w:firstLineChars="200"/>
              <w:jc w:val="left"/>
              <w:rPr>
                <w:b/>
                <w:kern w:val="2"/>
                <w:sz w:val="24"/>
                <w:szCs w:val="24"/>
              </w:rPr>
            </w:pPr>
            <w:r>
              <w:rPr>
                <w:rFonts w:hint="eastAsia"/>
                <w:b/>
                <w:kern w:val="2"/>
                <w:sz w:val="24"/>
                <w:szCs w:val="24"/>
              </w:rPr>
              <w:t>二、原有工程污染物排放情况</w:t>
            </w:r>
          </w:p>
          <w:p>
            <w:pPr>
              <w:spacing w:line="360" w:lineRule="auto"/>
              <w:ind w:firstLine="480" w:firstLineChars="200"/>
              <w:rPr>
                <w:kern w:val="2"/>
                <w:sz w:val="24"/>
                <w:szCs w:val="24"/>
              </w:rPr>
            </w:pPr>
            <w:r>
              <w:rPr>
                <w:rFonts w:hint="eastAsia"/>
                <w:kern w:val="2"/>
                <w:sz w:val="24"/>
                <w:szCs w:val="24"/>
              </w:rPr>
              <w:t>1、废水</w:t>
            </w:r>
          </w:p>
          <w:p>
            <w:pPr>
              <w:spacing w:line="360" w:lineRule="auto"/>
              <w:ind w:firstLine="480" w:firstLineChars="200"/>
              <w:rPr>
                <w:kern w:val="2"/>
                <w:sz w:val="24"/>
                <w:szCs w:val="24"/>
              </w:rPr>
            </w:pPr>
            <w:r>
              <w:rPr>
                <w:rFonts w:hint="eastAsia"/>
                <w:kern w:val="2"/>
                <w:sz w:val="24"/>
                <w:szCs w:val="24"/>
              </w:rPr>
              <w:t>主要废水为生产废水及员工生活废水。</w:t>
            </w:r>
          </w:p>
        </w:tc>
      </w:tr>
    </w:tbl>
    <w:p>
      <w:pPr>
        <w:sectPr>
          <w:footerReference w:type="even" r:id="rId58"/>
          <w:footerReference w:type="default" r:id="rId59"/>
          <w:footerReference w:type="first" r:id="rId60"/>
          <w:type w:val="nextPage"/>
          <w:pgSz w:w="11907" w:h="16840"/>
          <w:pgMar w:top="1418" w:right="1418" w:bottom="1418" w:left="1418" w:header="851" w:footer="680" w:gutter="113"/>
          <w:pgNumType w:start="13"/>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517"/>
          <w:jc w:val="center"/>
        </w:trPr>
        <w:tc>
          <w:tcPr>
            <w:tcW w:w="8916" w:type="dxa"/>
          </w:tcPr>
          <w:p>
            <w:pPr>
              <w:spacing w:line="360" w:lineRule="auto"/>
              <w:ind w:firstLine="480" w:firstLineChars="200"/>
              <w:rPr>
                <w:rFonts w:hint="eastAsia"/>
                <w:kern w:val="2"/>
                <w:sz w:val="24"/>
                <w:szCs w:val="24"/>
              </w:rPr>
            </w:pPr>
            <w:r>
              <w:rPr>
                <w:rFonts w:hint="eastAsia"/>
                <w:kern w:val="2"/>
                <w:sz w:val="24"/>
                <w:szCs w:val="24"/>
              </w:rPr>
              <w:t>根据</w:t>
            </w:r>
            <w:r>
              <w:rPr>
                <w:sz w:val="24"/>
              </w:rPr>
              <w:t>《江西省城市生活用水定额》（DB36/T419-2017），</w:t>
            </w:r>
            <w:r>
              <w:rPr>
                <w:rFonts w:hint="eastAsia"/>
                <w:sz w:val="24"/>
              </w:rPr>
              <w:t>办公</w:t>
            </w:r>
            <w:r>
              <w:rPr>
                <w:sz w:val="24"/>
              </w:rPr>
              <w:t>用水定额取50L/d人，</w:t>
            </w:r>
            <w:r>
              <w:rPr>
                <w:rFonts w:hint="eastAsia"/>
                <w:sz w:val="24"/>
              </w:rPr>
              <w:t>现有厂区有员工</w:t>
            </w:r>
            <w:r>
              <w:rPr>
                <w:sz w:val="24"/>
              </w:rPr>
              <w:t>20</w:t>
            </w:r>
            <w:r>
              <w:rPr>
                <w:rFonts w:hint="eastAsia"/>
                <w:sz w:val="24"/>
              </w:rPr>
              <w:t>人，用水定额为1</w:t>
            </w:r>
            <w:r>
              <w:rPr>
                <w:sz w:val="24"/>
              </w:rPr>
              <w:t>m</w:t>
            </w:r>
            <w:r>
              <w:rPr>
                <w:sz w:val="24"/>
                <w:vertAlign w:val="superscript"/>
              </w:rPr>
              <w:t>3</w:t>
            </w:r>
            <w:r>
              <w:rPr>
                <w:sz w:val="24"/>
              </w:rPr>
              <w:t>/d</w:t>
            </w:r>
            <w:r>
              <w:rPr>
                <w:rFonts w:hint="eastAsia"/>
                <w:sz w:val="24"/>
              </w:rPr>
              <w:t>，废水按用水的8</w:t>
            </w:r>
            <w:r>
              <w:rPr>
                <w:sz w:val="24"/>
              </w:rPr>
              <w:t>0%</w:t>
            </w:r>
            <w:r>
              <w:rPr>
                <w:rFonts w:hint="eastAsia"/>
                <w:sz w:val="24"/>
              </w:rPr>
              <w:t>计，办公生活用水为0</w:t>
            </w:r>
            <w:r>
              <w:rPr>
                <w:sz w:val="24"/>
              </w:rPr>
              <w:t>.8m</w:t>
            </w:r>
            <w:r>
              <w:rPr>
                <w:sz w:val="24"/>
                <w:vertAlign w:val="superscript"/>
              </w:rPr>
              <w:t>3</w:t>
            </w:r>
            <w:r>
              <w:rPr>
                <w:sz w:val="24"/>
              </w:rPr>
              <w:t>/d</w:t>
            </w:r>
            <w:r>
              <w:rPr>
                <w:rFonts w:hint="eastAsia"/>
                <w:sz w:val="24"/>
              </w:rPr>
              <w:t>（</w:t>
            </w:r>
            <w:r>
              <w:rPr>
                <w:sz w:val="24"/>
              </w:rPr>
              <w:t>2</w:t>
            </w:r>
            <w:r>
              <w:rPr>
                <w:rFonts w:hint="eastAsia"/>
                <w:sz w:val="24"/>
              </w:rPr>
              <w:t>9</w:t>
            </w:r>
            <w:r>
              <w:rPr>
                <w:sz w:val="24"/>
              </w:rPr>
              <w:t>2m</w:t>
            </w:r>
            <w:r>
              <w:rPr>
                <w:sz w:val="24"/>
                <w:vertAlign w:val="superscript"/>
              </w:rPr>
              <w:t>3</w:t>
            </w:r>
            <w:r>
              <w:rPr>
                <w:sz w:val="24"/>
              </w:rPr>
              <w:t>/d</w:t>
            </w:r>
            <w:r>
              <w:rPr>
                <w:rFonts w:hint="eastAsia"/>
                <w:sz w:val="24"/>
              </w:rPr>
              <w:t>）。</w:t>
            </w:r>
          </w:p>
          <w:p>
            <w:pPr>
              <w:snapToGrid w:val="0"/>
              <w:spacing w:line="360" w:lineRule="auto"/>
              <w:ind w:firstLine="480" w:firstLineChars="200"/>
              <w:rPr>
                <w:color w:val="000000" w:themeColor="text1"/>
                <w:sz w:val="24"/>
                <w:szCs w:val="24"/>
                <w14:textFill>
                  <w14:solidFill>
                    <w14:schemeClr w14:val="tx1"/>
                  </w14:solidFill>
                </w14:textFill>
              </w:rPr>
            </w:pPr>
            <w:r>
              <w:rPr>
                <w:rFonts w:hint="eastAsia"/>
                <w:sz w:val="24"/>
              </w:rPr>
              <w:t>根据原有工程运行情况，</w:t>
            </w:r>
            <w:r>
              <w:rPr>
                <w:sz w:val="24"/>
                <w:szCs w:val="24"/>
              </w:rPr>
              <w:t>絮凝池均为1天排泥一次，排泥量按排完泥斗容积内水量估算</w:t>
            </w:r>
            <w:r>
              <w:rPr>
                <w:color w:val="000000" w:themeColor="text1"/>
                <w:sz w:val="24"/>
                <w:szCs w:val="24"/>
                <w14:textFill>
                  <w14:solidFill>
                    <w14:schemeClr w14:val="tx1"/>
                  </w14:solidFill>
                </w14:textFill>
              </w:rPr>
              <w:t>，10万m</w:t>
            </w:r>
            <w:r>
              <w:rPr>
                <w:color w:val="000000" w:themeColor="text1"/>
                <w:sz w:val="24"/>
                <w:szCs w:val="24"/>
                <w:vertAlign w:val="superscript"/>
                <w14:textFill>
                  <w14:solidFill>
                    <w14:schemeClr w14:val="tx1"/>
                  </w14:solidFill>
                </w14:textFill>
              </w:rPr>
              <w:t>3</w:t>
            </w:r>
            <w:r>
              <w:rPr>
                <w:color w:val="000000" w:themeColor="text1"/>
                <w:sz w:val="24"/>
                <w:szCs w:val="24"/>
                <w14:textFill>
                  <w14:solidFill>
                    <w14:schemeClr w14:val="tx1"/>
                  </w14:solidFill>
                </w14:textFill>
              </w:rPr>
              <w:t>/d规模</w:t>
            </w:r>
            <w:r>
              <w:rPr>
                <w:rFonts w:hint="eastAsia"/>
                <w:color w:val="000000" w:themeColor="text1"/>
                <w:sz w:val="24"/>
                <w:szCs w:val="24"/>
                <w14:textFill>
                  <w14:solidFill>
                    <w14:schemeClr w14:val="tx1"/>
                  </w14:solidFill>
                </w14:textFill>
              </w:rPr>
              <w:t>的絮凝池</w:t>
            </w:r>
            <w:r>
              <w:rPr>
                <w:color w:val="000000" w:themeColor="text1"/>
                <w:sz w:val="24"/>
                <w:szCs w:val="24"/>
                <w14:textFill>
                  <w14:solidFill>
                    <w14:schemeClr w14:val="tx1"/>
                  </w14:solidFill>
                </w14:textFill>
              </w:rPr>
              <w:t>每日</w:t>
            </w:r>
            <w:r>
              <w:rPr>
                <w:rFonts w:hint="eastAsia"/>
                <w:color w:val="000000" w:themeColor="text1"/>
                <w:sz w:val="24"/>
                <w:szCs w:val="24"/>
                <w14:textFill>
                  <w14:solidFill>
                    <w14:schemeClr w14:val="tx1"/>
                  </w14:solidFill>
                </w14:textFill>
              </w:rPr>
              <w:t>排泥</w:t>
            </w:r>
            <w:r>
              <w:rPr>
                <w:color w:val="000000" w:themeColor="text1"/>
                <w:sz w:val="24"/>
                <w:szCs w:val="24"/>
                <w14:textFill>
                  <w14:solidFill>
                    <w14:schemeClr w14:val="tx1"/>
                  </w14:solidFill>
                </w14:textFill>
              </w:rPr>
              <w:t>量</w:t>
            </w:r>
            <w:r>
              <w:rPr>
                <w:rFonts w:hint="eastAsia"/>
                <w:color w:val="000000" w:themeColor="text1"/>
                <w:sz w:val="24"/>
                <w:szCs w:val="24"/>
                <w14:textFill>
                  <w14:solidFill>
                    <w14:schemeClr w14:val="tx1"/>
                  </w14:solidFill>
                </w14:textFill>
              </w:rPr>
              <w:t>为</w:t>
            </w:r>
            <w:r>
              <w:rPr>
                <w:color w:val="000000" w:themeColor="text1"/>
                <w:sz w:val="24"/>
                <w:szCs w:val="24"/>
                <w14:textFill>
                  <w14:solidFill>
                    <w14:schemeClr w14:val="tx1"/>
                  </w14:solidFill>
                </w14:textFill>
              </w:rPr>
              <w:t>240m</w:t>
            </w:r>
            <w:r>
              <w:rPr>
                <w:color w:val="000000" w:themeColor="text1"/>
                <w:sz w:val="24"/>
                <w:szCs w:val="24"/>
                <w:vertAlign w:val="superscript"/>
                <w14:textFill>
                  <w14:solidFill>
                    <w14:schemeClr w14:val="tx1"/>
                  </w14:solidFill>
                </w14:textFill>
              </w:rPr>
              <w:t>3</w:t>
            </w:r>
            <w:r>
              <w:rPr>
                <w:rFonts w:hint="eastAsia"/>
                <w:color w:val="000000" w:themeColor="text1"/>
                <w:sz w:val="24"/>
                <w:szCs w:val="24"/>
                <w14:textFill>
                  <w14:solidFill>
                    <w14:schemeClr w14:val="tx1"/>
                  </w14:solidFill>
                </w14:textFill>
              </w:rPr>
              <w:t>。</w:t>
            </w:r>
          </w:p>
          <w:p>
            <w:pPr>
              <w:pStyle w:val="Default"/>
              <w:spacing w:line="360" w:lineRule="auto"/>
              <w:ind w:firstLine="480" w:firstLineChars="200"/>
              <w:jc w:val="both"/>
              <w:rPr>
                <w:rFonts w:ascii="Times New Roman" w:eastAsia="宋体" w:hAnsi="Times New Roman" w:hint="default"/>
                <w:color w:themeColor="text1"/>
                <w14:textFill>
                  <w14:solidFill>
                    <w14:schemeClr w14:val="tx1"/>
                  </w14:solidFill>
                </w14:textFill>
              </w:rPr>
            </w:pPr>
            <w:r>
              <w:rPr>
                <w:rFonts w:ascii="Times New Roman" w:eastAsia="宋体" w:hAnsi="Times New Roman" w:hint="default"/>
                <w:color w:val="000000" w:themeColor="text1"/>
                <w14:textFill>
                  <w14:solidFill>
                    <w14:schemeClr w14:val="tx1"/>
                  </w14:solidFill>
                </w14:textFill>
              </w:rPr>
              <w:t>根据原有工程运行情况，沉淀池每日排泥一次，排泥桁车排泥泵最大排水量210m</w:t>
            </w:r>
            <w:r>
              <w:rPr>
                <w:rFonts w:ascii="Times New Roman" w:eastAsia="宋体" w:hAnsi="Times New Roman" w:hint="default"/>
                <w:color w:val="000000" w:themeColor="text1"/>
                <w:vertAlign w:val="superscript"/>
                <w14:textFill>
                  <w14:solidFill>
                    <w14:schemeClr w14:val="tx1"/>
                  </w14:solidFill>
                </w14:textFill>
              </w:rPr>
              <w:t>3</w:t>
            </w:r>
            <w:r>
              <w:rPr>
                <w:rFonts w:ascii="Times New Roman" w:eastAsia="宋体" w:hAnsi="Times New Roman" w:hint="default"/>
                <w:color w:val="000000" w:themeColor="text1"/>
                <w14:textFill>
                  <w14:solidFill>
                    <w14:schemeClr w14:val="tx1"/>
                  </w14:solidFill>
                </w14:textFill>
              </w:rPr>
              <w:t>/h，沉淀池长100m，一次排泥时间3.3小时（桁车行走速度1.0m/min），一次排泥</w:t>
            </w:r>
            <w:r>
              <w:rPr>
                <w:rFonts w:ascii="Times New Roman" w:eastAsia="宋体" w:hAnsi="Times New Roman"/>
                <w:color w:val="000000" w:themeColor="text1"/>
                <w14:textFill>
                  <w14:solidFill>
                    <w14:schemeClr w14:val="tx1"/>
                  </w14:solidFill>
                </w14:textFill>
              </w:rPr>
              <w:t>水</w:t>
            </w:r>
            <w:r>
              <w:rPr>
                <w:rFonts w:ascii="Times New Roman" w:eastAsia="宋体" w:hAnsi="Times New Roman" w:hint="default"/>
                <w:color w:val="000000" w:themeColor="text1"/>
                <w14:textFill>
                  <w14:solidFill>
                    <w14:schemeClr w14:val="tx1"/>
                  </w14:solidFill>
                </w14:textFill>
              </w:rPr>
              <w:t>量1400m</w:t>
            </w:r>
            <w:r>
              <w:rPr>
                <w:rFonts w:ascii="Times New Roman" w:eastAsia="宋体" w:hAnsi="Times New Roman" w:hint="default"/>
                <w:color w:val="000000" w:themeColor="text1"/>
                <w:vertAlign w:val="superscript"/>
                <w14:textFill>
                  <w14:solidFill>
                    <w14:schemeClr w14:val="tx1"/>
                  </w14:solidFill>
                </w14:textFill>
              </w:rPr>
              <w:t>3</w:t>
            </w:r>
            <w:r>
              <w:rPr>
                <w:rFonts w:ascii="Times New Roman" w:eastAsia="宋体" w:hAnsi="Times New Roman"/>
                <w:color w:val="000000" w:themeColor="text1"/>
                <w14:textFill>
                  <w14:solidFill>
                    <w14:schemeClr w14:val="tx1"/>
                  </w14:solidFill>
                </w14:textFill>
              </w:rPr>
              <w:t>，合计</w:t>
            </w:r>
            <w:r>
              <w:rPr>
                <w:rFonts w:ascii="Times New Roman" w:eastAsia="宋体" w:hAnsi="Times New Roman" w:hint="default"/>
                <w:color w:val="000000" w:themeColor="text1"/>
                <w14:textFill>
                  <w14:solidFill>
                    <w14:schemeClr w14:val="tx1"/>
                  </w14:solidFill>
                </w14:textFill>
              </w:rPr>
              <w:t>排泥水量为</w:t>
            </w:r>
            <w:r>
              <w:rPr>
                <w:rFonts w:ascii="Times New Roman" w:hAnsi="Times New Roman" w:hint="default"/>
                <w:color w:val="000000" w:themeColor="text1"/>
                <w14:textFill>
                  <w14:solidFill>
                    <w14:schemeClr w14:val="tx1"/>
                  </w14:solidFill>
                </w14:textFill>
              </w:rPr>
              <w:t>164</w:t>
            </w:r>
            <w:r>
              <w:rPr>
                <w:rFonts w:ascii="Times New Roman" w:eastAsia="宋体" w:hAnsi="Times New Roman" w:hint="default"/>
                <w:color w:val="000000" w:themeColor="text1"/>
                <w14:textFill>
                  <w14:solidFill>
                    <w14:schemeClr w14:val="tx1"/>
                  </w14:solidFill>
                </w14:textFill>
              </w:rPr>
              <w:t>0</w:t>
            </w:r>
            <w:r>
              <w:rPr>
                <w:rFonts w:ascii="Times New Roman" w:hAnsi="Times New Roman" w:hint="default"/>
                <w:color w:val="000000" w:themeColor="text1"/>
                <w:szCs w:val="24"/>
                <w14:textFill>
                  <w14:solidFill>
                    <w14:schemeClr w14:val="tx1"/>
                  </w14:solidFill>
                </w14:textFill>
              </w:rPr>
              <w:t>m</w:t>
            </w:r>
            <w:r>
              <w:rPr>
                <w:rFonts w:ascii="Times New Roman" w:hAnsi="Times New Roman" w:hint="default"/>
                <w:color w:val="000000" w:themeColor="text1"/>
                <w:szCs w:val="24"/>
                <w:vertAlign w:val="superscript"/>
                <w14:textFill>
                  <w14:solidFill>
                    <w14:schemeClr w14:val="tx1"/>
                  </w14:solidFill>
                </w14:textFill>
              </w:rPr>
              <w:t>3</w:t>
            </w:r>
            <w:r>
              <w:rPr>
                <w:rFonts w:ascii="Times New Roman" w:hAnsi="Times New Roman" w:hint="default"/>
                <w:color w:val="000000" w:themeColor="text1"/>
                <w:szCs w:val="24"/>
                <w14:textFill>
                  <w14:solidFill>
                    <w14:schemeClr w14:val="tx1"/>
                  </w14:solidFill>
                </w14:textFill>
              </w:rPr>
              <w:t>/d。</w:t>
            </w:r>
          </w:p>
          <w:p>
            <w:pPr>
              <w:spacing w:line="360" w:lineRule="auto"/>
              <w:ind w:firstLine="480" w:firstLineChars="200"/>
              <w:rPr>
                <w:kern w:val="2"/>
                <w:sz w:val="24"/>
                <w:szCs w:val="24"/>
              </w:rPr>
            </w:pPr>
            <w:r>
              <w:rPr>
                <w:rFonts w:hint="eastAsia"/>
                <w:kern w:val="2"/>
                <w:sz w:val="24"/>
                <w:szCs w:val="24"/>
              </w:rPr>
              <w:t>废水排放情况如表7示。</w:t>
            </w:r>
          </w:p>
          <w:p>
            <w:pPr>
              <w:jc w:val="center"/>
              <w:rPr>
                <w:b/>
              </w:rPr>
            </w:pPr>
            <w:r>
              <w:rPr>
                <w:b/>
              </w:rPr>
              <w:t>表</w:t>
            </w:r>
            <w:r>
              <w:rPr>
                <w:rFonts w:hint="eastAsia"/>
                <w:b/>
              </w:rPr>
              <w:t>7</w:t>
            </w:r>
            <w:r>
              <w:rPr>
                <w:b/>
              </w:rPr>
              <w:t xml:space="preserve"> </w:t>
            </w:r>
            <w:r>
              <w:rPr>
                <w:rFonts w:hint="eastAsia"/>
                <w:b/>
              </w:rPr>
              <w:t>原有工程</w:t>
            </w:r>
            <w:r>
              <w:rPr>
                <w:b/>
              </w:rPr>
              <w:t>污染物排放情况</w:t>
            </w:r>
          </w:p>
          <w:tbl>
            <w:tblPr>
              <w:tblStyle w:val="TableNormal"/>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82"/>
              <w:gridCol w:w="1976"/>
              <w:gridCol w:w="1202"/>
              <w:gridCol w:w="1275"/>
              <w:gridCol w:w="1020"/>
              <w:gridCol w:w="1065"/>
            </w:tblGrid>
            <w:tr>
              <w:tblPrEx>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2"/>
                <w:jc w:val="center"/>
              </w:trPr>
              <w:tc>
                <w:tcPr>
                  <w:tcW w:w="2282" w:type="dxa"/>
                  <w:vAlign w:val="center"/>
                </w:tcPr>
                <w:p>
                  <w:pPr>
                    <w:autoSpaceDE w:val="0"/>
                    <w:autoSpaceDN w:val="0"/>
                    <w:snapToGrid w:val="0"/>
                    <w:jc w:val="center"/>
                    <w:rPr>
                      <w:b/>
                      <w:snapToGrid w:val="0"/>
                    </w:rPr>
                  </w:pPr>
                  <w:r>
                    <w:rPr>
                      <w:b/>
                      <w:snapToGrid w:val="0"/>
                    </w:rPr>
                    <w:t>污水量</w:t>
                  </w:r>
                </w:p>
              </w:tc>
              <w:tc>
                <w:tcPr>
                  <w:tcW w:w="1976" w:type="dxa"/>
                  <w:vAlign w:val="center"/>
                </w:tcPr>
                <w:p>
                  <w:pPr>
                    <w:autoSpaceDE w:val="0"/>
                    <w:autoSpaceDN w:val="0"/>
                    <w:snapToGrid w:val="0"/>
                    <w:jc w:val="center"/>
                    <w:rPr>
                      <w:b/>
                      <w:snapToGrid w:val="0"/>
                    </w:rPr>
                  </w:pPr>
                  <w:r>
                    <w:rPr>
                      <w:b/>
                      <w:snapToGrid w:val="0"/>
                    </w:rPr>
                    <w:t>污染物</w:t>
                  </w:r>
                </w:p>
              </w:tc>
              <w:tc>
                <w:tcPr>
                  <w:tcW w:w="1202" w:type="dxa"/>
                  <w:vAlign w:val="center"/>
                </w:tcPr>
                <w:p>
                  <w:pPr>
                    <w:autoSpaceDE w:val="0"/>
                    <w:autoSpaceDN w:val="0"/>
                    <w:snapToGrid w:val="0"/>
                    <w:jc w:val="center"/>
                    <w:rPr>
                      <w:b/>
                      <w:snapToGrid w:val="0"/>
                    </w:rPr>
                  </w:pPr>
                  <w:r>
                    <w:rPr>
                      <w:b/>
                      <w:snapToGrid w:val="0"/>
                    </w:rPr>
                    <w:t>COD</w:t>
                  </w:r>
                  <w:r>
                    <w:rPr>
                      <w:b/>
                      <w:snapToGrid w:val="0"/>
                      <w:vertAlign w:val="subscript"/>
                    </w:rPr>
                    <w:t>cr</w:t>
                  </w:r>
                </w:p>
              </w:tc>
              <w:tc>
                <w:tcPr>
                  <w:tcW w:w="1275" w:type="dxa"/>
                  <w:vAlign w:val="center"/>
                </w:tcPr>
                <w:p>
                  <w:pPr>
                    <w:autoSpaceDE w:val="0"/>
                    <w:autoSpaceDN w:val="0"/>
                    <w:snapToGrid w:val="0"/>
                    <w:jc w:val="center"/>
                    <w:rPr>
                      <w:b/>
                      <w:snapToGrid w:val="0"/>
                    </w:rPr>
                  </w:pPr>
                  <w:r>
                    <w:rPr>
                      <w:b/>
                      <w:snapToGrid w:val="0"/>
                    </w:rPr>
                    <w:t>BOD</w:t>
                  </w:r>
                  <w:r>
                    <w:rPr>
                      <w:b/>
                      <w:snapToGrid w:val="0"/>
                      <w:vertAlign w:val="subscript"/>
                    </w:rPr>
                    <w:t>5</w:t>
                  </w:r>
                </w:p>
              </w:tc>
              <w:tc>
                <w:tcPr>
                  <w:tcW w:w="1020" w:type="dxa"/>
                  <w:vAlign w:val="center"/>
                </w:tcPr>
                <w:p>
                  <w:pPr>
                    <w:autoSpaceDE w:val="0"/>
                    <w:autoSpaceDN w:val="0"/>
                    <w:snapToGrid w:val="0"/>
                    <w:jc w:val="center"/>
                    <w:rPr>
                      <w:b/>
                      <w:snapToGrid w:val="0"/>
                    </w:rPr>
                  </w:pPr>
                  <w:r>
                    <w:rPr>
                      <w:b/>
                      <w:snapToGrid w:val="0"/>
                    </w:rPr>
                    <w:t>SS</w:t>
                  </w:r>
                </w:p>
              </w:tc>
              <w:tc>
                <w:tcPr>
                  <w:tcW w:w="1065" w:type="dxa"/>
                  <w:vAlign w:val="center"/>
                </w:tcPr>
                <w:p>
                  <w:pPr>
                    <w:autoSpaceDE w:val="0"/>
                    <w:autoSpaceDN w:val="0"/>
                    <w:snapToGrid w:val="0"/>
                    <w:jc w:val="center"/>
                    <w:rPr>
                      <w:b/>
                      <w:snapToGrid w:val="0"/>
                    </w:rPr>
                  </w:pPr>
                  <w:r>
                    <w:rPr>
                      <w:b/>
                      <w:snapToGrid w:val="0"/>
                    </w:rPr>
                    <w:t>氨氮</w:t>
                  </w:r>
                </w:p>
              </w:tc>
            </w:tr>
            <w:tr>
              <w:tblPrEx>
                <w:tblW w:w="8820" w:type="dxa"/>
                <w:jc w:val="center"/>
                <w:tblLayout w:type="fixed"/>
                <w:tblCellMar>
                  <w:top w:w="0" w:type="dxa"/>
                  <w:left w:w="108" w:type="dxa"/>
                  <w:bottom w:w="0" w:type="dxa"/>
                  <w:right w:w="108" w:type="dxa"/>
                </w:tblCellMar>
              </w:tblPrEx>
              <w:trPr>
                <w:trHeight w:val="280"/>
                <w:jc w:val="center"/>
              </w:trPr>
              <w:tc>
                <w:tcPr>
                  <w:tcW w:w="2282" w:type="dxa"/>
                  <w:vMerge w:val="restart"/>
                  <w:vAlign w:val="center"/>
                </w:tcPr>
                <w:p>
                  <w:pPr>
                    <w:autoSpaceDE w:val="0"/>
                    <w:autoSpaceDN w:val="0"/>
                    <w:snapToGrid w:val="0"/>
                    <w:jc w:val="center"/>
                    <w:rPr>
                      <w:snapToGrid w:val="0"/>
                      <w:szCs w:val="21"/>
                    </w:rPr>
                  </w:pPr>
                  <w:r>
                    <w:rPr>
                      <w:snapToGrid w:val="0"/>
                      <w:szCs w:val="21"/>
                    </w:rPr>
                    <w:t>生活污水</w:t>
                  </w:r>
                </w:p>
                <w:p>
                  <w:pPr>
                    <w:autoSpaceDE w:val="0"/>
                    <w:autoSpaceDN w:val="0"/>
                    <w:snapToGrid w:val="0"/>
                    <w:jc w:val="center"/>
                    <w:rPr>
                      <w:snapToGrid w:val="0"/>
                    </w:rPr>
                  </w:pPr>
                  <w:r>
                    <w:rPr>
                      <w:rFonts w:hint="eastAsia"/>
                      <w:szCs w:val="21"/>
                    </w:rPr>
                    <w:t>0</w:t>
                  </w:r>
                  <w:r>
                    <w:rPr>
                      <w:szCs w:val="21"/>
                    </w:rPr>
                    <w:t>.8m</w:t>
                  </w:r>
                  <w:r>
                    <w:rPr>
                      <w:szCs w:val="21"/>
                      <w:vertAlign w:val="superscript"/>
                    </w:rPr>
                    <w:t>3</w:t>
                  </w:r>
                  <w:r>
                    <w:rPr>
                      <w:szCs w:val="21"/>
                    </w:rPr>
                    <w:t>/d</w:t>
                  </w:r>
                  <w:r>
                    <w:rPr>
                      <w:rFonts w:hint="eastAsia"/>
                      <w:szCs w:val="21"/>
                    </w:rPr>
                    <w:t>（</w:t>
                  </w:r>
                  <w:r>
                    <w:rPr>
                      <w:szCs w:val="21"/>
                    </w:rPr>
                    <w:t>2</w:t>
                  </w:r>
                  <w:r>
                    <w:rPr>
                      <w:rFonts w:hint="eastAsia"/>
                      <w:szCs w:val="21"/>
                    </w:rPr>
                    <w:t>9</w:t>
                  </w:r>
                  <w:r>
                    <w:rPr>
                      <w:szCs w:val="21"/>
                    </w:rPr>
                    <w:t>2m</w:t>
                  </w:r>
                  <w:r>
                    <w:rPr>
                      <w:szCs w:val="21"/>
                      <w:vertAlign w:val="superscript"/>
                    </w:rPr>
                    <w:t>3</w:t>
                  </w:r>
                  <w:r>
                    <w:rPr>
                      <w:szCs w:val="21"/>
                    </w:rPr>
                    <w:t>/d</w:t>
                  </w:r>
                  <w:r>
                    <w:rPr>
                      <w:rFonts w:hint="eastAsia"/>
                      <w:szCs w:val="21"/>
                    </w:rPr>
                    <w:t>）</w:t>
                  </w:r>
                </w:p>
              </w:tc>
              <w:tc>
                <w:tcPr>
                  <w:tcW w:w="1976" w:type="dxa"/>
                  <w:vAlign w:val="center"/>
                </w:tcPr>
                <w:p>
                  <w:pPr>
                    <w:autoSpaceDE w:val="0"/>
                    <w:autoSpaceDN w:val="0"/>
                    <w:snapToGrid w:val="0"/>
                    <w:jc w:val="center"/>
                    <w:rPr>
                      <w:snapToGrid w:val="0"/>
                    </w:rPr>
                  </w:pPr>
                  <w:r>
                    <w:rPr>
                      <w:rFonts w:hint="eastAsia"/>
                      <w:snapToGrid w:val="0"/>
                    </w:rPr>
                    <w:t>排放</w:t>
                  </w:r>
                  <w:r>
                    <w:rPr>
                      <w:snapToGrid w:val="0"/>
                    </w:rPr>
                    <w:t>浓度</w:t>
                  </w:r>
                </w:p>
              </w:tc>
              <w:tc>
                <w:tcPr>
                  <w:tcW w:w="1202" w:type="dxa"/>
                  <w:vAlign w:val="center"/>
                </w:tcPr>
                <w:p>
                  <w:pPr>
                    <w:jc w:val="center"/>
                    <w:rPr>
                      <w:szCs w:val="21"/>
                    </w:rPr>
                  </w:pPr>
                  <w:r>
                    <w:rPr>
                      <w:rFonts w:hint="eastAsia"/>
                      <w:szCs w:val="21"/>
                    </w:rPr>
                    <w:t>250</w:t>
                  </w:r>
                </w:p>
              </w:tc>
              <w:tc>
                <w:tcPr>
                  <w:tcW w:w="1275" w:type="dxa"/>
                  <w:vAlign w:val="center"/>
                </w:tcPr>
                <w:p>
                  <w:pPr>
                    <w:jc w:val="center"/>
                    <w:rPr>
                      <w:szCs w:val="21"/>
                    </w:rPr>
                  </w:pPr>
                  <w:r>
                    <w:rPr>
                      <w:szCs w:val="21"/>
                    </w:rPr>
                    <w:t>150</w:t>
                  </w:r>
                </w:p>
              </w:tc>
              <w:tc>
                <w:tcPr>
                  <w:tcW w:w="1020" w:type="dxa"/>
                  <w:vAlign w:val="center"/>
                </w:tcPr>
                <w:p>
                  <w:pPr>
                    <w:jc w:val="center"/>
                    <w:rPr>
                      <w:szCs w:val="21"/>
                    </w:rPr>
                  </w:pPr>
                  <w:r>
                    <w:rPr>
                      <w:rFonts w:hint="eastAsia"/>
                      <w:szCs w:val="21"/>
                    </w:rPr>
                    <w:t>150</w:t>
                  </w:r>
                </w:p>
              </w:tc>
              <w:tc>
                <w:tcPr>
                  <w:tcW w:w="1065" w:type="dxa"/>
                  <w:vAlign w:val="center"/>
                </w:tcPr>
                <w:p>
                  <w:pPr>
                    <w:jc w:val="center"/>
                    <w:rPr>
                      <w:szCs w:val="21"/>
                    </w:rPr>
                  </w:pPr>
                  <w:r>
                    <w:rPr>
                      <w:szCs w:val="21"/>
                    </w:rPr>
                    <w:t>25</w:t>
                  </w:r>
                </w:p>
              </w:tc>
            </w:tr>
            <w:tr>
              <w:tblPrEx>
                <w:tblW w:w="8820" w:type="dxa"/>
                <w:jc w:val="center"/>
                <w:tblLayout w:type="fixed"/>
                <w:tblCellMar>
                  <w:top w:w="0" w:type="dxa"/>
                  <w:left w:w="108" w:type="dxa"/>
                  <w:bottom w:w="0" w:type="dxa"/>
                  <w:right w:w="108" w:type="dxa"/>
                </w:tblCellMar>
              </w:tblPrEx>
              <w:trPr>
                <w:trHeight w:val="346"/>
                <w:jc w:val="center"/>
              </w:trPr>
              <w:tc>
                <w:tcPr>
                  <w:tcW w:w="2282" w:type="dxa"/>
                  <w:vMerge/>
                  <w:vAlign w:val="center"/>
                </w:tcPr>
                <w:p>
                  <w:pPr>
                    <w:autoSpaceDE w:val="0"/>
                    <w:autoSpaceDN w:val="0"/>
                    <w:snapToGrid w:val="0"/>
                    <w:jc w:val="center"/>
                    <w:rPr>
                      <w:snapToGrid w:val="0"/>
                    </w:rPr>
                  </w:pPr>
                </w:p>
              </w:tc>
              <w:tc>
                <w:tcPr>
                  <w:tcW w:w="1976" w:type="dxa"/>
                  <w:vAlign w:val="center"/>
                </w:tcPr>
                <w:p>
                  <w:pPr>
                    <w:autoSpaceDE w:val="0"/>
                    <w:autoSpaceDN w:val="0"/>
                    <w:snapToGrid w:val="0"/>
                    <w:jc w:val="center"/>
                    <w:rPr>
                      <w:snapToGrid w:val="0"/>
                    </w:rPr>
                  </w:pPr>
                  <w:r>
                    <w:rPr>
                      <w:snapToGrid w:val="0"/>
                    </w:rPr>
                    <w:t>排放量（t/a）</w:t>
                  </w:r>
                </w:p>
              </w:tc>
              <w:tc>
                <w:tcPr>
                  <w:tcW w:w="1202" w:type="dxa"/>
                  <w:vAlign w:val="center"/>
                </w:tcPr>
                <w:p>
                  <w:pPr>
                    <w:jc w:val="center"/>
                    <w:rPr>
                      <w:szCs w:val="21"/>
                    </w:rPr>
                  </w:pPr>
                  <w:r>
                    <w:rPr>
                      <w:rFonts w:hint="eastAsia"/>
                      <w:szCs w:val="21"/>
                    </w:rPr>
                    <w:t>0.</w:t>
                  </w:r>
                  <w:r>
                    <w:rPr>
                      <w:szCs w:val="21"/>
                    </w:rPr>
                    <w:t>073</w:t>
                  </w:r>
                </w:p>
              </w:tc>
              <w:tc>
                <w:tcPr>
                  <w:tcW w:w="1275" w:type="dxa"/>
                  <w:vAlign w:val="center"/>
                </w:tcPr>
                <w:p>
                  <w:pPr>
                    <w:jc w:val="center"/>
                    <w:rPr>
                      <w:szCs w:val="21"/>
                    </w:rPr>
                  </w:pPr>
                  <w:r>
                    <w:rPr>
                      <w:szCs w:val="21"/>
                    </w:rPr>
                    <w:t>0.044</w:t>
                  </w:r>
                </w:p>
              </w:tc>
              <w:tc>
                <w:tcPr>
                  <w:tcW w:w="1020" w:type="dxa"/>
                  <w:vAlign w:val="center"/>
                </w:tcPr>
                <w:p>
                  <w:pPr>
                    <w:jc w:val="center"/>
                    <w:rPr>
                      <w:szCs w:val="21"/>
                    </w:rPr>
                  </w:pPr>
                  <w:r>
                    <w:rPr>
                      <w:szCs w:val="21"/>
                    </w:rPr>
                    <w:t>0.044</w:t>
                  </w:r>
                </w:p>
              </w:tc>
              <w:tc>
                <w:tcPr>
                  <w:tcW w:w="1065" w:type="dxa"/>
                  <w:vAlign w:val="center"/>
                </w:tcPr>
                <w:p>
                  <w:pPr>
                    <w:jc w:val="center"/>
                    <w:rPr>
                      <w:szCs w:val="21"/>
                    </w:rPr>
                  </w:pPr>
                  <w:r>
                    <w:rPr>
                      <w:rFonts w:hint="eastAsia"/>
                      <w:szCs w:val="21"/>
                    </w:rPr>
                    <w:t>0.0</w:t>
                  </w:r>
                  <w:r>
                    <w:rPr>
                      <w:szCs w:val="21"/>
                    </w:rPr>
                    <w:t>07</w:t>
                  </w:r>
                </w:p>
              </w:tc>
            </w:tr>
            <w:tr>
              <w:tblPrEx>
                <w:tblW w:w="8820" w:type="dxa"/>
                <w:jc w:val="center"/>
                <w:tblLayout w:type="fixed"/>
                <w:tblCellMar>
                  <w:top w:w="0" w:type="dxa"/>
                  <w:left w:w="108" w:type="dxa"/>
                  <w:bottom w:w="0" w:type="dxa"/>
                  <w:right w:w="108" w:type="dxa"/>
                </w:tblCellMar>
              </w:tblPrEx>
              <w:trPr>
                <w:trHeight w:val="342"/>
                <w:jc w:val="center"/>
              </w:trPr>
              <w:tc>
                <w:tcPr>
                  <w:tcW w:w="2282" w:type="dxa"/>
                  <w:vMerge w:val="restart"/>
                  <w:vAlign w:val="center"/>
                </w:tcPr>
                <w:p>
                  <w:pPr>
                    <w:autoSpaceDE w:val="0"/>
                    <w:autoSpaceDN w:val="0"/>
                    <w:snapToGrid w:val="0"/>
                    <w:jc w:val="center"/>
                    <w:rPr>
                      <w:snapToGrid w:val="0"/>
                    </w:rPr>
                  </w:pPr>
                  <w:r>
                    <w:rPr>
                      <w:rFonts w:hint="eastAsia"/>
                      <w:snapToGrid w:val="0"/>
                    </w:rPr>
                    <w:t>生产废水</w:t>
                  </w:r>
                </w:p>
                <w:p>
                  <w:pPr>
                    <w:autoSpaceDE w:val="0"/>
                    <w:autoSpaceDN w:val="0"/>
                    <w:snapToGrid w:val="0"/>
                    <w:jc w:val="center"/>
                    <w:rPr>
                      <w:snapToGrid w:val="0"/>
                    </w:rPr>
                  </w:pPr>
                  <w:r>
                    <w:rPr>
                      <w:rFonts w:hint="eastAsia"/>
                      <w:szCs w:val="21"/>
                    </w:rPr>
                    <w:t>1</w:t>
                  </w:r>
                  <w:r>
                    <w:rPr>
                      <w:szCs w:val="21"/>
                    </w:rPr>
                    <w:t>640m</w:t>
                  </w:r>
                  <w:r>
                    <w:rPr>
                      <w:szCs w:val="21"/>
                      <w:vertAlign w:val="superscript"/>
                    </w:rPr>
                    <w:t>3</w:t>
                  </w:r>
                  <w:r>
                    <w:rPr>
                      <w:szCs w:val="21"/>
                    </w:rPr>
                    <w:t>/d</w:t>
                  </w:r>
                  <w:r>
                    <w:rPr>
                      <w:rFonts w:hint="eastAsia"/>
                      <w:snapToGrid w:val="0"/>
                    </w:rPr>
                    <w:t>（</w:t>
                  </w:r>
                  <w:r>
                    <w:rPr>
                      <w:snapToGrid w:val="0"/>
                    </w:rPr>
                    <w:t>598600</w:t>
                  </w:r>
                  <w:r>
                    <w:rPr>
                      <w:rFonts w:hint="eastAsia"/>
                      <w:snapToGrid w:val="0"/>
                    </w:rPr>
                    <w:t>m</w:t>
                  </w:r>
                  <w:r>
                    <w:rPr>
                      <w:rFonts w:hint="eastAsia"/>
                      <w:snapToGrid w:val="0"/>
                      <w:vertAlign w:val="superscript"/>
                    </w:rPr>
                    <w:t>3</w:t>
                  </w:r>
                  <w:r>
                    <w:rPr>
                      <w:rFonts w:hint="eastAsia"/>
                      <w:snapToGrid w:val="0"/>
                    </w:rPr>
                    <w:t>/a）</w:t>
                  </w:r>
                </w:p>
              </w:tc>
              <w:tc>
                <w:tcPr>
                  <w:tcW w:w="1976" w:type="dxa"/>
                  <w:vAlign w:val="center"/>
                </w:tcPr>
                <w:p>
                  <w:pPr>
                    <w:autoSpaceDE w:val="0"/>
                    <w:autoSpaceDN w:val="0"/>
                    <w:snapToGrid w:val="0"/>
                    <w:jc w:val="center"/>
                    <w:rPr>
                      <w:snapToGrid w:val="0"/>
                    </w:rPr>
                  </w:pPr>
                  <w:r>
                    <w:rPr>
                      <w:snapToGrid w:val="0"/>
                    </w:rPr>
                    <w:t>排放浓度（mg/l）</w:t>
                  </w:r>
                </w:p>
              </w:tc>
              <w:tc>
                <w:tcPr>
                  <w:tcW w:w="1202" w:type="dxa"/>
                  <w:vAlign w:val="center"/>
                </w:tcPr>
                <w:p>
                  <w:pPr>
                    <w:jc w:val="center"/>
                    <w:rPr>
                      <w:szCs w:val="21"/>
                    </w:rPr>
                  </w:pPr>
                  <w:r>
                    <w:rPr>
                      <w:szCs w:val="21"/>
                    </w:rPr>
                    <w:t>/</w:t>
                  </w:r>
                </w:p>
              </w:tc>
              <w:tc>
                <w:tcPr>
                  <w:tcW w:w="1275" w:type="dxa"/>
                  <w:vAlign w:val="center"/>
                </w:tcPr>
                <w:p>
                  <w:pPr>
                    <w:jc w:val="center"/>
                    <w:rPr>
                      <w:szCs w:val="21"/>
                    </w:rPr>
                  </w:pPr>
                  <w:r>
                    <w:rPr>
                      <w:rFonts w:hint="eastAsia"/>
                      <w:szCs w:val="21"/>
                    </w:rPr>
                    <w:t>/</w:t>
                  </w:r>
                </w:p>
              </w:tc>
              <w:tc>
                <w:tcPr>
                  <w:tcW w:w="1020" w:type="dxa"/>
                  <w:vAlign w:val="center"/>
                </w:tcPr>
                <w:p>
                  <w:pPr>
                    <w:jc w:val="center"/>
                    <w:rPr>
                      <w:szCs w:val="21"/>
                    </w:rPr>
                  </w:pPr>
                  <w:r>
                    <w:rPr>
                      <w:szCs w:val="21"/>
                    </w:rPr>
                    <w:t>150</w:t>
                  </w:r>
                </w:p>
              </w:tc>
              <w:tc>
                <w:tcPr>
                  <w:tcW w:w="1065" w:type="dxa"/>
                  <w:vAlign w:val="center"/>
                </w:tcPr>
                <w:p>
                  <w:pPr>
                    <w:jc w:val="center"/>
                    <w:rPr>
                      <w:szCs w:val="21"/>
                    </w:rPr>
                  </w:pPr>
                  <w:r>
                    <w:rPr>
                      <w:rFonts w:hint="eastAsia"/>
                      <w:szCs w:val="21"/>
                    </w:rPr>
                    <w:t>/</w:t>
                  </w:r>
                </w:p>
              </w:tc>
            </w:tr>
            <w:tr>
              <w:tblPrEx>
                <w:tblW w:w="8820" w:type="dxa"/>
                <w:jc w:val="center"/>
                <w:tblLayout w:type="fixed"/>
                <w:tblCellMar>
                  <w:top w:w="0" w:type="dxa"/>
                  <w:left w:w="108" w:type="dxa"/>
                  <w:bottom w:w="0" w:type="dxa"/>
                  <w:right w:w="108" w:type="dxa"/>
                </w:tblCellMar>
              </w:tblPrEx>
              <w:trPr>
                <w:trHeight w:val="342"/>
                <w:jc w:val="center"/>
              </w:trPr>
              <w:tc>
                <w:tcPr>
                  <w:tcW w:w="2282" w:type="dxa"/>
                  <w:vMerge/>
                  <w:vAlign w:val="center"/>
                </w:tcPr>
                <w:p>
                  <w:pPr>
                    <w:autoSpaceDE w:val="0"/>
                    <w:autoSpaceDN w:val="0"/>
                    <w:snapToGrid w:val="0"/>
                    <w:jc w:val="center"/>
                    <w:rPr>
                      <w:snapToGrid w:val="0"/>
                      <w:szCs w:val="21"/>
                    </w:rPr>
                  </w:pPr>
                </w:p>
              </w:tc>
              <w:tc>
                <w:tcPr>
                  <w:tcW w:w="1976" w:type="dxa"/>
                  <w:vAlign w:val="center"/>
                </w:tcPr>
                <w:p>
                  <w:pPr>
                    <w:autoSpaceDE w:val="0"/>
                    <w:autoSpaceDN w:val="0"/>
                    <w:snapToGrid w:val="0"/>
                    <w:jc w:val="center"/>
                    <w:rPr>
                      <w:snapToGrid w:val="0"/>
                    </w:rPr>
                  </w:pPr>
                  <w:r>
                    <w:rPr>
                      <w:snapToGrid w:val="0"/>
                    </w:rPr>
                    <w:t>排放量（t/a）</w:t>
                  </w:r>
                </w:p>
              </w:tc>
              <w:tc>
                <w:tcPr>
                  <w:tcW w:w="1202" w:type="dxa"/>
                  <w:vAlign w:val="center"/>
                </w:tcPr>
                <w:p>
                  <w:pPr>
                    <w:jc w:val="center"/>
                    <w:rPr>
                      <w:szCs w:val="21"/>
                    </w:rPr>
                  </w:pPr>
                  <w:r>
                    <w:rPr>
                      <w:szCs w:val="21"/>
                    </w:rPr>
                    <w:t>/</w:t>
                  </w:r>
                </w:p>
              </w:tc>
              <w:tc>
                <w:tcPr>
                  <w:tcW w:w="1275" w:type="dxa"/>
                  <w:vAlign w:val="center"/>
                </w:tcPr>
                <w:p>
                  <w:pPr>
                    <w:jc w:val="center"/>
                    <w:rPr>
                      <w:szCs w:val="21"/>
                    </w:rPr>
                  </w:pPr>
                  <w:r>
                    <w:rPr>
                      <w:rFonts w:hint="eastAsia"/>
                      <w:szCs w:val="21"/>
                    </w:rPr>
                    <w:t>/</w:t>
                  </w:r>
                </w:p>
              </w:tc>
              <w:tc>
                <w:tcPr>
                  <w:tcW w:w="1020" w:type="dxa"/>
                  <w:vAlign w:val="center"/>
                </w:tcPr>
                <w:p>
                  <w:pPr>
                    <w:jc w:val="center"/>
                    <w:rPr>
                      <w:szCs w:val="21"/>
                    </w:rPr>
                  </w:pPr>
                  <w:r>
                    <w:rPr>
                      <w:szCs w:val="21"/>
                    </w:rPr>
                    <w:t>89.79</w:t>
                  </w:r>
                </w:p>
              </w:tc>
              <w:tc>
                <w:tcPr>
                  <w:tcW w:w="1065" w:type="dxa"/>
                  <w:vAlign w:val="center"/>
                </w:tcPr>
                <w:p>
                  <w:pPr>
                    <w:jc w:val="center"/>
                    <w:rPr>
                      <w:szCs w:val="21"/>
                    </w:rPr>
                  </w:pPr>
                  <w:r>
                    <w:rPr>
                      <w:rFonts w:hint="eastAsia"/>
                      <w:szCs w:val="21"/>
                    </w:rPr>
                    <w:t>/</w:t>
                  </w:r>
                </w:p>
              </w:tc>
            </w:tr>
            <w:tr>
              <w:tblPrEx>
                <w:tblW w:w="8820" w:type="dxa"/>
                <w:jc w:val="center"/>
                <w:tblLayout w:type="fixed"/>
                <w:tblCellMar>
                  <w:top w:w="0" w:type="dxa"/>
                  <w:left w:w="108" w:type="dxa"/>
                  <w:bottom w:w="0" w:type="dxa"/>
                  <w:right w:w="108" w:type="dxa"/>
                </w:tblCellMar>
              </w:tblPrEx>
              <w:trPr>
                <w:trHeight w:val="342"/>
                <w:jc w:val="center"/>
              </w:trPr>
              <w:tc>
                <w:tcPr>
                  <w:tcW w:w="2282" w:type="dxa"/>
                  <w:vMerge w:val="restart"/>
                  <w:vAlign w:val="center"/>
                </w:tcPr>
                <w:p>
                  <w:pPr>
                    <w:autoSpaceDE w:val="0"/>
                    <w:autoSpaceDN w:val="0"/>
                    <w:snapToGrid w:val="0"/>
                    <w:jc w:val="center"/>
                    <w:rPr>
                      <w:snapToGrid w:val="0"/>
                    </w:rPr>
                  </w:pPr>
                  <w:r>
                    <w:rPr>
                      <w:rFonts w:hint="eastAsia"/>
                      <w:snapToGrid w:val="0"/>
                    </w:rPr>
                    <w:t>综合废水</w:t>
                  </w:r>
                </w:p>
                <w:p>
                  <w:pPr>
                    <w:autoSpaceDE w:val="0"/>
                    <w:autoSpaceDN w:val="0"/>
                    <w:snapToGrid w:val="0"/>
                    <w:jc w:val="center"/>
                    <w:rPr>
                      <w:snapToGrid w:val="0"/>
                    </w:rPr>
                  </w:pPr>
                  <w:r>
                    <w:rPr>
                      <w:snapToGrid w:val="0"/>
                    </w:rPr>
                    <w:t>598892</w:t>
                  </w:r>
                  <w:r>
                    <w:rPr>
                      <w:rFonts w:hint="eastAsia"/>
                      <w:snapToGrid w:val="0"/>
                    </w:rPr>
                    <w:t>m</w:t>
                  </w:r>
                  <w:r>
                    <w:rPr>
                      <w:rFonts w:hint="eastAsia"/>
                      <w:snapToGrid w:val="0"/>
                      <w:vertAlign w:val="superscript"/>
                    </w:rPr>
                    <w:t>3</w:t>
                  </w:r>
                  <w:r>
                    <w:rPr>
                      <w:rFonts w:hint="eastAsia"/>
                      <w:snapToGrid w:val="0"/>
                    </w:rPr>
                    <w:t>/a</w:t>
                  </w:r>
                </w:p>
              </w:tc>
              <w:tc>
                <w:tcPr>
                  <w:tcW w:w="1976" w:type="dxa"/>
                  <w:vAlign w:val="center"/>
                </w:tcPr>
                <w:p>
                  <w:pPr>
                    <w:autoSpaceDE w:val="0"/>
                    <w:autoSpaceDN w:val="0"/>
                    <w:snapToGrid w:val="0"/>
                    <w:jc w:val="center"/>
                    <w:rPr>
                      <w:snapToGrid w:val="0"/>
                    </w:rPr>
                  </w:pPr>
                  <w:r>
                    <w:rPr>
                      <w:snapToGrid w:val="0"/>
                    </w:rPr>
                    <w:t>排放浓度（mg/l）</w:t>
                  </w:r>
                </w:p>
              </w:tc>
              <w:tc>
                <w:tcPr>
                  <w:tcW w:w="1202" w:type="dxa"/>
                  <w:vAlign w:val="center"/>
                </w:tcPr>
                <w:p>
                  <w:pPr>
                    <w:widowControl/>
                    <w:jc w:val="center"/>
                    <w:rPr>
                      <w:rFonts w:eastAsia="等线"/>
                      <w:color w:val="000000"/>
                      <w:szCs w:val="21"/>
                    </w:rPr>
                  </w:pPr>
                  <w:r>
                    <w:rPr>
                      <w:rFonts w:eastAsia="等线" w:hint="eastAsia"/>
                      <w:color w:val="000000"/>
                      <w:szCs w:val="21"/>
                    </w:rPr>
                    <w:t>/</w:t>
                  </w:r>
                </w:p>
              </w:tc>
              <w:tc>
                <w:tcPr>
                  <w:tcW w:w="1275" w:type="dxa"/>
                  <w:vAlign w:val="center"/>
                </w:tcPr>
                <w:p>
                  <w:pPr>
                    <w:jc w:val="center"/>
                    <w:rPr>
                      <w:rFonts w:eastAsia="等线"/>
                      <w:color w:val="000000"/>
                      <w:szCs w:val="21"/>
                    </w:rPr>
                  </w:pPr>
                  <w:r>
                    <w:rPr>
                      <w:rFonts w:eastAsia="等线"/>
                      <w:color w:val="000000"/>
                      <w:szCs w:val="21"/>
                    </w:rPr>
                    <w:t>/</w:t>
                  </w:r>
                </w:p>
              </w:tc>
              <w:tc>
                <w:tcPr>
                  <w:tcW w:w="1020" w:type="dxa"/>
                  <w:vAlign w:val="center"/>
                </w:tcPr>
                <w:p>
                  <w:pPr>
                    <w:jc w:val="center"/>
                    <w:rPr>
                      <w:rFonts w:eastAsia="等线"/>
                      <w:color w:val="000000"/>
                      <w:szCs w:val="21"/>
                    </w:rPr>
                  </w:pPr>
                  <w:r>
                    <w:rPr>
                      <w:rFonts w:eastAsia="等线"/>
                      <w:color w:val="000000"/>
                      <w:szCs w:val="21"/>
                    </w:rPr>
                    <w:t>150</w:t>
                  </w:r>
                </w:p>
              </w:tc>
              <w:tc>
                <w:tcPr>
                  <w:tcW w:w="1065" w:type="dxa"/>
                  <w:vAlign w:val="center"/>
                </w:tcPr>
                <w:p>
                  <w:pPr>
                    <w:jc w:val="center"/>
                    <w:rPr>
                      <w:rFonts w:eastAsia="等线"/>
                      <w:color w:val="000000"/>
                      <w:szCs w:val="21"/>
                    </w:rPr>
                  </w:pPr>
                  <w:r>
                    <w:rPr>
                      <w:rFonts w:eastAsia="等线" w:hint="eastAsia"/>
                      <w:color w:val="000000"/>
                      <w:szCs w:val="21"/>
                    </w:rPr>
                    <w:t>0.029</w:t>
                  </w:r>
                </w:p>
              </w:tc>
            </w:tr>
            <w:tr>
              <w:tblPrEx>
                <w:tblW w:w="8820" w:type="dxa"/>
                <w:jc w:val="center"/>
                <w:tblLayout w:type="fixed"/>
                <w:tblCellMar>
                  <w:top w:w="0" w:type="dxa"/>
                  <w:left w:w="108" w:type="dxa"/>
                  <w:bottom w:w="0" w:type="dxa"/>
                  <w:right w:w="108" w:type="dxa"/>
                </w:tblCellMar>
              </w:tblPrEx>
              <w:trPr>
                <w:trHeight w:val="342"/>
                <w:jc w:val="center"/>
              </w:trPr>
              <w:tc>
                <w:tcPr>
                  <w:tcW w:w="2282" w:type="dxa"/>
                  <w:vMerge/>
                  <w:vAlign w:val="center"/>
                </w:tcPr>
                <w:p>
                  <w:pPr>
                    <w:autoSpaceDE w:val="0"/>
                    <w:autoSpaceDN w:val="0"/>
                    <w:snapToGrid w:val="0"/>
                    <w:jc w:val="center"/>
                    <w:rPr>
                      <w:snapToGrid w:val="0"/>
                    </w:rPr>
                  </w:pPr>
                </w:p>
              </w:tc>
              <w:tc>
                <w:tcPr>
                  <w:tcW w:w="1976" w:type="dxa"/>
                  <w:vAlign w:val="center"/>
                </w:tcPr>
                <w:p>
                  <w:pPr>
                    <w:autoSpaceDE w:val="0"/>
                    <w:autoSpaceDN w:val="0"/>
                    <w:snapToGrid w:val="0"/>
                    <w:jc w:val="center"/>
                    <w:rPr>
                      <w:snapToGrid w:val="0"/>
                    </w:rPr>
                  </w:pPr>
                  <w:r>
                    <w:rPr>
                      <w:snapToGrid w:val="0"/>
                    </w:rPr>
                    <w:t>排放量（t/a）</w:t>
                  </w:r>
                </w:p>
              </w:tc>
              <w:tc>
                <w:tcPr>
                  <w:tcW w:w="1202" w:type="dxa"/>
                  <w:vAlign w:val="center"/>
                </w:tcPr>
                <w:p>
                  <w:pPr>
                    <w:widowControl/>
                    <w:jc w:val="center"/>
                    <w:rPr>
                      <w:rFonts w:eastAsia="等线"/>
                      <w:color w:val="000000"/>
                      <w:szCs w:val="21"/>
                    </w:rPr>
                  </w:pPr>
                  <w:r>
                    <w:rPr>
                      <w:rFonts w:hint="eastAsia"/>
                      <w:szCs w:val="21"/>
                    </w:rPr>
                    <w:t>0.</w:t>
                  </w:r>
                  <w:r>
                    <w:rPr>
                      <w:szCs w:val="21"/>
                    </w:rPr>
                    <w:t>073</w:t>
                  </w:r>
                </w:p>
              </w:tc>
              <w:tc>
                <w:tcPr>
                  <w:tcW w:w="1275" w:type="dxa"/>
                  <w:vAlign w:val="center"/>
                </w:tcPr>
                <w:p>
                  <w:pPr>
                    <w:jc w:val="center"/>
                    <w:rPr>
                      <w:rFonts w:eastAsia="等线"/>
                      <w:color w:val="000000"/>
                      <w:szCs w:val="21"/>
                    </w:rPr>
                  </w:pPr>
                  <w:r>
                    <w:rPr>
                      <w:szCs w:val="21"/>
                    </w:rPr>
                    <w:t>0.044</w:t>
                  </w:r>
                </w:p>
              </w:tc>
              <w:tc>
                <w:tcPr>
                  <w:tcW w:w="1020" w:type="dxa"/>
                  <w:vAlign w:val="center"/>
                </w:tcPr>
                <w:p>
                  <w:pPr>
                    <w:jc w:val="center"/>
                    <w:rPr>
                      <w:rFonts w:eastAsia="等线"/>
                      <w:color w:val="000000"/>
                      <w:szCs w:val="21"/>
                    </w:rPr>
                  </w:pPr>
                  <w:r>
                    <w:rPr>
                      <w:rFonts w:eastAsia="等线"/>
                      <w:color w:val="000000"/>
                      <w:szCs w:val="21"/>
                    </w:rPr>
                    <w:t>89.83</w:t>
                  </w:r>
                </w:p>
              </w:tc>
              <w:tc>
                <w:tcPr>
                  <w:tcW w:w="1065" w:type="dxa"/>
                  <w:vAlign w:val="center"/>
                </w:tcPr>
                <w:p>
                  <w:pPr>
                    <w:jc w:val="center"/>
                    <w:rPr>
                      <w:rFonts w:eastAsia="等线"/>
                      <w:color w:val="000000"/>
                      <w:szCs w:val="21"/>
                    </w:rPr>
                  </w:pPr>
                  <w:r>
                    <w:rPr>
                      <w:rFonts w:eastAsia="等线"/>
                      <w:color w:val="000000"/>
                      <w:szCs w:val="21"/>
                    </w:rPr>
                    <w:t>0.007</w:t>
                  </w:r>
                </w:p>
              </w:tc>
            </w:tr>
          </w:tbl>
          <w:p>
            <w:pPr>
              <w:spacing w:line="360" w:lineRule="auto"/>
              <w:ind w:firstLine="480" w:firstLineChars="200"/>
              <w:rPr>
                <w:snapToGrid w:val="0"/>
                <w:kern w:val="18"/>
                <w:sz w:val="24"/>
                <w:szCs w:val="24"/>
              </w:rPr>
            </w:pPr>
            <w:r>
              <w:rPr>
                <w:sz w:val="24"/>
              </w:rPr>
              <w:t>由上表可知，</w:t>
            </w:r>
            <w:r>
              <w:rPr>
                <w:sz w:val="24"/>
                <w:lang w:val="en-GB"/>
              </w:rPr>
              <w:t>现阶段外排废水水质处理后达到</w:t>
            </w:r>
            <w:r>
              <w:rPr>
                <w:sz w:val="24"/>
              </w:rPr>
              <w:t>《污水综合排放标准》（GB8978-1996）表4</w:t>
            </w:r>
            <w:r>
              <w:rPr>
                <w:rFonts w:hint="eastAsia"/>
                <w:sz w:val="24"/>
              </w:rPr>
              <w:t>三</w:t>
            </w:r>
            <w:r>
              <w:rPr>
                <w:sz w:val="24"/>
              </w:rPr>
              <w:t>级</w:t>
            </w:r>
            <w:r>
              <w:rPr>
                <w:sz w:val="24"/>
                <w:lang w:val="en-GB"/>
              </w:rPr>
              <w:t>排放标准后，</w:t>
            </w:r>
            <w:r>
              <w:rPr>
                <w:rFonts w:hint="eastAsia"/>
                <w:sz w:val="24"/>
                <w:lang w:val="en-GB"/>
              </w:rPr>
              <w:t>排入市政污水管网，最终汇入抚河。</w:t>
            </w:r>
          </w:p>
          <w:p>
            <w:pPr>
              <w:spacing w:line="360" w:lineRule="auto"/>
              <w:ind w:firstLine="480" w:firstLineChars="200"/>
              <w:jc w:val="left"/>
              <w:rPr>
                <w:snapToGrid w:val="0"/>
                <w:kern w:val="18"/>
                <w:sz w:val="24"/>
                <w:szCs w:val="24"/>
              </w:rPr>
            </w:pPr>
            <w:r>
              <w:rPr>
                <w:rFonts w:hint="eastAsia"/>
                <w:snapToGrid w:val="0"/>
                <w:kern w:val="18"/>
                <w:sz w:val="24"/>
                <w:szCs w:val="24"/>
              </w:rPr>
              <w:t>2、废气</w:t>
            </w:r>
          </w:p>
          <w:p>
            <w:pPr>
              <w:spacing w:line="360" w:lineRule="auto"/>
              <w:ind w:firstLine="480" w:firstLineChars="200"/>
              <w:jc w:val="left"/>
              <w:rPr>
                <w:sz w:val="24"/>
                <w:szCs w:val="24"/>
              </w:rPr>
            </w:pPr>
            <w:r>
              <w:rPr>
                <w:rFonts w:hint="eastAsia"/>
                <w:sz w:val="24"/>
                <w:szCs w:val="24"/>
              </w:rPr>
              <w:t>本项目原有工程无废气污染物排放。</w:t>
            </w:r>
          </w:p>
          <w:p>
            <w:pPr>
              <w:spacing w:line="360" w:lineRule="auto"/>
              <w:ind w:firstLine="480" w:firstLineChars="200"/>
              <w:jc w:val="left"/>
              <w:rPr>
                <w:sz w:val="24"/>
                <w:szCs w:val="24"/>
              </w:rPr>
            </w:pPr>
            <w:r>
              <w:rPr>
                <w:rFonts w:hint="eastAsia"/>
                <w:sz w:val="24"/>
                <w:szCs w:val="24"/>
              </w:rPr>
              <w:t>3、噪声</w:t>
            </w:r>
          </w:p>
          <w:p>
            <w:pPr>
              <w:snapToGrid w:val="0"/>
              <w:spacing w:line="360" w:lineRule="auto"/>
              <w:ind w:firstLine="480" w:firstLineChars="200"/>
              <w:rPr>
                <w:sz w:val="24"/>
                <w:szCs w:val="24"/>
              </w:rPr>
            </w:pPr>
            <w:r>
              <w:rPr>
                <w:bCs/>
                <w:sz w:val="24"/>
                <w:szCs w:val="24"/>
              </w:rPr>
              <w:t>据现场踏勘，</w:t>
            </w:r>
            <w:r>
              <w:rPr>
                <w:rFonts w:hint="eastAsia"/>
                <w:bCs/>
                <w:sz w:val="24"/>
                <w:szCs w:val="24"/>
              </w:rPr>
              <w:t>现有工程噪声源主要为</w:t>
            </w:r>
            <w:r>
              <w:rPr>
                <w:bCs/>
                <w:sz w:val="24"/>
                <w:szCs w:val="24"/>
              </w:rPr>
              <w:t>加压泵</w:t>
            </w:r>
            <w:r>
              <w:rPr>
                <w:rFonts w:hint="eastAsia"/>
                <w:bCs/>
                <w:sz w:val="24"/>
                <w:szCs w:val="24"/>
              </w:rPr>
              <w:t>、加药泵等设备噪声，噪声源强在7</w:t>
            </w:r>
            <w:r>
              <w:rPr>
                <w:bCs/>
                <w:sz w:val="24"/>
                <w:szCs w:val="24"/>
              </w:rPr>
              <w:t>5</w:t>
            </w:r>
            <w:r>
              <w:rPr>
                <w:rFonts w:ascii="宋体" w:hAnsi="宋体" w:hint="eastAsia"/>
                <w:bCs/>
                <w:sz w:val="24"/>
                <w:szCs w:val="24"/>
              </w:rPr>
              <w:t>～</w:t>
            </w:r>
            <w:r>
              <w:rPr>
                <w:bCs/>
                <w:sz w:val="24"/>
                <w:szCs w:val="24"/>
              </w:rPr>
              <w:t>85dB（A</w:t>
            </w:r>
            <w:r>
              <w:rPr>
                <w:rFonts w:ascii="宋体" w:hAnsi="宋体" w:hint="eastAsia"/>
                <w:bCs/>
                <w:sz w:val="24"/>
                <w:szCs w:val="24"/>
              </w:rPr>
              <w:t>），现有工程主要设备采取了隔声、减震措施，</w:t>
            </w:r>
            <w:r>
              <w:rPr>
                <w:bCs/>
                <w:sz w:val="24"/>
                <w:szCs w:val="24"/>
              </w:rPr>
              <w:t>起到了降噪作用</w:t>
            </w:r>
            <w:r>
              <w:rPr>
                <w:rFonts w:hint="eastAsia"/>
                <w:bCs/>
                <w:sz w:val="24"/>
                <w:szCs w:val="24"/>
              </w:rPr>
              <w:t>，</w:t>
            </w:r>
            <w:r>
              <w:rPr>
                <w:sz w:val="24"/>
                <w:szCs w:val="24"/>
              </w:rPr>
              <w:t>厂界噪声可达到《工业企业厂界环境噪声排放标准》（GB12348-2008）中2类标准要求。</w:t>
            </w:r>
          </w:p>
          <w:p>
            <w:pPr>
              <w:spacing w:line="360" w:lineRule="auto"/>
              <w:ind w:firstLine="480" w:firstLineChars="200"/>
              <w:jc w:val="left"/>
              <w:rPr>
                <w:sz w:val="24"/>
                <w:szCs w:val="24"/>
              </w:rPr>
            </w:pPr>
            <w:r>
              <w:rPr>
                <w:rFonts w:hint="eastAsia"/>
                <w:sz w:val="24"/>
                <w:szCs w:val="24"/>
              </w:rPr>
              <w:t>4、固体废物</w:t>
            </w:r>
          </w:p>
          <w:p>
            <w:pPr>
              <w:snapToGrid w:val="0"/>
              <w:spacing w:line="360" w:lineRule="auto"/>
              <w:ind w:firstLine="480" w:firstLineChars="200"/>
              <w:rPr>
                <w:bCs/>
                <w:sz w:val="24"/>
              </w:rPr>
            </w:pPr>
            <w:r>
              <w:rPr>
                <w:rFonts w:hint="eastAsia"/>
                <w:bCs/>
                <w:sz w:val="24"/>
              </w:rPr>
              <w:t>现有工程产生的固废主要为污泥及生垃圾。污泥的产生量为</w:t>
            </w:r>
            <w:r>
              <w:rPr>
                <w:bCs/>
                <w:sz w:val="24"/>
              </w:rPr>
              <w:t>5657.5</w:t>
            </w:r>
            <w:r>
              <w:rPr>
                <w:rFonts w:hint="eastAsia"/>
                <w:bCs/>
                <w:sz w:val="24"/>
              </w:rPr>
              <w:t>t/a（含水率为</w:t>
            </w:r>
            <w:r>
              <w:rPr>
                <w:bCs/>
                <w:sz w:val="24"/>
              </w:rPr>
              <w:t>60</w:t>
            </w:r>
            <w:r>
              <w:rPr>
                <w:rFonts w:hint="eastAsia"/>
                <w:bCs/>
                <w:sz w:val="24"/>
              </w:rPr>
              <w:t>%），员工生活垃圾产生量为5.48t/a。</w:t>
            </w:r>
          </w:p>
          <w:p>
            <w:pPr>
              <w:snapToGrid w:val="0"/>
              <w:spacing w:line="360" w:lineRule="auto"/>
              <w:ind w:firstLine="480" w:firstLineChars="200"/>
              <w:rPr>
                <w:bCs/>
                <w:sz w:val="24"/>
              </w:rPr>
            </w:pPr>
            <w:r>
              <w:rPr>
                <w:rFonts w:hint="eastAsia"/>
                <w:bCs/>
                <w:sz w:val="24"/>
              </w:rPr>
              <w:t>污泥定期清掏外送至垃圾填埋场，生活垃圾统一由环卫部门清运处理，固废去向合理，对周边环境影响较小。</w:t>
            </w:r>
          </w:p>
          <w:p>
            <w:pPr>
              <w:spacing w:line="360" w:lineRule="auto"/>
              <w:ind w:firstLine="480" w:firstLineChars="200"/>
              <w:jc w:val="left"/>
              <w:rPr>
                <w:b/>
                <w:color w:val="000000" w:themeColor="text1"/>
                <w:kern w:val="2"/>
                <w:sz w:val="24"/>
                <w:szCs w:val="24"/>
                <w14:textFill>
                  <w14:solidFill>
                    <w14:schemeClr w14:val="tx1"/>
                  </w14:solidFill>
                </w14:textFill>
              </w:rPr>
            </w:pPr>
            <w:r>
              <w:rPr>
                <w:rFonts w:hint="eastAsia"/>
                <w:b/>
                <w:kern w:val="2"/>
                <w:sz w:val="24"/>
                <w:szCs w:val="24"/>
              </w:rPr>
              <w:t>三、原有</w:t>
            </w:r>
            <w:r>
              <w:rPr>
                <w:rFonts w:hint="eastAsia"/>
                <w:b/>
                <w:color w:val="000000" w:themeColor="text1"/>
                <w:kern w:val="2"/>
                <w:sz w:val="24"/>
                <w:szCs w:val="24"/>
                <w14:textFill>
                  <w14:solidFill>
                    <w14:schemeClr w14:val="tx1"/>
                  </w14:solidFill>
                </w14:textFill>
              </w:rPr>
              <w:t>工程环保问题及处理措施</w:t>
            </w:r>
          </w:p>
        </w:tc>
      </w:tr>
    </w:tbl>
    <w:p>
      <w:pPr>
        <w:sectPr>
          <w:footerReference w:type="even" r:id="rId61"/>
          <w:footerReference w:type="default" r:id="rId62"/>
          <w:footerReference w:type="first" r:id="rId63"/>
          <w:type w:val="nextPage"/>
          <w:pgSz w:w="11907" w:h="16840"/>
          <w:pgMar w:top="1418" w:right="1418" w:bottom="1418" w:left="1418" w:header="851" w:footer="680" w:gutter="113"/>
          <w:pgNumType w:start="14"/>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517"/>
          <w:jc w:val="center"/>
        </w:trPr>
        <w:tc>
          <w:tcPr>
            <w:tcW w:w="8916" w:type="dxa"/>
          </w:tcPr>
          <w:p>
            <w:pPr>
              <w:pStyle w:val="A43"/>
              <w:adjustRightInd w:val="0"/>
              <w:snapToGrid w:val="0"/>
              <w:spacing w:line="360" w:lineRule="auto"/>
              <w:rPr>
                <w:color w:val="000000" w:themeColor="text1"/>
                <w14:textFill>
                  <w14:solidFill>
                    <w14:schemeClr w14:val="tx1"/>
                  </w14:solidFill>
                </w14:textFill>
              </w:rPr>
            </w:pPr>
            <w:r>
              <w:rPr>
                <w:rFonts w:hAnsi="宋体" w:hint="eastAsia"/>
                <w:color w:val="000000" w:themeColor="text1"/>
                <w14:textFill>
                  <w14:solidFill>
                    <w14:schemeClr w14:val="tx1"/>
                  </w14:solidFill>
                </w14:textFill>
              </w:rPr>
              <w:t>本项目现有存在的问题主要为消毒工艺问题。现有消毒工艺采用液氯消毒，原有工程消毒工艺采用液氯作为消毒剂，由于</w:t>
            </w:r>
            <w:r>
              <w:rPr>
                <w:color w:val="000000" w:themeColor="text1"/>
                <w14:textFill>
                  <w14:solidFill>
                    <w14:schemeClr w14:val="tx1"/>
                  </w14:solidFill>
                </w14:textFill>
              </w:rPr>
              <w:t>由于氯气运输、管储方面的不安全；在投加方面，气体同水体的溶解性较低，容易散失，水中留存余量难以达到标准；氯气瓶气压不断变化，存在投加计量不够准确的问题；加之氯气等气体的极强扩散性对环境存在毒害作用，游离氯的高活性容易形成许多</w:t>
            </w:r>
            <w:r>
              <w:rPr>
                <w:rFonts w:hint="eastAsia"/>
                <w:color w:val="000000" w:themeColor="text1"/>
                <w14:textFill>
                  <w14:solidFill>
                    <w14:schemeClr w14:val="tx1"/>
                  </w14:solidFill>
                </w14:textFill>
              </w:rPr>
              <w:t>像</w:t>
            </w:r>
            <w:r>
              <w:rPr>
                <w:color w:val="000000" w:themeColor="text1"/>
                <w14:textFill>
                  <w14:solidFill>
                    <w14:schemeClr w14:val="tx1"/>
                  </w14:solidFill>
                </w14:textFill>
              </w:rPr>
              <w:t>四氯化碳一类的致癌物质</w:t>
            </w:r>
            <w:r>
              <w:rPr>
                <w:rFonts w:hint="eastAsia"/>
                <w:color w:val="000000" w:themeColor="text1"/>
                <w14:textFill>
                  <w14:solidFill>
                    <w14:schemeClr w14:val="tx1"/>
                  </w14:solidFill>
                </w14:textFill>
              </w:rPr>
              <w:t>。</w:t>
            </w:r>
          </w:p>
          <w:p>
            <w:pPr>
              <w:pStyle w:val="A43"/>
              <w:adjustRightInd w:val="0"/>
              <w:snapToGrid w:val="0"/>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考虑到液氯消毒的缺点，本次扩建对原有消毒工艺进行改造，采用次氯酸钠作为消毒剂。次氯酸钠由电解低浓度氯化钠溶液制备。</w:t>
            </w:r>
          </w:p>
          <w:p>
            <w:pPr>
              <w:pStyle w:val="A43"/>
              <w:adjustRightInd w:val="0"/>
              <w:snapToGrid w:val="0"/>
              <w:spacing w:line="360" w:lineRule="auto"/>
              <w:rPr>
                <w:rFonts w:hAnsi="宋体"/>
              </w:rPr>
            </w:pPr>
            <w:r>
              <w:rPr>
                <w:rFonts w:hAnsi="宋体" w:hint="eastAsia"/>
              </w:rPr>
              <w:t>本项目现有工程废水、废气、噪声经过相应的处理后可达标排放，适当的处理措施后，</w:t>
            </w:r>
            <w:r>
              <w:rPr>
                <w:rFonts w:hAnsi="宋体"/>
                <w:spacing w:val="-4"/>
              </w:rPr>
              <w:t>各种固废去向合理，不会造成二次污染</w:t>
            </w:r>
            <w:r>
              <w:rPr>
                <w:rFonts w:hAnsi="宋体" w:hint="eastAsia"/>
                <w:spacing w:val="-4"/>
              </w:rPr>
              <w:t>，</w:t>
            </w:r>
            <w:r>
              <w:rPr>
                <w:rFonts w:hAnsi="宋体" w:hint="eastAsia"/>
              </w:rPr>
              <w:t>现有工程现阶段无明显其他环保问题。厂区应加强管理，将各污染物对周边环境的影响把握在可控制范围内。</w:t>
            </w: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rPr>
                <w:rFonts w:hAnsi="宋体" w:hint="eastAsia"/>
              </w:rPr>
            </w:pPr>
          </w:p>
          <w:p>
            <w:pPr>
              <w:pStyle w:val="A43"/>
              <w:adjustRightInd w:val="0"/>
              <w:snapToGrid w:val="0"/>
              <w:spacing w:line="360" w:lineRule="auto"/>
              <w:rPr>
                <w:rFonts w:hAnsi="宋体"/>
              </w:rPr>
            </w:pPr>
          </w:p>
        </w:tc>
      </w:tr>
    </w:tbl>
    <w:p>
      <w:pPr>
        <w:sectPr>
          <w:footerReference w:type="even" r:id="rId64"/>
          <w:footerReference w:type="default" r:id="rId65"/>
          <w:footerReference w:type="first" r:id="rId66"/>
          <w:type w:val="nextPage"/>
          <w:pgSz w:w="11907" w:h="16840"/>
          <w:pgMar w:top="1418" w:right="1418" w:bottom="1418" w:left="1418" w:header="851" w:footer="680" w:gutter="113"/>
          <w:pgNumType w:start="15"/>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517"/>
          <w:jc w:val="center"/>
        </w:trPr>
        <w:tc>
          <w:tcPr>
            <w:tcW w:w="8916" w:type="dxa"/>
          </w:tcPr>
          <w:p>
            <w:pPr>
              <w:pStyle w:val="A43"/>
              <w:adjustRightInd w:val="0"/>
              <w:snapToGrid w:val="0"/>
              <w:spacing w:line="360" w:lineRule="auto"/>
              <w:rPr>
                <w:rFonts w:hAnsi="宋体"/>
              </w:rPr>
            </w:pPr>
          </w:p>
          <w:p>
            <w:pPr>
              <w:pStyle w:val="A43"/>
              <w:adjustRightInd w:val="0"/>
              <w:snapToGrid w:val="0"/>
              <w:spacing w:line="360" w:lineRule="auto"/>
              <w:rPr>
                <w:rFonts w:hAnsi="宋体"/>
              </w:rPr>
            </w:pPr>
          </w:p>
          <w:p>
            <w:pPr>
              <w:pStyle w:val="A43"/>
              <w:adjustRightInd w:val="0"/>
              <w:snapToGrid w:val="0"/>
              <w:spacing w:line="360" w:lineRule="auto"/>
              <w:ind w:firstLine="0" w:firstLineChars="0"/>
              <w:rPr>
                <w:rFonts w:hAnsi="宋体" w:hint="eastAsia"/>
              </w:rPr>
            </w:pPr>
          </w:p>
        </w:tc>
      </w:tr>
    </w:tbl>
    <w:p>
      <w:pPr>
        <w:sectPr>
          <w:footerReference w:type="even" r:id="rId67"/>
          <w:footerReference w:type="default" r:id="rId68"/>
          <w:footerReference w:type="first" r:id="rId69"/>
          <w:type w:val="nextPage"/>
          <w:pgSz w:w="11907" w:h="16840"/>
          <w:pgMar w:top="1418" w:right="1418" w:bottom="1418" w:left="1418" w:header="851" w:footer="680" w:gutter="113"/>
          <w:pgNumType w:start="16"/>
          <w:cols w:num="1" w:space="720"/>
          <w:titlePg w:val="0"/>
          <w:docGrid w:linePitch="286" w:charSpace="0"/>
        </w:sectPr>
      </w:pPr>
    </w:p>
    <w:p>
      <w:pPr>
        <w:adjustRightInd/>
        <w:spacing w:line="240" w:lineRule="auto"/>
        <w:outlineLvl w:val="0"/>
        <w:rPr>
          <w:b/>
          <w:kern w:val="21"/>
          <w:sz w:val="32"/>
          <w:szCs w:val="32"/>
        </w:rPr>
      </w:pPr>
      <w:bookmarkStart w:id="9" w:name="_Toc10330_WPSOffice_Level1"/>
      <w:r>
        <w:rPr>
          <w:b/>
          <w:kern w:val="21"/>
          <w:sz w:val="32"/>
          <w:szCs w:val="32"/>
        </w:rPr>
        <w:t>建设项目所在地自然环境社会环境简况</w:t>
      </w:r>
    </w:p>
    <w:tbl>
      <w:tblPr>
        <w:tblStyle w:val="TableNormal"/>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1982"/>
          <w:jc w:val="center"/>
        </w:trPr>
        <w:tc>
          <w:tcPr>
            <w:tcW w:w="8916" w:type="dxa"/>
          </w:tcPr>
          <w:p>
            <w:pPr>
              <w:snapToGrid w:val="0"/>
              <w:spacing w:line="360" w:lineRule="auto"/>
              <w:rPr>
                <w:kern w:val="21"/>
                <w:sz w:val="24"/>
                <w:szCs w:val="24"/>
              </w:rPr>
            </w:pPr>
            <w:bookmarkEnd w:id="9"/>
            <w:r>
              <w:rPr>
                <w:b/>
                <w:kern w:val="21"/>
                <w:sz w:val="24"/>
                <w:szCs w:val="24"/>
              </w:rPr>
              <w:t>自然环境简况（地形、地貌、地质、气候、气象、水文、植被、生物多样性）：</w:t>
            </w:r>
          </w:p>
          <w:p>
            <w:pPr>
              <w:pStyle w:val="Default1"/>
              <w:spacing w:line="360" w:lineRule="auto"/>
              <w:ind w:firstLine="480" w:firstLineChars="200"/>
              <w:rPr>
                <w:rFonts w:ascii="Times New Roman" w:cs="Times New Roman"/>
                <w:b/>
                <w:bCs/>
                <w:color w:val="auto"/>
              </w:rPr>
            </w:pPr>
            <w:r>
              <w:rPr>
                <w:rFonts w:ascii="Times New Roman" w:cs="Times New Roman"/>
                <w:b/>
                <w:bCs/>
                <w:color w:val="auto"/>
              </w:rPr>
              <w:t>一、地理位置</w:t>
            </w:r>
          </w:p>
          <w:p>
            <w:pPr>
              <w:pStyle w:val="Default1"/>
              <w:spacing w:line="360" w:lineRule="auto"/>
              <w:ind w:firstLine="480" w:firstLineChars="200"/>
              <w:jc w:val="both"/>
              <w:rPr>
                <w:rFonts w:ascii="Times New Roman" w:cs="Times New Roman"/>
                <w:color w:val="auto"/>
              </w:rPr>
            </w:pPr>
            <w:bookmarkStart w:id="10" w:name="_Toc260145287"/>
            <w:bookmarkStart w:id="11" w:name="_Toc260928840"/>
            <w:r>
              <w:rPr>
                <w:rFonts w:ascii="Times New Roman" w:cs="Times New Roman"/>
                <w:color w:val="auto"/>
              </w:rPr>
              <w:t>抚州市位于江西省东部，地处东经115°35′～117°18′，北纬26°29′～28°30′之间。东邻福建省建宁县、泰宁县、光泽县、邵武市，南接赣州市石城县、宁都县，西通吉安市永丰县、新干县和宜春市丰城市，北临鄱阳湖并与抚州市</w:t>
            </w:r>
            <w:r>
              <w:rPr>
                <w:rFonts w:ascii="Times New Roman" w:cs="Times New Roman" w:hint="eastAsia"/>
                <w:color w:val="auto"/>
              </w:rPr>
              <w:t>金</w:t>
            </w:r>
            <w:r>
              <w:rPr>
                <w:rFonts w:ascii="Times New Roman" w:cs="Times New Roman"/>
                <w:color w:val="auto"/>
              </w:rPr>
              <w:t>溪县、余干县和南昌市进贤县相连。地界轮廓略呈长方形，南北长约222公里，东西宽近169公里。全市国土面积18816.92平方公里，占全省总面积的11.27%。抚州中心城位于抚州市域的中部，地处东经116º04′～116°39′，北纬27º31′～28º14′之间，距省会城市南昌公路里程101公里。</w:t>
            </w:r>
          </w:p>
          <w:p>
            <w:pPr>
              <w:tabs>
                <w:tab w:val="left" w:pos="0"/>
              </w:tabs>
              <w:adjustRightInd/>
              <w:spacing w:line="360" w:lineRule="auto"/>
              <w:ind w:firstLine="480" w:firstLineChars="200"/>
              <w:rPr>
                <w:snapToGrid w:val="0"/>
                <w:spacing w:val="10"/>
                <w:kern w:val="2"/>
                <w:sz w:val="24"/>
                <w:szCs w:val="24"/>
                <w:highlight w:val="yellow"/>
              </w:rPr>
            </w:pPr>
            <w:r>
              <w:rPr>
                <w:rFonts w:cs="宋体" w:hint="eastAsia"/>
                <w:kern w:val="21"/>
                <w:sz w:val="24"/>
                <w:szCs w:val="24"/>
              </w:rPr>
              <w:t>本项目位于抚州市高新技术产业开发区抚州公用水务有限公司汝水大道6</w:t>
            </w:r>
            <w:r>
              <w:rPr>
                <w:rFonts w:cs="宋体"/>
                <w:kern w:val="21"/>
                <w:sz w:val="24"/>
                <w:szCs w:val="24"/>
              </w:rPr>
              <w:t>909</w:t>
            </w:r>
            <w:r>
              <w:rPr>
                <w:rFonts w:cs="宋体" w:hint="eastAsia"/>
                <w:kern w:val="21"/>
                <w:sz w:val="24"/>
                <w:szCs w:val="24"/>
              </w:rPr>
              <w:t>号</w:t>
            </w:r>
            <w:r>
              <w:rPr>
                <w:kern w:val="2"/>
                <w:sz w:val="24"/>
                <w:szCs w:val="22"/>
              </w:rPr>
              <w:t>。中心位置地理坐标：115°32′41.24″E，28°46′14.77″N</w:t>
            </w:r>
            <w:r>
              <w:rPr>
                <w:rFonts w:hint="eastAsia"/>
                <w:kern w:val="2"/>
                <w:sz w:val="24"/>
                <w:szCs w:val="22"/>
              </w:rPr>
              <w:t>。</w:t>
            </w:r>
          </w:p>
          <w:p>
            <w:pPr>
              <w:pStyle w:val="Default1"/>
              <w:spacing w:line="360" w:lineRule="auto"/>
              <w:ind w:firstLine="480" w:firstLineChars="200"/>
              <w:rPr>
                <w:rFonts w:ascii="Times New Roman" w:cs="Times New Roman"/>
                <w:b/>
                <w:bCs/>
                <w:color w:val="auto"/>
              </w:rPr>
            </w:pPr>
            <w:r>
              <w:rPr>
                <w:rFonts w:ascii="Times New Roman" w:cs="Times New Roman"/>
                <w:b/>
                <w:bCs/>
                <w:color w:val="auto"/>
              </w:rPr>
              <w:t>二、地形、地貌</w:t>
            </w:r>
            <w:bookmarkEnd w:id="10"/>
            <w:bookmarkEnd w:id="11"/>
          </w:p>
          <w:p>
            <w:pPr>
              <w:pStyle w:val="Default1"/>
              <w:spacing w:line="360" w:lineRule="auto"/>
              <w:ind w:firstLine="480" w:firstLineChars="200"/>
              <w:rPr>
                <w:rFonts w:ascii="Times New Roman" w:cs="Times New Roman"/>
                <w:color w:val="auto"/>
              </w:rPr>
            </w:pPr>
            <w:bookmarkStart w:id="12" w:name="_Toc260145288"/>
            <w:bookmarkStart w:id="13" w:name="_Toc260928841"/>
            <w:r>
              <w:rPr>
                <w:rFonts w:ascii="Times New Roman" w:cs="Times New Roman"/>
                <w:color w:val="auto"/>
              </w:rPr>
              <w:t>抚州市境内地势平坦，以河谷平原和河谷阶地为主要地貌类型，市区附近虽有少量岗地和低丘陵分布，但其岩性均为白垩系红层，不易诱发崩塌、滑坡、泥石流、地面塌陷等地质灾害，但地下水不能过量超采，以避免引起地面沉降。全市东南西三面环山，叠嶂逶迤；中部多丘陵山地，起伏绵延；西北接赣抚平原，一望无垠。全境以山地、丘陵为主，</w:t>
            </w:r>
            <w:r>
              <w:rPr>
                <w:rFonts w:ascii="Times New Roman" w:cs="Times New Roman" w:hint="eastAsia"/>
                <w:color w:val="auto"/>
              </w:rPr>
              <w:t>“</w:t>
            </w:r>
            <w:r>
              <w:rPr>
                <w:rFonts w:ascii="Times New Roman" w:cs="Times New Roman"/>
                <w:color w:val="auto"/>
              </w:rPr>
              <w:t>七山半水两分田，半分道路和庄园</w:t>
            </w:r>
            <w:r>
              <w:rPr>
                <w:rFonts w:ascii="Times New Roman" w:cs="Times New Roman" w:hint="eastAsia"/>
                <w:color w:val="auto"/>
              </w:rPr>
              <w:t>”</w:t>
            </w:r>
            <w:r>
              <w:rPr>
                <w:rFonts w:ascii="Times New Roman" w:cs="Times New Roman"/>
                <w:color w:val="auto"/>
              </w:rPr>
              <w:t>为全市地貌、地类轮廓的概括。境内山地大多分布于边缘地带，东南系武夷山麓，西南属雩山余脉。主要山峰一般海拔1000米左右，少数超过1500米。南丰县军峰山海拔1761米，为全区最高峰。境内地质条件稳定，地层以第四系为主，南部出露少量白垩系地层。第四系下部为灰白、浅黄色砾石，砂砾石层，上部为黄褐色亚砂土、亚粘土层，厚度为8.08米至20.5米。第四系下面为白垩系，东部为砖红色细砂岩、粉砂岩、粉砂质泥岩夹含砾砂岩、砂岩，西部为砖红、紫红色砂砾岩、含砾砂岩、砂岩夹粉砂岩、泥岩，底部为砾岩，厚度为2000米以上。区内未发现岩浆岩侵入。境内内地质构造简单，为简单的向斜盆地构造，未发现断裂构造。</w:t>
            </w:r>
          </w:p>
          <w:p>
            <w:pPr>
              <w:pStyle w:val="Default1"/>
              <w:spacing w:line="360" w:lineRule="auto"/>
              <w:ind w:firstLine="480" w:firstLineChars="200"/>
              <w:rPr>
                <w:rFonts w:ascii="Times New Roman" w:cs="Times New Roman"/>
                <w:b/>
                <w:bCs/>
                <w:color w:val="auto"/>
              </w:rPr>
            </w:pPr>
            <w:r>
              <w:rPr>
                <w:rFonts w:ascii="Times New Roman" w:cs="Times New Roman"/>
                <w:b/>
                <w:bCs/>
                <w:color w:val="auto"/>
              </w:rPr>
              <w:t>三、气候及气象</w:t>
            </w:r>
            <w:bookmarkEnd w:id="12"/>
            <w:bookmarkEnd w:id="13"/>
          </w:p>
          <w:p>
            <w:pPr>
              <w:pStyle w:val="Default1"/>
              <w:spacing w:after="0" w:line="360" w:lineRule="auto"/>
              <w:ind w:firstLine="480" w:firstLineChars="200"/>
              <w:rPr>
                <w:rFonts w:ascii="Times New Roman" w:cs="Times New Roman"/>
                <w:color w:val="auto"/>
              </w:rPr>
            </w:pPr>
            <w:r>
              <w:rPr>
                <w:rFonts w:ascii="Times New Roman" w:cs="Times New Roman"/>
                <w:color w:val="auto"/>
              </w:rPr>
              <w:t>抚州市属亚热带湿润气候区，气候温和，日照充足，平均日照时数1760小时；平均相对湿度81°，绝对湿度18.7°，年平均无霜期275天，年平均气温17.8</w:t>
            </w:r>
            <w:r>
              <w:rPr>
                <w:rFonts w:ascii="Times New Roman" w:cs="Times New Roman" w:hint="eastAsia"/>
                <w:color w:val="auto"/>
              </w:rPr>
              <w:t>℃</w:t>
            </w:r>
          </w:p>
        </w:tc>
      </w:tr>
    </w:tbl>
    <w:p>
      <w:pPr>
        <w:sectPr>
          <w:footerReference w:type="even" r:id="rId70"/>
          <w:footerReference w:type="default" r:id="rId71"/>
          <w:footerReference w:type="first" r:id="rId72"/>
          <w:type w:val="nextPage"/>
          <w:pgSz w:w="11907" w:h="16840"/>
          <w:pgMar w:top="1418" w:right="1418" w:bottom="1418" w:left="1418" w:header="851" w:footer="680" w:gutter="113"/>
          <w:pgNumType w:start="17"/>
          <w:cols w:num="1" w:space="720"/>
          <w:titlePg w:val="0"/>
          <w:docGrid w:linePitch="286" w:charSpace="0"/>
        </w:sectPr>
      </w:pPr>
    </w:p>
    <w:tbl>
      <w:tblPr>
        <w:tblStyle w:val="TableNormal"/>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1982"/>
          <w:jc w:val="center"/>
        </w:trPr>
        <w:tc>
          <w:tcPr>
            <w:tcW w:w="8916" w:type="dxa"/>
          </w:tcPr>
          <w:p>
            <w:pPr>
              <w:pStyle w:val="Default1"/>
              <w:spacing w:before="0" w:line="360" w:lineRule="auto"/>
              <w:ind w:firstLine="480" w:firstLineChars="200"/>
              <w:rPr>
                <w:rFonts w:ascii="Times New Roman" w:cs="Times New Roman"/>
                <w:color w:val="auto"/>
              </w:rPr>
            </w:pPr>
            <w:r>
              <w:rPr>
                <w:rFonts w:ascii="Times New Roman" w:cs="Times New Roman"/>
                <w:color w:val="auto"/>
              </w:rPr>
              <w:t>，最冷一月平均气温5.2</w:t>
            </w:r>
            <w:r>
              <w:rPr>
                <w:rFonts w:ascii="Times New Roman" w:cs="Times New Roman" w:hint="eastAsia"/>
                <w:color w:val="auto"/>
              </w:rPr>
              <w:t>℃</w:t>
            </w:r>
            <w:r>
              <w:rPr>
                <w:rFonts w:ascii="Times New Roman" w:cs="Times New Roman"/>
                <w:color w:val="auto"/>
              </w:rPr>
              <w:t>，最热七月平均气温29.5</w:t>
            </w:r>
            <w:r>
              <w:rPr>
                <w:rFonts w:ascii="Times New Roman" w:cs="Times New Roman" w:hint="eastAsia"/>
                <w:color w:val="auto"/>
              </w:rPr>
              <w:t>℃</w:t>
            </w:r>
            <w:r>
              <w:rPr>
                <w:rFonts w:ascii="Times New Roman" w:cs="Times New Roman"/>
                <w:color w:val="auto"/>
              </w:rPr>
              <w:t>，极端最高气温41.0</w:t>
            </w:r>
            <w:r>
              <w:rPr>
                <w:rFonts w:ascii="Times New Roman" w:cs="Times New Roman" w:hint="eastAsia"/>
                <w:color w:val="auto"/>
              </w:rPr>
              <w:t>℃</w:t>
            </w:r>
            <w:r>
              <w:rPr>
                <w:rFonts w:ascii="Times New Roman" w:cs="Times New Roman"/>
                <w:color w:val="auto"/>
              </w:rPr>
              <w:t>，极端最低气温-8.8</w:t>
            </w:r>
            <w:r>
              <w:rPr>
                <w:rFonts w:ascii="Times New Roman" w:cs="Times New Roman" w:hint="eastAsia"/>
                <w:color w:val="auto"/>
              </w:rPr>
              <w:t>℃</w:t>
            </w:r>
            <w:r>
              <w:rPr>
                <w:rFonts w:ascii="Times New Roman" w:cs="Times New Roman"/>
                <w:color w:val="auto"/>
              </w:rPr>
              <w:t>；多年平均降雨量为1678.4mm，年平均蒸发量为1411.6毫米；常年主导风向为西北偏北风，夏季主导风向为东南风。多年平均风速为</w:t>
            </w:r>
            <w:r>
              <w:rPr>
                <w:rFonts w:ascii="Times New Roman" w:cs="Times New Roman" w:hint="eastAsia"/>
                <w:color w:val="auto"/>
              </w:rPr>
              <w:t>1.6</w:t>
            </w:r>
            <w:r>
              <w:rPr>
                <w:rFonts w:ascii="Times New Roman" w:cs="Times New Roman"/>
                <w:color w:val="auto"/>
              </w:rPr>
              <w:t>m/s，最大风速为20m/s。</w:t>
            </w:r>
          </w:p>
          <w:p>
            <w:pPr>
              <w:pStyle w:val="Default1"/>
              <w:spacing w:line="360" w:lineRule="auto"/>
              <w:ind w:firstLine="480" w:firstLineChars="200"/>
              <w:rPr>
                <w:rFonts w:ascii="Times New Roman" w:cs="Times New Roman"/>
                <w:color w:val="auto"/>
              </w:rPr>
            </w:pPr>
            <w:r>
              <w:rPr>
                <w:rFonts w:ascii="Times New Roman" w:cs="Times New Roman"/>
                <w:color w:val="auto"/>
              </w:rPr>
              <w:t>抚州市雨量充沛，多年平均降水量1668.4mm，历年最大降水量2480.5mm。(1954年)，历年最小年降水量975.6mm</w:t>
            </w:r>
            <w:r>
              <w:rPr>
                <w:rFonts w:ascii="Times New Roman" w:cs="Times New Roman" w:hint="eastAsia"/>
                <w:color w:val="auto"/>
              </w:rPr>
              <w:t>（</w:t>
            </w:r>
            <w:r>
              <w:rPr>
                <w:rFonts w:ascii="Times New Roman" w:cs="Times New Roman"/>
                <w:color w:val="auto"/>
              </w:rPr>
              <w:t>1986年</w:t>
            </w:r>
            <w:r>
              <w:rPr>
                <w:rFonts w:ascii="Times New Roman" w:cs="Times New Roman" w:hint="eastAsia"/>
                <w:color w:val="auto"/>
              </w:rPr>
              <w:t>）</w:t>
            </w:r>
            <w:r>
              <w:rPr>
                <w:rFonts w:ascii="Times New Roman" w:cs="Times New Roman"/>
                <w:color w:val="auto"/>
              </w:rPr>
              <w:t>，最大年降水量是最小年降水量的2.5倍。年内分配也极不均匀，降水主要集中在每年4～6月，4～6月的降水量占年总降水量的47.5%；10月至次年1月份降水量较少，仅占全年总量的14.7%；5月份降水量最大，占年降水量的17.3%；12月份降水量最小，占年降水量的4.2%。</w:t>
            </w:r>
          </w:p>
          <w:p>
            <w:pPr>
              <w:pStyle w:val="Default1"/>
              <w:spacing w:line="360" w:lineRule="auto"/>
              <w:ind w:firstLine="480" w:firstLineChars="200"/>
              <w:rPr>
                <w:rFonts w:ascii="Times New Roman" w:cs="Times New Roman"/>
                <w:color w:val="auto"/>
              </w:rPr>
            </w:pPr>
            <w:r>
              <w:rPr>
                <w:rFonts w:ascii="Times New Roman" w:cs="Times New Roman"/>
                <w:color w:val="auto"/>
              </w:rPr>
              <w:t>抚州市多年平均蒸发量1035.2mm。最大年蒸发量1426.9mm</w:t>
            </w:r>
            <w:r>
              <w:rPr>
                <w:rFonts w:ascii="Times New Roman" w:cs="Times New Roman" w:hint="eastAsia"/>
                <w:color w:val="auto"/>
              </w:rPr>
              <w:t>（</w:t>
            </w:r>
            <w:r>
              <w:rPr>
                <w:rFonts w:ascii="Times New Roman" w:cs="Times New Roman"/>
                <w:color w:val="auto"/>
              </w:rPr>
              <w:t>1969年</w:t>
            </w:r>
            <w:r>
              <w:rPr>
                <w:rFonts w:ascii="Times New Roman" w:cs="Times New Roman" w:hint="eastAsia"/>
                <w:color w:val="auto"/>
              </w:rPr>
              <w:t>）</w:t>
            </w:r>
            <w:r>
              <w:rPr>
                <w:rFonts w:ascii="Times New Roman" w:cs="Times New Roman"/>
                <w:color w:val="auto"/>
              </w:rPr>
              <w:t>，最小年蒸发量804.2mm</w:t>
            </w:r>
            <w:r>
              <w:rPr>
                <w:rFonts w:ascii="Times New Roman" w:cs="Times New Roman" w:hint="eastAsia"/>
                <w:color w:val="auto"/>
              </w:rPr>
              <w:t>（</w:t>
            </w:r>
            <w:r>
              <w:rPr>
                <w:rFonts w:ascii="Times New Roman" w:cs="Times New Roman"/>
                <w:color w:val="auto"/>
              </w:rPr>
              <w:t>1975年</w:t>
            </w:r>
            <w:r>
              <w:rPr>
                <w:rFonts w:ascii="Times New Roman" w:cs="Times New Roman" w:hint="eastAsia"/>
                <w:color w:val="auto"/>
              </w:rPr>
              <w:t>）</w:t>
            </w:r>
            <w:r>
              <w:rPr>
                <w:rFonts w:ascii="Times New Roman" w:cs="Times New Roman"/>
                <w:color w:val="auto"/>
              </w:rPr>
              <w:t>，最大年蒸发量是最小年蒸发量的1.8倍；7～9月份蒸发量最大，占全年蒸发量的45%，12月～次年2月份蒸发量最小，仅占全年的10%。</w:t>
            </w:r>
          </w:p>
          <w:p>
            <w:pPr>
              <w:pStyle w:val="Default1"/>
              <w:spacing w:line="360" w:lineRule="auto"/>
              <w:ind w:firstLine="480" w:firstLineChars="200"/>
              <w:rPr>
                <w:rFonts w:ascii="Times New Roman" w:cs="Times New Roman"/>
                <w:b/>
                <w:bCs/>
                <w:color w:val="auto"/>
              </w:rPr>
            </w:pPr>
            <w:bookmarkStart w:id="14" w:name="_Toc260928842"/>
            <w:bookmarkStart w:id="15" w:name="_Toc260145289"/>
            <w:r>
              <w:rPr>
                <w:rFonts w:ascii="Times New Roman" w:cs="Times New Roman"/>
                <w:b/>
                <w:bCs/>
                <w:color w:val="auto"/>
              </w:rPr>
              <w:t>四、水文</w:t>
            </w:r>
            <w:bookmarkEnd w:id="14"/>
            <w:bookmarkEnd w:id="15"/>
          </w:p>
          <w:p>
            <w:pPr>
              <w:pStyle w:val="Default1"/>
              <w:spacing w:line="360" w:lineRule="auto"/>
              <w:ind w:firstLine="480" w:firstLineChars="200"/>
              <w:rPr>
                <w:rFonts w:ascii="Times New Roman" w:cs="Times New Roman"/>
                <w:color w:val="auto"/>
              </w:rPr>
            </w:pPr>
            <w:r>
              <w:rPr>
                <w:rFonts w:ascii="Times New Roman" w:cs="Times New Roman"/>
                <w:color w:val="auto"/>
              </w:rPr>
              <w:t>抚州市城区位于临水与抚河交汇处，东有抚河，西有宜黄水和临水。临水与抚河在城东相汇，城区处在东北西三面环水的平原区。风岗河和跳石岗河分别从新城区以南的黄坊和上顿渡以南的舍头村，自南向北蜿蜒曲折地流经老城区以西的城西和上顿渡镇，最后从黄桥和抚临闸(或抚临排涝站)入临水。</w:t>
            </w:r>
          </w:p>
          <w:p>
            <w:pPr>
              <w:pStyle w:val="Default1"/>
              <w:spacing w:line="360" w:lineRule="auto"/>
              <w:ind w:firstLine="480" w:firstLineChars="200"/>
              <w:rPr>
                <w:rFonts w:ascii="Times New Roman" w:cs="Times New Roman"/>
                <w:color w:val="auto"/>
              </w:rPr>
            </w:pPr>
            <w:r>
              <w:rPr>
                <w:rFonts w:ascii="Times New Roman" w:cs="Times New Roman"/>
                <w:color w:val="auto"/>
              </w:rPr>
              <w:t>抚河：发源于赣闽边界武夷山西麓光昌县梨木庄。河流自南向北流经广昌、南丰、南城，右汇黎滩河经浒湾进入中游平原，至临川左纳抚河最大支留临水，西北向流经南昌县境，在荏港改道由青岚湖入鄱阳湖。干流全长349km，从河源到南城长158km，称盱江，为上游河段。南城到临川长77.4km，称中游河段，在南城县城附近汇入抚河第二大支流黎滩河后称抚河。抚河干流在抚州市以上集水面积8723km2</w:t>
            </w:r>
            <w:r>
              <w:rPr>
                <w:rFonts w:ascii="Times New Roman" w:cs="Times New Roman" w:hint="eastAsia"/>
                <w:color w:val="auto"/>
              </w:rPr>
              <w:t>（</w:t>
            </w:r>
            <w:r>
              <w:rPr>
                <w:rFonts w:ascii="Times New Roman" w:cs="Times New Roman"/>
                <w:color w:val="auto"/>
              </w:rPr>
              <w:t>廖家湾站</w:t>
            </w:r>
            <w:r>
              <w:rPr>
                <w:rFonts w:ascii="Times New Roman" w:cs="Times New Roman" w:hint="eastAsia"/>
                <w:color w:val="auto"/>
              </w:rPr>
              <w:t>）</w:t>
            </w:r>
            <w:r>
              <w:rPr>
                <w:rFonts w:ascii="Times New Roman" w:cs="Times New Roman"/>
                <w:color w:val="auto"/>
              </w:rPr>
              <w:t>。</w:t>
            </w:r>
          </w:p>
          <w:p>
            <w:pPr>
              <w:pStyle w:val="Default1"/>
              <w:spacing w:line="360" w:lineRule="auto"/>
              <w:ind w:firstLine="480" w:firstLineChars="200"/>
              <w:rPr>
                <w:rFonts w:ascii="Times New Roman" w:cs="Times New Roman"/>
                <w:color w:val="auto"/>
              </w:rPr>
            </w:pPr>
            <w:r>
              <w:rPr>
                <w:rFonts w:ascii="Times New Roman" w:cs="Times New Roman"/>
                <w:color w:val="auto"/>
              </w:rPr>
              <w:t>临水：由崇仁水与宜黄水于上顿渡大桥下游约4km处汇合而成，全流域面积5140km2，主流全长160km，为抚河最大支流。崇仁水集水面积2601km2，由宝塘水与相水于崇仁县城上首桥头村汇合而成。宜黄水集水面积2360km2，由宜水与黄水于宜黄县城附近汇合后称宜黄水。过龙骨渡、上顿渡后与崇仁水汇合。</w:t>
            </w:r>
          </w:p>
          <w:p>
            <w:pPr>
              <w:pStyle w:val="Default1"/>
              <w:spacing w:after="0" w:line="360" w:lineRule="auto"/>
              <w:ind w:firstLine="480" w:firstLineChars="200"/>
            </w:pPr>
          </w:p>
        </w:tc>
      </w:tr>
    </w:tbl>
    <w:p>
      <w:pPr>
        <w:sectPr>
          <w:footerReference w:type="even" r:id="rId73"/>
          <w:footerReference w:type="default" r:id="rId74"/>
          <w:footerReference w:type="first" r:id="rId75"/>
          <w:type w:val="nextPage"/>
          <w:pgSz w:w="11907" w:h="16840"/>
          <w:pgMar w:top="1418" w:right="1418" w:bottom="1418" w:left="1418" w:header="851" w:footer="680" w:gutter="113"/>
          <w:pgNumType w:start="18"/>
          <w:cols w:num="1" w:space="720"/>
          <w:titlePg w:val="0"/>
          <w:docGrid w:linePitch="286" w:charSpace="0"/>
        </w:sectPr>
      </w:pPr>
    </w:p>
    <w:tbl>
      <w:tblPr>
        <w:tblStyle w:val="TableNormal"/>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1982"/>
          <w:jc w:val="center"/>
        </w:trPr>
        <w:tc>
          <w:tcPr>
            <w:tcW w:w="8916" w:type="dxa"/>
          </w:tcPr>
          <w:p>
            <w:pPr>
              <w:pStyle w:val="Default1"/>
              <w:spacing w:before="0" w:line="360" w:lineRule="auto"/>
              <w:ind w:firstLine="480" w:firstLineChars="200"/>
            </w:pPr>
            <w:r>
              <w:rPr>
                <w:rFonts w:ascii="Times New Roman" w:cs="Times New Roman"/>
                <w:color w:val="auto"/>
              </w:rPr>
              <w:t>凤岗河：集水面积119km2，主河长31.74km，发源于抚州市高新技术产业园区崇岗镇，是流经城区西部的一条内河，自南向北，经长岗街、风岗、仙临山，穿过新城区的罗家岭张家、高桥，沿着老城区以西的禾尚桥、黄桥入临水。风岗河地势低洼，湖、塘、洼地众多，排水不畅，当外河水位高于36m后，内河受外河顶托和倒灌影响，易造成城区大面积涝水灾害。</w:t>
            </w:r>
            <w:r>
              <w:rPr>
                <w:rFonts w:ascii="Times New Roman" w:cs="Times New Roman" w:hint="eastAsia"/>
                <w:color w:val="auto"/>
              </w:rPr>
              <w:t>凤岗河枯水期流量为2.98</w:t>
            </w:r>
            <w:r>
              <w:rPr>
                <w:rFonts w:ascii="Times New Roman" w:cs="Times New Roman"/>
                <w:color w:val="auto"/>
              </w:rPr>
              <w:t>m3/s</w:t>
            </w:r>
            <w:r>
              <w:rPr>
                <w:rFonts w:ascii="Times New Roman" w:cs="Times New Roman" w:hint="eastAsia"/>
                <w:color w:val="auto"/>
              </w:rPr>
              <w:t>，流速0.15</w:t>
            </w:r>
            <w:r>
              <w:rPr>
                <w:rFonts w:ascii="Times New Roman" w:cs="Times New Roman"/>
                <w:color w:val="auto"/>
              </w:rPr>
              <w:t>m/s</w:t>
            </w:r>
            <w:r>
              <w:rPr>
                <w:rFonts w:ascii="Times New Roman" w:cs="Times New Roman" w:hint="eastAsia"/>
                <w:color w:val="auto"/>
              </w:rPr>
              <w:t>，河段宽41m，水深0.5m，水力坡降</w:t>
            </w:r>
            <w:r>
              <w:rPr>
                <w:rFonts w:ascii="Times New Roman" w:cs="Times New Roman"/>
                <w:color w:val="auto"/>
              </w:rPr>
              <w:t>0.</w:t>
            </w:r>
            <w:r>
              <w:rPr>
                <w:rFonts w:ascii="Times New Roman" w:cs="Times New Roman" w:hint="eastAsia"/>
                <w:color w:val="auto"/>
              </w:rPr>
              <w:t>042%。</w:t>
            </w:r>
          </w:p>
          <w:p>
            <w:pPr>
              <w:spacing w:line="360" w:lineRule="auto"/>
              <w:ind w:firstLine="480" w:firstLineChars="200"/>
              <w:rPr>
                <w:spacing w:val="16"/>
                <w:sz w:val="24"/>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tc>
      </w:tr>
    </w:tbl>
    <w:p>
      <w:pPr>
        <w:sectPr>
          <w:footerReference w:type="even" r:id="rId76"/>
          <w:footerReference w:type="default" r:id="rId77"/>
          <w:footerReference w:type="first" r:id="rId78"/>
          <w:type w:val="nextPage"/>
          <w:pgSz w:w="11907" w:h="16840"/>
          <w:pgMar w:top="1418" w:right="1418" w:bottom="1418" w:left="1418" w:header="851" w:footer="680" w:gutter="113"/>
          <w:pgNumType w:start="19"/>
          <w:cols w:num="1" w:space="720"/>
          <w:titlePg w:val="0"/>
          <w:docGrid w:linePitch="286" w:charSpace="0"/>
        </w:sectPr>
      </w:pPr>
    </w:p>
    <w:tbl>
      <w:tblPr>
        <w:tblStyle w:val="TableNormal"/>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806"/>
          <w:jc w:val="center"/>
        </w:trPr>
        <w:tc>
          <w:tcPr>
            <w:tcW w:w="8916" w:type="dxa"/>
          </w:tcPr>
          <w:p>
            <w:pPr>
              <w:snapToGrid w:val="0"/>
              <w:spacing w:line="360" w:lineRule="auto"/>
              <w:rPr>
                <w:rFonts w:hAnsi="宋体"/>
                <w:b/>
                <w:kern w:val="2"/>
                <w:sz w:val="24"/>
                <w:szCs w:val="22"/>
              </w:rPr>
            </w:pPr>
            <w:r>
              <w:rPr>
                <w:rFonts w:hAnsi="宋体" w:hint="eastAsia"/>
                <w:b/>
                <w:kern w:val="2"/>
                <w:sz w:val="24"/>
                <w:szCs w:val="22"/>
              </w:rPr>
              <w:t>社会环境简况（社会经济结构、教育、文化、文物保护等）：</w:t>
            </w:r>
          </w:p>
          <w:p>
            <w:pPr>
              <w:pStyle w:val="Heading3"/>
              <w:spacing w:before="0" w:after="0"/>
              <w:ind w:firstLine="480" w:firstLineChars="200"/>
              <w:jc w:val="both"/>
              <w:rPr>
                <w:b/>
                <w:bCs/>
                <w:spacing w:val="6"/>
                <w:szCs w:val="28"/>
              </w:rPr>
            </w:pPr>
            <w:r>
              <w:rPr>
                <w:rFonts w:hint="eastAsia"/>
                <w:b/>
                <w:bCs/>
                <w:spacing w:val="6"/>
                <w:szCs w:val="28"/>
              </w:rPr>
              <w:t>一、</w:t>
            </w:r>
            <w:r>
              <w:rPr>
                <w:b/>
                <w:bCs/>
                <w:spacing w:val="6"/>
                <w:szCs w:val="28"/>
              </w:rPr>
              <w:t>社会概况</w:t>
            </w:r>
          </w:p>
          <w:p>
            <w:pPr>
              <w:pStyle w:val="Default1"/>
              <w:spacing w:line="360" w:lineRule="auto"/>
              <w:ind w:firstLine="480" w:firstLineChars="200"/>
              <w:jc w:val="both"/>
              <w:rPr>
                <w:rFonts w:ascii="Times New Roman" w:cs="Times New Roman"/>
                <w:color w:val="auto"/>
              </w:rPr>
            </w:pPr>
            <w:r>
              <w:rPr>
                <w:rFonts w:ascii="Times New Roman" w:cs="Times New Roman" w:hint="eastAsia"/>
                <w:color w:val="auto"/>
              </w:rPr>
              <w:t>抚州物产丰富，素有“赣抚粮仓”美称，是举世闻名的“中国蜜桔之乡”、“中国白莲之乡”、“中国西瓜之乡”、“中国麻鸡之乡”，又是主要木竹产地和世界银行红壤开发重点地区，有40多种矿产资源急待开发。工业经过多年的发展，已形成了纺织、机械工业为主，兼有食品、汽车、化工、电子、造纸工业等综合的工业体系。工农业生产的迅速发展，带来了文化教育事业和城市建设繁荣，全市现有大专院校2所，中等专业学校十余所，普通中学几十所。市内城区面积也不断发展，截至2010年，城区人口达到33.33万人，城区面积达到40.7平方公里。</w:t>
            </w:r>
          </w:p>
          <w:p>
            <w:pPr>
              <w:pStyle w:val="Default1"/>
              <w:spacing w:line="360" w:lineRule="auto"/>
              <w:ind w:firstLine="480" w:firstLineChars="200"/>
              <w:jc w:val="both"/>
              <w:rPr>
                <w:rFonts w:ascii="Times New Roman" w:cs="Times New Roman"/>
                <w:b/>
                <w:bCs/>
                <w:color w:val="auto"/>
              </w:rPr>
            </w:pPr>
            <w:r>
              <w:rPr>
                <w:rFonts w:ascii="Times New Roman" w:cs="Times New Roman" w:hint="eastAsia"/>
                <w:b/>
                <w:bCs/>
                <w:color w:val="auto"/>
              </w:rPr>
              <w:t>二、历史沿革及城市区划</w:t>
            </w:r>
          </w:p>
          <w:p>
            <w:pPr>
              <w:pStyle w:val="Default1"/>
              <w:spacing w:line="360" w:lineRule="auto"/>
              <w:ind w:firstLine="480" w:firstLineChars="200"/>
              <w:jc w:val="both"/>
              <w:rPr>
                <w:rFonts w:ascii="Times New Roman" w:cs="Times New Roman"/>
                <w:color w:val="auto"/>
              </w:rPr>
            </w:pPr>
            <w:r>
              <w:rPr>
                <w:rFonts w:ascii="Times New Roman" w:cs="Times New Roman" w:hint="eastAsia"/>
                <w:color w:val="auto"/>
              </w:rPr>
              <w:t>抚州古称奥壤，又曰“名区”，素以历史文化灿烂、资源物产丰富、农桑事业兴旺而著称江右。抚州古属临汝流域，夏禹时地处扬州域，春秋为百越之地，战国属楚，秦隶抚州郡。形成较完整的行政区域雏型，始自三国吴太平二年(公元257年)，其时，建临川郡，辖10县。入隋，废郡立州。隋文帝开皇九年(公元589)，改临川郡为抚州(取安抚之意)，抚州之名始于此。之后屡有增减更迭，经千百年来历史风雨洗尘，1949年5月解放，7月建抚州专区，1970年改抚州地区，1983年设抚州地区行政公署。2000年10月抚州地区撤地建市，下辖临川区、东乡、崇仁、南城、金溪、宜黄、乐安、黎川、资溪、广昌和南丰等一区十县，下设205个乡(镇)，5个街道办事处。</w:t>
            </w:r>
          </w:p>
          <w:p>
            <w:pPr>
              <w:pStyle w:val="Default1"/>
              <w:spacing w:line="360" w:lineRule="auto"/>
              <w:ind w:firstLine="480" w:firstLineChars="200"/>
              <w:jc w:val="both"/>
              <w:rPr>
                <w:rFonts w:ascii="Times New Roman" w:cs="Times New Roman"/>
                <w:b/>
                <w:bCs/>
                <w:color w:val="auto"/>
              </w:rPr>
            </w:pPr>
            <w:r>
              <w:rPr>
                <w:rFonts w:ascii="Times New Roman" w:cs="Times New Roman" w:hint="eastAsia"/>
                <w:b/>
                <w:bCs/>
                <w:color w:val="auto"/>
              </w:rPr>
              <w:t>三、经济发展</w:t>
            </w:r>
          </w:p>
          <w:p>
            <w:pPr>
              <w:pStyle w:val="Default1"/>
              <w:spacing w:line="360" w:lineRule="auto"/>
              <w:ind w:firstLine="480" w:firstLineChars="200"/>
              <w:jc w:val="both"/>
              <w:rPr>
                <w:rFonts w:ascii="Times New Roman" w:cs="Times New Roman"/>
                <w:color w:val="auto"/>
              </w:rPr>
            </w:pPr>
            <w:r>
              <w:rPr>
                <w:rFonts w:ascii="Times New Roman" w:cs="Times New Roman" w:hint="eastAsia"/>
                <w:color w:val="auto"/>
              </w:rPr>
              <w:t>2016年，全市实现生产总值1210.91亿元，比上年增长8.8%。其中，第一产业增加值197亿元，增长4.0%；第二产业增加值591.34亿元，增长8.9%；第三产业增加值422.57亿元，增长11.2%。三次产业比由上年的16.5:49.7:33.8调整为16.3:48.8:34.9。人均生产总值30259元，比上年增长9.0%。规模以上工业增加值完成394亿元，增长9.5%；外贸出口总额118.85亿元，增长16.2%；城镇化率46.65%，提高1.68个百分点。</w:t>
            </w:r>
          </w:p>
          <w:p>
            <w:pPr>
              <w:pStyle w:val="Default1"/>
              <w:spacing w:after="0" w:line="360" w:lineRule="auto"/>
              <w:ind w:firstLine="480" w:firstLineChars="200"/>
              <w:jc w:val="both"/>
              <w:rPr>
                <w:rFonts w:ascii="Times New Roman" w:cs="Times New Roman"/>
                <w:color w:val="auto"/>
              </w:rPr>
            </w:pPr>
          </w:p>
        </w:tc>
      </w:tr>
    </w:tbl>
    <w:p>
      <w:pPr>
        <w:sectPr>
          <w:footerReference w:type="even" r:id="rId79"/>
          <w:footerReference w:type="default" r:id="rId80"/>
          <w:footerReference w:type="first" r:id="rId81"/>
          <w:type w:val="nextPage"/>
          <w:pgSz w:w="11907" w:h="16840"/>
          <w:pgMar w:top="1418" w:right="1418" w:bottom="1418" w:left="1418" w:header="851" w:footer="680" w:gutter="113"/>
          <w:pgNumType w:start="20"/>
          <w:cols w:num="1" w:space="720"/>
          <w:titlePg w:val="0"/>
          <w:docGrid w:linePitch="286" w:charSpace="0"/>
        </w:sectPr>
      </w:pPr>
    </w:p>
    <w:tbl>
      <w:tblPr>
        <w:tblStyle w:val="TableNormal"/>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806"/>
          <w:jc w:val="center"/>
        </w:trPr>
        <w:tc>
          <w:tcPr>
            <w:tcW w:w="8916" w:type="dxa"/>
          </w:tcPr>
          <w:p>
            <w:pPr>
              <w:pStyle w:val="Default1"/>
              <w:spacing w:before="0" w:line="360" w:lineRule="auto"/>
              <w:ind w:firstLine="480" w:firstLineChars="200"/>
              <w:jc w:val="both"/>
              <w:rPr>
                <w:rFonts w:ascii="Times New Roman" w:cs="Times New Roman"/>
                <w:color w:val="auto"/>
              </w:rPr>
            </w:pPr>
            <w:r>
              <w:rPr>
                <w:rFonts w:ascii="Times New Roman" w:cs="Times New Roman" w:hint="eastAsia"/>
                <w:color w:val="auto"/>
              </w:rPr>
              <w:t>全年完成财政总收入171.62亿元，增长3.9%。其中，税收收入143.93亿元，增长1.7%；公共财政预算收入122.80亿元，下降3.2%。全年公共财政预算支出312.34亿元，增长6.0%。坚持公共财政向困难群众倾斜，向基层倾斜，向公共事业倾斜。其中：一般公共服务支出26.70亿元，增长14.3%；公共安全支出14.66亿元，增长13.4%；科学技术支出5.57亿元，增长10.4%；文化体育与传媒支出5.34亿元，增长15.9%；社会保障和就业支出41.61亿元，增长10.4%；教育支出57.14亿元，增长1.6%；交通运输支出8.93亿元，增长76.8%；医疗卫生支出33.89亿元，增长6.5%；农林水事务支出46.93亿元，增长5.9%；商业服务业等事务支出4.59亿元，增长32.3%。</w:t>
            </w:r>
          </w:p>
          <w:p>
            <w:pPr>
              <w:pStyle w:val="Default1"/>
              <w:spacing w:line="360" w:lineRule="auto"/>
              <w:ind w:firstLine="480" w:firstLineChars="200"/>
              <w:jc w:val="both"/>
              <w:rPr>
                <w:rFonts w:ascii="Times New Roman" w:cs="Times New Roman"/>
                <w:b/>
                <w:bCs/>
                <w:color w:val="auto"/>
              </w:rPr>
            </w:pPr>
            <w:r>
              <w:rPr>
                <w:rFonts w:ascii="Times New Roman" w:cs="Times New Roman" w:hint="eastAsia"/>
                <w:b/>
                <w:bCs/>
                <w:color w:val="auto"/>
              </w:rPr>
              <w:t>四、交通运输</w:t>
            </w:r>
          </w:p>
          <w:p>
            <w:pPr>
              <w:pStyle w:val="Default1"/>
              <w:spacing w:line="360" w:lineRule="auto"/>
              <w:ind w:firstLine="480" w:firstLineChars="200"/>
              <w:jc w:val="both"/>
              <w:rPr>
                <w:rFonts w:ascii="Times New Roman" w:cs="Times New Roman"/>
                <w:color w:val="auto"/>
              </w:rPr>
            </w:pPr>
            <w:r>
              <w:rPr>
                <w:rFonts w:ascii="Times New Roman" w:cs="Times New Roman" w:hint="eastAsia"/>
                <w:color w:val="auto"/>
              </w:rPr>
              <w:t>抚州市位于江西省东部，东邻福建省，南接赣州市，西通吉安市和宜春市，北临鄱阳湖并与抚州市和南昌市相连，外部区位环境整体较优。距省会城市南昌公路里程101公里，具有一定的区位优势。境内有鹰厦、沪昆铁路，320、206、316国道和福银高速、沪昆高速、济广高速公路，交通较为便捷。正在建设中的向莆铁路南北向穿过抚州市域，经过抚州、南城、南丰、黎川四地。未来抚吉高速公路、吉温铁路穿越抚州市域，交通条件将大力改善。</w:t>
            </w:r>
          </w:p>
          <w:p>
            <w:pPr>
              <w:pStyle w:val="Default1"/>
              <w:spacing w:line="360" w:lineRule="auto"/>
              <w:ind w:firstLine="480" w:firstLineChars="200"/>
              <w:jc w:val="both"/>
              <w:rPr>
                <w:rFonts w:ascii="Times New Roman" w:cs="Times New Roman"/>
                <w:b/>
                <w:bCs/>
                <w:color w:val="auto"/>
              </w:rPr>
            </w:pPr>
            <w:r>
              <w:rPr>
                <w:rFonts w:ascii="Times New Roman" w:cs="Times New Roman" w:hint="eastAsia"/>
                <w:b/>
                <w:bCs/>
                <w:color w:val="auto"/>
              </w:rPr>
              <w:t>五、文化卫生</w:t>
            </w:r>
          </w:p>
          <w:p>
            <w:pPr>
              <w:pStyle w:val="Default1"/>
              <w:spacing w:line="360" w:lineRule="auto"/>
              <w:ind w:firstLine="480" w:firstLineChars="200"/>
              <w:jc w:val="both"/>
              <w:rPr>
                <w:rFonts w:ascii="Times New Roman" w:cs="Times New Roman"/>
                <w:color w:val="auto"/>
              </w:rPr>
            </w:pPr>
            <w:r>
              <w:rPr>
                <w:rFonts w:ascii="Times New Roman" w:cs="Times New Roman" w:hint="eastAsia"/>
                <w:color w:val="auto"/>
              </w:rPr>
              <w:t>抚州市现有东华理工大学、南昌大学抚州医学分院、江西中医药高等专科学校等5所高等院校，在校学生3万人；职业中专(含职业高中)27所，在校学生1.89万人；小学1726所，在校学生34.88万人；普通初中177所，在校学生15.81万人；普通高中43所，在校学生8.70万人；特殊教育学校4所，在校学生1568人。全市现有非经营性医院39所，其中综合医院22所；妇幼保健院(站、所)12家；乡镇卫生院155家。文化艺术方面，全市有专业艺术表演团体3个，艺术表演场所4个，艺术创作研究机构1个，公共图书馆12个、藏书82.6万册，群众艺术馆、文化馆13个，乡镇(街道)文化站165个，博物(纪念)馆8个。抚州采茶戏为地方主要剧种。南丰傩舞被誉为 “中国古代舞蹈活化石”。</w:t>
            </w:r>
          </w:p>
          <w:p>
            <w:pPr>
              <w:pStyle w:val="Default1"/>
              <w:spacing w:line="360" w:lineRule="auto"/>
              <w:ind w:firstLine="480" w:firstLineChars="200"/>
              <w:jc w:val="both"/>
              <w:rPr>
                <w:rFonts w:ascii="Times New Roman" w:cs="Times New Roman"/>
                <w:b/>
                <w:bCs/>
                <w:color w:val="auto"/>
              </w:rPr>
            </w:pPr>
            <w:r>
              <w:rPr>
                <w:rFonts w:ascii="Times New Roman" w:cs="Times New Roman" w:hint="eastAsia"/>
                <w:b/>
                <w:bCs/>
                <w:color w:val="auto"/>
              </w:rPr>
              <w:t>六、旅游</w:t>
            </w:r>
          </w:p>
          <w:p>
            <w:pPr>
              <w:pStyle w:val="Default1"/>
              <w:spacing w:line="360" w:lineRule="auto"/>
              <w:ind w:firstLine="480" w:firstLineChars="200"/>
              <w:jc w:val="both"/>
            </w:pPr>
            <w:r>
              <w:rPr>
                <w:rFonts w:ascii="Times New Roman" w:cs="Times New Roman" w:hint="eastAsia"/>
                <w:color w:val="auto"/>
              </w:rPr>
              <w:t>抚州素有“才子之乡”“文化之邦”的美誉。在这块神奇的土地上，曾诞生过王安石、汤显祖、曾巩、晏殊、晏几道、李觏、陆九渊等名儒巨匠。唐初著名诗人王勃在《滕王阁序》中就发出“光照临川之笔”的由衷赞叹。抚州文化旅游、生态旅游和红色旅游资源非常丰富，乐安流坑村古建筑群被列为全国重点文物保护单位，并有省重点文物保护单位30处，本市重点文物保护单位69处。著名的景区主要有：“千古第一村”-乐安流坑古村，天然氧吧-资溪大觉山旅游区，洞天福地-南城麻姑山，以及汤显祖纪念馆、王安石纪念馆，南丰潭湖景区、黎川岩泉自然保护区、宜黄华南虎自然保护区、临川日月温泉、资溪法水温泉和临川金山寺、宜黄曹山寺等。</w:t>
            </w:r>
          </w:p>
        </w:tc>
      </w:tr>
    </w:tbl>
    <w:p>
      <w:pPr>
        <w:sectPr>
          <w:footerReference w:type="even" r:id="rId82"/>
          <w:footerReference w:type="default" r:id="rId83"/>
          <w:footerReference w:type="first" r:id="rId84"/>
          <w:type w:val="nextPage"/>
          <w:pgSz w:w="11907" w:h="16840"/>
          <w:pgMar w:top="1418" w:right="1418" w:bottom="1418" w:left="1418" w:header="851" w:footer="680" w:gutter="113"/>
          <w:pgNumType w:start="21"/>
          <w:cols w:num="1" w:space="720"/>
          <w:titlePg w:val="0"/>
          <w:docGrid w:linePitch="286" w:charSpace="0"/>
        </w:sectPr>
      </w:pPr>
    </w:p>
    <w:p>
      <w:pPr>
        <w:adjustRightInd/>
        <w:spacing w:line="240" w:lineRule="auto"/>
        <w:outlineLvl w:val="0"/>
      </w:pPr>
      <w:r>
        <w:rPr>
          <w:b/>
          <w:kern w:val="21"/>
          <w:sz w:val="30"/>
        </w:rPr>
        <w:t>环境质量状况</w:t>
      </w: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2091"/>
          <w:jc w:val="center"/>
        </w:trPr>
        <w:tc>
          <w:tcPr>
            <w:tcW w:w="8916" w:type="dxa"/>
            <w:vAlign w:val="center"/>
          </w:tcPr>
          <w:p>
            <w:pPr>
              <w:spacing w:line="240" w:lineRule="auto"/>
              <w:rPr>
                <w:kern w:val="21"/>
                <w:sz w:val="28"/>
                <w:szCs w:val="22"/>
              </w:rPr>
            </w:pPr>
            <w:r>
              <w:rPr>
                <w:b/>
                <w:kern w:val="21"/>
                <w:sz w:val="28"/>
                <w:szCs w:val="22"/>
              </w:rPr>
              <w:t>建设项目所在地区域环境质量现状及主要环境问题（环境空气、地面水、地下水、声环境、生态环境等）：</w:t>
            </w:r>
          </w:p>
          <w:p>
            <w:pPr>
              <w:numPr>
                <w:ilvl w:val="0"/>
                <w:numId w:val="3"/>
              </w:numPr>
              <w:spacing w:line="360" w:lineRule="auto"/>
              <w:ind w:firstLine="480" w:firstLineChars="200"/>
              <w:rPr>
                <w:b/>
                <w:bCs/>
                <w:snapToGrid w:val="0"/>
                <w:kern w:val="2"/>
                <w:sz w:val="24"/>
                <w:szCs w:val="22"/>
              </w:rPr>
            </w:pPr>
            <w:r>
              <w:rPr>
                <w:rFonts w:hAnsi="宋体"/>
                <w:b/>
                <w:bCs/>
                <w:snapToGrid w:val="0"/>
                <w:kern w:val="2"/>
                <w:sz w:val="24"/>
                <w:szCs w:val="22"/>
              </w:rPr>
              <w:t>环境空气质量</w:t>
            </w:r>
          </w:p>
          <w:p>
            <w:pPr>
              <w:spacing w:line="360" w:lineRule="auto"/>
              <w:ind w:firstLine="480" w:firstLineChars="200"/>
              <w:rPr>
                <w:rFonts w:hAnsi="宋体"/>
                <w:kern w:val="2"/>
                <w:sz w:val="24"/>
                <w:szCs w:val="22"/>
              </w:rPr>
            </w:pPr>
            <w:r>
              <w:rPr>
                <w:rFonts w:hAnsi="宋体" w:hint="eastAsia"/>
                <w:kern w:val="2"/>
                <w:sz w:val="24"/>
                <w:szCs w:val="22"/>
              </w:rPr>
              <w:t>本项目位于抚州市临川区，本次评价引用江西省环境监测中心站于江西省生态环境厅网站发布的“2</w:t>
            </w:r>
            <w:r>
              <w:rPr>
                <w:rFonts w:hAnsi="宋体"/>
                <w:kern w:val="2"/>
                <w:sz w:val="24"/>
                <w:szCs w:val="22"/>
              </w:rPr>
              <w:t>018</w:t>
            </w:r>
            <w:r>
              <w:rPr>
                <w:rFonts w:hAnsi="宋体" w:hint="eastAsia"/>
                <w:kern w:val="2"/>
                <w:sz w:val="24"/>
                <w:szCs w:val="22"/>
              </w:rPr>
              <w:t>年江西省各县（市、区）六项污染物浓度年均值”对本项目区域达标性进行判定，</w:t>
            </w:r>
            <w:r>
              <w:rPr>
                <w:rFonts w:hint="eastAsia"/>
                <w:kern w:val="2"/>
                <w:sz w:val="24"/>
                <w:szCs w:val="22"/>
              </w:rPr>
              <w:t>统计结果见</w:t>
            </w:r>
            <w:r>
              <w:rPr>
                <w:rFonts w:hAnsi="宋体" w:hint="eastAsia"/>
                <w:kern w:val="2"/>
                <w:sz w:val="24"/>
                <w:szCs w:val="22"/>
              </w:rPr>
              <w:t>表8。</w:t>
            </w:r>
          </w:p>
          <w:p>
            <w:pPr>
              <w:jc w:val="center"/>
              <w:rPr>
                <w:kern w:val="2"/>
                <w:szCs w:val="22"/>
              </w:rPr>
            </w:pPr>
            <w:r>
              <w:rPr>
                <w:rFonts w:hint="eastAsia"/>
                <w:b/>
                <w:bCs/>
                <w:kern w:val="2"/>
                <w:szCs w:val="21"/>
              </w:rPr>
              <w:t>表8</w:t>
            </w:r>
            <w:r>
              <w:rPr>
                <w:b/>
                <w:bCs/>
                <w:kern w:val="2"/>
                <w:szCs w:val="21"/>
              </w:rPr>
              <w:t xml:space="preserve">   </w:t>
            </w:r>
            <w:r>
              <w:rPr>
                <w:rFonts w:hint="eastAsia"/>
                <w:b/>
                <w:bCs/>
                <w:kern w:val="2"/>
                <w:szCs w:val="21"/>
              </w:rPr>
              <w:t>区域空气质量现状评价表</w:t>
            </w:r>
          </w:p>
          <w:tbl>
            <w:tblPr>
              <w:tblStyle w:val="TableNormal"/>
              <w:tblW w:w="90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0" w:type="dxa"/>
                <w:bottom w:w="0" w:type="dxa"/>
                <w:right w:w="0" w:type="dxa"/>
              </w:tblCellMar>
            </w:tblPr>
            <w:tblGrid>
              <w:gridCol w:w="1313"/>
              <w:gridCol w:w="2932"/>
              <w:gridCol w:w="1427"/>
              <w:gridCol w:w="1304"/>
              <w:gridCol w:w="944"/>
              <w:gridCol w:w="1135"/>
            </w:tblGrid>
            <w:tr>
              <w:tblPrEx>
                <w:tblW w:w="90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0" w:type="dxa"/>
                  <w:bottom w:w="0" w:type="dxa"/>
                  <w:right w:w="0" w:type="dxa"/>
                </w:tblCellMar>
              </w:tblPrEx>
              <w:trPr>
                <w:trHeight w:val="340"/>
                <w:jc w:val="center"/>
              </w:trPr>
              <w:tc>
                <w:tcPr>
                  <w:tcW w:w="1313" w:type="dxa"/>
                  <w:vAlign w:val="center"/>
                </w:tcPr>
                <w:p>
                  <w:pPr>
                    <w:pStyle w:val="TableParagraph"/>
                    <w:kinsoku w:val="0"/>
                    <w:overflowPunct w:val="0"/>
                    <w:spacing w:line="240" w:lineRule="auto"/>
                    <w:jc w:val="center"/>
                    <w:rPr>
                      <w:b/>
                      <w:kern w:val="2"/>
                      <w:sz w:val="18"/>
                      <w:szCs w:val="18"/>
                    </w:rPr>
                  </w:pPr>
                  <w:r>
                    <w:rPr>
                      <w:rFonts w:hint="eastAsia"/>
                      <w:b/>
                      <w:kern w:val="2"/>
                      <w:sz w:val="18"/>
                      <w:szCs w:val="18"/>
                    </w:rPr>
                    <w:t>污染物</w:t>
                  </w:r>
                </w:p>
              </w:tc>
              <w:tc>
                <w:tcPr>
                  <w:tcW w:w="2932" w:type="dxa"/>
                  <w:vAlign w:val="center"/>
                </w:tcPr>
                <w:p>
                  <w:pPr>
                    <w:pStyle w:val="TableParagraph"/>
                    <w:kinsoku w:val="0"/>
                    <w:overflowPunct w:val="0"/>
                    <w:spacing w:line="240" w:lineRule="auto"/>
                    <w:jc w:val="center"/>
                    <w:rPr>
                      <w:b/>
                      <w:kern w:val="2"/>
                      <w:sz w:val="18"/>
                      <w:szCs w:val="18"/>
                    </w:rPr>
                  </w:pPr>
                  <w:r>
                    <w:rPr>
                      <w:rFonts w:hint="eastAsia"/>
                      <w:b/>
                      <w:kern w:val="2"/>
                      <w:sz w:val="18"/>
                      <w:szCs w:val="18"/>
                    </w:rPr>
                    <w:t>年评价指标</w:t>
                  </w:r>
                </w:p>
              </w:tc>
              <w:tc>
                <w:tcPr>
                  <w:tcW w:w="1427" w:type="dxa"/>
                  <w:vAlign w:val="center"/>
                </w:tcPr>
                <w:p>
                  <w:pPr>
                    <w:pStyle w:val="TableParagraph"/>
                    <w:kinsoku w:val="0"/>
                    <w:overflowPunct w:val="0"/>
                    <w:spacing w:line="240" w:lineRule="auto"/>
                    <w:jc w:val="center"/>
                    <w:rPr>
                      <w:b/>
                      <w:kern w:val="2"/>
                      <w:sz w:val="18"/>
                      <w:szCs w:val="18"/>
                    </w:rPr>
                  </w:pPr>
                  <w:r>
                    <w:rPr>
                      <w:rFonts w:hint="eastAsia"/>
                      <w:b/>
                      <w:kern w:val="2"/>
                      <w:sz w:val="18"/>
                      <w:szCs w:val="18"/>
                    </w:rPr>
                    <w:t>现状浓度</w:t>
                  </w:r>
                </w:p>
                <w:p>
                  <w:pPr>
                    <w:pStyle w:val="TableParagraph"/>
                    <w:kinsoku w:val="0"/>
                    <w:overflowPunct w:val="0"/>
                    <w:spacing w:line="240" w:lineRule="auto"/>
                    <w:jc w:val="center"/>
                    <w:rPr>
                      <w:b/>
                      <w:kern w:val="2"/>
                      <w:sz w:val="18"/>
                      <w:szCs w:val="18"/>
                    </w:rPr>
                  </w:pPr>
                  <w:r>
                    <w:rPr>
                      <w:rFonts w:hint="eastAsia"/>
                      <w:b/>
                      <w:kern w:val="2"/>
                      <w:sz w:val="18"/>
                      <w:szCs w:val="18"/>
                    </w:rPr>
                    <w:t>（</w:t>
                  </w:r>
                  <w:r>
                    <w:rPr>
                      <w:b/>
                      <w:kern w:val="2"/>
                      <w:sz w:val="18"/>
                      <w:szCs w:val="18"/>
                    </w:rPr>
                    <w:t>μg/m</w:t>
                  </w:r>
                  <w:r>
                    <w:rPr>
                      <w:b/>
                      <w:kern w:val="2"/>
                      <w:position w:val="6"/>
                      <w:sz w:val="12"/>
                      <w:szCs w:val="12"/>
                    </w:rPr>
                    <w:t>3</w:t>
                  </w:r>
                  <w:r>
                    <w:rPr>
                      <w:rFonts w:hint="eastAsia"/>
                      <w:b/>
                      <w:kern w:val="2"/>
                      <w:sz w:val="18"/>
                      <w:szCs w:val="18"/>
                    </w:rPr>
                    <w:t>）</w:t>
                  </w:r>
                </w:p>
              </w:tc>
              <w:tc>
                <w:tcPr>
                  <w:tcW w:w="1304" w:type="dxa"/>
                  <w:vAlign w:val="center"/>
                </w:tcPr>
                <w:p>
                  <w:pPr>
                    <w:pStyle w:val="TableParagraph"/>
                    <w:kinsoku w:val="0"/>
                    <w:overflowPunct w:val="0"/>
                    <w:spacing w:line="240" w:lineRule="auto"/>
                    <w:jc w:val="center"/>
                    <w:rPr>
                      <w:b/>
                      <w:kern w:val="2"/>
                      <w:sz w:val="18"/>
                      <w:szCs w:val="18"/>
                    </w:rPr>
                  </w:pPr>
                  <w:r>
                    <w:rPr>
                      <w:rFonts w:hint="eastAsia"/>
                      <w:b/>
                      <w:kern w:val="2"/>
                      <w:sz w:val="18"/>
                      <w:szCs w:val="18"/>
                    </w:rPr>
                    <w:t>标准值</w:t>
                  </w:r>
                </w:p>
                <w:p>
                  <w:pPr>
                    <w:pStyle w:val="TableParagraph"/>
                    <w:kinsoku w:val="0"/>
                    <w:overflowPunct w:val="0"/>
                    <w:spacing w:line="240" w:lineRule="auto"/>
                    <w:jc w:val="center"/>
                    <w:rPr>
                      <w:b/>
                      <w:kern w:val="2"/>
                      <w:sz w:val="18"/>
                      <w:szCs w:val="18"/>
                    </w:rPr>
                  </w:pPr>
                  <w:r>
                    <w:rPr>
                      <w:rFonts w:hint="eastAsia"/>
                      <w:b/>
                      <w:kern w:val="2"/>
                      <w:sz w:val="18"/>
                      <w:szCs w:val="18"/>
                    </w:rPr>
                    <w:t>（</w:t>
                  </w:r>
                  <w:r>
                    <w:rPr>
                      <w:b/>
                      <w:kern w:val="2"/>
                      <w:sz w:val="18"/>
                      <w:szCs w:val="18"/>
                    </w:rPr>
                    <w:t>μg/m</w:t>
                  </w:r>
                  <w:r>
                    <w:rPr>
                      <w:b/>
                      <w:kern w:val="2"/>
                      <w:position w:val="6"/>
                      <w:sz w:val="12"/>
                      <w:szCs w:val="12"/>
                    </w:rPr>
                    <w:t>3</w:t>
                  </w:r>
                  <w:r>
                    <w:rPr>
                      <w:rFonts w:hint="eastAsia"/>
                      <w:b/>
                      <w:kern w:val="2"/>
                      <w:sz w:val="18"/>
                      <w:szCs w:val="18"/>
                    </w:rPr>
                    <w:t>）</w:t>
                  </w:r>
                </w:p>
              </w:tc>
              <w:tc>
                <w:tcPr>
                  <w:tcW w:w="944" w:type="dxa"/>
                  <w:vAlign w:val="center"/>
                </w:tcPr>
                <w:p>
                  <w:pPr>
                    <w:pStyle w:val="TableParagraph"/>
                    <w:kinsoku w:val="0"/>
                    <w:overflowPunct w:val="0"/>
                    <w:spacing w:line="240" w:lineRule="auto"/>
                    <w:jc w:val="center"/>
                    <w:rPr>
                      <w:b/>
                      <w:kern w:val="2"/>
                      <w:sz w:val="18"/>
                      <w:szCs w:val="18"/>
                    </w:rPr>
                  </w:pPr>
                  <w:r>
                    <w:rPr>
                      <w:rFonts w:hint="eastAsia"/>
                      <w:b/>
                      <w:kern w:val="2"/>
                      <w:sz w:val="18"/>
                      <w:szCs w:val="18"/>
                    </w:rPr>
                    <w:t>占标率</w:t>
                  </w:r>
                </w:p>
                <w:p>
                  <w:pPr>
                    <w:pStyle w:val="TableParagraph"/>
                    <w:kinsoku w:val="0"/>
                    <w:overflowPunct w:val="0"/>
                    <w:spacing w:line="240" w:lineRule="auto"/>
                    <w:jc w:val="center"/>
                    <w:rPr>
                      <w:rFonts w:eastAsia="等线"/>
                      <w:b/>
                      <w:kern w:val="2"/>
                      <w:sz w:val="18"/>
                      <w:szCs w:val="18"/>
                    </w:rPr>
                  </w:pPr>
                  <w:r>
                    <w:rPr>
                      <w:rFonts w:eastAsia="等线"/>
                      <w:b/>
                      <w:kern w:val="2"/>
                      <w:sz w:val="18"/>
                      <w:szCs w:val="18"/>
                    </w:rPr>
                    <w:t>%</w:t>
                  </w:r>
                </w:p>
              </w:tc>
              <w:tc>
                <w:tcPr>
                  <w:tcW w:w="1135" w:type="dxa"/>
                  <w:vAlign w:val="center"/>
                </w:tcPr>
                <w:p>
                  <w:pPr>
                    <w:pStyle w:val="TableParagraph"/>
                    <w:kinsoku w:val="0"/>
                    <w:overflowPunct w:val="0"/>
                    <w:spacing w:line="240" w:lineRule="auto"/>
                    <w:jc w:val="center"/>
                    <w:rPr>
                      <w:b/>
                      <w:kern w:val="2"/>
                      <w:sz w:val="18"/>
                      <w:szCs w:val="18"/>
                    </w:rPr>
                  </w:pPr>
                  <w:r>
                    <w:rPr>
                      <w:rFonts w:hint="eastAsia"/>
                      <w:b/>
                      <w:kern w:val="2"/>
                      <w:sz w:val="18"/>
                      <w:szCs w:val="18"/>
                    </w:rPr>
                    <w:t>达标情况</w:t>
                  </w:r>
                </w:p>
              </w:tc>
            </w:tr>
            <w:tr>
              <w:tblPrEx>
                <w:tblW w:w="9055" w:type="dxa"/>
                <w:jc w:val="center"/>
                <w:tblLayout w:type="fixed"/>
                <w:tblCellMar>
                  <w:top w:w="0" w:type="dxa"/>
                  <w:left w:w="0" w:type="dxa"/>
                  <w:bottom w:w="0" w:type="dxa"/>
                  <w:right w:w="0" w:type="dxa"/>
                </w:tblCellMar>
              </w:tblPrEx>
              <w:trPr>
                <w:trHeight w:val="340"/>
                <w:jc w:val="center"/>
              </w:trPr>
              <w:tc>
                <w:tcPr>
                  <w:tcW w:w="1313" w:type="dxa"/>
                  <w:vAlign w:val="center"/>
                </w:tcPr>
                <w:p>
                  <w:pPr>
                    <w:pStyle w:val="TableParagraph"/>
                    <w:kinsoku w:val="0"/>
                    <w:overflowPunct w:val="0"/>
                    <w:spacing w:line="240" w:lineRule="auto"/>
                    <w:jc w:val="center"/>
                    <w:rPr>
                      <w:rFonts w:eastAsia="等线"/>
                      <w:kern w:val="2"/>
                      <w:sz w:val="18"/>
                      <w:szCs w:val="18"/>
                    </w:rPr>
                  </w:pPr>
                  <w:r>
                    <w:rPr>
                      <w:kern w:val="2"/>
                      <w:position w:val="2"/>
                      <w:szCs w:val="21"/>
                    </w:rPr>
                    <w:t>SO</w:t>
                  </w:r>
                  <w:r>
                    <w:rPr>
                      <w:kern w:val="2"/>
                      <w:sz w:val="14"/>
                      <w:szCs w:val="14"/>
                    </w:rPr>
                    <w:t>2</w:t>
                  </w:r>
                  <w:r>
                    <w:rPr>
                      <w:rFonts w:eastAsia="等线"/>
                      <w:kern w:val="2"/>
                      <w:sz w:val="18"/>
                      <w:szCs w:val="18"/>
                    </w:rPr>
                    <w:t xml:space="preserve"> </w:t>
                  </w:r>
                </w:p>
              </w:tc>
              <w:tc>
                <w:tcPr>
                  <w:tcW w:w="2932" w:type="dxa"/>
                  <w:vAlign w:val="center"/>
                </w:tcPr>
                <w:p>
                  <w:pPr>
                    <w:pStyle w:val="TableParagraph"/>
                    <w:kinsoku w:val="0"/>
                    <w:overflowPunct w:val="0"/>
                    <w:spacing w:line="240" w:lineRule="auto"/>
                    <w:jc w:val="center"/>
                    <w:rPr>
                      <w:kern w:val="2"/>
                      <w:sz w:val="18"/>
                      <w:szCs w:val="18"/>
                    </w:rPr>
                  </w:pPr>
                  <w:r>
                    <w:rPr>
                      <w:rFonts w:hint="eastAsia"/>
                      <w:kern w:val="2"/>
                      <w:sz w:val="18"/>
                      <w:szCs w:val="18"/>
                    </w:rPr>
                    <w:t>年平均质量浓度</w:t>
                  </w:r>
                </w:p>
              </w:tc>
              <w:tc>
                <w:tcPr>
                  <w:tcW w:w="1427" w:type="dxa"/>
                  <w:vAlign w:val="center"/>
                </w:tcPr>
                <w:p>
                  <w:pPr>
                    <w:pStyle w:val="TableParagraph"/>
                    <w:kinsoku w:val="0"/>
                    <w:overflowPunct w:val="0"/>
                    <w:spacing w:line="240" w:lineRule="auto"/>
                    <w:jc w:val="center"/>
                    <w:rPr>
                      <w:rFonts w:eastAsia="等线"/>
                      <w:kern w:val="2"/>
                      <w:sz w:val="18"/>
                      <w:szCs w:val="18"/>
                    </w:rPr>
                  </w:pPr>
                  <w:r>
                    <w:rPr>
                      <w:rFonts w:eastAsia="等线"/>
                      <w:kern w:val="2"/>
                      <w:sz w:val="18"/>
                      <w:szCs w:val="18"/>
                    </w:rPr>
                    <w:t>15</w:t>
                  </w:r>
                </w:p>
              </w:tc>
              <w:tc>
                <w:tcPr>
                  <w:tcW w:w="1304" w:type="dxa"/>
                  <w:vAlign w:val="center"/>
                </w:tcPr>
                <w:p>
                  <w:pPr>
                    <w:pStyle w:val="TableParagraph"/>
                    <w:kinsoku w:val="0"/>
                    <w:overflowPunct w:val="0"/>
                    <w:spacing w:line="240" w:lineRule="auto"/>
                    <w:jc w:val="center"/>
                    <w:rPr>
                      <w:rFonts w:eastAsia="等线"/>
                      <w:kern w:val="2"/>
                      <w:sz w:val="18"/>
                      <w:szCs w:val="18"/>
                    </w:rPr>
                  </w:pPr>
                  <w:r>
                    <w:rPr>
                      <w:rFonts w:eastAsia="等线" w:hint="eastAsia"/>
                      <w:kern w:val="2"/>
                      <w:sz w:val="18"/>
                      <w:szCs w:val="18"/>
                    </w:rPr>
                    <w:t>6</w:t>
                  </w:r>
                  <w:r>
                    <w:rPr>
                      <w:rFonts w:eastAsia="等线"/>
                      <w:kern w:val="2"/>
                      <w:sz w:val="18"/>
                      <w:szCs w:val="18"/>
                    </w:rPr>
                    <w:t>0</w:t>
                  </w:r>
                </w:p>
              </w:tc>
              <w:tc>
                <w:tcPr>
                  <w:tcW w:w="944" w:type="dxa"/>
                  <w:vAlign w:val="center"/>
                </w:tcPr>
                <w:p>
                  <w:pPr>
                    <w:widowControl/>
                    <w:spacing w:line="240" w:lineRule="auto"/>
                    <w:jc w:val="center"/>
                    <w:rPr>
                      <w:rFonts w:eastAsia="等线"/>
                      <w:kern w:val="2"/>
                      <w:sz w:val="18"/>
                      <w:szCs w:val="18"/>
                    </w:rPr>
                  </w:pPr>
                  <w:r>
                    <w:rPr>
                      <w:rFonts w:eastAsia="等线" w:hint="eastAsia"/>
                      <w:kern w:val="2"/>
                      <w:sz w:val="18"/>
                      <w:szCs w:val="18"/>
                    </w:rPr>
                    <w:t>2</w:t>
                  </w:r>
                  <w:r>
                    <w:rPr>
                      <w:rFonts w:eastAsia="等线"/>
                      <w:kern w:val="2"/>
                      <w:sz w:val="18"/>
                      <w:szCs w:val="18"/>
                    </w:rPr>
                    <w:t>5</w:t>
                  </w:r>
                </w:p>
              </w:tc>
              <w:tc>
                <w:tcPr>
                  <w:tcW w:w="1135" w:type="dxa"/>
                  <w:vAlign w:val="center"/>
                </w:tcPr>
                <w:p>
                  <w:pPr>
                    <w:pStyle w:val="TableParagraph"/>
                    <w:kinsoku w:val="0"/>
                    <w:overflowPunct w:val="0"/>
                    <w:spacing w:line="240" w:lineRule="auto"/>
                    <w:jc w:val="center"/>
                    <w:rPr>
                      <w:rFonts w:hAnsi="宋体"/>
                      <w:kern w:val="2"/>
                      <w:sz w:val="18"/>
                      <w:szCs w:val="18"/>
                    </w:rPr>
                  </w:pPr>
                  <w:r>
                    <w:rPr>
                      <w:rFonts w:hAnsi="宋体" w:hint="eastAsia"/>
                      <w:kern w:val="2"/>
                      <w:sz w:val="18"/>
                      <w:szCs w:val="18"/>
                    </w:rPr>
                    <w:t>达标</w:t>
                  </w:r>
                </w:p>
              </w:tc>
            </w:tr>
            <w:tr>
              <w:tblPrEx>
                <w:tblW w:w="9055" w:type="dxa"/>
                <w:jc w:val="center"/>
                <w:tblLayout w:type="fixed"/>
                <w:tblCellMar>
                  <w:top w:w="0" w:type="dxa"/>
                  <w:left w:w="0" w:type="dxa"/>
                  <w:bottom w:w="0" w:type="dxa"/>
                  <w:right w:w="0" w:type="dxa"/>
                </w:tblCellMar>
              </w:tblPrEx>
              <w:trPr>
                <w:trHeight w:val="340"/>
                <w:jc w:val="center"/>
              </w:trPr>
              <w:tc>
                <w:tcPr>
                  <w:tcW w:w="1313" w:type="dxa"/>
                  <w:vAlign w:val="center"/>
                </w:tcPr>
                <w:p>
                  <w:pPr>
                    <w:pStyle w:val="BodyText"/>
                    <w:kinsoku w:val="0"/>
                    <w:overflowPunct w:val="0"/>
                    <w:spacing w:after="0" w:line="240" w:lineRule="auto"/>
                    <w:jc w:val="center"/>
                    <w:rPr>
                      <w:rFonts w:ascii="黑体" w:eastAsia="黑体" w:cs="黑体"/>
                      <w:kern w:val="2"/>
                      <w:sz w:val="2"/>
                      <w:szCs w:val="2"/>
                    </w:rPr>
                  </w:pPr>
                  <w:r>
                    <w:rPr>
                      <w:kern w:val="2"/>
                      <w:position w:val="2"/>
                      <w:szCs w:val="21"/>
                    </w:rPr>
                    <w:t>NO</w:t>
                  </w:r>
                  <w:r>
                    <w:rPr>
                      <w:kern w:val="2"/>
                      <w:sz w:val="14"/>
                      <w:szCs w:val="14"/>
                    </w:rPr>
                    <w:t>2</w:t>
                  </w:r>
                </w:p>
              </w:tc>
              <w:tc>
                <w:tcPr>
                  <w:tcW w:w="2932" w:type="dxa"/>
                  <w:vAlign w:val="center"/>
                </w:tcPr>
                <w:p>
                  <w:pPr>
                    <w:pStyle w:val="TableParagraph"/>
                    <w:kinsoku w:val="0"/>
                    <w:overflowPunct w:val="0"/>
                    <w:spacing w:line="240" w:lineRule="auto"/>
                    <w:jc w:val="center"/>
                    <w:rPr>
                      <w:kern w:val="2"/>
                      <w:sz w:val="18"/>
                      <w:szCs w:val="18"/>
                    </w:rPr>
                  </w:pPr>
                  <w:r>
                    <w:rPr>
                      <w:rFonts w:hint="eastAsia"/>
                      <w:kern w:val="2"/>
                      <w:sz w:val="18"/>
                      <w:szCs w:val="18"/>
                    </w:rPr>
                    <w:t>年平均质量浓度</w:t>
                  </w:r>
                </w:p>
              </w:tc>
              <w:tc>
                <w:tcPr>
                  <w:tcW w:w="1427" w:type="dxa"/>
                  <w:vAlign w:val="center"/>
                </w:tcPr>
                <w:p>
                  <w:pPr>
                    <w:pStyle w:val="TableParagraph"/>
                    <w:kinsoku w:val="0"/>
                    <w:overflowPunct w:val="0"/>
                    <w:spacing w:line="240" w:lineRule="auto"/>
                    <w:jc w:val="center"/>
                    <w:rPr>
                      <w:rFonts w:eastAsia="等线"/>
                      <w:kern w:val="2"/>
                      <w:sz w:val="18"/>
                      <w:szCs w:val="18"/>
                    </w:rPr>
                  </w:pPr>
                  <w:r>
                    <w:rPr>
                      <w:rFonts w:eastAsia="等线"/>
                      <w:kern w:val="2"/>
                      <w:sz w:val="18"/>
                      <w:szCs w:val="18"/>
                    </w:rPr>
                    <w:t>19</w:t>
                  </w:r>
                </w:p>
              </w:tc>
              <w:tc>
                <w:tcPr>
                  <w:tcW w:w="1304" w:type="dxa"/>
                  <w:vAlign w:val="center"/>
                </w:tcPr>
                <w:p>
                  <w:pPr>
                    <w:pStyle w:val="TableParagraph"/>
                    <w:kinsoku w:val="0"/>
                    <w:overflowPunct w:val="0"/>
                    <w:spacing w:line="240" w:lineRule="auto"/>
                    <w:jc w:val="center"/>
                    <w:rPr>
                      <w:rFonts w:eastAsia="等线"/>
                      <w:kern w:val="2"/>
                      <w:sz w:val="18"/>
                      <w:szCs w:val="18"/>
                    </w:rPr>
                  </w:pPr>
                  <w:r>
                    <w:rPr>
                      <w:rFonts w:eastAsia="等线" w:hint="eastAsia"/>
                      <w:kern w:val="2"/>
                      <w:sz w:val="18"/>
                      <w:szCs w:val="18"/>
                    </w:rPr>
                    <w:t>4</w:t>
                  </w:r>
                  <w:r>
                    <w:rPr>
                      <w:rFonts w:eastAsia="等线"/>
                      <w:kern w:val="2"/>
                      <w:sz w:val="18"/>
                      <w:szCs w:val="18"/>
                    </w:rPr>
                    <w:t>0</w:t>
                  </w:r>
                </w:p>
              </w:tc>
              <w:tc>
                <w:tcPr>
                  <w:tcW w:w="944" w:type="dxa"/>
                  <w:vAlign w:val="center"/>
                </w:tcPr>
                <w:p>
                  <w:pPr>
                    <w:spacing w:line="240" w:lineRule="auto"/>
                    <w:jc w:val="center"/>
                    <w:rPr>
                      <w:rFonts w:eastAsia="等线"/>
                      <w:kern w:val="2"/>
                      <w:sz w:val="18"/>
                      <w:szCs w:val="18"/>
                    </w:rPr>
                  </w:pPr>
                  <w:r>
                    <w:rPr>
                      <w:rFonts w:eastAsia="等线" w:hint="eastAsia"/>
                      <w:kern w:val="2"/>
                      <w:sz w:val="18"/>
                      <w:szCs w:val="18"/>
                    </w:rPr>
                    <w:t>47.5</w:t>
                  </w:r>
                </w:p>
              </w:tc>
              <w:tc>
                <w:tcPr>
                  <w:tcW w:w="1135" w:type="dxa"/>
                  <w:vAlign w:val="center"/>
                </w:tcPr>
                <w:p>
                  <w:pPr>
                    <w:pStyle w:val="BodyText"/>
                    <w:kinsoku w:val="0"/>
                    <w:overflowPunct w:val="0"/>
                    <w:spacing w:after="0" w:line="240" w:lineRule="auto"/>
                    <w:jc w:val="center"/>
                    <w:rPr>
                      <w:rFonts w:ascii="黑体" w:eastAsia="黑体" w:cs="黑体"/>
                      <w:kern w:val="2"/>
                      <w:sz w:val="2"/>
                      <w:szCs w:val="2"/>
                    </w:rPr>
                  </w:pPr>
                  <w:r>
                    <w:rPr>
                      <w:rFonts w:ascii="宋体" w:hAnsi="宋体" w:hint="eastAsia"/>
                      <w:kern w:val="2"/>
                      <w:sz w:val="18"/>
                      <w:szCs w:val="18"/>
                    </w:rPr>
                    <w:t>达标</w:t>
                  </w:r>
                </w:p>
              </w:tc>
            </w:tr>
            <w:tr>
              <w:tblPrEx>
                <w:tblW w:w="9055" w:type="dxa"/>
                <w:jc w:val="center"/>
                <w:tblLayout w:type="fixed"/>
                <w:tblCellMar>
                  <w:top w:w="0" w:type="dxa"/>
                  <w:left w:w="0" w:type="dxa"/>
                  <w:bottom w:w="0" w:type="dxa"/>
                  <w:right w:w="0" w:type="dxa"/>
                </w:tblCellMar>
              </w:tblPrEx>
              <w:trPr>
                <w:trHeight w:val="340"/>
                <w:jc w:val="center"/>
              </w:trPr>
              <w:tc>
                <w:tcPr>
                  <w:tcW w:w="1313" w:type="dxa"/>
                  <w:vAlign w:val="center"/>
                </w:tcPr>
                <w:p>
                  <w:pPr>
                    <w:pStyle w:val="BodyText"/>
                    <w:kinsoku w:val="0"/>
                    <w:overflowPunct w:val="0"/>
                    <w:spacing w:after="0" w:line="240" w:lineRule="auto"/>
                    <w:jc w:val="center"/>
                    <w:rPr>
                      <w:rFonts w:ascii="黑体" w:eastAsia="黑体" w:cs="黑体"/>
                      <w:kern w:val="2"/>
                      <w:sz w:val="2"/>
                      <w:szCs w:val="2"/>
                    </w:rPr>
                  </w:pPr>
                  <w:r>
                    <w:rPr>
                      <w:kern w:val="2"/>
                      <w:position w:val="2"/>
                      <w:szCs w:val="21"/>
                    </w:rPr>
                    <w:t>PM</w:t>
                  </w:r>
                  <w:r>
                    <w:rPr>
                      <w:kern w:val="2"/>
                      <w:sz w:val="14"/>
                      <w:szCs w:val="14"/>
                    </w:rPr>
                    <w:t>2.5</w:t>
                  </w:r>
                </w:p>
              </w:tc>
              <w:tc>
                <w:tcPr>
                  <w:tcW w:w="2932" w:type="dxa"/>
                  <w:vAlign w:val="center"/>
                </w:tcPr>
                <w:p>
                  <w:pPr>
                    <w:pStyle w:val="TableParagraph"/>
                    <w:kinsoku w:val="0"/>
                    <w:overflowPunct w:val="0"/>
                    <w:spacing w:line="240" w:lineRule="auto"/>
                    <w:jc w:val="center"/>
                    <w:rPr>
                      <w:kern w:val="2"/>
                      <w:sz w:val="18"/>
                      <w:szCs w:val="18"/>
                    </w:rPr>
                  </w:pPr>
                  <w:r>
                    <w:rPr>
                      <w:rFonts w:hint="eastAsia"/>
                      <w:kern w:val="2"/>
                      <w:sz w:val="18"/>
                      <w:szCs w:val="18"/>
                    </w:rPr>
                    <w:t>年平均质量浓度</w:t>
                  </w:r>
                </w:p>
              </w:tc>
              <w:tc>
                <w:tcPr>
                  <w:tcW w:w="1427" w:type="dxa"/>
                  <w:vAlign w:val="center"/>
                </w:tcPr>
                <w:p>
                  <w:pPr>
                    <w:pStyle w:val="TableParagraph"/>
                    <w:kinsoku w:val="0"/>
                    <w:overflowPunct w:val="0"/>
                    <w:spacing w:line="240" w:lineRule="auto"/>
                    <w:jc w:val="center"/>
                    <w:rPr>
                      <w:rFonts w:eastAsia="等线"/>
                      <w:kern w:val="2"/>
                      <w:sz w:val="18"/>
                      <w:szCs w:val="18"/>
                    </w:rPr>
                  </w:pPr>
                  <w:r>
                    <w:rPr>
                      <w:rFonts w:eastAsia="等线"/>
                      <w:kern w:val="2"/>
                      <w:sz w:val="18"/>
                      <w:szCs w:val="18"/>
                    </w:rPr>
                    <w:t>37</w:t>
                  </w:r>
                </w:p>
              </w:tc>
              <w:tc>
                <w:tcPr>
                  <w:tcW w:w="1304" w:type="dxa"/>
                  <w:vAlign w:val="center"/>
                </w:tcPr>
                <w:p>
                  <w:pPr>
                    <w:pStyle w:val="TableParagraph"/>
                    <w:kinsoku w:val="0"/>
                    <w:overflowPunct w:val="0"/>
                    <w:spacing w:line="240" w:lineRule="auto"/>
                    <w:jc w:val="center"/>
                    <w:rPr>
                      <w:rFonts w:eastAsia="等线"/>
                      <w:kern w:val="2"/>
                      <w:sz w:val="18"/>
                      <w:szCs w:val="18"/>
                    </w:rPr>
                  </w:pPr>
                  <w:r>
                    <w:rPr>
                      <w:rFonts w:eastAsia="等线" w:hint="eastAsia"/>
                      <w:kern w:val="2"/>
                      <w:sz w:val="18"/>
                      <w:szCs w:val="18"/>
                    </w:rPr>
                    <w:t>3</w:t>
                  </w:r>
                  <w:r>
                    <w:rPr>
                      <w:rFonts w:eastAsia="等线"/>
                      <w:kern w:val="2"/>
                      <w:sz w:val="18"/>
                      <w:szCs w:val="18"/>
                    </w:rPr>
                    <w:t>5</w:t>
                  </w:r>
                </w:p>
              </w:tc>
              <w:tc>
                <w:tcPr>
                  <w:tcW w:w="944" w:type="dxa"/>
                  <w:vAlign w:val="center"/>
                </w:tcPr>
                <w:p>
                  <w:pPr>
                    <w:spacing w:line="240" w:lineRule="auto"/>
                    <w:jc w:val="center"/>
                    <w:rPr>
                      <w:rFonts w:eastAsia="等线"/>
                      <w:kern w:val="2"/>
                      <w:sz w:val="18"/>
                      <w:szCs w:val="18"/>
                    </w:rPr>
                  </w:pPr>
                  <w:r>
                    <w:rPr>
                      <w:rFonts w:eastAsia="等线" w:hint="eastAsia"/>
                      <w:kern w:val="2"/>
                      <w:sz w:val="18"/>
                      <w:szCs w:val="18"/>
                    </w:rPr>
                    <w:t>105.7</w:t>
                  </w:r>
                </w:p>
              </w:tc>
              <w:tc>
                <w:tcPr>
                  <w:tcW w:w="1135" w:type="dxa"/>
                  <w:vAlign w:val="center"/>
                </w:tcPr>
                <w:p>
                  <w:pPr>
                    <w:pStyle w:val="BodyText"/>
                    <w:kinsoku w:val="0"/>
                    <w:overflowPunct w:val="0"/>
                    <w:spacing w:after="0" w:line="240" w:lineRule="auto"/>
                    <w:jc w:val="center"/>
                    <w:rPr>
                      <w:rFonts w:ascii="黑体" w:eastAsia="黑体" w:cs="黑体"/>
                      <w:kern w:val="2"/>
                      <w:sz w:val="2"/>
                      <w:szCs w:val="2"/>
                    </w:rPr>
                  </w:pPr>
                  <w:r>
                    <w:rPr>
                      <w:rFonts w:ascii="宋体" w:hAnsi="宋体" w:hint="eastAsia"/>
                      <w:kern w:val="2"/>
                      <w:sz w:val="18"/>
                      <w:szCs w:val="18"/>
                    </w:rPr>
                    <w:t>不达标</w:t>
                  </w:r>
                </w:p>
              </w:tc>
            </w:tr>
            <w:tr>
              <w:tblPrEx>
                <w:tblW w:w="9055" w:type="dxa"/>
                <w:jc w:val="center"/>
                <w:tblLayout w:type="fixed"/>
                <w:tblCellMar>
                  <w:top w:w="0" w:type="dxa"/>
                  <w:left w:w="0" w:type="dxa"/>
                  <w:bottom w:w="0" w:type="dxa"/>
                  <w:right w:w="0" w:type="dxa"/>
                </w:tblCellMar>
              </w:tblPrEx>
              <w:trPr>
                <w:trHeight w:val="340"/>
                <w:jc w:val="center"/>
              </w:trPr>
              <w:tc>
                <w:tcPr>
                  <w:tcW w:w="1313" w:type="dxa"/>
                  <w:vAlign w:val="center"/>
                </w:tcPr>
                <w:p>
                  <w:pPr>
                    <w:pStyle w:val="BodyText"/>
                    <w:kinsoku w:val="0"/>
                    <w:overflowPunct w:val="0"/>
                    <w:spacing w:after="0" w:line="240" w:lineRule="auto"/>
                    <w:jc w:val="center"/>
                    <w:rPr>
                      <w:rFonts w:ascii="黑体" w:eastAsia="黑体" w:cs="黑体"/>
                      <w:kern w:val="2"/>
                      <w:sz w:val="2"/>
                      <w:szCs w:val="2"/>
                    </w:rPr>
                  </w:pPr>
                  <w:r>
                    <w:rPr>
                      <w:kern w:val="2"/>
                      <w:position w:val="2"/>
                      <w:szCs w:val="21"/>
                    </w:rPr>
                    <w:t>PM</w:t>
                  </w:r>
                  <w:r>
                    <w:rPr>
                      <w:kern w:val="2"/>
                      <w:sz w:val="14"/>
                      <w:szCs w:val="14"/>
                    </w:rPr>
                    <w:t>10</w:t>
                  </w:r>
                </w:p>
              </w:tc>
              <w:tc>
                <w:tcPr>
                  <w:tcW w:w="2932" w:type="dxa"/>
                  <w:vAlign w:val="center"/>
                </w:tcPr>
                <w:p>
                  <w:pPr>
                    <w:pStyle w:val="TableParagraph"/>
                    <w:kinsoku w:val="0"/>
                    <w:overflowPunct w:val="0"/>
                    <w:spacing w:line="240" w:lineRule="auto"/>
                    <w:jc w:val="center"/>
                    <w:rPr>
                      <w:kern w:val="2"/>
                      <w:sz w:val="18"/>
                      <w:szCs w:val="18"/>
                    </w:rPr>
                  </w:pPr>
                  <w:r>
                    <w:rPr>
                      <w:rFonts w:hint="eastAsia"/>
                      <w:kern w:val="2"/>
                      <w:sz w:val="18"/>
                      <w:szCs w:val="18"/>
                    </w:rPr>
                    <w:t>年平均质量浓度</w:t>
                  </w:r>
                </w:p>
              </w:tc>
              <w:tc>
                <w:tcPr>
                  <w:tcW w:w="1427" w:type="dxa"/>
                  <w:vAlign w:val="center"/>
                </w:tcPr>
                <w:p>
                  <w:pPr>
                    <w:pStyle w:val="TableParagraph"/>
                    <w:kinsoku w:val="0"/>
                    <w:overflowPunct w:val="0"/>
                    <w:spacing w:line="240" w:lineRule="auto"/>
                    <w:jc w:val="center"/>
                    <w:rPr>
                      <w:rFonts w:eastAsia="等线"/>
                      <w:kern w:val="2"/>
                      <w:sz w:val="18"/>
                      <w:szCs w:val="18"/>
                    </w:rPr>
                  </w:pPr>
                  <w:r>
                    <w:rPr>
                      <w:rFonts w:eastAsia="等线"/>
                      <w:kern w:val="2"/>
                      <w:sz w:val="18"/>
                      <w:szCs w:val="18"/>
                    </w:rPr>
                    <w:t>59</w:t>
                  </w:r>
                </w:p>
              </w:tc>
              <w:tc>
                <w:tcPr>
                  <w:tcW w:w="1304" w:type="dxa"/>
                  <w:vAlign w:val="center"/>
                </w:tcPr>
                <w:p>
                  <w:pPr>
                    <w:pStyle w:val="TableParagraph"/>
                    <w:kinsoku w:val="0"/>
                    <w:overflowPunct w:val="0"/>
                    <w:spacing w:line="240" w:lineRule="auto"/>
                    <w:jc w:val="center"/>
                    <w:rPr>
                      <w:rFonts w:eastAsia="等线"/>
                      <w:kern w:val="2"/>
                      <w:sz w:val="18"/>
                      <w:szCs w:val="18"/>
                    </w:rPr>
                  </w:pPr>
                  <w:r>
                    <w:rPr>
                      <w:rFonts w:eastAsia="等线" w:hint="eastAsia"/>
                      <w:kern w:val="2"/>
                      <w:sz w:val="18"/>
                      <w:szCs w:val="18"/>
                    </w:rPr>
                    <w:t>7</w:t>
                  </w:r>
                  <w:r>
                    <w:rPr>
                      <w:rFonts w:eastAsia="等线"/>
                      <w:kern w:val="2"/>
                      <w:sz w:val="18"/>
                      <w:szCs w:val="18"/>
                    </w:rPr>
                    <w:t>0</w:t>
                  </w:r>
                </w:p>
              </w:tc>
              <w:tc>
                <w:tcPr>
                  <w:tcW w:w="944" w:type="dxa"/>
                  <w:vAlign w:val="center"/>
                </w:tcPr>
                <w:p>
                  <w:pPr>
                    <w:spacing w:line="240" w:lineRule="auto"/>
                    <w:jc w:val="center"/>
                    <w:rPr>
                      <w:rFonts w:eastAsia="等线"/>
                      <w:kern w:val="2"/>
                      <w:sz w:val="18"/>
                      <w:szCs w:val="18"/>
                    </w:rPr>
                  </w:pPr>
                  <w:r>
                    <w:rPr>
                      <w:rFonts w:eastAsia="等线" w:hint="eastAsia"/>
                      <w:kern w:val="2"/>
                      <w:sz w:val="18"/>
                      <w:szCs w:val="18"/>
                    </w:rPr>
                    <w:t>84.3</w:t>
                  </w:r>
                </w:p>
              </w:tc>
              <w:tc>
                <w:tcPr>
                  <w:tcW w:w="1135" w:type="dxa"/>
                  <w:vAlign w:val="center"/>
                </w:tcPr>
                <w:p>
                  <w:pPr>
                    <w:pStyle w:val="BodyText"/>
                    <w:kinsoku w:val="0"/>
                    <w:overflowPunct w:val="0"/>
                    <w:spacing w:after="0" w:line="240" w:lineRule="auto"/>
                    <w:jc w:val="center"/>
                    <w:rPr>
                      <w:rFonts w:ascii="黑体" w:eastAsia="黑体" w:cs="黑体"/>
                      <w:kern w:val="2"/>
                      <w:sz w:val="2"/>
                      <w:szCs w:val="2"/>
                    </w:rPr>
                  </w:pPr>
                  <w:r>
                    <w:rPr>
                      <w:rFonts w:ascii="宋体" w:hAnsi="宋体" w:hint="eastAsia"/>
                      <w:kern w:val="2"/>
                      <w:sz w:val="18"/>
                      <w:szCs w:val="18"/>
                    </w:rPr>
                    <w:t>达标</w:t>
                  </w:r>
                </w:p>
              </w:tc>
            </w:tr>
            <w:tr>
              <w:tblPrEx>
                <w:tblW w:w="9055" w:type="dxa"/>
                <w:jc w:val="center"/>
                <w:tblLayout w:type="fixed"/>
                <w:tblCellMar>
                  <w:top w:w="0" w:type="dxa"/>
                  <w:left w:w="0" w:type="dxa"/>
                  <w:bottom w:w="0" w:type="dxa"/>
                  <w:right w:w="0" w:type="dxa"/>
                </w:tblCellMar>
              </w:tblPrEx>
              <w:trPr>
                <w:trHeight w:val="340"/>
                <w:jc w:val="center"/>
              </w:trPr>
              <w:tc>
                <w:tcPr>
                  <w:tcW w:w="1313" w:type="dxa"/>
                  <w:vAlign w:val="center"/>
                </w:tcPr>
                <w:p>
                  <w:pPr>
                    <w:pStyle w:val="BodyText"/>
                    <w:kinsoku w:val="0"/>
                    <w:overflowPunct w:val="0"/>
                    <w:spacing w:after="0" w:line="240" w:lineRule="auto"/>
                    <w:jc w:val="center"/>
                    <w:rPr>
                      <w:rFonts w:ascii="黑体" w:eastAsia="黑体" w:cs="黑体"/>
                      <w:kern w:val="2"/>
                      <w:sz w:val="2"/>
                      <w:szCs w:val="2"/>
                    </w:rPr>
                  </w:pPr>
                  <w:r>
                    <w:rPr>
                      <w:kern w:val="2"/>
                      <w:position w:val="2"/>
                      <w:szCs w:val="21"/>
                    </w:rPr>
                    <w:t>CO</w:t>
                  </w:r>
                </w:p>
              </w:tc>
              <w:tc>
                <w:tcPr>
                  <w:tcW w:w="2932" w:type="dxa"/>
                  <w:vAlign w:val="center"/>
                </w:tcPr>
                <w:p>
                  <w:pPr>
                    <w:pStyle w:val="TableParagraph"/>
                    <w:kinsoku w:val="0"/>
                    <w:overflowPunct w:val="0"/>
                    <w:spacing w:line="240" w:lineRule="auto"/>
                    <w:jc w:val="center"/>
                    <w:rPr>
                      <w:kern w:val="2"/>
                      <w:sz w:val="18"/>
                      <w:szCs w:val="18"/>
                    </w:rPr>
                  </w:pPr>
                  <w:r>
                    <w:rPr>
                      <w:rFonts w:hint="eastAsia"/>
                      <w:kern w:val="2"/>
                      <w:sz w:val="18"/>
                      <w:szCs w:val="18"/>
                    </w:rPr>
                    <w:t>第9</w:t>
                  </w:r>
                  <w:r>
                    <w:rPr>
                      <w:kern w:val="2"/>
                      <w:sz w:val="18"/>
                      <w:szCs w:val="18"/>
                    </w:rPr>
                    <w:t>5</w:t>
                  </w:r>
                  <w:r>
                    <w:rPr>
                      <w:rFonts w:hint="eastAsia"/>
                      <w:kern w:val="2"/>
                      <w:sz w:val="18"/>
                      <w:szCs w:val="18"/>
                    </w:rPr>
                    <w:t>百分位数日平均质量浓度</w:t>
                  </w:r>
                </w:p>
              </w:tc>
              <w:tc>
                <w:tcPr>
                  <w:tcW w:w="1427" w:type="dxa"/>
                  <w:vAlign w:val="center"/>
                </w:tcPr>
                <w:p>
                  <w:pPr>
                    <w:pStyle w:val="TableParagraph"/>
                    <w:kinsoku w:val="0"/>
                    <w:overflowPunct w:val="0"/>
                    <w:spacing w:line="240" w:lineRule="auto"/>
                    <w:jc w:val="center"/>
                    <w:rPr>
                      <w:rFonts w:eastAsia="等线"/>
                      <w:kern w:val="2"/>
                      <w:sz w:val="18"/>
                      <w:szCs w:val="18"/>
                    </w:rPr>
                  </w:pPr>
                  <w:r>
                    <w:rPr>
                      <w:rFonts w:eastAsia="等线"/>
                      <w:kern w:val="2"/>
                      <w:sz w:val="18"/>
                      <w:szCs w:val="18"/>
                    </w:rPr>
                    <w:t>1.2</w:t>
                  </w:r>
                  <w:r>
                    <w:rPr>
                      <w:rFonts w:eastAsia="等线" w:hint="eastAsia"/>
                      <w:kern w:val="2"/>
                      <w:sz w:val="18"/>
                      <w:szCs w:val="18"/>
                    </w:rPr>
                    <w:t>mg</w:t>
                  </w:r>
                  <w:r>
                    <w:rPr>
                      <w:rFonts w:eastAsia="等线"/>
                      <w:kern w:val="2"/>
                      <w:sz w:val="18"/>
                      <w:szCs w:val="18"/>
                    </w:rPr>
                    <w:t>/m</w:t>
                  </w:r>
                  <w:r>
                    <w:rPr>
                      <w:rFonts w:eastAsia="等线"/>
                      <w:kern w:val="2"/>
                      <w:sz w:val="18"/>
                      <w:szCs w:val="18"/>
                      <w:vertAlign w:val="superscript"/>
                    </w:rPr>
                    <w:t>3</w:t>
                  </w:r>
                </w:p>
              </w:tc>
              <w:tc>
                <w:tcPr>
                  <w:tcW w:w="1304" w:type="dxa"/>
                  <w:vAlign w:val="center"/>
                </w:tcPr>
                <w:p>
                  <w:pPr>
                    <w:pStyle w:val="TableParagraph"/>
                    <w:kinsoku w:val="0"/>
                    <w:overflowPunct w:val="0"/>
                    <w:spacing w:line="240" w:lineRule="auto"/>
                    <w:jc w:val="center"/>
                    <w:rPr>
                      <w:rFonts w:eastAsia="等线"/>
                      <w:kern w:val="2"/>
                      <w:sz w:val="18"/>
                      <w:szCs w:val="18"/>
                    </w:rPr>
                  </w:pPr>
                  <w:r>
                    <w:rPr>
                      <w:rFonts w:eastAsia="等线" w:hint="eastAsia"/>
                      <w:kern w:val="2"/>
                      <w:sz w:val="18"/>
                      <w:szCs w:val="18"/>
                    </w:rPr>
                    <w:t>4 mg</w:t>
                  </w:r>
                  <w:r>
                    <w:rPr>
                      <w:rFonts w:eastAsia="等线"/>
                      <w:kern w:val="2"/>
                      <w:sz w:val="18"/>
                      <w:szCs w:val="18"/>
                    </w:rPr>
                    <w:t>/m</w:t>
                  </w:r>
                  <w:r>
                    <w:rPr>
                      <w:rFonts w:eastAsia="等线"/>
                      <w:kern w:val="2"/>
                      <w:sz w:val="18"/>
                      <w:szCs w:val="18"/>
                      <w:vertAlign w:val="superscript"/>
                    </w:rPr>
                    <w:t>3</w:t>
                  </w:r>
                </w:p>
              </w:tc>
              <w:tc>
                <w:tcPr>
                  <w:tcW w:w="944" w:type="dxa"/>
                  <w:vAlign w:val="center"/>
                </w:tcPr>
                <w:p>
                  <w:pPr>
                    <w:spacing w:line="240" w:lineRule="auto"/>
                    <w:jc w:val="center"/>
                    <w:rPr>
                      <w:rFonts w:eastAsia="等线"/>
                      <w:kern w:val="2"/>
                      <w:sz w:val="18"/>
                      <w:szCs w:val="18"/>
                    </w:rPr>
                  </w:pPr>
                  <w:r>
                    <w:rPr>
                      <w:rFonts w:eastAsia="等线" w:hint="eastAsia"/>
                      <w:kern w:val="2"/>
                      <w:sz w:val="18"/>
                      <w:szCs w:val="18"/>
                    </w:rPr>
                    <w:t>30</w:t>
                  </w:r>
                </w:p>
              </w:tc>
              <w:tc>
                <w:tcPr>
                  <w:tcW w:w="1135" w:type="dxa"/>
                  <w:vAlign w:val="center"/>
                </w:tcPr>
                <w:p>
                  <w:pPr>
                    <w:pStyle w:val="BodyText"/>
                    <w:kinsoku w:val="0"/>
                    <w:overflowPunct w:val="0"/>
                    <w:spacing w:after="0" w:line="240" w:lineRule="auto"/>
                    <w:jc w:val="center"/>
                    <w:rPr>
                      <w:rFonts w:ascii="黑体" w:eastAsia="黑体" w:cs="黑体"/>
                      <w:kern w:val="2"/>
                      <w:sz w:val="2"/>
                      <w:szCs w:val="2"/>
                    </w:rPr>
                  </w:pPr>
                  <w:r>
                    <w:rPr>
                      <w:rFonts w:ascii="宋体" w:hAnsi="宋体" w:hint="eastAsia"/>
                      <w:kern w:val="2"/>
                      <w:sz w:val="18"/>
                      <w:szCs w:val="18"/>
                    </w:rPr>
                    <w:t>达标</w:t>
                  </w:r>
                </w:p>
              </w:tc>
            </w:tr>
            <w:tr>
              <w:tblPrEx>
                <w:tblW w:w="9055" w:type="dxa"/>
                <w:jc w:val="center"/>
                <w:tblLayout w:type="fixed"/>
                <w:tblCellMar>
                  <w:top w:w="0" w:type="dxa"/>
                  <w:left w:w="0" w:type="dxa"/>
                  <w:bottom w:w="0" w:type="dxa"/>
                  <w:right w:w="0" w:type="dxa"/>
                </w:tblCellMar>
              </w:tblPrEx>
              <w:trPr>
                <w:trHeight w:val="340"/>
                <w:jc w:val="center"/>
              </w:trPr>
              <w:tc>
                <w:tcPr>
                  <w:tcW w:w="1313" w:type="dxa"/>
                  <w:vAlign w:val="center"/>
                </w:tcPr>
                <w:p>
                  <w:pPr>
                    <w:pStyle w:val="BodyText"/>
                    <w:kinsoku w:val="0"/>
                    <w:overflowPunct w:val="0"/>
                    <w:spacing w:after="0" w:line="240" w:lineRule="auto"/>
                    <w:jc w:val="center"/>
                    <w:rPr>
                      <w:rFonts w:ascii="黑体" w:eastAsia="黑体" w:cs="黑体"/>
                      <w:kern w:val="2"/>
                      <w:sz w:val="2"/>
                      <w:szCs w:val="2"/>
                    </w:rPr>
                  </w:pPr>
                  <w:r>
                    <w:rPr>
                      <w:spacing w:val="-7"/>
                      <w:kern w:val="2"/>
                      <w:position w:val="2"/>
                      <w:szCs w:val="21"/>
                    </w:rPr>
                    <w:t>O</w:t>
                  </w:r>
                  <w:r>
                    <w:rPr>
                      <w:spacing w:val="-7"/>
                      <w:kern w:val="2"/>
                      <w:sz w:val="14"/>
                      <w:szCs w:val="14"/>
                    </w:rPr>
                    <w:t>3</w:t>
                  </w:r>
                </w:p>
              </w:tc>
              <w:tc>
                <w:tcPr>
                  <w:tcW w:w="2932" w:type="dxa"/>
                  <w:vAlign w:val="center"/>
                </w:tcPr>
                <w:p>
                  <w:pPr>
                    <w:pStyle w:val="TableParagraph"/>
                    <w:kinsoku w:val="0"/>
                    <w:overflowPunct w:val="0"/>
                    <w:spacing w:line="240" w:lineRule="auto"/>
                    <w:jc w:val="center"/>
                    <w:rPr>
                      <w:kern w:val="2"/>
                      <w:sz w:val="18"/>
                      <w:szCs w:val="18"/>
                    </w:rPr>
                  </w:pPr>
                  <w:r>
                    <w:rPr>
                      <w:rFonts w:hint="eastAsia"/>
                      <w:kern w:val="2"/>
                      <w:sz w:val="18"/>
                      <w:szCs w:val="18"/>
                    </w:rPr>
                    <w:t>第9</w:t>
                  </w:r>
                  <w:r>
                    <w:rPr>
                      <w:kern w:val="2"/>
                      <w:sz w:val="18"/>
                      <w:szCs w:val="18"/>
                    </w:rPr>
                    <w:t>0</w:t>
                  </w:r>
                  <w:r>
                    <w:rPr>
                      <w:rFonts w:hint="eastAsia"/>
                      <w:kern w:val="2"/>
                      <w:sz w:val="18"/>
                      <w:szCs w:val="18"/>
                    </w:rPr>
                    <w:t>百分位数</w:t>
                  </w:r>
                  <w:r>
                    <w:rPr>
                      <w:kern w:val="2"/>
                      <w:sz w:val="18"/>
                      <w:szCs w:val="18"/>
                    </w:rPr>
                    <w:t>8 h</w:t>
                  </w:r>
                  <w:r>
                    <w:rPr>
                      <w:rFonts w:hint="eastAsia"/>
                      <w:kern w:val="2"/>
                      <w:sz w:val="18"/>
                      <w:szCs w:val="18"/>
                    </w:rPr>
                    <w:t>平均质量浓度</w:t>
                  </w:r>
                </w:p>
              </w:tc>
              <w:tc>
                <w:tcPr>
                  <w:tcW w:w="1427" w:type="dxa"/>
                  <w:vAlign w:val="center"/>
                </w:tcPr>
                <w:p>
                  <w:pPr>
                    <w:pStyle w:val="TableParagraph"/>
                    <w:kinsoku w:val="0"/>
                    <w:overflowPunct w:val="0"/>
                    <w:spacing w:line="240" w:lineRule="auto"/>
                    <w:jc w:val="center"/>
                    <w:rPr>
                      <w:rFonts w:eastAsia="等线"/>
                      <w:kern w:val="2"/>
                      <w:sz w:val="18"/>
                      <w:szCs w:val="18"/>
                    </w:rPr>
                  </w:pPr>
                  <w:r>
                    <w:rPr>
                      <w:rFonts w:eastAsia="等线" w:hint="eastAsia"/>
                      <w:kern w:val="2"/>
                      <w:sz w:val="18"/>
                      <w:szCs w:val="18"/>
                    </w:rPr>
                    <w:t>1</w:t>
                  </w:r>
                  <w:r>
                    <w:rPr>
                      <w:rFonts w:eastAsia="等线"/>
                      <w:kern w:val="2"/>
                      <w:sz w:val="18"/>
                      <w:szCs w:val="18"/>
                    </w:rPr>
                    <w:t>37</w:t>
                  </w:r>
                </w:p>
              </w:tc>
              <w:tc>
                <w:tcPr>
                  <w:tcW w:w="1304" w:type="dxa"/>
                  <w:vAlign w:val="center"/>
                </w:tcPr>
                <w:p>
                  <w:pPr>
                    <w:pStyle w:val="TableParagraph"/>
                    <w:kinsoku w:val="0"/>
                    <w:overflowPunct w:val="0"/>
                    <w:spacing w:line="240" w:lineRule="auto"/>
                    <w:jc w:val="center"/>
                    <w:rPr>
                      <w:rFonts w:eastAsia="等线"/>
                      <w:kern w:val="2"/>
                      <w:sz w:val="18"/>
                      <w:szCs w:val="18"/>
                    </w:rPr>
                  </w:pPr>
                  <w:r>
                    <w:rPr>
                      <w:rFonts w:eastAsia="等线" w:hint="eastAsia"/>
                      <w:kern w:val="2"/>
                      <w:sz w:val="18"/>
                      <w:szCs w:val="18"/>
                    </w:rPr>
                    <w:t>1</w:t>
                  </w:r>
                  <w:r>
                    <w:rPr>
                      <w:rFonts w:eastAsia="等线"/>
                      <w:kern w:val="2"/>
                      <w:sz w:val="18"/>
                      <w:szCs w:val="18"/>
                    </w:rPr>
                    <w:t>60</w:t>
                  </w:r>
                </w:p>
              </w:tc>
              <w:tc>
                <w:tcPr>
                  <w:tcW w:w="944" w:type="dxa"/>
                  <w:vAlign w:val="center"/>
                </w:tcPr>
                <w:p>
                  <w:pPr>
                    <w:spacing w:line="240" w:lineRule="auto"/>
                    <w:jc w:val="center"/>
                    <w:rPr>
                      <w:rFonts w:eastAsia="等线"/>
                      <w:kern w:val="2"/>
                      <w:sz w:val="18"/>
                      <w:szCs w:val="18"/>
                    </w:rPr>
                  </w:pPr>
                  <w:r>
                    <w:rPr>
                      <w:rFonts w:eastAsia="等线" w:hint="eastAsia"/>
                      <w:kern w:val="2"/>
                      <w:sz w:val="18"/>
                      <w:szCs w:val="18"/>
                    </w:rPr>
                    <w:t>85.6</w:t>
                  </w:r>
                </w:p>
              </w:tc>
              <w:tc>
                <w:tcPr>
                  <w:tcW w:w="1135" w:type="dxa"/>
                  <w:vAlign w:val="center"/>
                </w:tcPr>
                <w:p>
                  <w:pPr>
                    <w:pStyle w:val="BodyText"/>
                    <w:kinsoku w:val="0"/>
                    <w:overflowPunct w:val="0"/>
                    <w:spacing w:after="0" w:line="240" w:lineRule="auto"/>
                    <w:jc w:val="center"/>
                    <w:rPr>
                      <w:rFonts w:ascii="黑体" w:eastAsia="黑体" w:cs="黑体"/>
                      <w:kern w:val="2"/>
                      <w:sz w:val="2"/>
                      <w:szCs w:val="2"/>
                    </w:rPr>
                  </w:pPr>
                  <w:r>
                    <w:rPr>
                      <w:rFonts w:ascii="宋体" w:hAnsi="宋体" w:hint="eastAsia"/>
                      <w:kern w:val="2"/>
                      <w:sz w:val="18"/>
                      <w:szCs w:val="18"/>
                    </w:rPr>
                    <w:t>达标</w:t>
                  </w:r>
                </w:p>
              </w:tc>
            </w:tr>
          </w:tbl>
          <w:p>
            <w:pPr>
              <w:spacing w:line="360" w:lineRule="auto"/>
              <w:ind w:firstLine="480" w:firstLineChars="200"/>
              <w:rPr>
                <w:snapToGrid w:val="0"/>
                <w:kern w:val="2"/>
                <w:sz w:val="24"/>
                <w:szCs w:val="22"/>
              </w:rPr>
            </w:pPr>
            <w:r>
              <w:rPr>
                <w:rFonts w:hAnsi="宋体" w:hint="eastAsia"/>
                <w:kern w:val="2"/>
                <w:sz w:val="24"/>
                <w:szCs w:val="22"/>
              </w:rPr>
              <w:t>根据“2</w:t>
            </w:r>
            <w:r>
              <w:rPr>
                <w:rFonts w:hAnsi="宋体"/>
                <w:kern w:val="2"/>
                <w:sz w:val="24"/>
                <w:szCs w:val="22"/>
              </w:rPr>
              <w:t>018</w:t>
            </w:r>
            <w:r>
              <w:rPr>
                <w:rFonts w:hAnsi="宋体" w:hint="eastAsia"/>
                <w:kern w:val="2"/>
                <w:sz w:val="24"/>
                <w:szCs w:val="22"/>
              </w:rPr>
              <w:t>年江西省各县（市、区）六项污染物浓度年均值”2</w:t>
            </w:r>
            <w:r>
              <w:rPr>
                <w:rFonts w:hAnsi="宋体"/>
                <w:kern w:val="2"/>
                <w:sz w:val="24"/>
                <w:szCs w:val="22"/>
              </w:rPr>
              <w:t>018</w:t>
            </w:r>
            <w:r>
              <w:rPr>
                <w:rFonts w:hAnsi="宋体" w:hint="eastAsia"/>
                <w:kern w:val="2"/>
                <w:sz w:val="24"/>
                <w:szCs w:val="22"/>
              </w:rPr>
              <w:t>年抚州市临川区环境空气质量达标情况评价如下：</w:t>
            </w:r>
            <w:r>
              <w:rPr>
                <w:rFonts w:hAnsi="宋体"/>
                <w:kern w:val="2"/>
                <w:sz w:val="24"/>
                <w:szCs w:val="22"/>
              </w:rPr>
              <w:t>2018</w:t>
            </w:r>
            <w:r>
              <w:rPr>
                <w:rFonts w:hAnsi="宋体" w:hint="eastAsia"/>
                <w:kern w:val="2"/>
                <w:sz w:val="24"/>
                <w:szCs w:val="22"/>
              </w:rPr>
              <w:t>年临川区环境空气基本污染物</w:t>
            </w:r>
            <w:r>
              <w:rPr>
                <w:rFonts w:hint="eastAsia"/>
                <w:kern w:val="2"/>
                <w:sz w:val="24"/>
                <w:szCs w:val="22"/>
              </w:rPr>
              <w:t>S</w:t>
            </w:r>
            <w:r>
              <w:rPr>
                <w:kern w:val="2"/>
                <w:sz w:val="24"/>
                <w:szCs w:val="22"/>
              </w:rPr>
              <w:t>O</w:t>
            </w:r>
            <w:r>
              <w:rPr>
                <w:kern w:val="2"/>
                <w:sz w:val="24"/>
                <w:szCs w:val="22"/>
                <w:vertAlign w:val="subscript"/>
              </w:rPr>
              <w:t>2</w:t>
            </w:r>
            <w:r>
              <w:rPr>
                <w:rFonts w:hint="eastAsia"/>
                <w:kern w:val="2"/>
                <w:sz w:val="24"/>
                <w:szCs w:val="22"/>
              </w:rPr>
              <w:t>、</w:t>
            </w:r>
            <w:r>
              <w:rPr>
                <w:kern w:val="2"/>
                <w:position w:val="2"/>
                <w:sz w:val="24"/>
                <w:szCs w:val="22"/>
              </w:rPr>
              <w:t>NO</w:t>
            </w:r>
            <w:r>
              <w:rPr>
                <w:kern w:val="2"/>
                <w:sz w:val="24"/>
                <w:szCs w:val="22"/>
                <w:vertAlign w:val="subscript"/>
              </w:rPr>
              <w:t>2</w:t>
            </w:r>
            <w:r>
              <w:rPr>
                <w:rFonts w:hint="eastAsia"/>
                <w:kern w:val="2"/>
                <w:sz w:val="24"/>
                <w:szCs w:val="22"/>
              </w:rPr>
              <w:t>、P</w:t>
            </w:r>
            <w:r>
              <w:rPr>
                <w:kern w:val="2"/>
                <w:sz w:val="24"/>
                <w:szCs w:val="22"/>
              </w:rPr>
              <w:t>M</w:t>
            </w:r>
            <w:r>
              <w:rPr>
                <w:kern w:val="2"/>
                <w:sz w:val="24"/>
                <w:szCs w:val="22"/>
                <w:vertAlign w:val="subscript"/>
              </w:rPr>
              <w:t>10</w:t>
            </w:r>
            <w:r>
              <w:rPr>
                <w:rFonts w:hint="eastAsia"/>
                <w:kern w:val="2"/>
                <w:sz w:val="24"/>
                <w:szCs w:val="22"/>
              </w:rPr>
              <w:t>年均浓度值达到国家空气质量二级标准，</w:t>
            </w:r>
            <w:r>
              <w:rPr>
                <w:rFonts w:hAnsi="宋体" w:hint="eastAsia"/>
                <w:kern w:val="2"/>
                <w:sz w:val="24"/>
                <w:szCs w:val="22"/>
              </w:rPr>
              <w:t>P</w:t>
            </w:r>
            <w:r>
              <w:rPr>
                <w:rFonts w:hAnsi="宋体"/>
                <w:kern w:val="2"/>
                <w:sz w:val="24"/>
                <w:szCs w:val="22"/>
              </w:rPr>
              <w:t>M</w:t>
            </w:r>
            <w:r>
              <w:rPr>
                <w:rFonts w:hAnsi="宋体"/>
                <w:kern w:val="2"/>
                <w:sz w:val="24"/>
                <w:szCs w:val="22"/>
                <w:vertAlign w:val="subscript"/>
              </w:rPr>
              <w:t>2.5</w:t>
            </w:r>
            <w:r>
              <w:rPr>
                <w:rFonts w:hint="eastAsia"/>
                <w:kern w:val="2"/>
                <w:sz w:val="24"/>
                <w:szCs w:val="22"/>
              </w:rPr>
              <w:t>年均浓度值未达到国家空气质量二级标准；C</w:t>
            </w:r>
            <w:r>
              <w:rPr>
                <w:kern w:val="2"/>
                <w:sz w:val="24"/>
                <w:szCs w:val="22"/>
              </w:rPr>
              <w:t>O</w:t>
            </w:r>
            <w:r>
              <w:rPr>
                <w:rFonts w:hint="eastAsia"/>
                <w:kern w:val="2"/>
                <w:sz w:val="24"/>
                <w:szCs w:val="22"/>
              </w:rPr>
              <w:t>、O</w:t>
            </w:r>
            <w:r>
              <w:rPr>
                <w:kern w:val="2"/>
                <w:sz w:val="24"/>
                <w:szCs w:val="22"/>
                <w:vertAlign w:val="subscript"/>
              </w:rPr>
              <w:t>3</w:t>
            </w:r>
            <w:r>
              <w:rPr>
                <w:rFonts w:hint="eastAsia"/>
                <w:kern w:val="2"/>
                <w:sz w:val="24"/>
                <w:szCs w:val="22"/>
              </w:rPr>
              <w:t>特定百分位数均达到国家二级标准。因此本项目所在区域为不达标区。</w:t>
            </w:r>
          </w:p>
          <w:p>
            <w:pPr>
              <w:spacing w:line="360" w:lineRule="auto"/>
              <w:ind w:firstLine="480" w:firstLineChars="200"/>
              <w:rPr>
                <w:b/>
                <w:bCs/>
                <w:snapToGrid w:val="0"/>
                <w:kern w:val="2"/>
                <w:sz w:val="24"/>
                <w:szCs w:val="22"/>
              </w:rPr>
            </w:pPr>
            <w:r>
              <w:rPr>
                <w:rFonts w:hAnsi="宋体"/>
                <w:b/>
                <w:bCs/>
                <w:snapToGrid w:val="0"/>
                <w:kern w:val="2"/>
                <w:sz w:val="24"/>
                <w:szCs w:val="22"/>
              </w:rPr>
              <w:t>二、地表水环境质量</w:t>
            </w:r>
          </w:p>
          <w:p>
            <w:pPr>
              <w:spacing w:line="360" w:lineRule="auto"/>
              <w:ind w:firstLine="480" w:firstLineChars="200"/>
              <w:rPr>
                <w:sz w:val="24"/>
              </w:rPr>
            </w:pPr>
            <w:r>
              <w:rPr>
                <w:sz w:val="24"/>
              </w:rPr>
              <w:t>根据《抚州市2018年12月环境质量状况公报》</w:t>
            </w:r>
            <w:r>
              <w:rPr>
                <w:sz w:val="24"/>
                <w:lang w:val="zh-CN"/>
              </w:rPr>
              <w:t>。</w:t>
            </w:r>
            <w:r>
              <w:rPr>
                <w:sz w:val="24"/>
              </w:rPr>
              <w:t>2018年12月抚州市环境监测站对市辖区内主要河流及县界的二十一个断面、城区内集中式饮用水源地表水水质进行了监测。</w:t>
            </w:r>
          </w:p>
          <w:p>
            <w:pPr>
              <w:spacing w:line="360" w:lineRule="auto"/>
              <w:ind w:firstLine="480" w:firstLineChars="200"/>
              <w:rPr>
                <w:sz w:val="24"/>
              </w:rPr>
            </w:pPr>
            <w:r>
              <w:rPr>
                <w:sz w:val="24"/>
              </w:rPr>
              <w:t>市城区南区、荆公路、抚北和钟岭四水厂水源地水质21项基本项目、5项补充项目和33项优选特定项目的检测指标均达到了国家《地表水环境质量标准》（GB3838-2002）</w:t>
            </w:r>
            <w:r>
              <w:rPr>
                <w:rFonts w:ascii="宋体" w:hAnsi="宋体" w:cs="宋体" w:hint="eastAsia"/>
                <w:sz w:val="24"/>
              </w:rPr>
              <w:t>Ⅱ</w:t>
            </w:r>
            <w:r>
              <w:rPr>
                <w:sz w:val="24"/>
              </w:rPr>
              <w:t>类水质标准，符合城镇集中式饮用水源地水质达到《地表水环境质量标准》</w:t>
            </w:r>
            <w:r>
              <w:rPr>
                <w:rFonts w:ascii="宋体" w:hAnsi="宋体" w:cs="宋体" w:hint="eastAsia"/>
                <w:sz w:val="24"/>
              </w:rPr>
              <w:t>Ⅲ</w:t>
            </w:r>
            <w:r>
              <w:rPr>
                <w:sz w:val="24"/>
              </w:rPr>
              <w:t>类水质标准限值的要求。</w:t>
            </w:r>
          </w:p>
          <w:p>
            <w:pPr>
              <w:spacing w:after="0" w:line="360" w:lineRule="auto"/>
              <w:ind w:firstLine="480" w:firstLineChars="200"/>
              <w:rPr>
                <w:rFonts w:eastAsia="微软雅黑"/>
                <w:color w:val="333333"/>
              </w:rPr>
            </w:pPr>
            <w:r>
              <w:rPr>
                <w:sz w:val="24"/>
              </w:rPr>
              <w:t>市辖区地表水十二个监测断面中，</w:t>
            </w:r>
            <w:r>
              <w:rPr>
                <w:rFonts w:ascii="宋体" w:hAnsi="宋体" w:cs="宋体" w:hint="eastAsia"/>
                <w:sz w:val="24"/>
              </w:rPr>
              <w:t>Ⅱ</w:t>
            </w:r>
            <w:r>
              <w:rPr>
                <w:sz w:val="24"/>
              </w:rPr>
              <w:t>类水质的断面9个，占总监测断面的75.0%，</w:t>
            </w:r>
            <w:r>
              <w:rPr>
                <w:rFonts w:ascii="宋体" w:hAnsi="宋体" w:cs="宋体" w:hint="eastAsia"/>
                <w:sz w:val="24"/>
              </w:rPr>
              <w:t>Ⅲ</w:t>
            </w:r>
            <w:r>
              <w:rPr>
                <w:sz w:val="24"/>
              </w:rPr>
              <w:t>类水质的断面3个，占总监测断面的25.0%。其中抚河源头广昌水厂断面和交界断面焦石坝均为</w:t>
            </w:r>
            <w:r>
              <w:rPr>
                <w:rFonts w:ascii="宋体" w:hAnsi="宋体" w:cs="宋体" w:hint="eastAsia"/>
                <w:sz w:val="24"/>
              </w:rPr>
              <w:t>Ⅱ</w:t>
            </w:r>
          </w:p>
        </w:tc>
      </w:tr>
    </w:tbl>
    <w:p>
      <w:pPr>
        <w:sectPr>
          <w:footerReference w:type="even" r:id="rId85"/>
          <w:footerReference w:type="default" r:id="rId86"/>
          <w:footerReference w:type="first" r:id="rId87"/>
          <w:type w:val="nextPage"/>
          <w:pgSz w:w="11907" w:h="16840"/>
          <w:pgMar w:top="1418" w:right="1418" w:bottom="1418" w:left="1418" w:header="851" w:footer="680" w:gutter="113"/>
          <w:pgNumType w:start="22"/>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2091"/>
          <w:jc w:val="center"/>
        </w:trPr>
        <w:tc>
          <w:tcPr>
            <w:tcW w:w="8916" w:type="dxa"/>
            <w:vAlign w:val="center"/>
          </w:tcPr>
          <w:p>
            <w:pPr>
              <w:spacing w:before="0" w:line="360" w:lineRule="auto"/>
              <w:ind w:firstLine="480" w:firstLineChars="200"/>
              <w:rPr>
                <w:rFonts w:eastAsia="微软雅黑"/>
                <w:color w:val="333333"/>
              </w:rPr>
            </w:pPr>
            <w:r>
              <w:rPr>
                <w:sz w:val="24"/>
              </w:rPr>
              <w:t>类水质。根据国家总站制定的河流水质评价有关技术规定，抚河水质</w:t>
            </w:r>
            <w:r>
              <w:rPr>
                <w:rFonts w:ascii="宋体" w:hAnsi="宋体" w:cs="宋体" w:hint="eastAsia"/>
                <w:sz w:val="24"/>
              </w:rPr>
              <w:t>Ⅰ</w:t>
            </w:r>
            <w:r>
              <w:rPr>
                <w:sz w:val="24"/>
              </w:rPr>
              <w:t>～</w:t>
            </w:r>
            <w:r>
              <w:rPr>
                <w:rFonts w:ascii="宋体" w:hAnsi="宋体" w:cs="宋体" w:hint="eastAsia"/>
                <w:sz w:val="24"/>
              </w:rPr>
              <w:t>Ⅲ</w:t>
            </w:r>
            <w:r>
              <w:rPr>
                <w:sz w:val="24"/>
              </w:rPr>
              <w:t>类水质</w:t>
            </w:r>
            <w:r>
              <w:rPr>
                <w:rFonts w:eastAsia="微软雅黑"/>
                <w:color w:val="333333"/>
                <w:sz w:val="24"/>
                <w:shd w:val="clear" w:color="auto" w:fill="FFFFFF"/>
              </w:rPr>
              <w:t>比例≥90%。</w:t>
            </w:r>
          </w:p>
          <w:p>
            <w:pPr>
              <w:spacing w:line="360" w:lineRule="auto"/>
              <w:ind w:firstLine="480" w:firstLineChars="200"/>
              <w:rPr>
                <w:sz w:val="24"/>
              </w:rPr>
            </w:pPr>
            <w:r>
              <w:rPr>
                <w:sz w:val="24"/>
              </w:rPr>
              <w:t>市辖区内地表水县界十二个监测断面中，</w:t>
            </w:r>
            <w:r>
              <w:rPr>
                <w:rFonts w:ascii="宋体" w:hAnsi="宋体" w:cs="宋体" w:hint="eastAsia"/>
                <w:sz w:val="24"/>
              </w:rPr>
              <w:t>Ⅱ</w:t>
            </w:r>
            <w:r>
              <w:rPr>
                <w:sz w:val="24"/>
              </w:rPr>
              <w:t>类水质的断面6个，占断面总数的50.0%，</w:t>
            </w:r>
            <w:r>
              <w:rPr>
                <w:rFonts w:ascii="宋体" w:hAnsi="宋体" w:cs="宋体" w:hint="eastAsia"/>
                <w:sz w:val="24"/>
              </w:rPr>
              <w:t>Ⅲ</w:t>
            </w:r>
            <w:r>
              <w:rPr>
                <w:sz w:val="24"/>
              </w:rPr>
              <w:t>类水质的断面5个，占断面总数的41.7%，超过</w:t>
            </w:r>
            <w:r>
              <w:rPr>
                <w:rFonts w:ascii="宋体" w:hAnsi="宋体" w:cs="宋体" w:hint="eastAsia"/>
                <w:sz w:val="24"/>
              </w:rPr>
              <w:t>Ⅲ</w:t>
            </w:r>
            <w:r>
              <w:rPr>
                <w:sz w:val="24"/>
              </w:rPr>
              <w:t>类水质的断面1个，占总监测断面的8.3%。</w:t>
            </w:r>
          </w:p>
          <w:p>
            <w:pPr>
              <w:spacing w:line="360" w:lineRule="auto"/>
              <w:ind w:firstLine="480" w:firstLineChars="200"/>
              <w:rPr>
                <w:sz w:val="24"/>
              </w:rPr>
            </w:pPr>
            <w:r>
              <w:rPr>
                <w:sz w:val="24"/>
              </w:rPr>
              <w:t>2018年抚州市市城区南区、荆公路、抚北和钟岭四水厂水源地水质21项基本项目、5项补充项目和33项优选特定项目的检测指标均达到了国家《地表水环境质量标准》（GB3838-2002）</w:t>
            </w:r>
            <w:r>
              <w:rPr>
                <w:rFonts w:ascii="宋体" w:hAnsi="宋体" w:cs="宋体" w:hint="eastAsia"/>
                <w:sz w:val="24"/>
              </w:rPr>
              <w:t>Ⅱ</w:t>
            </w:r>
            <w:r>
              <w:rPr>
                <w:sz w:val="24"/>
              </w:rPr>
              <w:t>类水质标准，说明评价区域地表水抚河水质良好。</w:t>
            </w:r>
          </w:p>
          <w:p>
            <w:pPr>
              <w:spacing w:line="360" w:lineRule="auto"/>
              <w:ind w:firstLine="480" w:firstLineChars="200"/>
              <w:rPr>
                <w:color w:val="000000" w:themeColor="text1"/>
                <w:sz w:val="24"/>
                <w14:textFill>
                  <w14:solidFill>
                    <w14:schemeClr w14:val="tx1"/>
                  </w14:solidFill>
                </w14:textFill>
              </w:rPr>
            </w:pPr>
            <w:r>
              <w:rPr>
                <w:sz w:val="24"/>
              </w:rPr>
              <w:t>同时根据抚州市供水公司出具的原水监测报告</w:t>
            </w:r>
            <w:r>
              <w:rPr>
                <w:rFonts w:hint="eastAsia"/>
                <w:sz w:val="24"/>
              </w:rPr>
              <w:t>（见附件8）</w:t>
            </w:r>
            <w:r>
              <w:rPr>
                <w:sz w:val="24"/>
              </w:rPr>
              <w:t>，</w:t>
            </w:r>
            <w:r>
              <w:rPr>
                <w:rFonts w:hint="eastAsia"/>
                <w:sz w:val="24"/>
              </w:rPr>
              <w:t>具体监测结果见表9，</w:t>
            </w:r>
            <w:r>
              <w:rPr>
                <w:sz w:val="24"/>
              </w:rPr>
              <w:t>原水水质满足《地</w:t>
            </w:r>
            <w:r>
              <w:rPr>
                <w:color w:val="000000" w:themeColor="text1"/>
                <w:sz w:val="24"/>
                <w14:textFill>
                  <w14:solidFill>
                    <w14:schemeClr w14:val="tx1"/>
                  </w14:solidFill>
                </w14:textFill>
              </w:rPr>
              <w:t>表水环境质量标准》（GB3838-2002）中的</w:t>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w:instrText>
            </w:r>
            <w:r>
              <w:rPr>
                <w:rFonts w:hint="eastAsia"/>
                <w:color w:val="000000" w:themeColor="text1"/>
                <w:sz w:val="24"/>
                <w14:textFill>
                  <w14:solidFill>
                    <w14:schemeClr w14:val="tx1"/>
                  </w14:solidFill>
                </w14:textFill>
              </w:rPr>
              <w:instrText>= 4 \* ROMAN</w:instrText>
            </w:r>
            <w:r>
              <w:rPr>
                <w:color w:val="000000" w:themeColor="text1"/>
                <w:sz w:val="24"/>
                <w14:textFill>
                  <w14:solidFill>
                    <w14:schemeClr w14:val="tx1"/>
                  </w14:solidFill>
                </w14:textFill>
              </w:rPr>
              <w:instrText xml:space="preserve">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t>II</w:t>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t>类水质标准。</w:t>
            </w:r>
          </w:p>
          <w:p>
            <w:pPr>
              <w:spacing w:line="240" w:lineRule="auto"/>
              <w:jc w:val="center"/>
              <w:rPr>
                <w:rFonts w:hAnsi="宋体"/>
                <w:b/>
                <w:snapToGrid w:val="0"/>
                <w:color w:val="000000" w:themeColor="text1"/>
                <w:kern w:val="2"/>
                <w:szCs w:val="21"/>
                <w14:textFill>
                  <w14:solidFill>
                    <w14:schemeClr w14:val="tx1"/>
                  </w14:solidFill>
                </w14:textFill>
              </w:rPr>
            </w:pPr>
            <w:r>
              <w:rPr>
                <w:rFonts w:hAnsi="宋体" w:hint="eastAsia"/>
                <w:b/>
                <w:snapToGrid w:val="0"/>
                <w:color w:val="000000" w:themeColor="text1"/>
                <w:kern w:val="2"/>
                <w:szCs w:val="21"/>
                <w14:textFill>
                  <w14:solidFill>
                    <w14:schemeClr w14:val="tx1"/>
                  </w14:solidFill>
                </w14:textFill>
              </w:rPr>
              <w:t>表9</w:t>
            </w:r>
            <w:r>
              <w:rPr>
                <w:rFonts w:hAnsi="宋体"/>
                <w:b/>
                <w:snapToGrid w:val="0"/>
                <w:color w:val="000000" w:themeColor="text1"/>
                <w:kern w:val="2"/>
                <w:szCs w:val="21"/>
                <w14:textFill>
                  <w14:solidFill>
                    <w14:schemeClr w14:val="tx1"/>
                  </w14:solidFill>
                </w14:textFill>
              </w:rPr>
              <w:t xml:space="preserve">  </w:t>
            </w:r>
            <w:r>
              <w:rPr>
                <w:b/>
                <w:color w:val="000000" w:themeColor="text1"/>
                <w:szCs w:val="21"/>
                <w14:textFill>
                  <w14:solidFill>
                    <w14:schemeClr w14:val="tx1"/>
                  </w14:solidFill>
                </w14:textFill>
              </w:rPr>
              <w:t>抚州</w:t>
            </w:r>
            <w:r>
              <w:rPr>
                <w:rFonts w:hint="eastAsia"/>
                <w:b/>
                <w:color w:val="000000" w:themeColor="text1"/>
                <w:szCs w:val="21"/>
                <w14:textFill>
                  <w14:solidFill>
                    <w14:schemeClr w14:val="tx1"/>
                  </w14:solidFill>
                </w14:textFill>
              </w:rPr>
              <w:t>抚州汝水水厂原水监测结果</w:t>
            </w:r>
          </w:p>
          <w:tbl>
            <w:tblPr>
              <w:tblStyle w:val="TableGrid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3"/>
              <w:gridCol w:w="2552"/>
              <w:gridCol w:w="1984"/>
              <w:gridCol w:w="1134"/>
              <w:gridCol w:w="72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6"/>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rFonts w:hAnsi="宋体" w:hint="eastAsia"/>
                      <w:b/>
                      <w:snapToGrid w:val="0"/>
                      <w:color w:val="000000" w:themeColor="text1"/>
                      <w:kern w:val="2"/>
                      <w:szCs w:val="21"/>
                      <w14:textFill>
                        <w14:solidFill>
                          <w14:schemeClr w14:val="tx1"/>
                        </w14:solidFill>
                      </w14:textFill>
                    </w:rPr>
                    <w:t>项目</w:t>
                  </w:r>
                </w:p>
              </w:tc>
              <w:tc>
                <w:tcPr>
                  <w:tcW w:w="2552" w:type="dxa"/>
                  <w:vAlign w:val="center"/>
                </w:tcPr>
                <w:p>
                  <w:pPr>
                    <w:spacing w:line="240" w:lineRule="auto"/>
                    <w:jc w:val="center"/>
                    <w:rPr>
                      <w:rFonts w:hAnsi="宋体"/>
                      <w:b/>
                      <w:bCs/>
                      <w:snapToGrid w:val="0"/>
                      <w:color w:val="000000" w:themeColor="text1"/>
                      <w:kern w:val="2"/>
                      <w:szCs w:val="21"/>
                      <w14:textFill>
                        <w14:solidFill>
                          <w14:schemeClr w14:val="tx1"/>
                        </w14:solidFill>
                      </w14:textFill>
                    </w:rPr>
                  </w:pPr>
                  <w:r>
                    <w:rPr>
                      <w:b/>
                      <w:bCs/>
                      <w:color w:val="333333"/>
                      <w:szCs w:val="21"/>
                      <w:shd w:val="clear" w:color="auto" w:fill="FFFFFF"/>
                    </w:rPr>
                    <w:t>《生活饮用水卫生标准》（</w:t>
                  </w:r>
                  <w:hyperlink r:id="rId88" w:tgtFrame="_blank" w:history="1">
                    <w:r>
                      <w:rPr>
                        <w:rStyle w:val="Hyperlink"/>
                        <w:b/>
                        <w:bCs/>
                        <w:color w:val="000000" w:themeColor="text1"/>
                        <w:szCs w:val="21"/>
                        <w:u w:val="none"/>
                        <w:shd w:val="clear" w:color="auto" w:fill="FFFFFF"/>
                        <w14:textFill>
                          <w14:solidFill>
                            <w14:schemeClr w14:val="tx1"/>
                          </w14:solidFill>
                        </w14:textFill>
                      </w:rPr>
                      <w:t>GB5749-2006</w:t>
                    </w:r>
                  </w:hyperlink>
                  <w:r>
                    <w:rPr>
                      <w:rFonts w:ascii="Arial" w:hAnsi="Arial" w:cs="Arial"/>
                      <w:b/>
                      <w:bCs/>
                      <w:color w:val="333333"/>
                      <w:szCs w:val="21"/>
                      <w:shd w:val="clear" w:color="auto" w:fill="FFFFFF"/>
                    </w:rPr>
                    <w:t>）</w:t>
                  </w:r>
                  <w:r>
                    <w:rPr>
                      <w:rFonts w:hAnsi="宋体" w:hint="eastAsia"/>
                      <w:b/>
                      <w:bCs/>
                      <w:snapToGrid w:val="0"/>
                      <w:color w:val="000000" w:themeColor="text1"/>
                      <w:kern w:val="2"/>
                      <w:szCs w:val="21"/>
                      <w14:textFill>
                        <w14:solidFill>
                          <w14:schemeClr w14:val="tx1"/>
                        </w14:solidFill>
                      </w14:textFill>
                    </w:rPr>
                    <w:t>限值</w:t>
                  </w:r>
                </w:p>
              </w:tc>
              <w:tc>
                <w:tcPr>
                  <w:tcW w:w="1984" w:type="dxa"/>
                  <w:vAlign w:val="center"/>
                </w:tcPr>
                <w:p>
                  <w:pPr>
                    <w:spacing w:line="240" w:lineRule="auto"/>
                    <w:jc w:val="center"/>
                    <w:rPr>
                      <w:rFonts w:hAnsi="宋体"/>
                      <w:b/>
                      <w:bCs/>
                      <w:snapToGrid w:val="0"/>
                      <w:color w:val="000000" w:themeColor="text1"/>
                      <w:kern w:val="2"/>
                      <w:szCs w:val="21"/>
                      <w14:textFill>
                        <w14:solidFill>
                          <w14:schemeClr w14:val="tx1"/>
                        </w14:solidFill>
                      </w14:textFill>
                    </w:rPr>
                  </w:pPr>
                  <w:r>
                    <w:rPr>
                      <w:b/>
                      <w:bCs/>
                      <w:color w:val="000000" w:themeColor="text1"/>
                      <w:szCs w:val="21"/>
                      <w14:textFill>
                        <w14:solidFill>
                          <w14:schemeClr w14:val="tx1"/>
                        </w14:solidFill>
                      </w14:textFill>
                    </w:rPr>
                    <w:t>（GB3838-2002）中的</w:t>
                  </w:r>
                  <w:r>
                    <w:rPr>
                      <w:b/>
                      <w:bCs/>
                      <w:color w:val="000000" w:themeColor="text1"/>
                      <w:szCs w:val="21"/>
                      <w14:textFill>
                        <w14:solidFill>
                          <w14:schemeClr w14:val="tx1"/>
                        </w14:solidFill>
                      </w14:textFill>
                    </w:rPr>
                    <w:fldChar w:fldCharType="begin"/>
                  </w:r>
                  <w:r>
                    <w:rPr>
                      <w:b/>
                      <w:bCs/>
                      <w:color w:val="000000" w:themeColor="text1"/>
                      <w:szCs w:val="21"/>
                      <w14:textFill>
                        <w14:solidFill>
                          <w14:schemeClr w14:val="tx1"/>
                        </w14:solidFill>
                      </w14:textFill>
                    </w:rPr>
                    <w:instrText xml:space="preserve"> </w:instrText>
                  </w:r>
                  <w:r>
                    <w:rPr>
                      <w:rFonts w:hint="eastAsia"/>
                      <w:b/>
                      <w:bCs/>
                      <w:color w:val="000000" w:themeColor="text1"/>
                      <w:szCs w:val="21"/>
                      <w14:textFill>
                        <w14:solidFill>
                          <w14:schemeClr w14:val="tx1"/>
                        </w14:solidFill>
                      </w14:textFill>
                    </w:rPr>
                    <w:instrText>= 4 \* ROMAN</w:instrText>
                  </w:r>
                  <w:r>
                    <w:rPr>
                      <w:b/>
                      <w:bCs/>
                      <w:color w:val="000000" w:themeColor="text1"/>
                      <w:szCs w:val="21"/>
                      <w14:textFill>
                        <w14:solidFill>
                          <w14:schemeClr w14:val="tx1"/>
                        </w14:solidFill>
                      </w14:textFill>
                    </w:rPr>
                    <w:instrText xml:space="preserve"> </w:instrText>
                  </w:r>
                  <w:r>
                    <w:rPr>
                      <w:b/>
                      <w:bCs/>
                      <w:color w:val="000000" w:themeColor="text1"/>
                      <w:szCs w:val="21"/>
                      <w14:textFill>
                        <w14:solidFill>
                          <w14:schemeClr w14:val="tx1"/>
                        </w14:solidFill>
                      </w14:textFill>
                    </w:rPr>
                    <w:fldChar w:fldCharType="separate"/>
                  </w:r>
                  <w:r>
                    <w:rPr>
                      <w:b/>
                      <w:bCs/>
                      <w:color w:val="000000" w:themeColor="text1"/>
                      <w:szCs w:val="21"/>
                      <w14:textFill>
                        <w14:solidFill>
                          <w14:schemeClr w14:val="tx1"/>
                        </w14:solidFill>
                      </w14:textFill>
                    </w:rPr>
                    <w:t>II</w:t>
                  </w:r>
                  <w:r>
                    <w:rPr>
                      <w:b/>
                      <w:bCs/>
                      <w:color w:val="000000" w:themeColor="text1"/>
                      <w:szCs w:val="21"/>
                      <w14:textFill>
                        <w14:solidFill>
                          <w14:schemeClr w14:val="tx1"/>
                        </w14:solidFill>
                      </w14:textFill>
                    </w:rPr>
                    <w:fldChar w:fldCharType="end"/>
                  </w:r>
                  <w:r>
                    <w:rPr>
                      <w:b/>
                      <w:bCs/>
                      <w:color w:val="000000" w:themeColor="text1"/>
                      <w:szCs w:val="21"/>
                      <w14:textFill>
                        <w14:solidFill>
                          <w14:schemeClr w14:val="tx1"/>
                        </w14:solidFill>
                      </w14:textFill>
                    </w:rPr>
                    <w:t>类水质标准</w:t>
                  </w:r>
                </w:p>
              </w:tc>
              <w:tc>
                <w:tcPr>
                  <w:tcW w:w="1134" w:type="dxa"/>
                  <w:vAlign w:val="center"/>
                </w:tcPr>
                <w:p>
                  <w:pPr>
                    <w:spacing w:line="240" w:lineRule="auto"/>
                    <w:jc w:val="center"/>
                    <w:rPr>
                      <w:rFonts w:hAnsi="宋体"/>
                      <w:b/>
                      <w:bCs/>
                      <w:snapToGrid w:val="0"/>
                      <w:color w:val="000000" w:themeColor="text1"/>
                      <w:kern w:val="2"/>
                      <w:szCs w:val="21"/>
                      <w14:textFill>
                        <w14:solidFill>
                          <w14:schemeClr w14:val="tx1"/>
                        </w14:solidFill>
                      </w14:textFill>
                    </w:rPr>
                  </w:pPr>
                  <w:r>
                    <w:rPr>
                      <w:rFonts w:hAnsi="宋体" w:hint="eastAsia"/>
                      <w:b/>
                      <w:bCs/>
                      <w:snapToGrid w:val="0"/>
                      <w:color w:val="000000" w:themeColor="text1"/>
                      <w:kern w:val="2"/>
                      <w:szCs w:val="21"/>
                      <w14:textFill>
                        <w14:solidFill>
                          <w14:schemeClr w14:val="tx1"/>
                        </w14:solidFill>
                      </w14:textFill>
                    </w:rPr>
                    <w:t>监测结果</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rFonts w:hAnsi="宋体" w:hint="eastAsia"/>
                      <w:b/>
                      <w:snapToGrid w:val="0"/>
                      <w:color w:val="000000" w:themeColor="text1"/>
                      <w:kern w:val="2"/>
                      <w:szCs w:val="21"/>
                      <w14:textFill>
                        <w14:solidFill>
                          <w14:schemeClr w14:val="tx1"/>
                        </w14:solidFill>
                      </w14:textFill>
                    </w:rPr>
                    <w:t>单项结论</w:t>
                  </w:r>
                </w:p>
              </w:tc>
            </w:tr>
            <w:tr>
              <w:tblPrEx>
                <w:tblW w:w="0" w:type="auto"/>
                <w:jc w:val="center"/>
                <w:tblLayout w:type="fixed"/>
                <w:tblCellMar>
                  <w:top w:w="0" w:type="dxa"/>
                  <w:left w:w="108" w:type="dxa"/>
                  <w:bottom w:w="0" w:type="dxa"/>
                  <w:right w:w="108" w:type="dxa"/>
                </w:tblCellMar>
              </w:tblPrEx>
              <w:trPr>
                <w:trHeight w:val="366"/>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总大肠菌群，MPN/100mL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不得检出</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2</w:t>
                  </w:r>
                  <w:r>
                    <w:rPr>
                      <w:rFonts w:hAnsi="宋体"/>
                      <w:bCs/>
                      <w:snapToGrid w:val="0"/>
                      <w:color w:val="000000" w:themeColor="text1"/>
                      <w:kern w:val="2"/>
                      <w:szCs w:val="21"/>
                      <w14:textFill>
                        <w14:solidFill>
                          <w14:schemeClr w14:val="tx1"/>
                        </w14:solidFill>
                      </w14:textFill>
                    </w:rPr>
                    <w:t>000</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未检出</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90"/>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耐热大肠菌群，MPN/100mL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不得检出</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rFonts w:hAnsi="宋体" w:hint="eastAsia"/>
                      <w:snapToGrid w:val="0"/>
                      <w:color w:val="000000" w:themeColor="text1"/>
                      <w:kern w:val="2"/>
                      <w:szCs w:val="21"/>
                      <w14:textFill>
                        <w14:solidFill>
                          <w14:schemeClr w14:val="tx1"/>
                        </w14:solidFill>
                      </w14:textFill>
                    </w:rPr>
                    <w:t>-</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bCs/>
                      <w:snapToGrid w:val="0"/>
                      <w:color w:val="000000" w:themeColor="text1"/>
                      <w:kern w:val="2"/>
                      <w:szCs w:val="21"/>
                      <w14:textFill>
                        <w14:solidFill>
                          <w14:schemeClr w14:val="tx1"/>
                        </w14:solidFill>
                      </w14:textFill>
                    </w:rPr>
                    <w:t>-</w:t>
                  </w:r>
                </w:p>
              </w:tc>
            </w:tr>
            <w:tr>
              <w:tblPrEx>
                <w:tblW w:w="0" w:type="auto"/>
                <w:jc w:val="center"/>
                <w:tblLayout w:type="fixed"/>
                <w:tblCellMar>
                  <w:top w:w="0" w:type="dxa"/>
                  <w:left w:w="108" w:type="dxa"/>
                  <w:bottom w:w="0" w:type="dxa"/>
                  <w:right w:w="108" w:type="dxa"/>
                </w:tblCellMar>
              </w:tblPrEx>
              <w:trPr>
                <w:trHeight w:val="366"/>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大肠埃希氏菌，MPN/100mL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不得检出</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rFonts w:hAnsi="宋体" w:hint="eastAsia"/>
                      <w:snapToGrid w:val="0"/>
                      <w:color w:val="000000" w:themeColor="text1"/>
                      <w:kern w:val="2"/>
                      <w:szCs w:val="21"/>
                      <w14:textFill>
                        <w14:solidFill>
                          <w14:schemeClr w14:val="tx1"/>
                        </w14:solidFill>
                      </w14:textFill>
                    </w:rPr>
                    <w:t>-</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r>
            <w:tr>
              <w:tblPrEx>
                <w:tblW w:w="0" w:type="auto"/>
                <w:jc w:val="center"/>
                <w:tblLayout w:type="fixed"/>
                <w:tblCellMar>
                  <w:top w:w="0" w:type="dxa"/>
                  <w:left w:w="108" w:type="dxa"/>
                  <w:bottom w:w="0" w:type="dxa"/>
                  <w:right w:w="108" w:type="dxa"/>
                </w:tblCellMar>
              </w:tblPrEx>
              <w:trPr>
                <w:trHeight w:val="366"/>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菌落总数，CFU/mL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100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rFonts w:hAnsi="宋体" w:hint="eastAsia"/>
                      <w:snapToGrid w:val="0"/>
                      <w:color w:val="000000" w:themeColor="text1"/>
                      <w:kern w:val="2"/>
                      <w:szCs w:val="21"/>
                      <w14:textFill>
                        <w14:solidFill>
                          <w14:schemeClr w14:val="tx1"/>
                        </w14:solidFill>
                      </w14:textFill>
                    </w:rPr>
                    <w:t>4</w:t>
                  </w:r>
                  <w:r>
                    <w:rPr>
                      <w:rFonts w:hAnsi="宋体"/>
                      <w:snapToGrid w:val="0"/>
                      <w:color w:val="000000" w:themeColor="text1"/>
                      <w:kern w:val="2"/>
                      <w:szCs w:val="21"/>
                      <w14:textFill>
                        <w14:solidFill>
                          <w14:schemeClr w14:val="tx1"/>
                        </w14:solidFill>
                      </w14:textFill>
                    </w:rPr>
                    <w:t>2</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66"/>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砷，mg/L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0.01</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.05</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0.0023</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66"/>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rFonts w:hint="eastAsia"/>
                      <w:color w:val="000000" w:themeColor="text1"/>
                      <w:szCs w:val="21"/>
                      <w:lang w:val="zh-CN"/>
                      <w14:textFill>
                        <w14:solidFill>
                          <w14:schemeClr w14:val="tx1"/>
                        </w14:solidFill>
                      </w14:textFill>
                    </w:rPr>
                    <w:t>镉</w:t>
                  </w:r>
                  <w:r>
                    <w:rPr>
                      <w:color w:val="000000" w:themeColor="text1"/>
                      <w:szCs w:val="21"/>
                      <w:lang w:val="zh-CN"/>
                      <w14:textFill>
                        <w14:solidFill>
                          <w14:schemeClr w14:val="tx1"/>
                        </w14:solidFill>
                      </w14:textFill>
                    </w:rPr>
                    <w:t>，mg/L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0.005</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.005</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铬（六价），mg/L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0.05</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.05</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&lt;0.004</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铅，mg/L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0.01</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.01</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&lt;0.001</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汞，mg/L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0.001</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.00005</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&lt;0.00005</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硒，mg/L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0.01</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.01</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rFonts w:hint="eastAsia"/>
                      <w:color w:val="000000" w:themeColor="text1"/>
                      <w:szCs w:val="21"/>
                      <w:lang w:val="zh-CN"/>
                      <w14:textFill>
                        <w14:solidFill>
                          <w14:schemeClr w14:val="tx1"/>
                        </w14:solidFill>
                      </w14:textFill>
                    </w:rPr>
                    <w:t>氰</w:t>
                  </w:r>
                  <w:r>
                    <w:rPr>
                      <w:color w:val="000000" w:themeColor="text1"/>
                      <w:szCs w:val="21"/>
                      <w:lang w:val="zh-CN"/>
                      <w14:textFill>
                        <w14:solidFill>
                          <w14:schemeClr w14:val="tx1"/>
                        </w14:solidFill>
                      </w14:textFill>
                    </w:rPr>
                    <w:t>化物，mg/L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0.05</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.05</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&lt;0.001</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氟化物，mg/L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1.0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1</w:t>
                  </w:r>
                  <w:r>
                    <w:rPr>
                      <w:rFonts w:hAnsi="宋体"/>
                      <w:bCs/>
                      <w:snapToGrid w:val="0"/>
                      <w:color w:val="000000" w:themeColor="text1"/>
                      <w:kern w:val="2"/>
                      <w:szCs w:val="21"/>
                      <w14:textFill>
                        <w14:solidFill>
                          <w14:schemeClr w14:val="tx1"/>
                        </w14:solidFill>
                      </w14:textFill>
                    </w:rPr>
                    <w:t>.0</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0.45</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硝酸盐（以N计），mg/L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io，地</w:t>
                  </w:r>
                  <w:r>
                    <w:rPr>
                      <w:rFonts w:hint="eastAsia"/>
                      <w:color w:val="000000" w:themeColor="text1"/>
                      <w:szCs w:val="21"/>
                      <w:lang w:val="zh-CN"/>
                      <w14:textFill>
                        <w14:solidFill>
                          <w14:schemeClr w14:val="tx1"/>
                        </w14:solidFill>
                      </w14:textFill>
                    </w:rPr>
                    <w:t>下水</w:t>
                  </w:r>
                  <w:r>
                    <w:rPr>
                      <w:color w:val="000000" w:themeColor="text1"/>
                      <w:szCs w:val="21"/>
                      <w:lang w:val="zh-CN"/>
                      <w14:textFill>
                        <w14:solidFill>
                          <w14:schemeClr w14:val="tx1"/>
                        </w14:solidFill>
                      </w14:textFill>
                    </w:rPr>
                    <w:t>源限制时为20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1</w:t>
                  </w:r>
                  <w:r>
                    <w:rPr>
                      <w:rFonts w:hAnsi="宋体"/>
                      <w:bCs/>
                      <w:snapToGrid w:val="0"/>
                      <w:color w:val="000000" w:themeColor="text1"/>
                      <w:kern w:val="2"/>
                      <w:szCs w:val="21"/>
                      <w14:textFill>
                        <w14:solidFill>
                          <w14:schemeClr w14:val="tx1"/>
                        </w14:solidFill>
                      </w14:textFill>
                    </w:rPr>
                    <w:t>0</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&lt;0.01</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三氯甲烷，mg/L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0.06</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.06</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&lt;0.00003</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四氯化碳，mg/L</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0.002</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.002</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&lt;0.00021</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色度（铂钻色度单位）</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15</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&lt;5</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rFonts w:hAnsi="宋体" w:hint="eastAsia"/>
                      <w:snapToGrid w:val="0"/>
                      <w:color w:val="000000" w:themeColor="text1"/>
                      <w:kern w:val="2"/>
                      <w:szCs w:val="21"/>
                      <w14:textFill>
                        <w14:solidFill>
                          <w14:schemeClr w14:val="tx1"/>
                        </w14:solidFill>
                      </w14:textFill>
                    </w:rPr>
                    <w:t>浑浊度（散射浑浊度单位）</w:t>
                  </w:r>
                </w:p>
              </w:tc>
              <w:tc>
                <w:tcPr>
                  <w:tcW w:w="2552"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1</w:t>
                  </w:r>
                  <w:r>
                    <w:rPr>
                      <w:rFonts w:hint="eastAsia"/>
                      <w:color w:val="000000" w:themeColor="text1"/>
                      <w:szCs w:val="21"/>
                      <w:lang w:val="zh-CN"/>
                      <w14:textFill>
                        <w14:solidFill>
                          <w14:schemeClr w14:val="tx1"/>
                        </w14:solidFill>
                      </w14:textFill>
                    </w:rPr>
                    <w:t>，</w:t>
                  </w:r>
                  <w:r>
                    <w:rPr>
                      <w:color w:val="000000" w:themeColor="text1"/>
                      <w:szCs w:val="21"/>
                      <w:lang w:val="zh-CN"/>
                      <w14:textFill>
                        <w14:solidFill>
                          <w14:schemeClr w14:val="tx1"/>
                        </w14:solidFill>
                      </w14:textFill>
                    </w:rPr>
                    <w:t>水源与净水技术</w:t>
                  </w:r>
                  <w:r>
                    <w:rPr>
                      <w:rFonts w:hint="eastAsia"/>
                      <w:color w:val="000000" w:themeColor="text1"/>
                      <w:szCs w:val="21"/>
                      <w:lang w:val="zh-CN"/>
                      <w14:textFill>
                        <w14:solidFill>
                          <w14:schemeClr w14:val="tx1"/>
                        </w14:solidFill>
                      </w14:textFill>
                    </w:rPr>
                    <w:t>限制为3</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&lt;0.5</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臭和味</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无异臭、异味</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rFonts w:hAnsi="宋体"/>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无异臭、无异味|</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肉眼可见物</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无</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无</w:t>
                  </w:r>
                </w:p>
              </w:tc>
              <w:tc>
                <w:tcPr>
                  <w:tcW w:w="723"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pH</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6.5</w:t>
                  </w:r>
                  <w:r>
                    <w:rPr>
                      <w:rFonts w:ascii="宋体" w:hAnsi="宋体" w:hint="eastAsia"/>
                      <w:color w:val="000000" w:themeColor="text1"/>
                      <w:szCs w:val="21"/>
                      <w:lang w:val="zh-CN"/>
                      <w14:textFill>
                        <w14:solidFill>
                          <w14:schemeClr w14:val="tx1"/>
                        </w14:solidFill>
                      </w14:textFill>
                    </w:rPr>
                    <w:t>～</w:t>
                  </w:r>
                  <w:r>
                    <w:rPr>
                      <w:color w:val="000000" w:themeColor="text1"/>
                      <w:szCs w:val="21"/>
                      <w:lang w:val="zh-CN"/>
                      <w14:textFill>
                        <w14:solidFill>
                          <w14:schemeClr w14:val="tx1"/>
                        </w14:solidFill>
                      </w14:textFill>
                    </w:rPr>
                    <w:t>8.5</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6</w:t>
                  </w:r>
                  <w:r>
                    <w:rPr>
                      <w:rFonts w:ascii="宋体" w:hAnsi="宋体" w:hint="eastAsia"/>
                      <w:bCs/>
                      <w:snapToGrid w:val="0"/>
                      <w:color w:val="000000" w:themeColor="text1"/>
                      <w:kern w:val="2"/>
                      <w:szCs w:val="21"/>
                      <w14:textFill>
                        <w14:solidFill>
                          <w14:schemeClr w14:val="tx1"/>
                        </w14:solidFill>
                      </w14:textFill>
                    </w:rPr>
                    <w:t>～</w:t>
                  </w:r>
                  <w:r>
                    <w:rPr>
                      <w:rFonts w:hAnsi="宋体"/>
                      <w:bCs/>
                      <w:snapToGrid w:val="0"/>
                      <w:color w:val="000000" w:themeColor="text1"/>
                      <w:kern w:val="2"/>
                      <w:szCs w:val="21"/>
                      <w14:textFill>
                        <w14:solidFill>
                          <w14:schemeClr w14:val="tx1"/>
                        </w14:solidFill>
                      </w14:textFill>
                    </w:rPr>
                    <w:t>9</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7.16</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铝，mg/L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0.2</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0.039</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bl>
          <w:p/>
        </w:tc>
      </w:tr>
    </w:tbl>
    <w:p>
      <w:pPr>
        <w:sectPr>
          <w:footerReference w:type="even" r:id="rId89"/>
          <w:footerReference w:type="default" r:id="rId90"/>
          <w:footerReference w:type="first" r:id="rId91"/>
          <w:type w:val="nextPage"/>
          <w:pgSz w:w="11907" w:h="16840"/>
          <w:pgMar w:top="1418" w:right="1418" w:bottom="1418" w:left="1418" w:header="851" w:footer="680" w:gutter="113"/>
          <w:pgNumType w:start="23"/>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2091"/>
          <w:jc w:val="center"/>
        </w:trPr>
        <w:tc>
          <w:tcPr>
            <w:tcW w:w="8916" w:type="dxa"/>
            <w:vAlign w:val="center"/>
          </w:tcPr>
          <w:tbl>
            <w:tblPr>
              <w:tblStyle w:val="TableGrid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3"/>
              <w:gridCol w:w="2552"/>
              <w:gridCol w:w="1984"/>
              <w:gridCol w:w="1134"/>
              <w:gridCol w:w="72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铁，mg/L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0.3</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.3</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0.169</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锰，mg/L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0.1</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.1</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0.027</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铜，mg/L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1.0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1</w:t>
                  </w:r>
                  <w:r>
                    <w:rPr>
                      <w:rFonts w:hAnsi="宋体"/>
                      <w:bCs/>
                      <w:snapToGrid w:val="0"/>
                      <w:color w:val="000000" w:themeColor="text1"/>
                      <w:kern w:val="2"/>
                      <w:szCs w:val="21"/>
                      <w14:textFill>
                        <w14:solidFill>
                          <w14:schemeClr w14:val="tx1"/>
                        </w14:solidFill>
                      </w14:textFill>
                    </w:rPr>
                    <w:t>.0</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&lt;0.009</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锌，mg/L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1.0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1</w:t>
                  </w:r>
                  <w:r>
                    <w:rPr>
                      <w:rFonts w:hAnsi="宋体"/>
                      <w:bCs/>
                      <w:snapToGrid w:val="0"/>
                      <w:color w:val="000000" w:themeColor="text1"/>
                      <w:kern w:val="2"/>
                      <w:szCs w:val="21"/>
                      <w14:textFill>
                        <w14:solidFill>
                          <w14:schemeClr w14:val="tx1"/>
                        </w14:solidFill>
                      </w14:textFill>
                    </w:rPr>
                    <w:t>.0</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氯化物，mg/L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250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2</w:t>
                  </w:r>
                  <w:r>
                    <w:rPr>
                      <w:rFonts w:hAnsi="宋体"/>
                      <w:bCs/>
                      <w:snapToGrid w:val="0"/>
                      <w:color w:val="000000" w:themeColor="text1"/>
                      <w:kern w:val="2"/>
                      <w:szCs w:val="21"/>
                      <w14:textFill>
                        <w14:solidFill>
                          <w14:schemeClr w14:val="tx1"/>
                        </w14:solidFill>
                      </w14:textFill>
                    </w:rPr>
                    <w:t>50</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58.1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硫酸盐，mg/L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250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bCs/>
                      <w:snapToGrid w:val="0"/>
                      <w:color w:val="000000" w:themeColor="text1"/>
                      <w:kern w:val="2"/>
                      <w:szCs w:val="21"/>
                      <w14:textFill>
                        <w14:solidFill>
                          <w14:schemeClr w14:val="tx1"/>
                        </w14:solidFill>
                      </w14:textFill>
                    </w:rPr>
                    <w:t>250</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85.0</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溶解性总固体，mg/L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1000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403</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总硬度（以CaCO</w:t>
                  </w:r>
                  <w:r>
                    <w:rPr>
                      <w:color w:val="000000" w:themeColor="text1"/>
                      <w:szCs w:val="21"/>
                      <w:vertAlign w:val="subscript"/>
                      <w:lang w:val="zh-CN"/>
                      <w14:textFill>
                        <w14:solidFill>
                          <w14:schemeClr w14:val="tx1"/>
                        </w14:solidFill>
                      </w14:textFill>
                    </w:rPr>
                    <w:t>3</w:t>
                  </w:r>
                  <w:r>
                    <w:rPr>
                      <w:color w:val="000000" w:themeColor="text1"/>
                      <w:szCs w:val="21"/>
                      <w:lang w:val="zh-CN"/>
                      <w14:textFill>
                        <w14:solidFill>
                          <w14:schemeClr w14:val="tx1"/>
                        </w14:solidFill>
                      </w14:textFill>
                    </w:rPr>
                    <w:t>，计），mg/L|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450</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22.7</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耗氧量</w:t>
                  </w: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Mn</w:t>
                  </w:r>
                  <w:r>
                    <w:rPr>
                      <w:color w:val="000000" w:themeColor="text1"/>
                      <w:szCs w:val="21"/>
                      <w:lang w:val="zh-CN"/>
                      <w14:textFill>
                        <w14:solidFill>
                          <w14:schemeClr w14:val="tx1"/>
                        </w14:solidFill>
                      </w14:textFill>
                    </w:rPr>
                    <w:t>法</w:t>
                  </w:r>
                  <w:r>
                    <w:rPr>
                      <w:color w:val="000000" w:themeColor="text1"/>
                      <w:szCs w:val="21"/>
                      <w14:textFill>
                        <w14:solidFill>
                          <w14:schemeClr w14:val="tx1"/>
                        </w14:solidFill>
                      </w14:textFill>
                    </w:rPr>
                    <w:t>，</w:t>
                  </w:r>
                  <w:r>
                    <w:rPr>
                      <w:color w:val="000000" w:themeColor="text1"/>
                      <w:szCs w:val="21"/>
                      <w:lang w:val="zh-CN"/>
                      <w14:textFill>
                        <w14:solidFill>
                          <w14:schemeClr w14:val="tx1"/>
                        </w14:solidFill>
                      </w14:textFill>
                    </w:rPr>
                    <w:t>以</w:t>
                  </w:r>
                  <w:r>
                    <w:rPr>
                      <w:color w:val="000000" w:themeColor="text1"/>
                      <w:szCs w:val="21"/>
                      <w14:textFill>
                        <w14:solidFill>
                          <w14:schemeClr w14:val="tx1"/>
                        </w14:solidFill>
                      </w14:textFill>
                    </w:rPr>
                    <w:t>O</w:t>
                  </w:r>
                  <w:r>
                    <w:rPr>
                      <w:color w:val="000000" w:themeColor="text1"/>
                      <w:szCs w:val="21"/>
                      <w:vertAlign w:val="subscript"/>
                      <w14:textFill>
                        <w14:solidFill>
                          <w14:schemeClr w14:val="tx1"/>
                        </w14:solidFill>
                      </w14:textFill>
                    </w:rPr>
                    <w:t>2</w:t>
                  </w:r>
                  <w:r>
                    <w:rPr>
                      <w:rFonts w:hint="eastAsia"/>
                      <w:color w:val="000000" w:themeColor="text1"/>
                      <w:szCs w:val="21"/>
                      <w14:textFill>
                        <w14:solidFill>
                          <w14:schemeClr w14:val="tx1"/>
                        </w14:solidFill>
                      </w14:textFill>
                    </w:rPr>
                    <w:t>计），</w:t>
                  </w:r>
                  <w:r>
                    <w:rPr>
                      <w:color w:val="000000" w:themeColor="text1"/>
                      <w:szCs w:val="21"/>
                      <w:lang w:val="zh-CN"/>
                      <w14:textFill>
                        <w14:solidFill>
                          <w14:schemeClr w14:val="tx1"/>
                        </w14:solidFill>
                      </w14:textFill>
                    </w:rPr>
                    <w:t>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3水源限制，原水耗氧量&gt;6mg/L时为5</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0.64</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挥发酚类（以苯酚计），mg/L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0.002</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.002</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&lt;0.001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阴离子合成洗涤剂，mg/L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0.3</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0</w:t>
                  </w:r>
                  <w:r>
                    <w:rPr>
                      <w:rFonts w:hAnsi="宋体"/>
                      <w:bCs/>
                      <w:snapToGrid w:val="0"/>
                      <w:color w:val="000000" w:themeColor="text1"/>
                      <w:kern w:val="2"/>
                      <w:szCs w:val="21"/>
                      <w14:textFill>
                        <w14:solidFill>
                          <w14:schemeClr w14:val="tx1"/>
                        </w14:solidFill>
                      </w14:textFill>
                    </w:rPr>
                    <w:t>.2</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&lt;0.050</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总a放射性，Bq/L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0.5</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0.020</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总β放射性，Bq/L</w:t>
                  </w:r>
                </w:p>
              </w:tc>
              <w:tc>
                <w:tcPr>
                  <w:tcW w:w="2552"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1</w:t>
                  </w:r>
                </w:p>
              </w:tc>
              <w:tc>
                <w:tcPr>
                  <w:tcW w:w="1984" w:type="dxa"/>
                  <w:vAlign w:val="center"/>
                </w:tcPr>
                <w:p>
                  <w:pPr>
                    <w:spacing w:line="240" w:lineRule="auto"/>
                    <w:jc w:val="center"/>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w:t>
                  </w:r>
                </w:p>
              </w:tc>
              <w:tc>
                <w:tcPr>
                  <w:tcW w:w="113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0.092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贾第鞭毛虫，个/10L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&lt;1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隐孢子虫，个/10L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&lt;1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锑</w:t>
                  </w:r>
                  <w:r>
                    <w:rPr>
                      <w:color w:val="000000" w:themeColor="text1"/>
                      <w:szCs w:val="21"/>
                      <w:lang w:val="zh-CN"/>
                      <w14:textFill>
                        <w14:solidFill>
                          <w14:schemeClr w14:val="tx1"/>
                        </w14:solidFill>
                      </w14:textFill>
                    </w:rPr>
                    <w:t>，mg/L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0.0004</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钡，mg/L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0.7</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.7</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0.022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铍</w:t>
                  </w:r>
                  <w:r>
                    <w:rPr>
                      <w:color w:val="000000" w:themeColor="text1"/>
                      <w:szCs w:val="21"/>
                      <w:lang w:val="zh-CN"/>
                      <w14:textFill>
                        <w14:solidFill>
                          <w14:schemeClr w14:val="tx1"/>
                        </w14:solidFill>
                      </w14:textFill>
                    </w:rPr>
                    <w:t>，mg/L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硼，mg/L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0.042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钼，mg/L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0.07</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.07</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&lt;0.008</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镍，mg/L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银，mg/L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铊</w:t>
                  </w:r>
                  <w:r>
                    <w:rPr>
                      <w:color w:val="000000" w:themeColor="text1"/>
                      <w:szCs w:val="21"/>
                      <w:lang w:val="zh-CN"/>
                      <w14:textFill>
                        <w14:solidFill>
                          <w14:schemeClr w14:val="tx1"/>
                        </w14:solidFill>
                      </w14:textFill>
                    </w:rPr>
                    <w:t>，mg/L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0.0001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.0001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氯化</w:t>
                  </w:r>
                  <w:r>
                    <w:rPr>
                      <w:rFonts w:hint="eastAsia"/>
                      <w:color w:val="000000" w:themeColor="text1"/>
                      <w:szCs w:val="21"/>
                      <w:lang w:val="zh-CN"/>
                      <w14:textFill>
                        <w14:solidFill>
                          <w14:schemeClr w14:val="tx1"/>
                        </w14:solidFill>
                      </w14:textFill>
                    </w:rPr>
                    <w:t>氰</w:t>
                  </w:r>
                  <w:r>
                    <w:rPr>
                      <w:color w:val="000000" w:themeColor="text1"/>
                      <w:szCs w:val="21"/>
                      <w:lang w:val="zh-CN"/>
                      <w14:textFill>
                        <w14:solidFill>
                          <w14:schemeClr w14:val="tx1"/>
                        </w14:solidFill>
                      </w14:textFill>
                    </w:rPr>
                    <w:t>（以CN计），mg/L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0.07</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一氯二溴甲烷</w:t>
                  </w:r>
                  <w:r>
                    <w:rPr>
                      <w:color w:val="000000" w:themeColor="text1"/>
                      <w:szCs w:val="21"/>
                      <w14:textFill>
                        <w14:solidFill>
                          <w14:schemeClr w14:val="tx1"/>
                        </w14:solidFill>
                      </w14:textFill>
                    </w:rPr>
                    <w:t>，mg/L</w:t>
                  </w:r>
                </w:p>
              </w:tc>
              <w:tc>
                <w:tcPr>
                  <w:tcW w:w="2552"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0.1</w:t>
                  </w:r>
                </w:p>
              </w:tc>
              <w:tc>
                <w:tcPr>
                  <w:tcW w:w="1984"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二氯一溴甲烷</w:t>
                  </w:r>
                  <w:r>
                    <w:rPr>
                      <w:color w:val="000000" w:themeColor="text1"/>
                      <w:szCs w:val="21"/>
                      <w14:textFill>
                        <w14:solidFill>
                          <w14:schemeClr w14:val="tx1"/>
                        </w14:solidFill>
                      </w14:textFill>
                    </w:rPr>
                    <w:t>，mg/L</w:t>
                  </w:r>
                </w:p>
              </w:tc>
              <w:tc>
                <w:tcPr>
                  <w:tcW w:w="2552"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0.06</w:t>
                  </w:r>
                </w:p>
              </w:tc>
              <w:tc>
                <w:tcPr>
                  <w:tcW w:w="1984"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&lt;0.00008</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二氯乙酸，mg/L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&lt;0.0020</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1，2-二氯乙烷，mg/L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.03</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&lt;0.00006</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二氯甲烷，mg/L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0.00027</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三卤甲烷（三氯甲烷，一氯二</w:t>
                  </w:r>
                  <w:r>
                    <w:rPr>
                      <w:rFonts w:hint="eastAsia"/>
                      <w:color w:val="000000" w:themeColor="text1"/>
                      <w:szCs w:val="21"/>
                      <w:lang w:val="zh-CN"/>
                      <w14:textFill>
                        <w14:solidFill>
                          <w14:schemeClr w14:val="tx1"/>
                        </w14:solidFill>
                      </w14:textFill>
                    </w:rPr>
                    <w:t>溴</w:t>
                  </w:r>
                  <w:r>
                    <w:rPr>
                      <w:color w:val="000000" w:themeColor="text1"/>
                      <w:szCs w:val="21"/>
                      <w:lang w:val="zh-CN"/>
                      <w14:textFill>
                        <w14:solidFill>
                          <w14:schemeClr w14:val="tx1"/>
                        </w14:solidFill>
                      </w14:textFill>
                    </w:rPr>
                    <w:t>甲烷</w:t>
                  </w:r>
                  <w:r>
                    <w:rPr>
                      <w:color w:val="000000" w:themeColor="text1"/>
                      <w:szCs w:val="21"/>
                      <w14:textFill>
                        <w14:solidFill>
                          <w14:schemeClr w14:val="tx1"/>
                        </w14:solidFill>
                      </w14:textFill>
                    </w:rPr>
                    <w:t>，</w:t>
                  </w:r>
                  <w:r>
                    <w:rPr>
                      <w:color w:val="000000" w:themeColor="text1"/>
                      <w:szCs w:val="21"/>
                      <w:lang w:val="zh-CN"/>
                      <w14:textFill>
                        <w14:solidFill>
                          <w14:schemeClr w14:val="tx1"/>
                        </w14:solidFill>
                      </w14:textFill>
                    </w:rPr>
                    <w:t>二氯一溴甲烷</w:t>
                  </w:r>
                  <w:r>
                    <w:rPr>
                      <w:color w:val="000000" w:themeColor="text1"/>
                      <w:szCs w:val="21"/>
                      <w14:textFill>
                        <w14:solidFill>
                          <w14:schemeClr w14:val="tx1"/>
                        </w14:solidFill>
                      </w14:textFill>
                    </w:rPr>
                    <w:t>，</w:t>
                  </w:r>
                  <w:r>
                    <w:rPr>
                      <w:color w:val="000000" w:themeColor="text1"/>
                      <w:szCs w:val="21"/>
                      <w:lang w:val="zh-CN"/>
                      <w14:textFill>
                        <w14:solidFill>
                          <w14:schemeClr w14:val="tx1"/>
                        </w14:solidFill>
                      </w14:textFill>
                    </w:rPr>
                    <w:t>三</w:t>
                  </w:r>
                  <w:r>
                    <w:rPr>
                      <w:rFonts w:hint="eastAsia"/>
                      <w:color w:val="000000" w:themeColor="text1"/>
                      <w:szCs w:val="21"/>
                      <w:lang w:val="zh-CN"/>
                      <w14:textFill>
                        <w14:solidFill>
                          <w14:schemeClr w14:val="tx1"/>
                        </w14:solidFill>
                      </w14:textFill>
                    </w:rPr>
                    <w:t>溴</w:t>
                  </w:r>
                  <w:r>
                    <w:rPr>
                      <w:color w:val="000000" w:themeColor="text1"/>
                      <w:szCs w:val="21"/>
                      <w:lang w:val="zh-CN"/>
                      <w14:textFill>
                        <w14:solidFill>
                          <w14:schemeClr w14:val="tx1"/>
                        </w14:solidFill>
                      </w14:textFill>
                    </w:rPr>
                    <w:t>甲烷的总和）</w:t>
                  </w:r>
                </w:p>
              </w:tc>
              <w:tc>
                <w:tcPr>
                  <w:tcW w:w="2552" w:type="dxa"/>
                  <w:vAlign w:val="center"/>
                </w:tcPr>
                <w:p>
                  <w:pPr>
                    <w:autoSpaceDE w:val="0"/>
                    <w:autoSpaceDN w:val="0"/>
                    <w:spacing w:line="240" w:lineRule="auto"/>
                    <w:jc w:val="center"/>
                    <w:textAlignment w:val="auto"/>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该类化合物中各种化合物的实测浓度与其各自限值的比值之和不超过1</w:t>
                  </w:r>
                </w:p>
              </w:tc>
              <w:tc>
                <w:tcPr>
                  <w:tcW w:w="1984" w:type="dxa"/>
                  <w:vAlign w:val="center"/>
                </w:tcPr>
                <w:p>
                  <w:pPr>
                    <w:autoSpaceDE w:val="0"/>
                    <w:autoSpaceDN w:val="0"/>
                    <w:spacing w:line="240" w:lineRule="auto"/>
                    <w:jc w:val="center"/>
                    <w:textAlignment w:val="auto"/>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0.00177</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1，1，1-</w:t>
                  </w:r>
                  <w:r>
                    <w:rPr>
                      <w:color w:val="000000" w:themeColor="text1"/>
                      <w:szCs w:val="21"/>
                      <w:lang w:val="zh-CN"/>
                      <w14:textFill>
                        <w14:solidFill>
                          <w14:schemeClr w14:val="tx1"/>
                        </w14:solidFill>
                      </w14:textFill>
                    </w:rPr>
                    <w:t>三氯乙烷</w:t>
                  </w:r>
                  <w:r>
                    <w:rPr>
                      <w:color w:val="000000" w:themeColor="text1"/>
                      <w:szCs w:val="21"/>
                      <w14:textFill>
                        <w14:solidFill>
                          <w14:schemeClr w14:val="tx1"/>
                        </w14:solidFill>
                      </w14:textFill>
                    </w:rPr>
                    <w:t>，mg/L</w:t>
                  </w:r>
                </w:p>
              </w:tc>
              <w:tc>
                <w:tcPr>
                  <w:tcW w:w="2552"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1984"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&lt;0.00008</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三氯乙酸，mg/L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&lt;0.0010</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三氯乙醛，mg/L</w:t>
                  </w:r>
                </w:p>
              </w:tc>
              <w:tc>
                <w:tcPr>
                  <w:tcW w:w="2552"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.01</w:t>
                  </w:r>
                </w:p>
              </w:tc>
              <w:tc>
                <w:tcPr>
                  <w:tcW w:w="1984"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2，4，6-三氯酚，mg/L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&lt;0.00004</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bl>
          <w:p/>
        </w:tc>
      </w:tr>
    </w:tbl>
    <w:p>
      <w:pPr>
        <w:sectPr>
          <w:footerReference w:type="even" r:id="rId92"/>
          <w:footerReference w:type="default" r:id="rId93"/>
          <w:footerReference w:type="first" r:id="rId94"/>
          <w:type w:val="nextPage"/>
          <w:pgSz w:w="11907" w:h="16840"/>
          <w:pgMar w:top="1418" w:right="1418" w:bottom="1418" w:left="1418" w:header="851" w:footer="680" w:gutter="113"/>
          <w:pgNumType w:start="24"/>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2091"/>
          <w:jc w:val="center"/>
        </w:trPr>
        <w:tc>
          <w:tcPr>
            <w:tcW w:w="8916" w:type="dxa"/>
            <w:vAlign w:val="center"/>
          </w:tcPr>
          <w:tbl>
            <w:tblPr>
              <w:tblStyle w:val="TableGrid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3"/>
              <w:gridCol w:w="2552"/>
              <w:gridCol w:w="1984"/>
              <w:gridCol w:w="1134"/>
              <w:gridCol w:w="72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三溴甲烷，mg/L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七氯，mg/L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0.0004</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马拉硫磷，mg/L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0.25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五氯酚，mg/L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0.009</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.009</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&lt;0.00003</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六六六（总量），mgL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六氯苯，mg/L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乐果，mg/L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0.08</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.08</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对硫磷，mg/L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.003</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灭草松，mg/L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甲基对硫磷，mg/L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百菌清，mg/L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呋喃丹，mg/L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0.007</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林丹，mg/L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毒死牌，mg/L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草甘</w:t>
                  </w:r>
                  <w:r>
                    <w:rPr>
                      <w:rFonts w:hint="eastAsia"/>
                      <w:color w:val="000000" w:themeColor="text1"/>
                      <w:szCs w:val="21"/>
                      <w:lang w:val="zh-CN"/>
                      <w14:textFill>
                        <w14:solidFill>
                          <w14:schemeClr w14:val="tx1"/>
                        </w14:solidFill>
                      </w14:textFill>
                    </w:rPr>
                    <w:t>膦</w:t>
                  </w:r>
                  <w:r>
                    <w:rPr>
                      <w:color w:val="000000" w:themeColor="text1"/>
                      <w:szCs w:val="21"/>
                      <w:lang w:val="zh-CN"/>
                      <w14:textFill>
                        <w14:solidFill>
                          <w14:schemeClr w14:val="tx1"/>
                        </w14:solidFill>
                      </w14:textFill>
                    </w:rPr>
                    <w:t>，mg/L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0.7</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&lt;0.025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敌敌畏，mg/L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莠</w:t>
                  </w:r>
                  <w:r>
                    <w:rPr>
                      <w:color w:val="000000" w:themeColor="text1"/>
                      <w:szCs w:val="21"/>
                      <w:lang w:val="zh-CN"/>
                      <w14:textFill>
                        <w14:solidFill>
                          <w14:schemeClr w14:val="tx1"/>
                        </w14:solidFill>
                      </w14:textFill>
                    </w:rPr>
                    <w:t>去津，mg/L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-0.0005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溴氰菊酯，mg/L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&lt;0.00010</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2，4-滴，mg/L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滴滴涕，mg/L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&lt;0.000005</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乙苯，mg/L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.3</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&lt;0.00006</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二甲苯（总量），mgL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&lt;0.00011</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1，1-二氯乙烯，mgL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.03</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&lt;0.00012</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1，2-二氯乙烯，mg/L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&lt;0.00006</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1，2-二氯苯，mg/L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1.0</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1</w:t>
                  </w:r>
                  <w:r>
                    <w:rPr>
                      <w:color w:val="000000" w:themeColor="text1"/>
                      <w:szCs w:val="21"/>
                      <w:lang w:val="zh-CN"/>
                      <w14:textFill>
                        <w14:solidFill>
                          <w14:schemeClr w14:val="tx1"/>
                        </w14:solidFill>
                      </w14:textFill>
                    </w:rPr>
                    <w:t>.0</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&lt;0.00003</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1，4-二氯苯，mg/L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.3</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&lt;0.00003</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三氯乙烯，mg/L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0.07</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.07</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&lt;0.00019</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三氯苯（总量），mg/</w:t>
                  </w:r>
                  <w:r>
                    <w:rPr>
                      <w:color w:val="000000" w:themeColor="text1"/>
                      <w:szCs w:val="21"/>
                      <w:lang w:val="zh-CN"/>
                      <w14:textFill>
                        <w14:solidFill>
                          <w14:schemeClr w14:val="tx1"/>
                        </w14:solidFill>
                      </w14:textFill>
                    </w:rPr>
                    <w:t>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&lt;0.00004</w:t>
                  </w:r>
                </w:p>
              </w:tc>
              <w:tc>
                <w:tcPr>
                  <w:tcW w:w="723" w:type="dxa"/>
                  <w:vAlign w:val="center"/>
                </w:tcPr>
                <w:p>
                  <w:pPr>
                    <w:spacing w:line="240" w:lineRule="auto"/>
                    <w:jc w:val="center"/>
                    <w:rPr>
                      <w:rFonts w:hAnsi="宋体"/>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六氯丁二烯，mgL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0.0006</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.0006</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&lt;0.00011</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丙烯酰胺，mg/L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.0005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&lt;0.00005</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四氯乙烯，mg/L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0.04</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.04</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&lt;0.00014</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甲苯，mgL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0.7</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.7</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&lt;0.00011</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邻苯二甲酸二（2-乙基己基）酯，.mgL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0.008</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.008</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&lt;0.002</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环氧氯丙烷，mgL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0.0004</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&lt;0.0004</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0.01</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&lt;0.00004</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苯乙烯，mgL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.02</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&lt;0.00004</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苯并</w:t>
                  </w:r>
                  <w:r>
                    <w:rPr>
                      <w:color w:val="000000" w:themeColor="text1"/>
                      <w:szCs w:val="21"/>
                      <w14:textFill>
                        <w14:solidFill>
                          <w14:schemeClr w14:val="tx1"/>
                        </w14:solidFill>
                      </w14:textFill>
                    </w:rPr>
                    <w:t>（a）</w:t>
                  </w:r>
                  <w:r>
                    <w:rPr>
                      <w:rFonts w:hint="eastAsia"/>
                      <w:color w:val="000000" w:themeColor="text1"/>
                      <w:szCs w:val="21"/>
                      <w:lang w:val="zh-CN"/>
                      <w14:textFill>
                        <w14:solidFill>
                          <w14:schemeClr w14:val="tx1"/>
                        </w14:solidFill>
                      </w14:textFill>
                    </w:rPr>
                    <w:t>芘</w:t>
                  </w:r>
                  <w:r>
                    <w:rPr>
                      <w:color w:val="000000" w:themeColor="text1"/>
                      <w:szCs w:val="21"/>
                      <w14:textFill>
                        <w14:solidFill>
                          <w14:schemeClr w14:val="tx1"/>
                        </w14:solidFill>
                      </w14:textFill>
                    </w:rPr>
                    <w:t>，mg/L</w:t>
                  </w:r>
                </w:p>
              </w:tc>
              <w:tc>
                <w:tcPr>
                  <w:tcW w:w="2552"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0.00001</w:t>
                  </w:r>
                </w:p>
              </w:tc>
              <w:tc>
                <w:tcPr>
                  <w:tcW w:w="1984"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.8*10</w:t>
                  </w:r>
                  <w:r>
                    <w:rPr>
                      <w:color w:val="000000" w:themeColor="text1"/>
                      <w:szCs w:val="21"/>
                      <w:vertAlign w:val="superscript"/>
                      <w14:textFill>
                        <w14:solidFill>
                          <w14:schemeClr w14:val="tx1"/>
                        </w14:solidFill>
                      </w14:textFill>
                    </w:rPr>
                    <w:t>-6</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&lt;0.0000014</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bl>
          <w:p/>
        </w:tc>
      </w:tr>
    </w:tbl>
    <w:p>
      <w:pPr>
        <w:sectPr>
          <w:footerReference w:type="even" r:id="rId95"/>
          <w:footerReference w:type="default" r:id="rId96"/>
          <w:footerReference w:type="first" r:id="rId97"/>
          <w:type w:val="nextPage"/>
          <w:pgSz w:w="11907" w:h="16840"/>
          <w:pgMar w:top="1418" w:right="1418" w:bottom="1418" w:left="1418" w:header="851" w:footer="680" w:gutter="113"/>
          <w:pgNumType w:start="25"/>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2091"/>
          <w:jc w:val="center"/>
        </w:trPr>
        <w:tc>
          <w:tcPr>
            <w:tcW w:w="8916" w:type="dxa"/>
            <w:vAlign w:val="center"/>
          </w:tcPr>
          <w:tbl>
            <w:tblPr>
              <w:tblStyle w:val="TableGrid5"/>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3"/>
              <w:gridCol w:w="2552"/>
              <w:gridCol w:w="1984"/>
              <w:gridCol w:w="1134"/>
              <w:gridCol w:w="72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氯乙烯，mg/L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.005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&lt;0.00017</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氯苯，mg/L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0.3</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.3</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&lt;0.00004</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微囊藻毒素</w:t>
                  </w:r>
                  <w:r>
                    <w:rPr>
                      <w:color w:val="000000" w:themeColor="text1"/>
                      <w:szCs w:val="21"/>
                      <w14:textFill>
                        <w14:solidFill>
                          <w14:schemeClr w14:val="tx1"/>
                        </w14:solidFill>
                      </w14:textFill>
                    </w:rPr>
                    <w:t>-LR，mg/L</w:t>
                  </w:r>
                </w:p>
              </w:tc>
              <w:tc>
                <w:tcPr>
                  <w:tcW w:w="2552"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0.001</w:t>
                  </w:r>
                </w:p>
              </w:tc>
              <w:tc>
                <w:tcPr>
                  <w:tcW w:w="1984" w:type="dxa"/>
                  <w:vAlign w:val="center"/>
                </w:tcPr>
                <w:p>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.001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&lt;0.00006</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氨氮（以N计），mgL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0.5</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.5</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0.04</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硫化物，mg/L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0.02</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0</w:t>
                  </w:r>
                  <w:r>
                    <w:rPr>
                      <w:color w:val="000000" w:themeColor="text1"/>
                      <w:szCs w:val="21"/>
                      <w:lang w:val="zh-CN"/>
                      <w14:textFill>
                        <w14:solidFill>
                          <w14:schemeClr w14:val="tx1"/>
                        </w14:solidFill>
                      </w14:textFill>
                    </w:rPr>
                    <w:t>.1</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lang w:val="zh-CN"/>
                      <w14:textFill>
                        <w14:solidFill>
                          <w14:schemeClr w14:val="tx1"/>
                        </w14:solidFill>
                      </w14:textFill>
                    </w:rPr>
                    <w:t>&lt;</w:t>
                  </w:r>
                  <w:r>
                    <w:rPr>
                      <w:color w:val="000000" w:themeColor="text1"/>
                      <w:szCs w:val="21"/>
                      <w14:textFill>
                        <w14:solidFill>
                          <w14:schemeClr w14:val="tx1"/>
                        </w14:solidFill>
                      </w14:textFill>
                    </w:rPr>
                    <w:t>002</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r>
              <w:tblPrEx>
                <w:tblW w:w="0" w:type="auto"/>
                <w:jc w:val="center"/>
                <w:tblLayout w:type="fixed"/>
                <w:tblCellMar>
                  <w:top w:w="0" w:type="dxa"/>
                  <w:left w:w="108" w:type="dxa"/>
                  <w:bottom w:w="0" w:type="dxa"/>
                  <w:right w:w="108" w:type="dxa"/>
                </w:tblCellMar>
              </w:tblPrEx>
              <w:trPr>
                <w:trHeight w:val="351"/>
                <w:jc w:val="center"/>
              </w:trPr>
              <w:tc>
                <w:tcPr>
                  <w:tcW w:w="2263"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钠，mg/L</w:t>
                  </w:r>
                </w:p>
              </w:tc>
              <w:tc>
                <w:tcPr>
                  <w:tcW w:w="2552" w:type="dxa"/>
                  <w:vAlign w:val="center"/>
                </w:tcPr>
                <w:p>
                  <w:pPr>
                    <w:spacing w:line="240" w:lineRule="auto"/>
                    <w:jc w:val="center"/>
                    <w:rPr>
                      <w:color w:val="000000" w:themeColor="text1"/>
                      <w:szCs w:val="21"/>
                      <w:lang w:val="zh-CN"/>
                      <w14:textFill>
                        <w14:solidFill>
                          <w14:schemeClr w14:val="tx1"/>
                        </w14:solidFill>
                      </w14:textFill>
                    </w:rPr>
                  </w:pPr>
                  <w:r>
                    <w:rPr>
                      <w:color w:val="000000" w:themeColor="text1"/>
                      <w:szCs w:val="21"/>
                      <w:lang w:val="zh-CN"/>
                      <w14:textFill>
                        <w14:solidFill>
                          <w14:schemeClr w14:val="tx1"/>
                        </w14:solidFill>
                      </w14:textFill>
                    </w:rPr>
                    <w:t>200</w:t>
                  </w:r>
                </w:p>
              </w:tc>
              <w:tc>
                <w:tcPr>
                  <w:tcW w:w="1984" w:type="dxa"/>
                  <w:vAlign w:val="center"/>
                </w:tcPr>
                <w:p>
                  <w:pPr>
                    <w:spacing w:line="240" w:lineRule="auto"/>
                    <w:jc w:val="center"/>
                    <w:rPr>
                      <w:color w:val="000000" w:themeColor="text1"/>
                      <w:szCs w:val="21"/>
                      <w:lang w:val="zh-CN"/>
                      <w14:textFill>
                        <w14:solidFill>
                          <w14:schemeClr w14:val="tx1"/>
                        </w14:solidFill>
                      </w14:textFill>
                    </w:rPr>
                  </w:pPr>
                  <w:r>
                    <w:rPr>
                      <w:rFonts w:hint="eastAsia"/>
                      <w:color w:val="000000" w:themeColor="text1"/>
                      <w:szCs w:val="21"/>
                      <w:lang w:val="zh-CN"/>
                      <w14:textFill>
                        <w14:solidFill>
                          <w14:schemeClr w14:val="tx1"/>
                        </w14:solidFill>
                      </w14:textFill>
                    </w:rPr>
                    <w:t>/</w:t>
                  </w:r>
                </w:p>
              </w:tc>
              <w:tc>
                <w:tcPr>
                  <w:tcW w:w="1134" w:type="dxa"/>
                  <w:vAlign w:val="center"/>
                </w:tcPr>
                <w:p>
                  <w:pPr>
                    <w:spacing w:line="24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24.5</w:t>
                  </w:r>
                </w:p>
              </w:tc>
              <w:tc>
                <w:tcPr>
                  <w:tcW w:w="723" w:type="dxa"/>
                  <w:vAlign w:val="center"/>
                </w:tcPr>
                <w:p>
                  <w:pPr>
                    <w:spacing w:line="240" w:lineRule="auto"/>
                    <w:jc w:val="center"/>
                    <w:rPr>
                      <w:b/>
                      <w:snapToGrid w:val="0"/>
                      <w:color w:val="000000" w:themeColor="text1"/>
                      <w:kern w:val="2"/>
                      <w:szCs w:val="21"/>
                      <w14:textFill>
                        <w14:solidFill>
                          <w14:schemeClr w14:val="tx1"/>
                        </w14:solidFill>
                      </w14:textFill>
                    </w:rPr>
                  </w:pPr>
                  <w:r>
                    <w:rPr>
                      <w:color w:val="000000" w:themeColor="text1"/>
                      <w:szCs w:val="21"/>
                      <w:lang w:val="zh-CN"/>
                      <w14:textFill>
                        <w14:solidFill>
                          <w14:schemeClr w14:val="tx1"/>
                        </w14:solidFill>
                      </w14:textFill>
                    </w:rPr>
                    <w:t>符合</w:t>
                  </w:r>
                </w:p>
              </w:tc>
            </w:tr>
          </w:tbl>
          <w:p>
            <w:pPr>
              <w:spacing w:after="120" w:afterLines="50" w:line="240" w:lineRule="auto"/>
              <w:ind w:firstLine="420" w:firstLineChars="200"/>
              <w:rPr>
                <w:rFonts w:hAnsi="宋体"/>
                <w:bCs/>
                <w:snapToGrid w:val="0"/>
                <w:color w:val="000000" w:themeColor="text1"/>
                <w:kern w:val="2"/>
                <w:szCs w:val="21"/>
                <w14:textFill>
                  <w14:solidFill>
                    <w14:schemeClr w14:val="tx1"/>
                  </w14:solidFill>
                </w14:textFill>
              </w:rPr>
            </w:pPr>
            <w:r>
              <w:rPr>
                <w:rFonts w:hAnsi="宋体" w:hint="eastAsia"/>
                <w:bCs/>
                <w:snapToGrid w:val="0"/>
                <w:color w:val="000000" w:themeColor="text1"/>
                <w:kern w:val="2"/>
                <w:szCs w:val="21"/>
                <w14:textFill>
                  <w14:solidFill>
                    <w14:schemeClr w14:val="tx1"/>
                  </w14:solidFill>
                </w14:textFill>
              </w:rPr>
              <w:t>*大肠菌群未检出，</w:t>
            </w:r>
            <w:r>
              <w:rPr>
                <w:rFonts w:hint="eastAsia"/>
                <w:bCs/>
                <w:color w:val="000000" w:themeColor="text1"/>
                <w14:textFill>
                  <w14:solidFill>
                    <w14:schemeClr w14:val="tx1"/>
                  </w14:solidFill>
                </w14:textFill>
              </w:rPr>
              <w:t>因此，耐热大肠菌群、大肠埃希氏菌不必做进一步检验，无需判定。</w:t>
            </w:r>
          </w:p>
          <w:p>
            <w:pPr>
              <w:spacing w:line="360" w:lineRule="auto"/>
              <w:ind w:firstLine="480" w:firstLineChars="200"/>
              <w:rPr>
                <w:b/>
                <w:snapToGrid w:val="0"/>
                <w:color w:val="000000" w:themeColor="text1"/>
                <w:kern w:val="2"/>
                <w:sz w:val="24"/>
                <w:szCs w:val="22"/>
                <w14:textFill>
                  <w14:solidFill>
                    <w14:schemeClr w14:val="tx1"/>
                  </w14:solidFill>
                </w14:textFill>
              </w:rPr>
            </w:pPr>
            <w:r>
              <w:rPr>
                <w:rFonts w:hAnsi="宋体"/>
                <w:b/>
                <w:snapToGrid w:val="0"/>
                <w:color w:val="000000" w:themeColor="text1"/>
                <w:kern w:val="2"/>
                <w:sz w:val="24"/>
                <w:szCs w:val="22"/>
                <w14:textFill>
                  <w14:solidFill>
                    <w14:schemeClr w14:val="tx1"/>
                  </w14:solidFill>
                </w14:textFill>
              </w:rPr>
              <w:t>三、声环境质量</w:t>
            </w:r>
          </w:p>
          <w:p>
            <w:pPr>
              <w:spacing w:line="360" w:lineRule="auto"/>
              <w:ind w:firstLine="480" w:firstLineChars="200"/>
              <w:rPr>
                <w:color w:val="000000" w:themeColor="text1"/>
                <w:kern w:val="2"/>
                <w:sz w:val="24"/>
                <w:szCs w:val="22"/>
                <w14:textFill>
                  <w14:solidFill>
                    <w14:schemeClr w14:val="tx1"/>
                  </w14:solidFill>
                </w14:textFill>
              </w:rPr>
            </w:pPr>
            <w:r>
              <w:rPr>
                <w:color w:val="000000" w:themeColor="text1"/>
                <w:kern w:val="2"/>
                <w:sz w:val="24"/>
                <w:szCs w:val="22"/>
                <w14:textFill>
                  <w14:solidFill>
                    <w14:schemeClr w14:val="tx1"/>
                  </w14:solidFill>
                </w14:textFill>
              </w:rPr>
              <w:t>根据</w:t>
            </w:r>
            <w:r>
              <w:rPr>
                <w:rFonts w:hint="eastAsia"/>
                <w:color w:val="000000" w:themeColor="text1"/>
                <w:kern w:val="2"/>
                <w:sz w:val="24"/>
                <w:szCs w:val="22"/>
                <w14:textFill>
                  <w14:solidFill>
                    <w14:schemeClr w14:val="tx1"/>
                  </w14:solidFill>
                </w14:textFill>
              </w:rPr>
              <w:t>江西贯通检测有限公司2</w:t>
            </w:r>
            <w:r>
              <w:rPr>
                <w:color w:val="000000" w:themeColor="text1"/>
                <w:kern w:val="2"/>
                <w:sz w:val="24"/>
                <w:szCs w:val="22"/>
                <w14:textFill>
                  <w14:solidFill>
                    <w14:schemeClr w14:val="tx1"/>
                  </w14:solidFill>
                </w14:textFill>
              </w:rPr>
              <w:t>019</w:t>
            </w:r>
            <w:r>
              <w:rPr>
                <w:rFonts w:hint="eastAsia"/>
                <w:color w:val="000000" w:themeColor="text1"/>
                <w:kern w:val="2"/>
                <w:sz w:val="24"/>
                <w:szCs w:val="22"/>
                <w14:textFill>
                  <w14:solidFill>
                    <w14:schemeClr w14:val="tx1"/>
                  </w14:solidFill>
                </w14:textFill>
              </w:rPr>
              <w:t>年1</w:t>
            </w:r>
            <w:r>
              <w:rPr>
                <w:color w:val="000000" w:themeColor="text1"/>
                <w:kern w:val="2"/>
                <w:sz w:val="24"/>
                <w:szCs w:val="22"/>
                <w14:textFill>
                  <w14:solidFill>
                    <w14:schemeClr w14:val="tx1"/>
                  </w14:solidFill>
                </w14:textFill>
              </w:rPr>
              <w:t>2</w:t>
            </w:r>
            <w:r>
              <w:rPr>
                <w:rFonts w:hint="eastAsia"/>
                <w:color w:val="000000" w:themeColor="text1"/>
                <w:kern w:val="2"/>
                <w:sz w:val="24"/>
                <w:szCs w:val="22"/>
                <w14:textFill>
                  <w14:solidFill>
                    <w14:schemeClr w14:val="tx1"/>
                  </w14:solidFill>
                </w14:textFill>
              </w:rPr>
              <w:t>月1</w:t>
            </w:r>
            <w:r>
              <w:rPr>
                <w:color w:val="000000" w:themeColor="text1"/>
                <w:kern w:val="2"/>
                <w:sz w:val="24"/>
                <w:szCs w:val="22"/>
                <w14:textFill>
                  <w14:solidFill>
                    <w14:schemeClr w14:val="tx1"/>
                  </w14:solidFill>
                </w14:textFill>
              </w:rPr>
              <w:t>8</w:t>
            </w:r>
            <w:r>
              <w:rPr>
                <w:rFonts w:hint="eastAsia"/>
                <w:color w:val="000000" w:themeColor="text1"/>
                <w:kern w:val="2"/>
                <w:sz w:val="24"/>
                <w:szCs w:val="22"/>
                <w14:textFill>
                  <w14:solidFill>
                    <w14:schemeClr w14:val="tx1"/>
                  </w14:solidFill>
                </w14:textFill>
              </w:rPr>
              <w:t>日出具的《抚州市汝水生态水厂扩建工程项目》（G</w:t>
            </w:r>
            <w:r>
              <w:rPr>
                <w:color w:val="000000" w:themeColor="text1"/>
                <w:kern w:val="2"/>
                <w:sz w:val="24"/>
                <w:szCs w:val="22"/>
                <w14:textFill>
                  <w14:solidFill>
                    <w14:schemeClr w14:val="tx1"/>
                  </w14:solidFill>
                </w14:textFill>
              </w:rPr>
              <w:t>T191278</w:t>
            </w:r>
            <w:r>
              <w:rPr>
                <w:rFonts w:hint="eastAsia"/>
                <w:color w:val="000000" w:themeColor="text1"/>
                <w:kern w:val="2"/>
                <w:sz w:val="24"/>
                <w:szCs w:val="22"/>
                <w14:textFill>
                  <w14:solidFill>
                    <w14:schemeClr w14:val="tx1"/>
                  </w14:solidFill>
                </w14:textFill>
              </w:rPr>
              <w:t>）监测报告</w:t>
            </w:r>
            <w:r>
              <w:rPr>
                <w:color w:val="000000" w:themeColor="text1"/>
                <w:kern w:val="2"/>
                <w:sz w:val="24"/>
                <w:szCs w:val="22"/>
                <w14:textFill>
                  <w14:solidFill>
                    <w14:schemeClr w14:val="tx1"/>
                  </w14:solidFill>
                </w14:textFill>
              </w:rPr>
              <w:t>项目</w:t>
            </w:r>
            <w:r>
              <w:rPr>
                <w:rFonts w:hint="eastAsia"/>
                <w:color w:val="000000" w:themeColor="text1"/>
                <w:kern w:val="2"/>
                <w:sz w:val="24"/>
                <w:szCs w:val="22"/>
                <w14:textFill>
                  <w14:solidFill>
                    <w14:schemeClr w14:val="tx1"/>
                  </w14:solidFill>
                </w14:textFill>
              </w:rPr>
              <w:t>四周声环境良好，具体监测结果见表1</w:t>
            </w:r>
            <w:r>
              <w:rPr>
                <w:color w:val="000000" w:themeColor="text1"/>
                <w:kern w:val="2"/>
                <w:sz w:val="24"/>
                <w:szCs w:val="22"/>
                <w14:textFill>
                  <w14:solidFill>
                    <w14:schemeClr w14:val="tx1"/>
                  </w14:solidFill>
                </w14:textFill>
              </w:rPr>
              <w:t>0</w:t>
            </w:r>
            <w:r>
              <w:rPr>
                <w:rFonts w:hint="eastAsia"/>
                <w:color w:val="000000" w:themeColor="text1"/>
                <w:kern w:val="2"/>
                <w:sz w:val="24"/>
                <w:szCs w:val="22"/>
                <w14:textFill>
                  <w14:solidFill>
                    <w14:schemeClr w14:val="tx1"/>
                  </w14:solidFill>
                </w14:textFill>
              </w:rPr>
              <w:t>示。</w:t>
            </w:r>
          </w:p>
          <w:p>
            <w:pPr>
              <w:spacing w:line="240" w:lineRule="auto"/>
              <w:jc w:val="center"/>
              <w:rPr>
                <w:b/>
                <w:bCs/>
                <w:color w:val="000000" w:themeColor="text1"/>
                <w:kern w:val="2"/>
                <w:szCs w:val="21"/>
                <w14:textFill>
                  <w14:solidFill>
                    <w14:schemeClr w14:val="tx1"/>
                  </w14:solidFill>
                </w14:textFill>
              </w:rPr>
            </w:pPr>
            <w:r>
              <w:rPr>
                <w:rFonts w:hint="eastAsia"/>
                <w:b/>
                <w:bCs/>
                <w:color w:val="000000" w:themeColor="text1"/>
                <w:kern w:val="2"/>
                <w:szCs w:val="21"/>
                <w14:textFill>
                  <w14:solidFill>
                    <w14:schemeClr w14:val="tx1"/>
                  </w14:solidFill>
                </w14:textFill>
              </w:rPr>
              <w:t>表1</w:t>
            </w:r>
            <w:r>
              <w:rPr>
                <w:b/>
                <w:bCs/>
                <w:color w:val="000000" w:themeColor="text1"/>
                <w:kern w:val="2"/>
                <w:szCs w:val="21"/>
                <w14:textFill>
                  <w14:solidFill>
                    <w14:schemeClr w14:val="tx1"/>
                  </w14:solidFill>
                </w14:textFill>
              </w:rPr>
              <w:t xml:space="preserve">0 </w:t>
            </w:r>
            <w:r>
              <w:rPr>
                <w:rFonts w:hint="eastAsia"/>
                <w:b/>
                <w:bCs/>
                <w:color w:val="000000" w:themeColor="text1"/>
                <w:kern w:val="2"/>
                <w:szCs w:val="21"/>
                <w14:textFill>
                  <w14:solidFill>
                    <w14:schemeClr w14:val="tx1"/>
                  </w14:solidFill>
                </w14:textFill>
              </w:rPr>
              <w:t>项目噪声现状监测结果一览表</w:t>
            </w:r>
          </w:p>
          <w:tbl>
            <w:tblPr>
              <w:tblStyle w:val="TableGrid5"/>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2"/>
              <w:gridCol w:w="1892"/>
              <w:gridCol w:w="1447"/>
              <w:gridCol w:w="1448"/>
              <w:gridCol w:w="1448"/>
              <w:gridCol w:w="144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1002" w:type="dxa"/>
                  <w:vMerge w:val="restart"/>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采样日期</w:t>
                  </w:r>
                </w:p>
              </w:tc>
              <w:tc>
                <w:tcPr>
                  <w:tcW w:w="1892" w:type="dxa"/>
                  <w:vMerge w:val="restart"/>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监测点位</w:t>
                  </w:r>
                </w:p>
              </w:tc>
              <w:tc>
                <w:tcPr>
                  <w:tcW w:w="2895" w:type="dxa"/>
                  <w:gridSpan w:val="2"/>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昼间 （dB）A</w:t>
                  </w:r>
                </w:p>
              </w:tc>
              <w:tc>
                <w:tcPr>
                  <w:tcW w:w="2896" w:type="dxa"/>
                  <w:gridSpan w:val="2"/>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夜间 （dB）A</w:t>
                  </w:r>
                </w:p>
              </w:tc>
            </w:tr>
            <w:tr>
              <w:tblPrEx>
                <w:tblW w:w="0" w:type="auto"/>
                <w:jc w:val="center"/>
                <w:tblLayout w:type="fixed"/>
                <w:tblCellMar>
                  <w:top w:w="0" w:type="dxa"/>
                  <w:left w:w="108" w:type="dxa"/>
                  <w:bottom w:w="0" w:type="dxa"/>
                  <w:right w:w="108" w:type="dxa"/>
                </w:tblCellMar>
              </w:tblPrEx>
              <w:trPr>
                <w:trHeight w:val="340"/>
                <w:jc w:val="center"/>
              </w:trPr>
              <w:tc>
                <w:tcPr>
                  <w:tcW w:w="1002" w:type="dxa"/>
                  <w:vMerge/>
                  <w:vAlign w:val="center"/>
                </w:tcPr>
                <w:p>
                  <w:pPr>
                    <w:spacing w:line="240" w:lineRule="auto"/>
                    <w:jc w:val="center"/>
                    <w:rPr>
                      <w:color w:val="000000" w:themeColor="text1"/>
                      <w:kern w:val="2"/>
                      <w:szCs w:val="21"/>
                      <w14:textFill>
                        <w14:solidFill>
                          <w14:schemeClr w14:val="tx1"/>
                        </w14:solidFill>
                      </w14:textFill>
                    </w:rPr>
                  </w:pPr>
                </w:p>
              </w:tc>
              <w:tc>
                <w:tcPr>
                  <w:tcW w:w="1892" w:type="dxa"/>
                  <w:vMerge/>
                  <w:vAlign w:val="center"/>
                </w:tcPr>
                <w:p>
                  <w:pPr>
                    <w:spacing w:line="240" w:lineRule="auto"/>
                    <w:jc w:val="center"/>
                    <w:rPr>
                      <w:color w:val="000000" w:themeColor="text1"/>
                      <w:kern w:val="2"/>
                      <w:szCs w:val="21"/>
                      <w14:textFill>
                        <w14:solidFill>
                          <w14:schemeClr w14:val="tx1"/>
                        </w14:solidFill>
                      </w14:textFill>
                    </w:rPr>
                  </w:pPr>
                </w:p>
              </w:tc>
              <w:tc>
                <w:tcPr>
                  <w:tcW w:w="1447"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监测值</w:t>
                  </w: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标准值</w:t>
                  </w: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监测值</w:t>
                  </w: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标准值</w:t>
                  </w:r>
                </w:p>
              </w:tc>
            </w:tr>
            <w:tr>
              <w:tblPrEx>
                <w:tblW w:w="0" w:type="auto"/>
                <w:jc w:val="center"/>
                <w:tblLayout w:type="fixed"/>
                <w:tblCellMar>
                  <w:top w:w="0" w:type="dxa"/>
                  <w:left w:w="108" w:type="dxa"/>
                  <w:bottom w:w="0" w:type="dxa"/>
                  <w:right w:w="108" w:type="dxa"/>
                </w:tblCellMar>
              </w:tblPrEx>
              <w:trPr>
                <w:trHeight w:val="340"/>
                <w:jc w:val="center"/>
              </w:trPr>
              <w:tc>
                <w:tcPr>
                  <w:tcW w:w="1002" w:type="dxa"/>
                  <w:vMerge w:val="restart"/>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1</w:t>
                  </w:r>
                  <w:r>
                    <w:rPr>
                      <w:color w:val="000000" w:themeColor="text1"/>
                      <w:kern w:val="2"/>
                      <w:szCs w:val="21"/>
                      <w14:textFill>
                        <w14:solidFill>
                          <w14:schemeClr w14:val="tx1"/>
                        </w14:solidFill>
                      </w14:textFill>
                    </w:rPr>
                    <w:t>2</w:t>
                  </w:r>
                  <w:r>
                    <w:rPr>
                      <w:rFonts w:hint="eastAsia"/>
                      <w:color w:val="000000" w:themeColor="text1"/>
                      <w:kern w:val="2"/>
                      <w:szCs w:val="21"/>
                      <w14:textFill>
                        <w14:solidFill>
                          <w14:schemeClr w14:val="tx1"/>
                        </w14:solidFill>
                      </w14:textFill>
                    </w:rPr>
                    <w:t>月1</w:t>
                  </w:r>
                  <w:r>
                    <w:rPr>
                      <w:color w:val="000000" w:themeColor="text1"/>
                      <w:kern w:val="2"/>
                      <w:szCs w:val="21"/>
                      <w14:textFill>
                        <w14:solidFill>
                          <w14:schemeClr w14:val="tx1"/>
                        </w14:solidFill>
                      </w14:textFill>
                    </w:rPr>
                    <w:t>2</w:t>
                  </w:r>
                  <w:r>
                    <w:rPr>
                      <w:rFonts w:hint="eastAsia"/>
                      <w:color w:val="000000" w:themeColor="text1"/>
                      <w:kern w:val="2"/>
                      <w:szCs w:val="21"/>
                      <w14:textFill>
                        <w14:solidFill>
                          <w14:schemeClr w14:val="tx1"/>
                        </w14:solidFill>
                      </w14:textFill>
                    </w:rPr>
                    <w:t>日</w:t>
                  </w:r>
                </w:p>
              </w:tc>
              <w:tc>
                <w:tcPr>
                  <w:tcW w:w="1892" w:type="dxa"/>
                  <w:vAlign w:val="center"/>
                </w:tcPr>
                <w:p>
                  <w:pPr>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N1</w:t>
                  </w:r>
                  <w:r>
                    <w:rPr>
                      <w:rFonts w:hint="eastAsia"/>
                      <w:color w:val="000000" w:themeColor="text1"/>
                      <w:kern w:val="2"/>
                      <w:szCs w:val="21"/>
                      <w14:textFill>
                        <w14:solidFill>
                          <w14:schemeClr w14:val="tx1"/>
                        </w14:solidFill>
                      </w14:textFill>
                    </w:rPr>
                    <w:t>项目东侧边界</w:t>
                  </w:r>
                </w:p>
              </w:tc>
              <w:tc>
                <w:tcPr>
                  <w:tcW w:w="1447"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5</w:t>
                  </w:r>
                  <w:r>
                    <w:rPr>
                      <w:color w:val="000000" w:themeColor="text1"/>
                      <w:kern w:val="2"/>
                      <w:szCs w:val="21"/>
                      <w14:textFill>
                        <w14:solidFill>
                          <w14:schemeClr w14:val="tx1"/>
                        </w14:solidFill>
                      </w14:textFill>
                    </w:rPr>
                    <w:t>6.3</w:t>
                  </w: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7</w:t>
                  </w:r>
                  <w:r>
                    <w:rPr>
                      <w:color w:val="000000" w:themeColor="text1"/>
                      <w:kern w:val="2"/>
                      <w:szCs w:val="21"/>
                      <w14:textFill>
                        <w14:solidFill>
                          <w14:schemeClr w14:val="tx1"/>
                        </w14:solidFill>
                      </w14:textFill>
                    </w:rPr>
                    <w:t>0</w:t>
                  </w: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4</w:t>
                  </w:r>
                  <w:r>
                    <w:rPr>
                      <w:color w:val="000000" w:themeColor="text1"/>
                      <w:kern w:val="2"/>
                      <w:szCs w:val="21"/>
                      <w14:textFill>
                        <w14:solidFill>
                          <w14:schemeClr w14:val="tx1"/>
                        </w14:solidFill>
                      </w14:textFill>
                    </w:rPr>
                    <w:t>5.4</w:t>
                  </w: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5</w:t>
                  </w:r>
                  <w:r>
                    <w:rPr>
                      <w:color w:val="000000" w:themeColor="text1"/>
                      <w:kern w:val="2"/>
                      <w:szCs w:val="21"/>
                      <w14:textFill>
                        <w14:solidFill>
                          <w14:schemeClr w14:val="tx1"/>
                        </w14:solidFill>
                      </w14:textFill>
                    </w:rPr>
                    <w:t>5</w:t>
                  </w:r>
                </w:p>
              </w:tc>
            </w:tr>
            <w:tr>
              <w:tblPrEx>
                <w:tblW w:w="0" w:type="auto"/>
                <w:jc w:val="center"/>
                <w:tblLayout w:type="fixed"/>
                <w:tblCellMar>
                  <w:top w:w="0" w:type="dxa"/>
                  <w:left w:w="108" w:type="dxa"/>
                  <w:bottom w:w="0" w:type="dxa"/>
                  <w:right w:w="108" w:type="dxa"/>
                </w:tblCellMar>
              </w:tblPrEx>
              <w:trPr>
                <w:trHeight w:val="340"/>
                <w:jc w:val="center"/>
              </w:trPr>
              <w:tc>
                <w:tcPr>
                  <w:tcW w:w="1002" w:type="dxa"/>
                  <w:vMerge/>
                  <w:vAlign w:val="center"/>
                </w:tcPr>
                <w:p>
                  <w:pPr>
                    <w:spacing w:line="240" w:lineRule="auto"/>
                    <w:jc w:val="center"/>
                    <w:rPr>
                      <w:color w:val="000000" w:themeColor="text1"/>
                      <w:kern w:val="2"/>
                      <w:szCs w:val="21"/>
                      <w14:textFill>
                        <w14:solidFill>
                          <w14:schemeClr w14:val="tx1"/>
                        </w14:solidFill>
                      </w14:textFill>
                    </w:rPr>
                  </w:pPr>
                </w:p>
              </w:tc>
              <w:tc>
                <w:tcPr>
                  <w:tcW w:w="1892"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N</w:t>
                  </w:r>
                  <w:r>
                    <w:rPr>
                      <w:color w:val="000000" w:themeColor="text1"/>
                      <w:kern w:val="2"/>
                      <w:szCs w:val="21"/>
                      <w14:textFill>
                        <w14:solidFill>
                          <w14:schemeClr w14:val="tx1"/>
                        </w14:solidFill>
                      </w14:textFill>
                    </w:rPr>
                    <w:t>2</w:t>
                  </w:r>
                  <w:r>
                    <w:rPr>
                      <w:rFonts w:hint="eastAsia"/>
                      <w:color w:val="000000" w:themeColor="text1"/>
                      <w:kern w:val="2"/>
                      <w:szCs w:val="21"/>
                      <w14:textFill>
                        <w14:solidFill>
                          <w14:schemeClr w14:val="tx1"/>
                        </w14:solidFill>
                      </w14:textFill>
                    </w:rPr>
                    <w:t>项目南侧边界</w:t>
                  </w:r>
                </w:p>
              </w:tc>
              <w:tc>
                <w:tcPr>
                  <w:tcW w:w="1447"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5</w:t>
                  </w:r>
                  <w:r>
                    <w:rPr>
                      <w:color w:val="000000" w:themeColor="text1"/>
                      <w:kern w:val="2"/>
                      <w:szCs w:val="21"/>
                      <w14:textFill>
                        <w14:solidFill>
                          <w14:schemeClr w14:val="tx1"/>
                        </w14:solidFill>
                      </w14:textFill>
                    </w:rPr>
                    <w:t>6.1</w:t>
                  </w:r>
                </w:p>
              </w:tc>
              <w:tc>
                <w:tcPr>
                  <w:tcW w:w="1448" w:type="dxa"/>
                  <w:vMerge w:val="restart"/>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6</w:t>
                  </w:r>
                  <w:r>
                    <w:rPr>
                      <w:color w:val="000000" w:themeColor="text1"/>
                      <w:kern w:val="2"/>
                      <w:szCs w:val="21"/>
                      <w14:textFill>
                        <w14:solidFill>
                          <w14:schemeClr w14:val="tx1"/>
                        </w14:solidFill>
                      </w14:textFill>
                    </w:rPr>
                    <w:t>0</w:t>
                  </w: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4</w:t>
                  </w:r>
                  <w:r>
                    <w:rPr>
                      <w:color w:val="000000" w:themeColor="text1"/>
                      <w:kern w:val="2"/>
                      <w:szCs w:val="21"/>
                      <w14:textFill>
                        <w14:solidFill>
                          <w14:schemeClr w14:val="tx1"/>
                        </w14:solidFill>
                      </w14:textFill>
                    </w:rPr>
                    <w:t>4.9</w:t>
                  </w:r>
                </w:p>
              </w:tc>
              <w:tc>
                <w:tcPr>
                  <w:tcW w:w="1448" w:type="dxa"/>
                  <w:vMerge w:val="restart"/>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5</w:t>
                  </w:r>
                  <w:r>
                    <w:rPr>
                      <w:color w:val="000000" w:themeColor="text1"/>
                      <w:kern w:val="2"/>
                      <w:szCs w:val="21"/>
                      <w14:textFill>
                        <w14:solidFill>
                          <w14:schemeClr w14:val="tx1"/>
                        </w14:solidFill>
                      </w14:textFill>
                    </w:rPr>
                    <w:t>0</w:t>
                  </w:r>
                </w:p>
              </w:tc>
            </w:tr>
            <w:tr>
              <w:tblPrEx>
                <w:tblW w:w="0" w:type="auto"/>
                <w:jc w:val="center"/>
                <w:tblLayout w:type="fixed"/>
                <w:tblCellMar>
                  <w:top w:w="0" w:type="dxa"/>
                  <w:left w:w="108" w:type="dxa"/>
                  <w:bottom w:w="0" w:type="dxa"/>
                  <w:right w:w="108" w:type="dxa"/>
                </w:tblCellMar>
              </w:tblPrEx>
              <w:trPr>
                <w:trHeight w:val="340"/>
                <w:jc w:val="center"/>
              </w:trPr>
              <w:tc>
                <w:tcPr>
                  <w:tcW w:w="1002" w:type="dxa"/>
                  <w:vMerge/>
                  <w:vAlign w:val="center"/>
                </w:tcPr>
                <w:p>
                  <w:pPr>
                    <w:spacing w:line="240" w:lineRule="auto"/>
                    <w:jc w:val="center"/>
                    <w:rPr>
                      <w:color w:val="000000" w:themeColor="text1"/>
                      <w:kern w:val="2"/>
                      <w:szCs w:val="21"/>
                      <w14:textFill>
                        <w14:solidFill>
                          <w14:schemeClr w14:val="tx1"/>
                        </w14:solidFill>
                      </w14:textFill>
                    </w:rPr>
                  </w:pPr>
                </w:p>
              </w:tc>
              <w:tc>
                <w:tcPr>
                  <w:tcW w:w="1892"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N</w:t>
                  </w:r>
                  <w:r>
                    <w:rPr>
                      <w:color w:val="000000" w:themeColor="text1"/>
                      <w:kern w:val="2"/>
                      <w:szCs w:val="21"/>
                      <w14:textFill>
                        <w14:solidFill>
                          <w14:schemeClr w14:val="tx1"/>
                        </w14:solidFill>
                      </w14:textFill>
                    </w:rPr>
                    <w:t>3</w:t>
                  </w:r>
                  <w:r>
                    <w:rPr>
                      <w:rFonts w:hint="eastAsia"/>
                      <w:color w:val="000000" w:themeColor="text1"/>
                      <w:kern w:val="2"/>
                      <w:szCs w:val="21"/>
                      <w14:textFill>
                        <w14:solidFill>
                          <w14:schemeClr w14:val="tx1"/>
                        </w14:solidFill>
                      </w14:textFill>
                    </w:rPr>
                    <w:t>项目西侧边界</w:t>
                  </w:r>
                </w:p>
              </w:tc>
              <w:tc>
                <w:tcPr>
                  <w:tcW w:w="1447"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5</w:t>
                  </w:r>
                  <w:r>
                    <w:rPr>
                      <w:color w:val="000000" w:themeColor="text1"/>
                      <w:kern w:val="2"/>
                      <w:szCs w:val="21"/>
                      <w14:textFill>
                        <w14:solidFill>
                          <w14:schemeClr w14:val="tx1"/>
                        </w14:solidFill>
                      </w14:textFill>
                    </w:rPr>
                    <w:t>5.1</w:t>
                  </w:r>
                </w:p>
              </w:tc>
              <w:tc>
                <w:tcPr>
                  <w:tcW w:w="1448" w:type="dxa"/>
                  <w:vMerge/>
                  <w:vAlign w:val="center"/>
                </w:tcPr>
                <w:p>
                  <w:pPr>
                    <w:spacing w:line="240" w:lineRule="auto"/>
                    <w:jc w:val="center"/>
                    <w:rPr>
                      <w:color w:val="000000" w:themeColor="text1"/>
                      <w:kern w:val="2"/>
                      <w:szCs w:val="21"/>
                      <w14:textFill>
                        <w14:solidFill>
                          <w14:schemeClr w14:val="tx1"/>
                        </w14:solidFill>
                      </w14:textFill>
                    </w:rPr>
                  </w:pP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4</w:t>
                  </w:r>
                  <w:r>
                    <w:rPr>
                      <w:color w:val="000000" w:themeColor="text1"/>
                      <w:kern w:val="2"/>
                      <w:szCs w:val="21"/>
                      <w14:textFill>
                        <w14:solidFill>
                          <w14:schemeClr w14:val="tx1"/>
                        </w14:solidFill>
                      </w14:textFill>
                    </w:rPr>
                    <w:t>5.1</w:t>
                  </w:r>
                </w:p>
              </w:tc>
              <w:tc>
                <w:tcPr>
                  <w:tcW w:w="1448" w:type="dxa"/>
                  <w:vMerge/>
                  <w:vAlign w:val="center"/>
                </w:tcPr>
                <w:p>
                  <w:pPr>
                    <w:spacing w:line="240" w:lineRule="auto"/>
                    <w:jc w:val="center"/>
                    <w:rPr>
                      <w:color w:val="000000" w:themeColor="text1"/>
                      <w:kern w:val="2"/>
                      <w:szCs w:val="21"/>
                      <w14:textFill>
                        <w14:solidFill>
                          <w14:schemeClr w14:val="tx1"/>
                        </w14:solidFill>
                      </w14:textFill>
                    </w:rPr>
                  </w:pPr>
                </w:p>
              </w:tc>
            </w:tr>
            <w:tr>
              <w:tblPrEx>
                <w:tblW w:w="0" w:type="auto"/>
                <w:jc w:val="center"/>
                <w:tblLayout w:type="fixed"/>
                <w:tblCellMar>
                  <w:top w:w="0" w:type="dxa"/>
                  <w:left w:w="108" w:type="dxa"/>
                  <w:bottom w:w="0" w:type="dxa"/>
                  <w:right w:w="108" w:type="dxa"/>
                </w:tblCellMar>
              </w:tblPrEx>
              <w:trPr>
                <w:trHeight w:val="340"/>
                <w:jc w:val="center"/>
              </w:trPr>
              <w:tc>
                <w:tcPr>
                  <w:tcW w:w="1002" w:type="dxa"/>
                  <w:vMerge/>
                  <w:vAlign w:val="center"/>
                </w:tcPr>
                <w:p>
                  <w:pPr>
                    <w:spacing w:line="240" w:lineRule="auto"/>
                    <w:jc w:val="center"/>
                    <w:rPr>
                      <w:color w:val="000000" w:themeColor="text1"/>
                      <w:kern w:val="2"/>
                      <w:szCs w:val="21"/>
                      <w14:textFill>
                        <w14:solidFill>
                          <w14:schemeClr w14:val="tx1"/>
                        </w14:solidFill>
                      </w14:textFill>
                    </w:rPr>
                  </w:pPr>
                </w:p>
              </w:tc>
              <w:tc>
                <w:tcPr>
                  <w:tcW w:w="1892"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N</w:t>
                  </w:r>
                  <w:r>
                    <w:rPr>
                      <w:color w:val="000000" w:themeColor="text1"/>
                      <w:kern w:val="2"/>
                      <w:szCs w:val="21"/>
                      <w14:textFill>
                        <w14:solidFill>
                          <w14:schemeClr w14:val="tx1"/>
                        </w14:solidFill>
                      </w14:textFill>
                    </w:rPr>
                    <w:t>4</w:t>
                  </w:r>
                  <w:r>
                    <w:rPr>
                      <w:rFonts w:hint="eastAsia"/>
                      <w:color w:val="000000" w:themeColor="text1"/>
                      <w:kern w:val="2"/>
                      <w:szCs w:val="21"/>
                      <w14:textFill>
                        <w14:solidFill>
                          <w14:schemeClr w14:val="tx1"/>
                        </w14:solidFill>
                      </w14:textFill>
                    </w:rPr>
                    <w:t>项目北侧边界</w:t>
                  </w:r>
                </w:p>
              </w:tc>
              <w:tc>
                <w:tcPr>
                  <w:tcW w:w="1447"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5</w:t>
                  </w:r>
                  <w:r>
                    <w:rPr>
                      <w:color w:val="000000" w:themeColor="text1"/>
                      <w:kern w:val="2"/>
                      <w:szCs w:val="21"/>
                      <w14:textFill>
                        <w14:solidFill>
                          <w14:schemeClr w14:val="tx1"/>
                        </w14:solidFill>
                      </w14:textFill>
                    </w:rPr>
                    <w:t>4.9</w:t>
                  </w:r>
                </w:p>
              </w:tc>
              <w:tc>
                <w:tcPr>
                  <w:tcW w:w="1448" w:type="dxa"/>
                  <w:vMerge/>
                  <w:vAlign w:val="center"/>
                </w:tcPr>
                <w:p>
                  <w:pPr>
                    <w:spacing w:line="240" w:lineRule="auto"/>
                    <w:jc w:val="center"/>
                    <w:rPr>
                      <w:color w:val="000000" w:themeColor="text1"/>
                      <w:kern w:val="2"/>
                      <w:szCs w:val="21"/>
                      <w14:textFill>
                        <w14:solidFill>
                          <w14:schemeClr w14:val="tx1"/>
                        </w14:solidFill>
                      </w14:textFill>
                    </w:rPr>
                  </w:pPr>
                </w:p>
              </w:tc>
              <w:tc>
                <w:tcPr>
                  <w:tcW w:w="1448"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4</w:t>
                  </w:r>
                  <w:r>
                    <w:rPr>
                      <w:color w:val="000000" w:themeColor="text1"/>
                      <w:kern w:val="2"/>
                      <w:szCs w:val="21"/>
                      <w14:textFill>
                        <w14:solidFill>
                          <w14:schemeClr w14:val="tx1"/>
                        </w14:solidFill>
                      </w14:textFill>
                    </w:rPr>
                    <w:t>5.5</w:t>
                  </w:r>
                </w:p>
              </w:tc>
              <w:tc>
                <w:tcPr>
                  <w:tcW w:w="1448" w:type="dxa"/>
                  <w:vMerge/>
                  <w:vAlign w:val="center"/>
                </w:tcPr>
                <w:p>
                  <w:pPr>
                    <w:spacing w:line="240" w:lineRule="auto"/>
                    <w:jc w:val="center"/>
                    <w:rPr>
                      <w:color w:val="000000" w:themeColor="text1"/>
                      <w:kern w:val="2"/>
                      <w:szCs w:val="21"/>
                      <w14:textFill>
                        <w14:solidFill>
                          <w14:schemeClr w14:val="tx1"/>
                        </w14:solidFill>
                      </w14:textFill>
                    </w:rPr>
                  </w:pPr>
                </w:p>
              </w:tc>
            </w:tr>
          </w:tbl>
          <w:p>
            <w:pPr>
              <w:spacing w:line="360" w:lineRule="auto"/>
              <w:ind w:firstLine="480" w:firstLineChars="200"/>
              <w:rPr>
                <w:snapToGrid w:val="0"/>
                <w:color w:val="000000" w:themeColor="text1"/>
                <w:kern w:val="2"/>
                <w:sz w:val="24"/>
                <w:szCs w:val="22"/>
                <w14:textFill>
                  <w14:solidFill>
                    <w14:schemeClr w14:val="tx1"/>
                  </w14:solidFill>
                </w14:textFill>
              </w:rPr>
            </w:pPr>
            <w:r>
              <w:rPr>
                <w:rFonts w:hint="eastAsia"/>
                <w:color w:val="000000" w:themeColor="text1"/>
                <w:kern w:val="2"/>
                <w:sz w:val="24"/>
                <w:szCs w:val="22"/>
                <w14:textFill>
                  <w14:solidFill>
                    <w14:schemeClr w14:val="tx1"/>
                  </w14:solidFill>
                </w14:textFill>
              </w:rPr>
              <w:t>由上表可知项目厂界四周</w:t>
            </w:r>
            <w:r>
              <w:rPr>
                <w:color w:val="000000" w:themeColor="text1"/>
                <w:kern w:val="2"/>
                <w:sz w:val="24"/>
                <w:szCs w:val="22"/>
                <w14:textFill>
                  <w14:solidFill>
                    <w14:schemeClr w14:val="tx1"/>
                  </w14:solidFill>
                </w14:textFill>
              </w:rPr>
              <w:t>均能满足《声环境质量标准》(GB3096-2008)中的2类</w:t>
            </w:r>
            <w:r>
              <w:rPr>
                <w:rFonts w:hint="eastAsia"/>
                <w:color w:val="000000" w:themeColor="text1"/>
                <w:kern w:val="2"/>
                <w:sz w:val="24"/>
                <w:szCs w:val="22"/>
                <w14:textFill>
                  <w14:solidFill>
                    <w14:schemeClr w14:val="tx1"/>
                  </w14:solidFill>
                </w14:textFill>
              </w:rPr>
              <w:t>、4</w:t>
            </w:r>
            <w:r>
              <w:rPr>
                <w:color w:val="000000" w:themeColor="text1"/>
                <w:kern w:val="2"/>
                <w:sz w:val="24"/>
                <w:szCs w:val="22"/>
                <w14:textFill>
                  <w14:solidFill>
                    <w14:schemeClr w14:val="tx1"/>
                  </w14:solidFill>
                </w14:textFill>
              </w:rPr>
              <w:t>a标准要求</w:t>
            </w:r>
            <w:r>
              <w:rPr>
                <w:snapToGrid w:val="0"/>
                <w:color w:val="000000" w:themeColor="text1"/>
                <w:kern w:val="2"/>
                <w:sz w:val="24"/>
                <w:szCs w:val="22"/>
                <w14:textFill>
                  <w14:solidFill>
                    <w14:schemeClr w14:val="tx1"/>
                  </w14:solidFill>
                </w14:textFill>
              </w:rPr>
              <w:t>。</w:t>
            </w:r>
          </w:p>
          <w:p>
            <w:pPr>
              <w:spacing w:line="360" w:lineRule="auto"/>
              <w:ind w:firstLine="480" w:firstLineChars="200"/>
              <w:rPr>
                <w:rFonts w:hAnsi="宋体"/>
                <w:b/>
                <w:snapToGrid w:val="0"/>
                <w:kern w:val="2"/>
                <w:sz w:val="24"/>
                <w:szCs w:val="22"/>
              </w:rPr>
            </w:pPr>
            <w:r>
              <w:rPr>
                <w:rFonts w:hAnsi="宋体" w:hint="eastAsia"/>
                <w:b/>
                <w:snapToGrid w:val="0"/>
                <w:kern w:val="2"/>
                <w:sz w:val="24"/>
                <w:szCs w:val="22"/>
              </w:rPr>
              <w:t>四、生态环境</w:t>
            </w:r>
          </w:p>
          <w:p>
            <w:pPr>
              <w:spacing w:line="360" w:lineRule="auto"/>
              <w:ind w:firstLine="480" w:firstLineChars="200"/>
              <w:rPr>
                <w:rFonts w:ascii="宋体" w:hAnsi="宋体"/>
                <w:b/>
                <w:bCs/>
                <w:kern w:val="2"/>
                <w:sz w:val="24"/>
                <w:szCs w:val="22"/>
              </w:rPr>
            </w:pPr>
            <w:r>
              <w:rPr>
                <w:rFonts w:hint="eastAsia"/>
                <w:snapToGrid w:val="0"/>
                <w:kern w:val="2"/>
                <w:sz w:val="24"/>
                <w:szCs w:val="22"/>
              </w:rPr>
              <w:t>项目在原有厂区建设，无需新征用地</w:t>
            </w:r>
            <w:r>
              <w:rPr>
                <w:rFonts w:ascii="宋体" w:hAnsi="宋体"/>
                <w:spacing w:val="4"/>
                <w:kern w:val="2"/>
                <w:sz w:val="24"/>
                <w:szCs w:val="22"/>
              </w:rPr>
              <w:t>。因此，项目所在地生态环境质量现状一般，生态系统敏感程度低。</w:t>
            </w:r>
          </w:p>
          <w:p>
            <w:pPr>
              <w:spacing w:line="360" w:lineRule="auto"/>
              <w:ind w:firstLine="480" w:firstLineChars="200"/>
              <w:rPr>
                <w:kern w:val="2"/>
                <w:sz w:val="24"/>
                <w:szCs w:val="22"/>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color w:val="auto"/>
                <w:kern w:val="2"/>
              </w:rPr>
            </w:pPr>
          </w:p>
        </w:tc>
      </w:tr>
    </w:tbl>
    <w:p>
      <w:pPr>
        <w:sectPr>
          <w:footerReference w:type="even" r:id="rId98"/>
          <w:footerReference w:type="default" r:id="rId99"/>
          <w:footerReference w:type="first" r:id="rId100"/>
          <w:type w:val="nextPage"/>
          <w:pgSz w:w="11907" w:h="16840"/>
          <w:pgMar w:top="1418" w:right="1418" w:bottom="1418" w:left="1418" w:header="851" w:footer="680" w:gutter="113"/>
          <w:pgNumType w:start="26"/>
          <w:cols w:num="1" w:space="720"/>
          <w:titlePg w:val="0"/>
          <w:docGrid w:linePitch="286" w:charSpace="0"/>
        </w:sectPr>
      </w:pPr>
    </w:p>
    <w:tbl>
      <w:tblPr>
        <w:tblStyle w:val="TableNormal"/>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916"/>
      </w:tblGrid>
      <w:tr>
        <w:tblPrEx>
          <w:tblW w:w="8916" w:type="dxa"/>
          <w:jc w:val="center"/>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7370"/>
          <w:jc w:val="center"/>
        </w:trPr>
        <w:tc>
          <w:tcPr>
            <w:tcW w:w="8916" w:type="dxa"/>
          </w:tcPr>
          <w:p>
            <w:pPr>
              <w:spacing w:before="120" w:beforeLines="50" w:line="360" w:lineRule="auto"/>
              <w:rPr>
                <w:b/>
                <w:kern w:val="21"/>
                <w:sz w:val="28"/>
                <w:szCs w:val="22"/>
              </w:rPr>
            </w:pPr>
            <w:r>
              <w:rPr>
                <w:b/>
                <w:kern w:val="21"/>
                <w:sz w:val="28"/>
                <w:szCs w:val="22"/>
              </w:rPr>
              <w:t>主要环境保护目标（列出名单及保护级别）：</w:t>
            </w:r>
          </w:p>
          <w:p>
            <w:pPr>
              <w:spacing w:line="360" w:lineRule="auto"/>
              <w:ind w:firstLine="480" w:firstLineChars="200"/>
              <w:rPr>
                <w:b/>
                <w:kern w:val="2"/>
                <w:sz w:val="24"/>
                <w:szCs w:val="22"/>
              </w:rPr>
            </w:pPr>
            <w:r>
              <w:rPr>
                <w:rFonts w:hint="eastAsia"/>
                <w:b/>
                <w:kern w:val="2"/>
                <w:sz w:val="24"/>
                <w:szCs w:val="22"/>
              </w:rPr>
              <w:t>1、主要环境保护目标</w:t>
            </w:r>
          </w:p>
          <w:p>
            <w:pPr>
              <w:adjustRightInd/>
              <w:spacing w:line="360" w:lineRule="auto"/>
              <w:ind w:firstLine="480" w:firstLineChars="200"/>
              <w:rPr>
                <w:rStyle w:val="Char5"/>
                <w:kern w:val="2"/>
                <w:szCs w:val="22"/>
                <w:highlight w:val="yellow"/>
              </w:rPr>
            </w:pPr>
            <w:r>
              <w:rPr>
                <w:kern w:val="2"/>
                <w:sz w:val="24"/>
                <w:szCs w:val="24"/>
              </w:rPr>
              <w:t>本项目位于</w:t>
            </w:r>
            <w:r>
              <w:rPr>
                <w:rFonts w:cs="宋体" w:hint="eastAsia"/>
                <w:snapToGrid w:val="0"/>
                <w:spacing w:val="10"/>
                <w:kern w:val="2"/>
                <w:sz w:val="24"/>
                <w:szCs w:val="24"/>
              </w:rPr>
              <w:t>江西省抚州市</w:t>
            </w:r>
            <w:r>
              <w:rPr>
                <w:rFonts w:cs="宋体" w:hint="eastAsia"/>
                <w:kern w:val="21"/>
                <w:sz w:val="24"/>
                <w:szCs w:val="24"/>
              </w:rPr>
              <w:t>高新技术产业开发区抚州公用水务有限公司汝水大道6</w:t>
            </w:r>
            <w:r>
              <w:rPr>
                <w:rFonts w:cs="宋体"/>
                <w:kern w:val="21"/>
                <w:sz w:val="24"/>
                <w:szCs w:val="24"/>
              </w:rPr>
              <w:t>909</w:t>
            </w:r>
            <w:r>
              <w:rPr>
                <w:rFonts w:cs="宋体" w:hint="eastAsia"/>
                <w:kern w:val="21"/>
                <w:sz w:val="24"/>
                <w:szCs w:val="24"/>
              </w:rPr>
              <w:t>号</w:t>
            </w:r>
            <w:r>
              <w:rPr>
                <w:snapToGrid w:val="0"/>
                <w:spacing w:val="10"/>
                <w:kern w:val="2"/>
                <w:sz w:val="24"/>
                <w:szCs w:val="24"/>
              </w:rPr>
              <w:t>，</w:t>
            </w:r>
            <w:r>
              <w:rPr>
                <w:rStyle w:val="Char5"/>
                <w:rFonts w:hint="eastAsia"/>
                <w:kern w:val="2"/>
                <w:szCs w:val="24"/>
              </w:rPr>
              <w:t>本项目主要环</w:t>
            </w:r>
            <w:r>
              <w:rPr>
                <w:rStyle w:val="Char5"/>
                <w:rFonts w:hint="eastAsia"/>
                <w:kern w:val="2"/>
                <w:szCs w:val="22"/>
              </w:rPr>
              <w:t>境保护目标详见表</w:t>
            </w:r>
            <w:r>
              <w:rPr>
                <w:rStyle w:val="Char5"/>
                <w:kern w:val="2"/>
                <w:szCs w:val="22"/>
              </w:rPr>
              <w:t>11</w:t>
            </w:r>
            <w:r>
              <w:rPr>
                <w:rStyle w:val="Char5"/>
                <w:rFonts w:hint="eastAsia"/>
                <w:kern w:val="2"/>
                <w:szCs w:val="22"/>
              </w:rPr>
              <w:t>。</w:t>
            </w:r>
          </w:p>
          <w:p>
            <w:pPr>
              <w:adjustRightInd/>
              <w:spacing w:line="240" w:lineRule="auto"/>
              <w:jc w:val="center"/>
              <w:rPr>
                <w:b/>
                <w:bCs/>
                <w:kern w:val="2"/>
                <w:szCs w:val="21"/>
              </w:rPr>
            </w:pPr>
            <w:r>
              <w:rPr>
                <w:b/>
                <w:bCs/>
                <w:kern w:val="2"/>
                <w:szCs w:val="21"/>
              </w:rPr>
              <w:t>表11  环境保护目标一览表</w:t>
            </w:r>
          </w:p>
          <w:tbl>
            <w:tblPr>
              <w:tblStyle w:val="TableNormal"/>
              <w:tblW w:w="89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7"/>
              <w:gridCol w:w="1280"/>
              <w:gridCol w:w="708"/>
              <w:gridCol w:w="709"/>
              <w:gridCol w:w="851"/>
              <w:gridCol w:w="1138"/>
              <w:gridCol w:w="1259"/>
              <w:gridCol w:w="993"/>
              <w:gridCol w:w="1173"/>
            </w:tblGrid>
            <w:tr>
              <w:tblPrEx>
                <w:tblW w:w="89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6"/>
                <w:jc w:val="center"/>
              </w:trPr>
              <w:tc>
                <w:tcPr>
                  <w:tcW w:w="847" w:type="dxa"/>
                  <w:vMerge w:val="restart"/>
                  <w:vAlign w:val="center"/>
                </w:tcPr>
                <w:p>
                  <w:pPr>
                    <w:jc w:val="center"/>
                    <w:rPr>
                      <w:rFonts w:cs="宋体"/>
                      <w:b/>
                      <w:kern w:val="18"/>
                      <w:szCs w:val="21"/>
                    </w:rPr>
                  </w:pPr>
                  <w:r>
                    <w:rPr>
                      <w:rFonts w:cs="宋体" w:hint="eastAsia"/>
                      <w:b/>
                      <w:kern w:val="18"/>
                      <w:szCs w:val="21"/>
                    </w:rPr>
                    <w:t>环境要素</w:t>
                  </w:r>
                </w:p>
              </w:tc>
              <w:tc>
                <w:tcPr>
                  <w:tcW w:w="1280" w:type="dxa"/>
                  <w:vMerge w:val="restart"/>
                  <w:vAlign w:val="center"/>
                </w:tcPr>
                <w:p>
                  <w:pPr>
                    <w:jc w:val="center"/>
                    <w:rPr>
                      <w:rFonts w:cs="宋体"/>
                      <w:b/>
                      <w:kern w:val="18"/>
                      <w:szCs w:val="21"/>
                    </w:rPr>
                  </w:pPr>
                  <w:r>
                    <w:rPr>
                      <w:rFonts w:cs="宋体" w:hint="eastAsia"/>
                      <w:b/>
                      <w:kern w:val="18"/>
                      <w:szCs w:val="21"/>
                    </w:rPr>
                    <w:t>名称</w:t>
                  </w:r>
                </w:p>
              </w:tc>
              <w:tc>
                <w:tcPr>
                  <w:tcW w:w="1417" w:type="dxa"/>
                  <w:gridSpan w:val="2"/>
                  <w:vAlign w:val="center"/>
                </w:tcPr>
                <w:p>
                  <w:pPr>
                    <w:jc w:val="center"/>
                    <w:rPr>
                      <w:rFonts w:cs="宋体"/>
                      <w:b/>
                      <w:kern w:val="18"/>
                      <w:szCs w:val="21"/>
                    </w:rPr>
                  </w:pPr>
                  <w:r>
                    <w:rPr>
                      <w:rFonts w:cs="宋体" w:hint="eastAsia"/>
                      <w:b/>
                      <w:kern w:val="18"/>
                      <w:szCs w:val="21"/>
                    </w:rPr>
                    <w:t>坐标</w:t>
                  </w:r>
                </w:p>
              </w:tc>
              <w:tc>
                <w:tcPr>
                  <w:tcW w:w="851" w:type="dxa"/>
                  <w:vMerge w:val="restart"/>
                  <w:vAlign w:val="center"/>
                </w:tcPr>
                <w:p>
                  <w:pPr>
                    <w:jc w:val="center"/>
                    <w:rPr>
                      <w:rFonts w:cs="宋体"/>
                      <w:b/>
                      <w:kern w:val="18"/>
                      <w:szCs w:val="21"/>
                    </w:rPr>
                  </w:pPr>
                  <w:r>
                    <w:rPr>
                      <w:rFonts w:cs="宋体" w:hint="eastAsia"/>
                      <w:b/>
                      <w:kern w:val="18"/>
                      <w:szCs w:val="21"/>
                    </w:rPr>
                    <w:t>保护对象</w:t>
                  </w:r>
                </w:p>
              </w:tc>
              <w:tc>
                <w:tcPr>
                  <w:tcW w:w="1138" w:type="dxa"/>
                  <w:vMerge w:val="restart"/>
                  <w:vAlign w:val="center"/>
                </w:tcPr>
                <w:p>
                  <w:pPr>
                    <w:jc w:val="center"/>
                    <w:rPr>
                      <w:rFonts w:cs="宋体"/>
                      <w:b/>
                      <w:kern w:val="18"/>
                      <w:szCs w:val="21"/>
                    </w:rPr>
                  </w:pPr>
                  <w:r>
                    <w:rPr>
                      <w:rFonts w:cs="宋体" w:hint="eastAsia"/>
                      <w:b/>
                      <w:kern w:val="18"/>
                      <w:szCs w:val="21"/>
                    </w:rPr>
                    <w:t>保护内容</w:t>
                  </w:r>
                </w:p>
              </w:tc>
              <w:tc>
                <w:tcPr>
                  <w:tcW w:w="1259" w:type="dxa"/>
                  <w:vMerge w:val="restart"/>
                  <w:vAlign w:val="center"/>
                </w:tcPr>
                <w:p>
                  <w:pPr>
                    <w:jc w:val="center"/>
                    <w:rPr>
                      <w:rFonts w:cs="宋体"/>
                      <w:b/>
                      <w:kern w:val="18"/>
                      <w:szCs w:val="21"/>
                    </w:rPr>
                  </w:pPr>
                  <w:r>
                    <w:rPr>
                      <w:rFonts w:cs="宋体" w:hint="eastAsia"/>
                      <w:b/>
                      <w:kern w:val="18"/>
                      <w:szCs w:val="21"/>
                    </w:rPr>
                    <w:t>环境功能区</w:t>
                  </w:r>
                </w:p>
              </w:tc>
              <w:tc>
                <w:tcPr>
                  <w:tcW w:w="993" w:type="dxa"/>
                  <w:vMerge w:val="restart"/>
                  <w:vAlign w:val="center"/>
                </w:tcPr>
                <w:p>
                  <w:pPr>
                    <w:jc w:val="center"/>
                    <w:rPr>
                      <w:rFonts w:cs="宋体"/>
                      <w:b/>
                      <w:kern w:val="18"/>
                      <w:szCs w:val="21"/>
                    </w:rPr>
                  </w:pPr>
                  <w:r>
                    <w:rPr>
                      <w:rFonts w:cs="宋体" w:hint="eastAsia"/>
                      <w:b/>
                      <w:kern w:val="18"/>
                      <w:szCs w:val="21"/>
                    </w:rPr>
                    <w:t>相对厂址方位</w:t>
                  </w:r>
                </w:p>
              </w:tc>
              <w:tc>
                <w:tcPr>
                  <w:tcW w:w="1173" w:type="dxa"/>
                  <w:vMerge w:val="restart"/>
                  <w:vAlign w:val="center"/>
                </w:tcPr>
                <w:p>
                  <w:pPr>
                    <w:jc w:val="center"/>
                    <w:rPr>
                      <w:rFonts w:cs="宋体"/>
                      <w:b/>
                      <w:kern w:val="18"/>
                      <w:szCs w:val="21"/>
                    </w:rPr>
                  </w:pPr>
                  <w:r>
                    <w:rPr>
                      <w:rFonts w:cs="宋体" w:hint="eastAsia"/>
                      <w:b/>
                      <w:kern w:val="18"/>
                      <w:szCs w:val="21"/>
                    </w:rPr>
                    <w:t>相对厂址距离（m）</w:t>
                  </w:r>
                </w:p>
              </w:tc>
            </w:tr>
            <w:tr>
              <w:tblPrEx>
                <w:tblW w:w="8958" w:type="dxa"/>
                <w:jc w:val="center"/>
                <w:tblLayout w:type="fixed"/>
                <w:tblCellMar>
                  <w:top w:w="0" w:type="dxa"/>
                  <w:left w:w="108" w:type="dxa"/>
                  <w:bottom w:w="0" w:type="dxa"/>
                  <w:right w:w="108" w:type="dxa"/>
                </w:tblCellMar>
              </w:tblPrEx>
              <w:trPr>
                <w:trHeight w:val="242"/>
                <w:jc w:val="center"/>
              </w:trPr>
              <w:tc>
                <w:tcPr>
                  <w:tcW w:w="847" w:type="dxa"/>
                  <w:vMerge/>
                  <w:vAlign w:val="center"/>
                </w:tcPr>
                <w:p>
                  <w:pPr>
                    <w:jc w:val="center"/>
                    <w:rPr>
                      <w:rFonts w:cs="宋体"/>
                      <w:b/>
                      <w:kern w:val="18"/>
                      <w:szCs w:val="21"/>
                    </w:rPr>
                  </w:pPr>
                </w:p>
              </w:tc>
              <w:tc>
                <w:tcPr>
                  <w:tcW w:w="1280" w:type="dxa"/>
                  <w:vMerge/>
                  <w:vAlign w:val="center"/>
                </w:tcPr>
                <w:p>
                  <w:pPr>
                    <w:jc w:val="center"/>
                    <w:rPr>
                      <w:rFonts w:cs="宋体"/>
                      <w:b/>
                      <w:kern w:val="18"/>
                      <w:szCs w:val="21"/>
                    </w:rPr>
                  </w:pPr>
                </w:p>
              </w:tc>
              <w:tc>
                <w:tcPr>
                  <w:tcW w:w="708" w:type="dxa"/>
                  <w:vAlign w:val="center"/>
                </w:tcPr>
                <w:p>
                  <w:pPr>
                    <w:jc w:val="center"/>
                    <w:rPr>
                      <w:rFonts w:cs="宋体"/>
                      <w:b/>
                      <w:kern w:val="18"/>
                      <w:szCs w:val="21"/>
                    </w:rPr>
                  </w:pPr>
                  <w:r>
                    <w:rPr>
                      <w:rFonts w:cs="宋体" w:hint="eastAsia"/>
                      <w:b/>
                      <w:kern w:val="18"/>
                      <w:szCs w:val="21"/>
                    </w:rPr>
                    <w:t>X</w:t>
                  </w:r>
                </w:p>
              </w:tc>
              <w:tc>
                <w:tcPr>
                  <w:tcW w:w="709" w:type="dxa"/>
                  <w:vAlign w:val="center"/>
                </w:tcPr>
                <w:p>
                  <w:pPr>
                    <w:jc w:val="center"/>
                    <w:rPr>
                      <w:rFonts w:cs="宋体"/>
                      <w:b/>
                      <w:kern w:val="18"/>
                      <w:szCs w:val="21"/>
                    </w:rPr>
                  </w:pPr>
                  <w:r>
                    <w:rPr>
                      <w:rFonts w:cs="宋体" w:hint="eastAsia"/>
                      <w:b/>
                      <w:kern w:val="18"/>
                      <w:szCs w:val="21"/>
                    </w:rPr>
                    <w:t>Y</w:t>
                  </w:r>
                </w:p>
              </w:tc>
              <w:tc>
                <w:tcPr>
                  <w:tcW w:w="851" w:type="dxa"/>
                  <w:vMerge/>
                  <w:vAlign w:val="center"/>
                </w:tcPr>
                <w:p>
                  <w:pPr>
                    <w:jc w:val="center"/>
                    <w:rPr>
                      <w:rFonts w:cs="宋体"/>
                      <w:b/>
                      <w:kern w:val="18"/>
                      <w:szCs w:val="21"/>
                    </w:rPr>
                  </w:pPr>
                </w:p>
              </w:tc>
              <w:tc>
                <w:tcPr>
                  <w:tcW w:w="1138" w:type="dxa"/>
                  <w:vMerge/>
                  <w:vAlign w:val="center"/>
                </w:tcPr>
                <w:p>
                  <w:pPr>
                    <w:jc w:val="center"/>
                    <w:rPr>
                      <w:rFonts w:cs="宋体"/>
                      <w:b/>
                      <w:kern w:val="18"/>
                      <w:szCs w:val="21"/>
                    </w:rPr>
                  </w:pPr>
                </w:p>
              </w:tc>
              <w:tc>
                <w:tcPr>
                  <w:tcW w:w="1259" w:type="dxa"/>
                  <w:vMerge/>
                  <w:vAlign w:val="center"/>
                </w:tcPr>
                <w:p>
                  <w:pPr>
                    <w:jc w:val="center"/>
                    <w:rPr>
                      <w:rFonts w:cs="宋体"/>
                      <w:b/>
                      <w:kern w:val="18"/>
                      <w:szCs w:val="21"/>
                    </w:rPr>
                  </w:pPr>
                </w:p>
              </w:tc>
              <w:tc>
                <w:tcPr>
                  <w:tcW w:w="993" w:type="dxa"/>
                  <w:vMerge/>
                  <w:vAlign w:val="center"/>
                </w:tcPr>
                <w:p>
                  <w:pPr>
                    <w:jc w:val="center"/>
                    <w:rPr>
                      <w:rFonts w:cs="宋体"/>
                      <w:b/>
                      <w:kern w:val="18"/>
                      <w:szCs w:val="21"/>
                    </w:rPr>
                  </w:pPr>
                </w:p>
              </w:tc>
              <w:tc>
                <w:tcPr>
                  <w:tcW w:w="1173" w:type="dxa"/>
                  <w:vMerge/>
                  <w:vAlign w:val="center"/>
                </w:tcPr>
                <w:p>
                  <w:pPr>
                    <w:jc w:val="center"/>
                    <w:rPr>
                      <w:rFonts w:cs="宋体"/>
                      <w:b/>
                      <w:kern w:val="18"/>
                      <w:szCs w:val="21"/>
                    </w:rPr>
                  </w:pPr>
                </w:p>
              </w:tc>
            </w:tr>
            <w:tr>
              <w:tblPrEx>
                <w:tblW w:w="8958" w:type="dxa"/>
                <w:jc w:val="center"/>
                <w:tblLayout w:type="fixed"/>
                <w:tblCellMar>
                  <w:top w:w="0" w:type="dxa"/>
                  <w:left w:w="108" w:type="dxa"/>
                  <w:bottom w:w="0" w:type="dxa"/>
                  <w:right w:w="108" w:type="dxa"/>
                </w:tblCellMar>
              </w:tblPrEx>
              <w:trPr>
                <w:trHeight w:val="340"/>
                <w:jc w:val="center"/>
              </w:trPr>
              <w:tc>
                <w:tcPr>
                  <w:tcW w:w="847" w:type="dxa"/>
                  <w:vMerge w:val="restart"/>
                  <w:vAlign w:val="center"/>
                </w:tcPr>
                <w:p>
                  <w:pPr>
                    <w:jc w:val="center"/>
                    <w:rPr>
                      <w:rFonts w:cs="宋体"/>
                      <w:kern w:val="18"/>
                      <w:szCs w:val="21"/>
                    </w:rPr>
                  </w:pPr>
                  <w:r>
                    <w:rPr>
                      <w:rFonts w:cs="宋体" w:hint="eastAsia"/>
                      <w:kern w:val="18"/>
                      <w:szCs w:val="21"/>
                    </w:rPr>
                    <w:t>大气环境</w:t>
                  </w:r>
                </w:p>
              </w:tc>
              <w:tc>
                <w:tcPr>
                  <w:tcW w:w="1280" w:type="dxa"/>
                  <w:vAlign w:val="center"/>
                </w:tcPr>
                <w:p>
                  <w:pPr>
                    <w:jc w:val="center"/>
                    <w:rPr>
                      <w:rFonts w:cs="宋体"/>
                      <w:kern w:val="18"/>
                      <w:szCs w:val="21"/>
                    </w:rPr>
                  </w:pPr>
                  <w:r>
                    <w:rPr>
                      <w:rFonts w:cs="宋体" w:hint="eastAsia"/>
                      <w:kern w:val="18"/>
                      <w:szCs w:val="21"/>
                    </w:rPr>
                    <w:t>南昌大学抚州医学院</w:t>
                  </w:r>
                </w:p>
              </w:tc>
              <w:tc>
                <w:tcPr>
                  <w:tcW w:w="708" w:type="dxa"/>
                  <w:vAlign w:val="center"/>
                </w:tcPr>
                <w:p>
                  <w:pPr>
                    <w:jc w:val="center"/>
                    <w:rPr>
                      <w:rFonts w:cs="宋体"/>
                      <w:kern w:val="2"/>
                      <w:szCs w:val="21"/>
                    </w:rPr>
                  </w:pPr>
                  <w:r>
                    <w:rPr>
                      <w:rFonts w:cs="宋体" w:hint="eastAsia"/>
                      <w:kern w:val="2"/>
                      <w:szCs w:val="21"/>
                    </w:rPr>
                    <w:t>170</w:t>
                  </w:r>
                </w:p>
              </w:tc>
              <w:tc>
                <w:tcPr>
                  <w:tcW w:w="709" w:type="dxa"/>
                  <w:vAlign w:val="center"/>
                </w:tcPr>
                <w:p>
                  <w:pPr>
                    <w:jc w:val="center"/>
                    <w:rPr>
                      <w:rFonts w:cs="宋体"/>
                      <w:kern w:val="2"/>
                      <w:szCs w:val="21"/>
                    </w:rPr>
                  </w:pPr>
                  <w:r>
                    <w:rPr>
                      <w:rFonts w:cs="宋体" w:hint="eastAsia"/>
                      <w:kern w:val="2"/>
                      <w:szCs w:val="21"/>
                    </w:rPr>
                    <w:t>-150</w:t>
                  </w:r>
                </w:p>
              </w:tc>
              <w:tc>
                <w:tcPr>
                  <w:tcW w:w="851" w:type="dxa"/>
                  <w:vMerge w:val="restart"/>
                  <w:vAlign w:val="center"/>
                </w:tcPr>
                <w:p>
                  <w:pPr>
                    <w:jc w:val="center"/>
                    <w:rPr>
                      <w:rFonts w:cs="宋体"/>
                      <w:kern w:val="18"/>
                      <w:szCs w:val="21"/>
                    </w:rPr>
                  </w:pPr>
                  <w:r>
                    <w:rPr>
                      <w:rFonts w:cs="宋体" w:hint="eastAsia"/>
                      <w:kern w:val="18"/>
                      <w:szCs w:val="21"/>
                    </w:rPr>
                    <w:t>人群</w:t>
                  </w:r>
                </w:p>
              </w:tc>
              <w:tc>
                <w:tcPr>
                  <w:tcW w:w="1138" w:type="dxa"/>
                  <w:vAlign w:val="center"/>
                </w:tcPr>
                <w:p>
                  <w:pPr>
                    <w:jc w:val="center"/>
                    <w:rPr>
                      <w:rFonts w:cs="宋体"/>
                      <w:kern w:val="18"/>
                      <w:szCs w:val="21"/>
                    </w:rPr>
                  </w:pPr>
                  <w:r>
                    <w:rPr>
                      <w:rFonts w:cs="宋体" w:hint="eastAsia"/>
                      <w:kern w:val="18"/>
                      <w:szCs w:val="21"/>
                    </w:rPr>
                    <w:t>空气质量</w:t>
                  </w:r>
                </w:p>
              </w:tc>
              <w:tc>
                <w:tcPr>
                  <w:tcW w:w="1259" w:type="dxa"/>
                  <w:vMerge w:val="restart"/>
                  <w:vAlign w:val="center"/>
                </w:tcPr>
                <w:p>
                  <w:pPr>
                    <w:jc w:val="center"/>
                    <w:rPr>
                      <w:rFonts w:cs="宋体"/>
                      <w:kern w:val="18"/>
                      <w:szCs w:val="21"/>
                    </w:rPr>
                  </w:pPr>
                  <w:r>
                    <w:rPr>
                      <w:rFonts w:hAnsi="宋体"/>
                      <w:snapToGrid w:val="0"/>
                      <w:kern w:val="18"/>
                      <w:szCs w:val="21"/>
                      <w:lang w:val="en-GB"/>
                    </w:rPr>
                    <w:t>《环境空气质量标准》（</w:t>
                  </w:r>
                  <w:r>
                    <w:rPr>
                      <w:snapToGrid w:val="0"/>
                      <w:kern w:val="18"/>
                      <w:szCs w:val="21"/>
                      <w:lang w:val="en-GB"/>
                    </w:rPr>
                    <w:t>GB3095-2012</w:t>
                  </w:r>
                  <w:r>
                    <w:rPr>
                      <w:rFonts w:hAnsi="宋体"/>
                      <w:snapToGrid w:val="0"/>
                      <w:kern w:val="18"/>
                      <w:szCs w:val="21"/>
                      <w:lang w:val="en-GB"/>
                    </w:rPr>
                    <w:t>）中二级标准</w:t>
                  </w:r>
                </w:p>
              </w:tc>
              <w:tc>
                <w:tcPr>
                  <w:tcW w:w="993" w:type="dxa"/>
                  <w:vAlign w:val="center"/>
                </w:tcPr>
                <w:p>
                  <w:pPr>
                    <w:jc w:val="center"/>
                    <w:rPr>
                      <w:rFonts w:cs="宋体"/>
                      <w:kern w:val="18"/>
                      <w:szCs w:val="21"/>
                    </w:rPr>
                  </w:pPr>
                  <w:r>
                    <w:rPr>
                      <w:rFonts w:cs="宋体" w:hint="eastAsia"/>
                      <w:kern w:val="18"/>
                      <w:szCs w:val="21"/>
                    </w:rPr>
                    <w:t>南</w:t>
                  </w:r>
                </w:p>
              </w:tc>
              <w:tc>
                <w:tcPr>
                  <w:tcW w:w="1173" w:type="dxa"/>
                  <w:vAlign w:val="center"/>
                </w:tcPr>
                <w:p>
                  <w:pPr>
                    <w:jc w:val="center"/>
                    <w:rPr>
                      <w:rFonts w:cs="宋体"/>
                      <w:kern w:val="18"/>
                      <w:szCs w:val="21"/>
                    </w:rPr>
                  </w:pPr>
                  <w:r>
                    <w:rPr>
                      <w:rFonts w:cs="宋体" w:hint="eastAsia"/>
                      <w:kern w:val="18"/>
                      <w:szCs w:val="21"/>
                    </w:rPr>
                    <w:t>30</w:t>
                  </w:r>
                </w:p>
              </w:tc>
            </w:tr>
            <w:tr>
              <w:tblPrEx>
                <w:tblW w:w="8958" w:type="dxa"/>
                <w:jc w:val="center"/>
                <w:tblLayout w:type="fixed"/>
                <w:tblCellMar>
                  <w:top w:w="0" w:type="dxa"/>
                  <w:left w:w="108" w:type="dxa"/>
                  <w:bottom w:w="0" w:type="dxa"/>
                  <w:right w:w="108" w:type="dxa"/>
                </w:tblCellMar>
              </w:tblPrEx>
              <w:trPr>
                <w:trHeight w:val="340"/>
                <w:jc w:val="center"/>
              </w:trPr>
              <w:tc>
                <w:tcPr>
                  <w:tcW w:w="847" w:type="dxa"/>
                  <w:vMerge/>
                  <w:vAlign w:val="center"/>
                </w:tcPr>
                <w:p>
                  <w:pPr>
                    <w:jc w:val="center"/>
                    <w:rPr>
                      <w:rFonts w:cs="宋体"/>
                      <w:kern w:val="2"/>
                      <w:szCs w:val="21"/>
                    </w:rPr>
                  </w:pPr>
                </w:p>
              </w:tc>
              <w:tc>
                <w:tcPr>
                  <w:tcW w:w="1280" w:type="dxa"/>
                  <w:vAlign w:val="center"/>
                </w:tcPr>
                <w:p>
                  <w:pPr>
                    <w:jc w:val="center"/>
                    <w:rPr>
                      <w:rFonts w:cs="宋体"/>
                      <w:kern w:val="18"/>
                      <w:szCs w:val="21"/>
                    </w:rPr>
                  </w:pPr>
                  <w:r>
                    <w:rPr>
                      <w:rFonts w:cs="宋体" w:hint="eastAsia"/>
                      <w:kern w:val="18"/>
                      <w:szCs w:val="21"/>
                    </w:rPr>
                    <w:t>傅家</w:t>
                  </w:r>
                </w:p>
              </w:tc>
              <w:tc>
                <w:tcPr>
                  <w:tcW w:w="708" w:type="dxa"/>
                  <w:vAlign w:val="center"/>
                </w:tcPr>
                <w:p>
                  <w:pPr>
                    <w:jc w:val="center"/>
                    <w:rPr>
                      <w:rFonts w:cs="宋体"/>
                      <w:kern w:val="2"/>
                      <w:szCs w:val="21"/>
                    </w:rPr>
                  </w:pPr>
                  <w:r>
                    <w:rPr>
                      <w:rFonts w:cs="宋体" w:hint="eastAsia"/>
                      <w:kern w:val="2"/>
                      <w:szCs w:val="21"/>
                    </w:rPr>
                    <w:t>550</w:t>
                  </w:r>
                </w:p>
              </w:tc>
              <w:tc>
                <w:tcPr>
                  <w:tcW w:w="709" w:type="dxa"/>
                  <w:vAlign w:val="center"/>
                </w:tcPr>
                <w:p>
                  <w:pPr>
                    <w:jc w:val="center"/>
                    <w:rPr>
                      <w:rFonts w:cs="宋体"/>
                      <w:kern w:val="2"/>
                      <w:szCs w:val="21"/>
                    </w:rPr>
                  </w:pPr>
                  <w:r>
                    <w:rPr>
                      <w:rFonts w:cs="宋体" w:hint="eastAsia"/>
                      <w:kern w:val="2"/>
                      <w:szCs w:val="21"/>
                    </w:rPr>
                    <w:t>-50</w:t>
                  </w:r>
                </w:p>
              </w:tc>
              <w:tc>
                <w:tcPr>
                  <w:tcW w:w="851" w:type="dxa"/>
                  <w:vMerge/>
                  <w:vAlign w:val="center"/>
                </w:tcPr>
                <w:p>
                  <w:pPr>
                    <w:jc w:val="center"/>
                    <w:rPr>
                      <w:rFonts w:cs="宋体"/>
                      <w:kern w:val="18"/>
                      <w:szCs w:val="21"/>
                    </w:rPr>
                  </w:pPr>
                </w:p>
              </w:tc>
              <w:tc>
                <w:tcPr>
                  <w:tcW w:w="1138" w:type="dxa"/>
                  <w:vAlign w:val="center"/>
                </w:tcPr>
                <w:p>
                  <w:pPr>
                    <w:jc w:val="center"/>
                    <w:rPr>
                      <w:rFonts w:cs="宋体"/>
                      <w:kern w:val="18"/>
                      <w:szCs w:val="21"/>
                    </w:rPr>
                  </w:pPr>
                  <w:r>
                    <w:rPr>
                      <w:rFonts w:cs="宋体" w:hint="eastAsia"/>
                      <w:kern w:val="18"/>
                      <w:szCs w:val="21"/>
                    </w:rPr>
                    <w:t>空气质量</w:t>
                  </w:r>
                </w:p>
              </w:tc>
              <w:tc>
                <w:tcPr>
                  <w:tcW w:w="1259" w:type="dxa"/>
                  <w:vMerge/>
                  <w:vAlign w:val="center"/>
                </w:tcPr>
                <w:p>
                  <w:pPr>
                    <w:jc w:val="center"/>
                    <w:rPr>
                      <w:rFonts w:cs="宋体"/>
                      <w:kern w:val="18"/>
                      <w:szCs w:val="21"/>
                    </w:rPr>
                  </w:pPr>
                </w:p>
              </w:tc>
              <w:tc>
                <w:tcPr>
                  <w:tcW w:w="993" w:type="dxa"/>
                  <w:vAlign w:val="center"/>
                </w:tcPr>
                <w:p>
                  <w:pPr>
                    <w:jc w:val="center"/>
                    <w:rPr>
                      <w:rFonts w:cs="宋体"/>
                      <w:kern w:val="18"/>
                      <w:szCs w:val="21"/>
                    </w:rPr>
                  </w:pPr>
                  <w:r>
                    <w:rPr>
                      <w:rFonts w:cs="宋体" w:hint="eastAsia"/>
                      <w:kern w:val="18"/>
                      <w:szCs w:val="21"/>
                    </w:rPr>
                    <w:t>东南</w:t>
                  </w:r>
                </w:p>
              </w:tc>
              <w:tc>
                <w:tcPr>
                  <w:tcW w:w="1173" w:type="dxa"/>
                  <w:vAlign w:val="center"/>
                </w:tcPr>
                <w:p>
                  <w:pPr>
                    <w:jc w:val="center"/>
                    <w:rPr>
                      <w:rFonts w:cs="宋体"/>
                      <w:kern w:val="2"/>
                      <w:szCs w:val="21"/>
                    </w:rPr>
                  </w:pPr>
                  <w:r>
                    <w:rPr>
                      <w:rFonts w:cs="宋体" w:hint="eastAsia"/>
                      <w:kern w:val="2"/>
                      <w:szCs w:val="21"/>
                    </w:rPr>
                    <w:t>180</w:t>
                  </w:r>
                </w:p>
              </w:tc>
            </w:tr>
            <w:tr>
              <w:tblPrEx>
                <w:tblW w:w="8958" w:type="dxa"/>
                <w:jc w:val="center"/>
                <w:tblLayout w:type="fixed"/>
                <w:tblCellMar>
                  <w:top w:w="0" w:type="dxa"/>
                  <w:left w:w="108" w:type="dxa"/>
                  <w:bottom w:w="0" w:type="dxa"/>
                  <w:right w:w="108" w:type="dxa"/>
                </w:tblCellMar>
              </w:tblPrEx>
              <w:trPr>
                <w:trHeight w:val="332"/>
                <w:jc w:val="center"/>
              </w:trPr>
              <w:tc>
                <w:tcPr>
                  <w:tcW w:w="847" w:type="dxa"/>
                  <w:vMerge/>
                  <w:vAlign w:val="center"/>
                </w:tcPr>
                <w:p>
                  <w:pPr>
                    <w:jc w:val="center"/>
                    <w:rPr>
                      <w:rFonts w:cs="宋体"/>
                      <w:kern w:val="2"/>
                      <w:szCs w:val="21"/>
                    </w:rPr>
                  </w:pPr>
                </w:p>
              </w:tc>
              <w:tc>
                <w:tcPr>
                  <w:tcW w:w="1280" w:type="dxa"/>
                  <w:vAlign w:val="center"/>
                </w:tcPr>
                <w:p>
                  <w:pPr>
                    <w:jc w:val="center"/>
                    <w:rPr>
                      <w:rFonts w:cs="宋体"/>
                      <w:kern w:val="18"/>
                      <w:szCs w:val="21"/>
                    </w:rPr>
                  </w:pPr>
                  <w:r>
                    <w:rPr>
                      <w:rFonts w:cs="宋体" w:hint="eastAsia"/>
                      <w:kern w:val="18"/>
                      <w:szCs w:val="21"/>
                    </w:rPr>
                    <w:t>周家</w:t>
                  </w:r>
                </w:p>
              </w:tc>
              <w:tc>
                <w:tcPr>
                  <w:tcW w:w="708" w:type="dxa"/>
                  <w:vAlign w:val="center"/>
                </w:tcPr>
                <w:p>
                  <w:pPr>
                    <w:jc w:val="center"/>
                    <w:rPr>
                      <w:rFonts w:cs="宋体"/>
                      <w:kern w:val="2"/>
                      <w:szCs w:val="21"/>
                    </w:rPr>
                  </w:pPr>
                  <w:r>
                    <w:rPr>
                      <w:rFonts w:cs="宋体" w:hint="eastAsia"/>
                      <w:kern w:val="2"/>
                      <w:szCs w:val="21"/>
                    </w:rPr>
                    <w:t>-110</w:t>
                  </w:r>
                </w:p>
              </w:tc>
              <w:tc>
                <w:tcPr>
                  <w:tcW w:w="709" w:type="dxa"/>
                  <w:vAlign w:val="center"/>
                </w:tcPr>
                <w:p>
                  <w:pPr>
                    <w:jc w:val="center"/>
                    <w:rPr>
                      <w:rFonts w:cs="宋体"/>
                      <w:kern w:val="2"/>
                      <w:szCs w:val="21"/>
                    </w:rPr>
                  </w:pPr>
                  <w:r>
                    <w:rPr>
                      <w:rFonts w:cs="宋体" w:hint="eastAsia"/>
                      <w:kern w:val="2"/>
                      <w:szCs w:val="21"/>
                    </w:rPr>
                    <w:t>0</w:t>
                  </w:r>
                </w:p>
              </w:tc>
              <w:tc>
                <w:tcPr>
                  <w:tcW w:w="851" w:type="dxa"/>
                  <w:vMerge/>
                  <w:vAlign w:val="center"/>
                </w:tcPr>
                <w:p>
                  <w:pPr>
                    <w:jc w:val="center"/>
                    <w:rPr>
                      <w:rFonts w:cs="宋体"/>
                      <w:kern w:val="18"/>
                      <w:szCs w:val="21"/>
                    </w:rPr>
                  </w:pPr>
                </w:p>
              </w:tc>
              <w:tc>
                <w:tcPr>
                  <w:tcW w:w="1138" w:type="dxa"/>
                  <w:vAlign w:val="center"/>
                </w:tcPr>
                <w:p>
                  <w:pPr>
                    <w:jc w:val="center"/>
                    <w:rPr>
                      <w:rFonts w:cs="宋体"/>
                      <w:kern w:val="18"/>
                      <w:szCs w:val="21"/>
                    </w:rPr>
                  </w:pPr>
                  <w:r>
                    <w:rPr>
                      <w:rFonts w:cs="宋体" w:hint="eastAsia"/>
                      <w:kern w:val="18"/>
                      <w:szCs w:val="21"/>
                    </w:rPr>
                    <w:t>空气质量</w:t>
                  </w:r>
                </w:p>
              </w:tc>
              <w:tc>
                <w:tcPr>
                  <w:tcW w:w="1259" w:type="dxa"/>
                  <w:vMerge/>
                  <w:vAlign w:val="center"/>
                </w:tcPr>
                <w:p>
                  <w:pPr>
                    <w:jc w:val="center"/>
                    <w:rPr>
                      <w:rFonts w:cs="宋体"/>
                      <w:kern w:val="18"/>
                      <w:szCs w:val="21"/>
                    </w:rPr>
                  </w:pPr>
                </w:p>
              </w:tc>
              <w:tc>
                <w:tcPr>
                  <w:tcW w:w="993" w:type="dxa"/>
                  <w:vAlign w:val="center"/>
                </w:tcPr>
                <w:p>
                  <w:pPr>
                    <w:jc w:val="center"/>
                    <w:rPr>
                      <w:rFonts w:cs="宋体"/>
                      <w:kern w:val="18"/>
                      <w:szCs w:val="21"/>
                    </w:rPr>
                  </w:pPr>
                  <w:r>
                    <w:rPr>
                      <w:rFonts w:cs="宋体" w:hint="eastAsia"/>
                      <w:kern w:val="18"/>
                      <w:szCs w:val="21"/>
                    </w:rPr>
                    <w:t>西</w:t>
                  </w:r>
                </w:p>
              </w:tc>
              <w:tc>
                <w:tcPr>
                  <w:tcW w:w="1173" w:type="dxa"/>
                  <w:vAlign w:val="center"/>
                </w:tcPr>
                <w:p>
                  <w:pPr>
                    <w:jc w:val="center"/>
                    <w:rPr>
                      <w:rFonts w:cs="宋体"/>
                      <w:kern w:val="2"/>
                      <w:szCs w:val="21"/>
                    </w:rPr>
                  </w:pPr>
                  <w:r>
                    <w:rPr>
                      <w:rFonts w:cs="宋体" w:hint="eastAsia"/>
                      <w:kern w:val="2"/>
                      <w:szCs w:val="21"/>
                    </w:rPr>
                    <w:t>相邻</w:t>
                  </w:r>
                </w:p>
              </w:tc>
            </w:tr>
            <w:tr>
              <w:tblPrEx>
                <w:tblW w:w="8958" w:type="dxa"/>
                <w:jc w:val="center"/>
                <w:tblLayout w:type="fixed"/>
                <w:tblCellMar>
                  <w:top w:w="0" w:type="dxa"/>
                  <w:left w:w="108" w:type="dxa"/>
                  <w:bottom w:w="0" w:type="dxa"/>
                  <w:right w:w="108" w:type="dxa"/>
                </w:tblCellMar>
              </w:tblPrEx>
              <w:trPr>
                <w:trHeight w:val="332"/>
                <w:jc w:val="center"/>
              </w:trPr>
              <w:tc>
                <w:tcPr>
                  <w:tcW w:w="847" w:type="dxa"/>
                  <w:vMerge/>
                  <w:vAlign w:val="center"/>
                </w:tcPr>
                <w:p>
                  <w:pPr>
                    <w:jc w:val="center"/>
                    <w:rPr>
                      <w:rFonts w:cs="宋体"/>
                      <w:kern w:val="2"/>
                      <w:szCs w:val="21"/>
                    </w:rPr>
                  </w:pPr>
                </w:p>
              </w:tc>
              <w:tc>
                <w:tcPr>
                  <w:tcW w:w="1280" w:type="dxa"/>
                  <w:vAlign w:val="center"/>
                </w:tcPr>
                <w:p>
                  <w:pPr>
                    <w:jc w:val="center"/>
                    <w:rPr>
                      <w:rFonts w:cs="宋体"/>
                      <w:kern w:val="18"/>
                      <w:szCs w:val="21"/>
                    </w:rPr>
                  </w:pPr>
                  <w:r>
                    <w:rPr>
                      <w:rFonts w:cs="宋体" w:hint="eastAsia"/>
                      <w:kern w:val="18"/>
                      <w:szCs w:val="21"/>
                    </w:rPr>
                    <w:t>陈家</w:t>
                  </w:r>
                </w:p>
              </w:tc>
              <w:tc>
                <w:tcPr>
                  <w:tcW w:w="708" w:type="dxa"/>
                  <w:vAlign w:val="center"/>
                </w:tcPr>
                <w:p>
                  <w:pPr>
                    <w:jc w:val="center"/>
                    <w:rPr>
                      <w:rFonts w:cs="宋体"/>
                      <w:kern w:val="2"/>
                      <w:szCs w:val="21"/>
                    </w:rPr>
                  </w:pPr>
                  <w:r>
                    <w:rPr>
                      <w:rFonts w:cs="宋体" w:hint="eastAsia"/>
                      <w:kern w:val="2"/>
                      <w:szCs w:val="21"/>
                    </w:rPr>
                    <w:t>-335</w:t>
                  </w:r>
                </w:p>
              </w:tc>
              <w:tc>
                <w:tcPr>
                  <w:tcW w:w="709" w:type="dxa"/>
                  <w:vAlign w:val="center"/>
                </w:tcPr>
                <w:p>
                  <w:pPr>
                    <w:jc w:val="center"/>
                    <w:rPr>
                      <w:rFonts w:cs="宋体"/>
                      <w:kern w:val="2"/>
                      <w:szCs w:val="21"/>
                    </w:rPr>
                  </w:pPr>
                  <w:r>
                    <w:rPr>
                      <w:rFonts w:cs="宋体" w:hint="eastAsia"/>
                      <w:kern w:val="2"/>
                      <w:szCs w:val="21"/>
                    </w:rPr>
                    <w:t>-50</w:t>
                  </w:r>
                </w:p>
              </w:tc>
              <w:tc>
                <w:tcPr>
                  <w:tcW w:w="851" w:type="dxa"/>
                  <w:vMerge/>
                  <w:vAlign w:val="center"/>
                </w:tcPr>
                <w:p>
                  <w:pPr>
                    <w:jc w:val="center"/>
                    <w:rPr>
                      <w:rFonts w:cs="宋体"/>
                      <w:kern w:val="18"/>
                      <w:szCs w:val="21"/>
                    </w:rPr>
                  </w:pPr>
                </w:p>
              </w:tc>
              <w:tc>
                <w:tcPr>
                  <w:tcW w:w="1138" w:type="dxa"/>
                  <w:vAlign w:val="center"/>
                </w:tcPr>
                <w:p>
                  <w:pPr>
                    <w:jc w:val="center"/>
                    <w:rPr>
                      <w:rFonts w:cs="宋体"/>
                      <w:kern w:val="18"/>
                      <w:szCs w:val="21"/>
                    </w:rPr>
                  </w:pPr>
                  <w:r>
                    <w:rPr>
                      <w:rFonts w:cs="宋体" w:hint="eastAsia"/>
                      <w:kern w:val="18"/>
                      <w:szCs w:val="21"/>
                    </w:rPr>
                    <w:t>空气质量</w:t>
                  </w:r>
                </w:p>
              </w:tc>
              <w:tc>
                <w:tcPr>
                  <w:tcW w:w="1259" w:type="dxa"/>
                  <w:vMerge/>
                  <w:vAlign w:val="center"/>
                </w:tcPr>
                <w:p>
                  <w:pPr>
                    <w:jc w:val="center"/>
                    <w:rPr>
                      <w:rFonts w:cs="宋体"/>
                      <w:kern w:val="18"/>
                      <w:szCs w:val="21"/>
                    </w:rPr>
                  </w:pPr>
                </w:p>
              </w:tc>
              <w:tc>
                <w:tcPr>
                  <w:tcW w:w="993" w:type="dxa"/>
                  <w:vAlign w:val="center"/>
                </w:tcPr>
                <w:p>
                  <w:pPr>
                    <w:jc w:val="center"/>
                    <w:rPr>
                      <w:rFonts w:cs="宋体"/>
                      <w:kern w:val="18"/>
                      <w:szCs w:val="21"/>
                    </w:rPr>
                  </w:pPr>
                  <w:r>
                    <w:rPr>
                      <w:rFonts w:cs="宋体" w:hint="eastAsia"/>
                      <w:kern w:val="18"/>
                      <w:szCs w:val="21"/>
                    </w:rPr>
                    <w:t>西</w:t>
                  </w:r>
                </w:p>
              </w:tc>
              <w:tc>
                <w:tcPr>
                  <w:tcW w:w="1173" w:type="dxa"/>
                  <w:vAlign w:val="center"/>
                </w:tcPr>
                <w:p>
                  <w:pPr>
                    <w:jc w:val="center"/>
                    <w:rPr>
                      <w:rFonts w:cs="宋体"/>
                      <w:kern w:val="18"/>
                      <w:szCs w:val="21"/>
                    </w:rPr>
                  </w:pPr>
                  <w:r>
                    <w:rPr>
                      <w:rFonts w:cs="宋体" w:hint="eastAsia"/>
                      <w:kern w:val="18"/>
                      <w:szCs w:val="21"/>
                    </w:rPr>
                    <w:t>300</w:t>
                  </w:r>
                </w:p>
              </w:tc>
            </w:tr>
            <w:tr>
              <w:tblPrEx>
                <w:tblW w:w="8958" w:type="dxa"/>
                <w:jc w:val="center"/>
                <w:tblLayout w:type="fixed"/>
                <w:tblCellMar>
                  <w:top w:w="0" w:type="dxa"/>
                  <w:left w:w="108" w:type="dxa"/>
                  <w:bottom w:w="0" w:type="dxa"/>
                  <w:right w:w="108" w:type="dxa"/>
                </w:tblCellMar>
              </w:tblPrEx>
              <w:trPr>
                <w:trHeight w:val="332"/>
                <w:jc w:val="center"/>
              </w:trPr>
              <w:tc>
                <w:tcPr>
                  <w:tcW w:w="847" w:type="dxa"/>
                  <w:vMerge/>
                  <w:vAlign w:val="center"/>
                </w:tcPr>
                <w:p>
                  <w:pPr>
                    <w:jc w:val="center"/>
                    <w:rPr>
                      <w:rFonts w:cs="宋体"/>
                      <w:kern w:val="2"/>
                      <w:szCs w:val="21"/>
                    </w:rPr>
                  </w:pPr>
                </w:p>
              </w:tc>
              <w:tc>
                <w:tcPr>
                  <w:tcW w:w="1280" w:type="dxa"/>
                  <w:vAlign w:val="center"/>
                </w:tcPr>
                <w:p>
                  <w:pPr>
                    <w:jc w:val="center"/>
                    <w:rPr>
                      <w:rFonts w:cs="宋体"/>
                      <w:kern w:val="18"/>
                      <w:szCs w:val="21"/>
                    </w:rPr>
                  </w:pPr>
                  <w:r>
                    <w:rPr>
                      <w:rFonts w:cs="宋体" w:hint="eastAsia"/>
                      <w:kern w:val="18"/>
                      <w:szCs w:val="21"/>
                    </w:rPr>
                    <w:t>北侧居民区</w:t>
                  </w:r>
                </w:p>
              </w:tc>
              <w:tc>
                <w:tcPr>
                  <w:tcW w:w="708" w:type="dxa"/>
                  <w:vAlign w:val="center"/>
                </w:tcPr>
                <w:p>
                  <w:pPr>
                    <w:jc w:val="center"/>
                    <w:rPr>
                      <w:rFonts w:cs="宋体"/>
                      <w:kern w:val="2"/>
                      <w:szCs w:val="21"/>
                    </w:rPr>
                  </w:pPr>
                  <w:r>
                    <w:rPr>
                      <w:rFonts w:cs="宋体" w:hint="eastAsia"/>
                      <w:kern w:val="2"/>
                      <w:szCs w:val="21"/>
                    </w:rPr>
                    <w:t>0</w:t>
                  </w:r>
                </w:p>
              </w:tc>
              <w:tc>
                <w:tcPr>
                  <w:tcW w:w="709" w:type="dxa"/>
                  <w:vAlign w:val="center"/>
                </w:tcPr>
                <w:p>
                  <w:pPr>
                    <w:jc w:val="center"/>
                    <w:rPr>
                      <w:rFonts w:cs="宋体"/>
                      <w:kern w:val="2"/>
                      <w:szCs w:val="21"/>
                    </w:rPr>
                  </w:pPr>
                  <w:r>
                    <w:rPr>
                      <w:rFonts w:cs="宋体" w:hint="eastAsia"/>
                      <w:kern w:val="2"/>
                      <w:szCs w:val="21"/>
                    </w:rPr>
                    <w:t>24</w:t>
                  </w:r>
                </w:p>
              </w:tc>
              <w:tc>
                <w:tcPr>
                  <w:tcW w:w="851" w:type="dxa"/>
                  <w:vMerge/>
                  <w:vAlign w:val="center"/>
                </w:tcPr>
                <w:p>
                  <w:pPr>
                    <w:jc w:val="center"/>
                    <w:rPr>
                      <w:rFonts w:cs="宋体"/>
                      <w:kern w:val="18"/>
                      <w:szCs w:val="21"/>
                    </w:rPr>
                  </w:pPr>
                </w:p>
              </w:tc>
              <w:tc>
                <w:tcPr>
                  <w:tcW w:w="1138" w:type="dxa"/>
                  <w:vAlign w:val="center"/>
                </w:tcPr>
                <w:p>
                  <w:pPr>
                    <w:jc w:val="center"/>
                    <w:rPr>
                      <w:rFonts w:cs="宋体"/>
                      <w:kern w:val="18"/>
                      <w:szCs w:val="21"/>
                    </w:rPr>
                  </w:pPr>
                  <w:r>
                    <w:rPr>
                      <w:rFonts w:cs="宋体" w:hint="eastAsia"/>
                      <w:kern w:val="18"/>
                      <w:szCs w:val="21"/>
                    </w:rPr>
                    <w:t>空气质量</w:t>
                  </w:r>
                </w:p>
              </w:tc>
              <w:tc>
                <w:tcPr>
                  <w:tcW w:w="1259" w:type="dxa"/>
                  <w:vMerge/>
                  <w:vAlign w:val="center"/>
                </w:tcPr>
                <w:p>
                  <w:pPr>
                    <w:jc w:val="center"/>
                    <w:rPr>
                      <w:rFonts w:cs="宋体"/>
                      <w:kern w:val="18"/>
                      <w:szCs w:val="21"/>
                    </w:rPr>
                  </w:pPr>
                </w:p>
              </w:tc>
              <w:tc>
                <w:tcPr>
                  <w:tcW w:w="993" w:type="dxa"/>
                  <w:vAlign w:val="center"/>
                </w:tcPr>
                <w:p>
                  <w:pPr>
                    <w:jc w:val="center"/>
                    <w:rPr>
                      <w:rFonts w:cs="宋体"/>
                      <w:kern w:val="18"/>
                      <w:szCs w:val="21"/>
                    </w:rPr>
                  </w:pPr>
                  <w:r>
                    <w:rPr>
                      <w:rFonts w:cs="宋体" w:hint="eastAsia"/>
                      <w:kern w:val="18"/>
                      <w:szCs w:val="21"/>
                    </w:rPr>
                    <w:t>北</w:t>
                  </w:r>
                </w:p>
              </w:tc>
              <w:tc>
                <w:tcPr>
                  <w:tcW w:w="1173" w:type="dxa"/>
                  <w:vAlign w:val="center"/>
                </w:tcPr>
                <w:p>
                  <w:pPr>
                    <w:jc w:val="center"/>
                    <w:rPr>
                      <w:rFonts w:cs="宋体"/>
                      <w:kern w:val="18"/>
                      <w:szCs w:val="21"/>
                    </w:rPr>
                  </w:pPr>
                  <w:r>
                    <w:rPr>
                      <w:rFonts w:cs="宋体" w:hint="eastAsia"/>
                      <w:kern w:val="18"/>
                      <w:szCs w:val="21"/>
                    </w:rPr>
                    <w:t>相邻</w:t>
                  </w:r>
                </w:p>
              </w:tc>
            </w:tr>
            <w:tr>
              <w:tblPrEx>
                <w:tblW w:w="8958" w:type="dxa"/>
                <w:jc w:val="center"/>
                <w:tblLayout w:type="fixed"/>
                <w:tblCellMar>
                  <w:top w:w="0" w:type="dxa"/>
                  <w:left w:w="108" w:type="dxa"/>
                  <w:bottom w:w="0" w:type="dxa"/>
                  <w:right w:w="108" w:type="dxa"/>
                </w:tblCellMar>
              </w:tblPrEx>
              <w:trPr>
                <w:trHeight w:val="340"/>
                <w:jc w:val="center"/>
              </w:trPr>
              <w:tc>
                <w:tcPr>
                  <w:tcW w:w="847" w:type="dxa"/>
                  <w:vAlign w:val="center"/>
                </w:tcPr>
                <w:p>
                  <w:pPr>
                    <w:jc w:val="center"/>
                    <w:rPr>
                      <w:rFonts w:cs="宋体"/>
                      <w:kern w:val="18"/>
                      <w:szCs w:val="21"/>
                    </w:rPr>
                  </w:pPr>
                  <w:r>
                    <w:rPr>
                      <w:rFonts w:cs="宋体" w:hint="eastAsia"/>
                      <w:kern w:val="2"/>
                      <w:szCs w:val="21"/>
                    </w:rPr>
                    <w:t>声环境</w:t>
                  </w:r>
                </w:p>
              </w:tc>
              <w:tc>
                <w:tcPr>
                  <w:tcW w:w="4686" w:type="dxa"/>
                  <w:gridSpan w:val="5"/>
                  <w:vAlign w:val="center"/>
                </w:tcPr>
                <w:p>
                  <w:pPr>
                    <w:jc w:val="center"/>
                    <w:rPr>
                      <w:rFonts w:cs="宋体"/>
                      <w:kern w:val="18"/>
                      <w:szCs w:val="21"/>
                    </w:rPr>
                  </w:pPr>
                  <w:r>
                    <w:rPr>
                      <w:rFonts w:cs="宋体" w:hint="eastAsia"/>
                      <w:kern w:val="18"/>
                      <w:szCs w:val="21"/>
                    </w:rPr>
                    <w:t>项目周边区域200m范围内</w:t>
                  </w:r>
                </w:p>
              </w:tc>
              <w:tc>
                <w:tcPr>
                  <w:tcW w:w="3425" w:type="dxa"/>
                  <w:gridSpan w:val="3"/>
                  <w:vAlign w:val="center"/>
                </w:tcPr>
                <w:p>
                  <w:pPr>
                    <w:jc w:val="center"/>
                    <w:rPr>
                      <w:rFonts w:cs="宋体"/>
                      <w:kern w:val="18"/>
                      <w:szCs w:val="21"/>
                    </w:rPr>
                  </w:pPr>
                  <w:r>
                    <w:rPr>
                      <w:rFonts w:cs="宋体" w:hint="eastAsia"/>
                      <w:kern w:val="2"/>
                      <w:szCs w:val="21"/>
                    </w:rPr>
                    <w:t>GB3096-2008中2类</w:t>
                  </w:r>
                </w:p>
              </w:tc>
            </w:tr>
            <w:tr>
              <w:tblPrEx>
                <w:tblW w:w="8958" w:type="dxa"/>
                <w:jc w:val="center"/>
                <w:tblLayout w:type="fixed"/>
                <w:tblCellMar>
                  <w:top w:w="0" w:type="dxa"/>
                  <w:left w:w="108" w:type="dxa"/>
                  <w:bottom w:w="0" w:type="dxa"/>
                  <w:right w:w="108" w:type="dxa"/>
                </w:tblCellMar>
              </w:tblPrEx>
              <w:trPr>
                <w:trHeight w:val="340"/>
                <w:jc w:val="center"/>
              </w:trPr>
              <w:tc>
                <w:tcPr>
                  <w:tcW w:w="847" w:type="dxa"/>
                  <w:vMerge w:val="restart"/>
                  <w:vAlign w:val="center"/>
                </w:tcPr>
                <w:p>
                  <w:pPr>
                    <w:widowControl/>
                    <w:jc w:val="center"/>
                    <w:rPr>
                      <w:rFonts w:cs="宋体"/>
                      <w:kern w:val="2"/>
                      <w:szCs w:val="21"/>
                    </w:rPr>
                  </w:pPr>
                  <w:r>
                    <w:rPr>
                      <w:rFonts w:cs="宋体" w:hint="eastAsia"/>
                      <w:kern w:val="2"/>
                      <w:szCs w:val="21"/>
                    </w:rPr>
                    <w:t>水环境</w:t>
                  </w:r>
                </w:p>
              </w:tc>
              <w:tc>
                <w:tcPr>
                  <w:tcW w:w="3548" w:type="dxa"/>
                  <w:gridSpan w:val="4"/>
                  <w:vAlign w:val="center"/>
                </w:tcPr>
                <w:p>
                  <w:pPr>
                    <w:jc w:val="center"/>
                    <w:rPr>
                      <w:rFonts w:cs="宋体"/>
                      <w:kern w:val="18"/>
                      <w:szCs w:val="21"/>
                    </w:rPr>
                  </w:pPr>
                  <w:r>
                    <w:rPr>
                      <w:rFonts w:cs="宋体" w:hint="eastAsia"/>
                      <w:kern w:val="18"/>
                      <w:szCs w:val="21"/>
                    </w:rPr>
                    <w:t>抚河</w:t>
                  </w:r>
                </w:p>
              </w:tc>
              <w:tc>
                <w:tcPr>
                  <w:tcW w:w="1138" w:type="dxa"/>
                  <w:vAlign w:val="center"/>
                </w:tcPr>
                <w:p>
                  <w:pPr>
                    <w:jc w:val="center"/>
                    <w:rPr>
                      <w:rFonts w:cs="宋体"/>
                      <w:kern w:val="18"/>
                      <w:szCs w:val="21"/>
                    </w:rPr>
                  </w:pPr>
                  <w:r>
                    <w:rPr>
                      <w:rFonts w:cs="宋体" w:hint="eastAsia"/>
                      <w:kern w:val="18"/>
                      <w:szCs w:val="21"/>
                    </w:rPr>
                    <w:t>水质</w:t>
                  </w:r>
                </w:p>
              </w:tc>
              <w:tc>
                <w:tcPr>
                  <w:tcW w:w="1259" w:type="dxa"/>
                  <w:vAlign w:val="center"/>
                </w:tcPr>
                <w:p>
                  <w:pPr>
                    <w:jc w:val="center"/>
                    <w:rPr>
                      <w:rFonts w:cs="宋体"/>
                      <w:kern w:val="18"/>
                      <w:szCs w:val="21"/>
                    </w:rPr>
                  </w:pPr>
                  <w:r>
                    <w:rPr>
                      <w:rFonts w:cs="宋体" w:hint="eastAsia"/>
                      <w:kern w:val="2"/>
                      <w:szCs w:val="21"/>
                    </w:rPr>
                    <w:t>GB3838-2002中Ⅲ类水体标准</w:t>
                  </w:r>
                </w:p>
              </w:tc>
              <w:tc>
                <w:tcPr>
                  <w:tcW w:w="993" w:type="dxa"/>
                  <w:vAlign w:val="center"/>
                </w:tcPr>
                <w:p>
                  <w:pPr>
                    <w:jc w:val="center"/>
                    <w:rPr>
                      <w:rFonts w:cs="宋体"/>
                      <w:kern w:val="18"/>
                      <w:szCs w:val="21"/>
                    </w:rPr>
                  </w:pPr>
                  <w:r>
                    <w:rPr>
                      <w:rFonts w:cs="宋体" w:hint="eastAsia"/>
                      <w:kern w:val="18"/>
                      <w:szCs w:val="21"/>
                    </w:rPr>
                    <w:t>东侧</w:t>
                  </w:r>
                </w:p>
              </w:tc>
              <w:tc>
                <w:tcPr>
                  <w:tcW w:w="1173" w:type="dxa"/>
                  <w:vAlign w:val="center"/>
                </w:tcPr>
                <w:p>
                  <w:pPr>
                    <w:jc w:val="center"/>
                    <w:rPr>
                      <w:rFonts w:cs="宋体"/>
                      <w:kern w:val="18"/>
                      <w:szCs w:val="21"/>
                    </w:rPr>
                  </w:pPr>
                  <w:r>
                    <w:rPr>
                      <w:rFonts w:cs="宋体" w:hint="eastAsia"/>
                      <w:kern w:val="18"/>
                      <w:szCs w:val="21"/>
                    </w:rPr>
                    <w:t>220</w:t>
                  </w:r>
                </w:p>
              </w:tc>
            </w:tr>
            <w:tr>
              <w:tblPrEx>
                <w:tblW w:w="8958" w:type="dxa"/>
                <w:jc w:val="center"/>
                <w:tblLayout w:type="fixed"/>
                <w:tblCellMar>
                  <w:top w:w="0" w:type="dxa"/>
                  <w:left w:w="108" w:type="dxa"/>
                  <w:bottom w:w="0" w:type="dxa"/>
                  <w:right w:w="108" w:type="dxa"/>
                </w:tblCellMar>
              </w:tblPrEx>
              <w:trPr>
                <w:trHeight w:val="736"/>
                <w:jc w:val="center"/>
              </w:trPr>
              <w:tc>
                <w:tcPr>
                  <w:tcW w:w="847" w:type="dxa"/>
                  <w:vMerge/>
                  <w:vAlign w:val="center"/>
                </w:tcPr>
                <w:p>
                  <w:pPr>
                    <w:jc w:val="center"/>
                    <w:rPr>
                      <w:rFonts w:cs="宋体"/>
                      <w:kern w:val="2"/>
                      <w:szCs w:val="21"/>
                    </w:rPr>
                  </w:pPr>
                </w:p>
              </w:tc>
              <w:tc>
                <w:tcPr>
                  <w:tcW w:w="3548" w:type="dxa"/>
                  <w:gridSpan w:val="4"/>
                  <w:vAlign w:val="center"/>
                </w:tcPr>
                <w:p>
                  <w:pPr>
                    <w:jc w:val="center"/>
                    <w:rPr>
                      <w:rFonts w:cs="宋体"/>
                      <w:kern w:val="18"/>
                      <w:szCs w:val="21"/>
                    </w:rPr>
                  </w:pPr>
                  <w:r>
                    <w:rPr>
                      <w:rFonts w:cs="宋体" w:hint="eastAsia"/>
                      <w:kern w:val="18"/>
                      <w:szCs w:val="21"/>
                    </w:rPr>
                    <w:t>取水口</w:t>
                  </w:r>
                </w:p>
              </w:tc>
              <w:tc>
                <w:tcPr>
                  <w:tcW w:w="1138" w:type="dxa"/>
                  <w:vAlign w:val="center"/>
                </w:tcPr>
                <w:p>
                  <w:pPr>
                    <w:jc w:val="center"/>
                    <w:rPr>
                      <w:rFonts w:cs="宋体"/>
                      <w:kern w:val="18"/>
                      <w:szCs w:val="21"/>
                    </w:rPr>
                  </w:pPr>
                  <w:r>
                    <w:rPr>
                      <w:rFonts w:cs="宋体" w:hint="eastAsia"/>
                      <w:kern w:val="18"/>
                      <w:szCs w:val="21"/>
                    </w:rPr>
                    <w:t>水质</w:t>
                  </w:r>
                </w:p>
              </w:tc>
              <w:tc>
                <w:tcPr>
                  <w:tcW w:w="3425" w:type="dxa"/>
                  <w:gridSpan w:val="3"/>
                  <w:vAlign w:val="center"/>
                </w:tcPr>
                <w:p>
                  <w:pPr>
                    <w:jc w:val="center"/>
                    <w:rPr>
                      <w:rFonts w:cs="宋体"/>
                      <w:kern w:val="2"/>
                      <w:szCs w:val="21"/>
                    </w:rPr>
                  </w:pPr>
                  <w:r>
                    <w:rPr>
                      <w:rFonts w:cs="宋体" w:hint="eastAsia"/>
                      <w:kern w:val="2"/>
                      <w:szCs w:val="21"/>
                    </w:rPr>
                    <w:t>GB</w:t>
                  </w:r>
                  <w:r>
                    <w:rPr>
                      <w:kern w:val="2"/>
                      <w:szCs w:val="21"/>
                    </w:rPr>
                    <w:t>3838-2002中Ⅱ类水体标准</w:t>
                  </w:r>
                </w:p>
              </w:tc>
            </w:tr>
          </w:tbl>
          <w:p>
            <w:pPr>
              <w:spacing w:before="120" w:beforeLines="50" w:line="360" w:lineRule="auto"/>
              <w:ind w:firstLine="480" w:firstLineChars="200"/>
              <w:rPr>
                <w:rFonts w:cs="宋体"/>
                <w:b/>
                <w:kern w:val="2"/>
                <w:sz w:val="24"/>
                <w:szCs w:val="24"/>
              </w:rPr>
            </w:pPr>
            <w:r>
              <w:rPr>
                <w:rFonts w:cs="宋体" w:hint="eastAsia"/>
                <w:b/>
                <w:kern w:val="2"/>
                <w:sz w:val="24"/>
                <w:szCs w:val="24"/>
              </w:rPr>
              <w:t>2、污染控制目标</w:t>
            </w:r>
          </w:p>
          <w:p>
            <w:pPr>
              <w:pStyle w:val="PlainText"/>
              <w:spacing w:line="360" w:lineRule="auto"/>
              <w:ind w:firstLine="480" w:firstLineChars="200"/>
              <w:rPr>
                <w:rFonts w:ascii="Times New Roman" w:hAnsi="Times New Roman"/>
                <w:bCs/>
                <w:sz w:val="24"/>
                <w:szCs w:val="24"/>
              </w:rPr>
            </w:pPr>
            <w:r>
              <w:rPr>
                <w:rFonts w:ascii="Times New Roman" w:hAnsi="宋体"/>
                <w:bCs/>
                <w:sz w:val="24"/>
                <w:szCs w:val="24"/>
              </w:rPr>
              <w:t>①环境空气：</w:t>
            </w:r>
            <w:r>
              <w:rPr>
                <w:rFonts w:ascii="Times New Roman" w:hAnsi="宋体"/>
                <w:snapToGrid w:val="0"/>
                <w:kern w:val="18"/>
                <w:sz w:val="24"/>
                <w:szCs w:val="24"/>
                <w:lang w:val="en-GB"/>
              </w:rPr>
              <w:t>保护该区域环境空气质量达到《环境空气质量标准》（</w:t>
            </w:r>
            <w:r>
              <w:rPr>
                <w:rFonts w:ascii="Times New Roman" w:hAnsi="Times New Roman"/>
                <w:snapToGrid w:val="0"/>
                <w:kern w:val="18"/>
                <w:sz w:val="24"/>
                <w:szCs w:val="24"/>
                <w:lang w:val="en-GB"/>
              </w:rPr>
              <w:t>GB3095-2012</w:t>
            </w:r>
            <w:r>
              <w:rPr>
                <w:rFonts w:ascii="Times New Roman" w:hAnsi="宋体"/>
                <w:snapToGrid w:val="0"/>
                <w:kern w:val="18"/>
                <w:sz w:val="24"/>
                <w:szCs w:val="24"/>
                <w:lang w:val="en-GB"/>
              </w:rPr>
              <w:t>）中二级标准</w:t>
            </w:r>
            <w:r>
              <w:rPr>
                <w:rFonts w:ascii="Times New Roman" w:hAnsi="宋体"/>
                <w:bCs/>
                <w:sz w:val="24"/>
                <w:szCs w:val="24"/>
              </w:rPr>
              <w:t>。</w:t>
            </w:r>
          </w:p>
          <w:p>
            <w:pPr>
              <w:pStyle w:val="a31"/>
              <w:rPr>
                <w:rFonts w:hAnsi="宋体"/>
                <w:kern w:val="2"/>
                <w:szCs w:val="24"/>
              </w:rPr>
            </w:pPr>
            <w:r>
              <w:rPr>
                <w:rFonts w:hAnsi="宋体" w:hint="eastAsia"/>
                <w:bCs/>
                <w:kern w:val="2"/>
                <w:szCs w:val="24"/>
              </w:rPr>
              <w:t>②</w:t>
            </w:r>
            <w:r>
              <w:rPr>
                <w:rFonts w:hAnsi="宋体"/>
                <w:bCs/>
                <w:kern w:val="2"/>
                <w:szCs w:val="24"/>
              </w:rPr>
              <w:t>地表水：</w:t>
            </w:r>
            <w:r>
              <w:rPr>
                <w:rFonts w:hAnsi="宋体" w:hint="eastAsia"/>
                <w:bCs/>
                <w:kern w:val="2"/>
                <w:szCs w:val="24"/>
              </w:rPr>
              <w:t>保护该区域地表水质量达到</w:t>
            </w:r>
            <w:r>
              <w:rPr>
                <w:kern w:val="2"/>
                <w:szCs w:val="22"/>
              </w:rPr>
              <w:t>《地表水环境质量标准》</w:t>
            </w:r>
            <w:r>
              <w:rPr>
                <w:rFonts w:hint="eastAsia"/>
                <w:kern w:val="2"/>
                <w:szCs w:val="22"/>
              </w:rPr>
              <w:t>（</w:t>
            </w:r>
            <w:r>
              <w:rPr>
                <w:kern w:val="2"/>
                <w:szCs w:val="22"/>
              </w:rPr>
              <w:t>GB3838-2002</w:t>
            </w:r>
            <w:r>
              <w:rPr>
                <w:rFonts w:hint="eastAsia"/>
                <w:kern w:val="2"/>
                <w:szCs w:val="22"/>
              </w:rPr>
              <w:t>）中的</w:t>
            </w:r>
            <w:r>
              <w:rPr>
                <w:rFonts w:hAnsi="宋体"/>
                <w:kern w:val="2"/>
                <w:szCs w:val="22"/>
              </w:rPr>
              <w:fldChar w:fldCharType="begin"/>
            </w:r>
            <w:r>
              <w:rPr>
                <w:rFonts w:hAnsi="宋体"/>
                <w:kern w:val="2"/>
                <w:szCs w:val="22"/>
              </w:rPr>
              <w:instrText xml:space="preserve"> </w:instrText>
            </w:r>
            <w:r>
              <w:rPr>
                <w:rFonts w:hAnsi="宋体" w:hint="eastAsia"/>
                <w:kern w:val="2"/>
                <w:szCs w:val="22"/>
              </w:rPr>
              <w:instrText>= 4 \* ROMAN</w:instrText>
            </w:r>
            <w:r>
              <w:rPr>
                <w:rFonts w:hAnsi="宋体"/>
                <w:kern w:val="2"/>
                <w:szCs w:val="22"/>
              </w:rPr>
              <w:instrText xml:space="preserve"> </w:instrText>
            </w:r>
            <w:r>
              <w:rPr>
                <w:rFonts w:hAnsi="宋体"/>
                <w:kern w:val="2"/>
                <w:szCs w:val="22"/>
              </w:rPr>
              <w:fldChar w:fldCharType="separate"/>
            </w:r>
            <w:r>
              <w:rPr>
                <w:rFonts w:hAnsi="宋体"/>
                <w:kern w:val="2"/>
                <w:szCs w:val="22"/>
                <w:lang w:val="en-US"/>
              </w:rPr>
              <w:t>III</w:t>
            </w:r>
            <w:r>
              <w:rPr>
                <w:rFonts w:hAnsi="宋体"/>
                <w:kern w:val="2"/>
                <w:szCs w:val="22"/>
              </w:rPr>
              <w:fldChar w:fldCharType="end"/>
            </w:r>
            <w:r>
              <w:rPr>
                <w:kern w:val="2"/>
                <w:szCs w:val="22"/>
              </w:rPr>
              <w:t>类水质标准</w:t>
            </w:r>
            <w:r>
              <w:rPr>
                <w:rFonts w:hint="eastAsia"/>
                <w:kern w:val="2"/>
                <w:szCs w:val="22"/>
              </w:rPr>
              <w:t>。</w:t>
            </w:r>
          </w:p>
          <w:p>
            <w:pPr>
              <w:spacing w:line="360" w:lineRule="auto"/>
              <w:ind w:firstLine="480" w:firstLineChars="200"/>
              <w:rPr>
                <w:kern w:val="2"/>
                <w:sz w:val="24"/>
                <w:szCs w:val="22"/>
              </w:rPr>
            </w:pPr>
            <w:r>
              <w:rPr>
                <w:rFonts w:hAnsi="宋体"/>
                <w:kern w:val="2"/>
                <w:sz w:val="24"/>
                <w:szCs w:val="24"/>
              </w:rPr>
              <w:t>③声环</w:t>
            </w:r>
            <w:r>
              <w:rPr>
                <w:kern w:val="2"/>
                <w:sz w:val="24"/>
                <w:szCs w:val="24"/>
              </w:rPr>
              <w:t>境：</w:t>
            </w:r>
            <w:r>
              <w:rPr>
                <w:kern w:val="2"/>
                <w:sz w:val="24"/>
                <w:szCs w:val="22"/>
              </w:rPr>
              <w:t>严格控制噪声源，确保其</w:t>
            </w:r>
            <w:r>
              <w:rPr>
                <w:rFonts w:hint="eastAsia"/>
                <w:kern w:val="2"/>
                <w:sz w:val="24"/>
                <w:szCs w:val="22"/>
              </w:rPr>
              <w:t>厂界靠汝水大道（东北）侧</w:t>
            </w:r>
            <w:r>
              <w:rPr>
                <w:kern w:val="2"/>
                <w:sz w:val="24"/>
                <w:szCs w:val="22"/>
              </w:rPr>
              <w:t>噪声满足</w:t>
            </w:r>
            <w:r>
              <w:rPr>
                <w:kern w:val="2"/>
                <w:sz w:val="24"/>
                <w:szCs w:val="24"/>
              </w:rPr>
              <w:t>《声环境质量标准》(GB3096-2008)中</w:t>
            </w:r>
            <w:r>
              <w:rPr>
                <w:rFonts w:hint="eastAsia"/>
                <w:kern w:val="2"/>
                <w:sz w:val="24"/>
                <w:szCs w:val="24"/>
              </w:rPr>
              <w:t>4</w:t>
            </w:r>
            <w:r>
              <w:rPr>
                <w:kern w:val="2"/>
                <w:sz w:val="24"/>
                <w:szCs w:val="24"/>
              </w:rPr>
              <w:t>a</w:t>
            </w:r>
            <w:r>
              <w:rPr>
                <w:rFonts w:hint="eastAsia"/>
                <w:kern w:val="2"/>
                <w:sz w:val="24"/>
                <w:szCs w:val="24"/>
              </w:rPr>
              <w:t>类</w:t>
            </w:r>
            <w:r>
              <w:rPr>
                <w:rFonts w:ascii="宋体" w:hAnsi="宋体" w:cs="宋体" w:hint="eastAsia"/>
                <w:kern w:val="2"/>
                <w:sz w:val="24"/>
                <w:szCs w:val="24"/>
              </w:rPr>
              <w:t>标准要求，厂界其他侧满足</w:t>
            </w:r>
            <w:r>
              <w:rPr>
                <w:kern w:val="2"/>
                <w:sz w:val="24"/>
                <w:szCs w:val="24"/>
              </w:rPr>
              <w:t>《声环境质量标准》(GB3096-2008)中2类</w:t>
            </w:r>
            <w:r>
              <w:rPr>
                <w:rFonts w:hint="eastAsia"/>
                <w:kern w:val="2"/>
                <w:sz w:val="24"/>
                <w:szCs w:val="24"/>
              </w:rPr>
              <w:t>标准，</w:t>
            </w:r>
            <w:r>
              <w:rPr>
                <w:rFonts w:hAnsi="宋体"/>
                <w:kern w:val="2"/>
                <w:sz w:val="24"/>
                <w:szCs w:val="22"/>
              </w:rPr>
              <w:t>不对周围环境保护目标造成影响。</w:t>
            </w:r>
          </w:p>
          <w:p>
            <w:pPr>
              <w:spacing w:line="360" w:lineRule="auto"/>
              <w:ind w:firstLine="480" w:firstLineChars="200"/>
              <w:rPr>
                <w:rFonts w:hAnsi="宋体"/>
                <w:snapToGrid w:val="0"/>
                <w:kern w:val="18"/>
                <w:sz w:val="24"/>
                <w:szCs w:val="22"/>
              </w:rPr>
            </w:pPr>
            <w:r>
              <w:rPr>
                <w:rFonts w:hAnsi="宋体"/>
                <w:kern w:val="2"/>
                <w:sz w:val="24"/>
                <w:szCs w:val="22"/>
              </w:rPr>
              <w:t>④</w:t>
            </w:r>
            <w:r>
              <w:rPr>
                <w:rFonts w:hAnsi="宋体"/>
                <w:snapToGrid w:val="0"/>
                <w:kern w:val="18"/>
                <w:sz w:val="24"/>
                <w:szCs w:val="22"/>
              </w:rPr>
              <w:t>固体废物及时收集，交由环卫部门处理，维护良好的内部环境卫生和城市卫生环境。</w:t>
            </w: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p>
            <w:pPr>
              <w:pStyle w:val="Default"/>
              <w:rPr>
                <w:rFonts w:hint="default"/>
              </w:rPr>
            </w:pPr>
          </w:p>
        </w:tc>
      </w:tr>
    </w:tbl>
    <w:p>
      <w:pPr>
        <w:sectPr>
          <w:footerReference w:type="even" r:id="rId101"/>
          <w:footerReference w:type="default" r:id="rId102"/>
          <w:footerReference w:type="first" r:id="rId103"/>
          <w:type w:val="nextPage"/>
          <w:pgSz w:w="11907" w:h="16840"/>
          <w:pgMar w:top="1418" w:right="1418" w:bottom="1418" w:left="1418" w:header="851" w:footer="680" w:gutter="113"/>
          <w:pgNumType w:start="27"/>
          <w:cols w:num="1" w:space="720"/>
          <w:titlePg w:val="0"/>
          <w:docGrid w:linePitch="286" w:charSpace="0"/>
        </w:sectPr>
      </w:pPr>
    </w:p>
    <w:p>
      <w:pPr>
        <w:adjustRightInd/>
        <w:spacing w:line="240" w:lineRule="auto"/>
        <w:outlineLvl w:val="0"/>
      </w:pPr>
      <w:bookmarkStart w:id="16" w:name="_Toc18282_WPSOffice_Level1"/>
      <w:r>
        <w:rPr>
          <w:b/>
          <w:kern w:val="21"/>
          <w:sz w:val="32"/>
          <w:szCs w:val="32"/>
        </w:rPr>
        <w:t>评价适用标准</w:t>
      </w:r>
      <w:bookmarkEnd w:id="16"/>
    </w:p>
    <w:tbl>
      <w:tblPr>
        <w:tblStyle w:val="TableGrid6"/>
        <w:tblW w:w="8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98"/>
        <w:gridCol w:w="8418"/>
      </w:tblGrid>
      <w:tr>
        <w:tblPrEx>
          <w:tblW w:w="8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151"/>
          <w:jc w:val="center"/>
        </w:trPr>
        <w:tc>
          <w:tcPr>
            <w:tcW w:w="498" w:type="dxa"/>
            <w:tcBorders>
              <w:top w:val="single" w:sz="12" w:space="0" w:color="auto"/>
              <w:left w:val="single" w:sz="12" w:space="0" w:color="auto"/>
            </w:tcBorders>
            <w:vAlign w:val="center"/>
          </w:tcPr>
          <w:p>
            <w:pPr>
              <w:pStyle w:val="10"/>
              <w:adjustRightInd/>
              <w:textAlignment w:val="auto"/>
              <w:rPr>
                <w:rFonts w:ascii="Times New Roman"/>
                <w:b/>
                <w:kern w:val="2"/>
              </w:rPr>
            </w:pPr>
            <w:r>
              <w:rPr>
                <w:rFonts w:ascii="Times New Roman"/>
                <w:b/>
                <w:kern w:val="2"/>
              </w:rPr>
              <w:t>环境质量标准</w:t>
            </w:r>
          </w:p>
        </w:tc>
        <w:tc>
          <w:tcPr>
            <w:tcW w:w="8418" w:type="dxa"/>
            <w:tcBorders>
              <w:top w:val="single" w:sz="12" w:space="0" w:color="auto"/>
              <w:right w:val="single" w:sz="12" w:space="0" w:color="auto"/>
            </w:tcBorders>
          </w:tcPr>
          <w:p>
            <w:pPr>
              <w:spacing w:line="360" w:lineRule="auto"/>
              <w:ind w:firstLine="480" w:firstLineChars="200"/>
              <w:rPr>
                <w:kern w:val="2"/>
                <w:sz w:val="24"/>
                <w:szCs w:val="22"/>
              </w:rPr>
            </w:pPr>
            <w:r>
              <w:rPr>
                <w:rFonts w:hint="eastAsia"/>
                <w:kern w:val="2"/>
                <w:sz w:val="24"/>
                <w:szCs w:val="22"/>
              </w:rPr>
              <w:t>1、抚河取水口地表水环境执行</w:t>
            </w:r>
            <w:r>
              <w:rPr>
                <w:kern w:val="2"/>
                <w:sz w:val="24"/>
                <w:szCs w:val="22"/>
              </w:rPr>
              <w:t>《地表水环境质量标准》</w:t>
            </w:r>
            <w:r>
              <w:rPr>
                <w:rFonts w:hint="eastAsia"/>
                <w:kern w:val="2"/>
                <w:sz w:val="24"/>
                <w:szCs w:val="22"/>
              </w:rPr>
              <w:t>（</w:t>
            </w:r>
            <w:r>
              <w:rPr>
                <w:kern w:val="2"/>
                <w:sz w:val="24"/>
                <w:szCs w:val="22"/>
              </w:rPr>
              <w:t>GB3838-2002</w:t>
            </w:r>
            <w:r>
              <w:rPr>
                <w:rFonts w:hint="eastAsia"/>
                <w:kern w:val="2"/>
                <w:sz w:val="24"/>
                <w:szCs w:val="22"/>
              </w:rPr>
              <w:t>）中的</w:t>
            </w:r>
            <w:r>
              <w:rPr>
                <w:rFonts w:hAnsi="宋体"/>
                <w:kern w:val="2"/>
                <w:sz w:val="24"/>
                <w:szCs w:val="22"/>
              </w:rPr>
              <w:fldChar w:fldCharType="begin"/>
            </w:r>
            <w:r>
              <w:rPr>
                <w:rFonts w:hAnsi="宋体"/>
                <w:kern w:val="2"/>
                <w:sz w:val="24"/>
                <w:szCs w:val="22"/>
              </w:rPr>
              <w:instrText xml:space="preserve"> </w:instrText>
            </w:r>
            <w:r>
              <w:rPr>
                <w:rFonts w:hAnsi="宋体" w:hint="eastAsia"/>
                <w:kern w:val="2"/>
                <w:sz w:val="24"/>
                <w:szCs w:val="22"/>
              </w:rPr>
              <w:instrText>= 4 \* ROMAN</w:instrText>
            </w:r>
            <w:r>
              <w:rPr>
                <w:rFonts w:hAnsi="宋体"/>
                <w:kern w:val="2"/>
                <w:sz w:val="24"/>
                <w:szCs w:val="22"/>
              </w:rPr>
              <w:instrText xml:space="preserve"> </w:instrText>
            </w:r>
            <w:r>
              <w:rPr>
                <w:rFonts w:hAnsi="宋体"/>
                <w:kern w:val="2"/>
                <w:sz w:val="24"/>
                <w:szCs w:val="22"/>
              </w:rPr>
              <w:fldChar w:fldCharType="separate"/>
            </w:r>
            <w:r>
              <w:rPr>
                <w:rFonts w:hAnsi="宋体"/>
                <w:kern w:val="2"/>
                <w:sz w:val="24"/>
                <w:szCs w:val="22"/>
              </w:rPr>
              <w:t>II</w:t>
            </w:r>
            <w:r>
              <w:rPr>
                <w:rFonts w:hAnsi="宋体"/>
                <w:kern w:val="2"/>
                <w:sz w:val="24"/>
                <w:szCs w:val="22"/>
              </w:rPr>
              <w:fldChar w:fldCharType="end"/>
            </w:r>
            <w:r>
              <w:rPr>
                <w:kern w:val="2"/>
                <w:sz w:val="24"/>
                <w:szCs w:val="22"/>
              </w:rPr>
              <w:t>类水质标准</w:t>
            </w:r>
            <w:r>
              <w:rPr>
                <w:rFonts w:hint="eastAsia"/>
                <w:kern w:val="2"/>
                <w:sz w:val="24"/>
                <w:szCs w:val="22"/>
              </w:rPr>
              <w:t>，</w:t>
            </w:r>
            <w:r>
              <w:rPr>
                <w:rFonts w:hint="eastAsia"/>
                <w:kern w:val="2"/>
                <w:sz w:val="24"/>
                <w:szCs w:val="24"/>
              </w:rPr>
              <w:t>抚河</w:t>
            </w:r>
            <w:r>
              <w:rPr>
                <w:rFonts w:hint="eastAsia"/>
                <w:kern w:val="2"/>
                <w:sz w:val="24"/>
                <w:szCs w:val="22"/>
              </w:rPr>
              <w:t>地表水环境执行</w:t>
            </w:r>
            <w:r>
              <w:rPr>
                <w:kern w:val="2"/>
                <w:sz w:val="24"/>
                <w:szCs w:val="22"/>
              </w:rPr>
              <w:t>《地表水环境质量标准》</w:t>
            </w:r>
            <w:r>
              <w:rPr>
                <w:rFonts w:hint="eastAsia"/>
                <w:kern w:val="2"/>
                <w:sz w:val="24"/>
                <w:szCs w:val="22"/>
              </w:rPr>
              <w:t>（</w:t>
            </w:r>
            <w:r>
              <w:rPr>
                <w:kern w:val="2"/>
                <w:sz w:val="24"/>
                <w:szCs w:val="22"/>
              </w:rPr>
              <w:t>GB3838-2002</w:t>
            </w:r>
            <w:r>
              <w:rPr>
                <w:rFonts w:hint="eastAsia"/>
                <w:kern w:val="2"/>
                <w:sz w:val="24"/>
                <w:szCs w:val="22"/>
              </w:rPr>
              <w:t>）中的</w:t>
            </w:r>
            <w:r>
              <w:rPr>
                <w:rFonts w:hAnsi="宋体"/>
                <w:kern w:val="2"/>
                <w:sz w:val="24"/>
                <w:szCs w:val="22"/>
              </w:rPr>
              <w:fldChar w:fldCharType="begin"/>
            </w:r>
            <w:r>
              <w:rPr>
                <w:rFonts w:hAnsi="宋体"/>
                <w:kern w:val="2"/>
                <w:sz w:val="24"/>
                <w:szCs w:val="22"/>
              </w:rPr>
              <w:instrText xml:space="preserve"> </w:instrText>
            </w:r>
            <w:r>
              <w:rPr>
                <w:rFonts w:hAnsi="宋体" w:hint="eastAsia"/>
                <w:kern w:val="2"/>
                <w:sz w:val="24"/>
                <w:szCs w:val="22"/>
              </w:rPr>
              <w:instrText>= 4 \* ROMAN</w:instrText>
            </w:r>
            <w:r>
              <w:rPr>
                <w:rFonts w:hAnsi="宋体"/>
                <w:kern w:val="2"/>
                <w:sz w:val="24"/>
                <w:szCs w:val="22"/>
              </w:rPr>
              <w:instrText xml:space="preserve"> </w:instrText>
            </w:r>
            <w:r>
              <w:rPr>
                <w:rFonts w:hAnsi="宋体"/>
                <w:kern w:val="2"/>
                <w:sz w:val="24"/>
                <w:szCs w:val="22"/>
              </w:rPr>
              <w:fldChar w:fldCharType="separate"/>
            </w:r>
            <w:r>
              <w:rPr>
                <w:rFonts w:hAnsi="宋体"/>
                <w:kern w:val="2"/>
                <w:sz w:val="24"/>
                <w:szCs w:val="22"/>
              </w:rPr>
              <w:t>III</w:t>
            </w:r>
            <w:r>
              <w:rPr>
                <w:rFonts w:hAnsi="宋体"/>
                <w:kern w:val="2"/>
                <w:sz w:val="24"/>
                <w:szCs w:val="22"/>
              </w:rPr>
              <w:fldChar w:fldCharType="end"/>
            </w:r>
            <w:r>
              <w:rPr>
                <w:kern w:val="2"/>
                <w:sz w:val="24"/>
                <w:szCs w:val="22"/>
              </w:rPr>
              <w:t>类水质标准</w:t>
            </w:r>
            <w:r>
              <w:rPr>
                <w:rFonts w:hint="eastAsia"/>
                <w:kern w:val="2"/>
                <w:sz w:val="24"/>
                <w:szCs w:val="22"/>
              </w:rPr>
              <w:t>，见表1</w:t>
            </w:r>
            <w:r>
              <w:rPr>
                <w:kern w:val="2"/>
                <w:sz w:val="24"/>
                <w:szCs w:val="22"/>
              </w:rPr>
              <w:t>2</w:t>
            </w:r>
            <w:r>
              <w:rPr>
                <w:rFonts w:hint="eastAsia"/>
                <w:kern w:val="2"/>
                <w:sz w:val="24"/>
                <w:szCs w:val="22"/>
              </w:rPr>
              <w:t>所示。</w:t>
            </w:r>
          </w:p>
          <w:p>
            <w:pPr>
              <w:spacing w:line="360" w:lineRule="auto"/>
              <w:ind w:firstLine="480" w:firstLineChars="200"/>
              <w:rPr>
                <w:kern w:val="2"/>
                <w:sz w:val="24"/>
                <w:szCs w:val="22"/>
              </w:rPr>
            </w:pPr>
            <w:r>
              <w:rPr>
                <w:rFonts w:hint="eastAsia"/>
                <w:kern w:val="2"/>
                <w:sz w:val="24"/>
                <w:szCs w:val="22"/>
              </w:rPr>
              <w:t>2、环境空气质量执行</w:t>
            </w:r>
            <w:r>
              <w:rPr>
                <w:kern w:val="2"/>
                <w:sz w:val="24"/>
                <w:szCs w:val="22"/>
              </w:rPr>
              <w:t>《环境空气质量标准》（GB3095－</w:t>
            </w:r>
            <w:r>
              <w:rPr>
                <w:rFonts w:hint="eastAsia"/>
                <w:kern w:val="2"/>
                <w:sz w:val="24"/>
                <w:szCs w:val="22"/>
              </w:rPr>
              <w:t>2012</w:t>
            </w:r>
            <w:r>
              <w:rPr>
                <w:kern w:val="2"/>
                <w:sz w:val="24"/>
                <w:szCs w:val="22"/>
              </w:rPr>
              <w:t>）</w:t>
            </w:r>
            <w:r>
              <w:rPr>
                <w:rFonts w:hint="eastAsia"/>
                <w:kern w:val="2"/>
                <w:sz w:val="24"/>
                <w:szCs w:val="22"/>
              </w:rPr>
              <w:t>中的</w:t>
            </w:r>
            <w:r>
              <w:rPr>
                <w:kern w:val="2"/>
                <w:sz w:val="24"/>
                <w:szCs w:val="22"/>
              </w:rPr>
              <w:t>二</w:t>
            </w:r>
            <w:r>
              <w:rPr>
                <w:rFonts w:hint="eastAsia"/>
                <w:kern w:val="2"/>
                <w:sz w:val="24"/>
                <w:szCs w:val="22"/>
              </w:rPr>
              <w:t>级</w:t>
            </w:r>
            <w:r>
              <w:rPr>
                <w:kern w:val="2"/>
                <w:sz w:val="24"/>
                <w:szCs w:val="22"/>
              </w:rPr>
              <w:t>标准</w:t>
            </w:r>
            <w:r>
              <w:rPr>
                <w:rFonts w:hint="eastAsia"/>
                <w:kern w:val="2"/>
                <w:sz w:val="24"/>
                <w:szCs w:val="22"/>
              </w:rPr>
              <w:t>，见表1</w:t>
            </w:r>
            <w:r>
              <w:rPr>
                <w:kern w:val="2"/>
                <w:sz w:val="24"/>
                <w:szCs w:val="22"/>
              </w:rPr>
              <w:t>2</w:t>
            </w:r>
            <w:r>
              <w:rPr>
                <w:rFonts w:hint="eastAsia"/>
                <w:kern w:val="2"/>
                <w:sz w:val="24"/>
                <w:szCs w:val="22"/>
              </w:rPr>
              <w:t>所示。</w:t>
            </w:r>
          </w:p>
          <w:p>
            <w:pPr>
              <w:spacing w:line="360" w:lineRule="auto"/>
              <w:ind w:firstLine="360" w:firstLineChars="150"/>
              <w:rPr>
                <w:kern w:val="2"/>
                <w:sz w:val="28"/>
                <w:szCs w:val="22"/>
              </w:rPr>
            </w:pPr>
            <w:r>
              <w:rPr>
                <w:rFonts w:hint="eastAsia"/>
                <w:bCs/>
                <w:spacing w:val="8"/>
                <w:kern w:val="2"/>
                <w:sz w:val="24"/>
                <w:szCs w:val="22"/>
              </w:rPr>
              <w:t>3、本项目位于2类声环境功能区，声环境执行</w:t>
            </w:r>
            <w:r>
              <w:rPr>
                <w:bCs/>
                <w:spacing w:val="8"/>
                <w:kern w:val="2"/>
                <w:sz w:val="24"/>
                <w:szCs w:val="22"/>
              </w:rPr>
              <w:t>《声环境质量标准》（GB3096-2008）</w:t>
            </w:r>
            <w:r>
              <w:rPr>
                <w:rFonts w:hint="eastAsia"/>
                <w:bCs/>
                <w:spacing w:val="8"/>
                <w:kern w:val="2"/>
                <w:sz w:val="24"/>
                <w:szCs w:val="22"/>
              </w:rPr>
              <w:t>中2</w:t>
            </w:r>
            <w:r>
              <w:rPr>
                <w:rFonts w:hint="eastAsia"/>
                <w:kern w:val="2"/>
                <w:sz w:val="24"/>
                <w:szCs w:val="22"/>
              </w:rPr>
              <w:t>类</w:t>
            </w:r>
            <w:r>
              <w:rPr>
                <w:kern w:val="2"/>
                <w:sz w:val="24"/>
                <w:szCs w:val="22"/>
              </w:rPr>
              <w:t>标准</w:t>
            </w:r>
            <w:r>
              <w:rPr>
                <w:rFonts w:hint="eastAsia"/>
                <w:kern w:val="2"/>
                <w:sz w:val="24"/>
                <w:szCs w:val="22"/>
              </w:rPr>
              <w:t>；项目厂界东侧为城市主干道（汝水大道）</w:t>
            </w:r>
            <w:r>
              <w:rPr>
                <w:rFonts w:hint="eastAsia"/>
                <w:bCs/>
                <w:spacing w:val="8"/>
                <w:kern w:val="2"/>
                <w:sz w:val="24"/>
                <w:szCs w:val="22"/>
              </w:rPr>
              <w:t>声环境执行</w:t>
            </w:r>
            <w:r>
              <w:rPr>
                <w:bCs/>
                <w:spacing w:val="8"/>
                <w:kern w:val="2"/>
                <w:sz w:val="24"/>
                <w:szCs w:val="22"/>
              </w:rPr>
              <w:t>《声环境质量标准》（GB3096-2008）</w:t>
            </w:r>
            <w:r>
              <w:rPr>
                <w:rFonts w:hint="eastAsia"/>
                <w:bCs/>
                <w:spacing w:val="8"/>
                <w:kern w:val="2"/>
                <w:sz w:val="24"/>
                <w:szCs w:val="22"/>
              </w:rPr>
              <w:t>中</w:t>
            </w:r>
            <w:r>
              <w:rPr>
                <w:bCs/>
                <w:spacing w:val="8"/>
                <w:kern w:val="2"/>
                <w:sz w:val="24"/>
                <w:szCs w:val="22"/>
              </w:rPr>
              <w:t>4a</w:t>
            </w:r>
            <w:r>
              <w:rPr>
                <w:rFonts w:hint="eastAsia"/>
                <w:kern w:val="2"/>
                <w:sz w:val="24"/>
                <w:szCs w:val="22"/>
              </w:rPr>
              <w:t>类</w:t>
            </w:r>
            <w:r>
              <w:rPr>
                <w:kern w:val="2"/>
                <w:sz w:val="24"/>
                <w:szCs w:val="22"/>
              </w:rPr>
              <w:t>标准</w:t>
            </w:r>
            <w:r>
              <w:rPr>
                <w:rFonts w:hint="eastAsia"/>
                <w:kern w:val="2"/>
                <w:sz w:val="24"/>
                <w:szCs w:val="22"/>
              </w:rPr>
              <w:t>，</w:t>
            </w:r>
            <w:r>
              <w:rPr>
                <w:rFonts w:hAnsi="宋体" w:hint="eastAsia"/>
                <w:kern w:val="2"/>
                <w:sz w:val="24"/>
                <w:szCs w:val="22"/>
              </w:rPr>
              <w:t>见表1</w:t>
            </w:r>
            <w:r>
              <w:rPr>
                <w:rFonts w:hAnsi="宋体"/>
                <w:kern w:val="2"/>
                <w:sz w:val="24"/>
                <w:szCs w:val="22"/>
              </w:rPr>
              <w:t>2</w:t>
            </w:r>
            <w:r>
              <w:rPr>
                <w:rFonts w:hAnsi="宋体" w:hint="eastAsia"/>
                <w:kern w:val="2"/>
                <w:sz w:val="24"/>
                <w:szCs w:val="22"/>
              </w:rPr>
              <w:t>所示</w:t>
            </w:r>
            <w:r>
              <w:rPr>
                <w:rFonts w:hint="eastAsia"/>
                <w:kern w:val="2"/>
                <w:sz w:val="24"/>
                <w:szCs w:val="22"/>
              </w:rPr>
              <w:t>。</w:t>
            </w:r>
          </w:p>
          <w:p>
            <w:pPr>
              <w:jc w:val="center"/>
              <w:rPr>
                <w:b/>
                <w:kern w:val="2"/>
                <w:szCs w:val="21"/>
              </w:rPr>
            </w:pPr>
            <w:r>
              <w:rPr>
                <w:rFonts w:hAnsi="宋体"/>
                <w:b/>
                <w:kern w:val="2"/>
                <w:szCs w:val="21"/>
              </w:rPr>
              <w:t>表12</w:t>
            </w:r>
            <w:r>
              <w:rPr>
                <w:rFonts w:hint="eastAsia"/>
                <w:b/>
                <w:kern w:val="2"/>
                <w:szCs w:val="21"/>
              </w:rPr>
              <w:t xml:space="preserve">  </w:t>
            </w:r>
            <w:r>
              <w:rPr>
                <w:rFonts w:hAnsi="宋体"/>
                <w:b/>
                <w:kern w:val="2"/>
                <w:szCs w:val="21"/>
              </w:rPr>
              <w:t>本项目所在区域执行的环境质量标准</w:t>
            </w:r>
          </w:p>
          <w:tbl>
            <w:tblPr>
              <w:tblStyle w:val="TableNormal"/>
              <w:tblW w:w="826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419"/>
              <w:gridCol w:w="2140"/>
              <w:gridCol w:w="826"/>
              <w:gridCol w:w="993"/>
              <w:gridCol w:w="1106"/>
              <w:gridCol w:w="1445"/>
              <w:gridCol w:w="1338"/>
            </w:tblGrid>
            <w:tr>
              <w:tblPrEx>
                <w:tblW w:w="826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cantSplit/>
                <w:trHeight w:val="337"/>
                <w:jc w:val="center"/>
              </w:trPr>
              <w:tc>
                <w:tcPr>
                  <w:tcW w:w="419" w:type="dxa"/>
                  <w:vMerge w:val="restart"/>
                  <w:vAlign w:val="center"/>
                </w:tcPr>
                <w:p>
                  <w:pPr>
                    <w:snapToGrid w:val="0"/>
                    <w:spacing w:line="240" w:lineRule="auto"/>
                    <w:jc w:val="center"/>
                    <w:rPr>
                      <w:b/>
                      <w:kern w:val="2"/>
                      <w:szCs w:val="21"/>
                    </w:rPr>
                  </w:pPr>
                  <w:r>
                    <w:rPr>
                      <w:rFonts w:hAnsi="宋体"/>
                      <w:b/>
                      <w:kern w:val="2"/>
                      <w:szCs w:val="21"/>
                    </w:rPr>
                    <w:t>要素</w:t>
                  </w:r>
                </w:p>
                <w:p>
                  <w:pPr>
                    <w:snapToGrid w:val="0"/>
                    <w:spacing w:line="240" w:lineRule="auto"/>
                    <w:jc w:val="center"/>
                    <w:rPr>
                      <w:b/>
                      <w:kern w:val="2"/>
                      <w:szCs w:val="21"/>
                    </w:rPr>
                  </w:pPr>
                  <w:r>
                    <w:rPr>
                      <w:rFonts w:hAnsi="宋体"/>
                      <w:b/>
                      <w:kern w:val="2"/>
                      <w:szCs w:val="21"/>
                    </w:rPr>
                    <w:t>分类</w:t>
                  </w:r>
                </w:p>
              </w:tc>
              <w:tc>
                <w:tcPr>
                  <w:tcW w:w="2140" w:type="dxa"/>
                  <w:vMerge w:val="restart"/>
                  <w:vAlign w:val="center"/>
                </w:tcPr>
                <w:p>
                  <w:pPr>
                    <w:snapToGrid w:val="0"/>
                    <w:spacing w:line="240" w:lineRule="auto"/>
                    <w:jc w:val="center"/>
                    <w:rPr>
                      <w:b/>
                      <w:kern w:val="2"/>
                      <w:szCs w:val="21"/>
                    </w:rPr>
                  </w:pPr>
                  <w:r>
                    <w:rPr>
                      <w:rFonts w:hAnsi="宋体"/>
                      <w:b/>
                      <w:kern w:val="2"/>
                      <w:szCs w:val="21"/>
                    </w:rPr>
                    <w:t>标准名称</w:t>
                  </w:r>
                </w:p>
              </w:tc>
              <w:tc>
                <w:tcPr>
                  <w:tcW w:w="826" w:type="dxa"/>
                  <w:vMerge w:val="restart"/>
                  <w:vAlign w:val="center"/>
                </w:tcPr>
                <w:p>
                  <w:pPr>
                    <w:snapToGrid w:val="0"/>
                    <w:spacing w:line="240" w:lineRule="auto"/>
                    <w:jc w:val="center"/>
                    <w:rPr>
                      <w:b/>
                      <w:kern w:val="2"/>
                      <w:szCs w:val="21"/>
                    </w:rPr>
                  </w:pPr>
                  <w:r>
                    <w:rPr>
                      <w:rFonts w:hAnsi="宋体"/>
                      <w:b/>
                      <w:kern w:val="2"/>
                      <w:szCs w:val="21"/>
                    </w:rPr>
                    <w:t>适用</w:t>
                  </w:r>
                </w:p>
                <w:p>
                  <w:pPr>
                    <w:snapToGrid w:val="0"/>
                    <w:spacing w:line="240" w:lineRule="auto"/>
                    <w:jc w:val="center"/>
                    <w:rPr>
                      <w:b/>
                      <w:kern w:val="2"/>
                      <w:szCs w:val="21"/>
                    </w:rPr>
                  </w:pPr>
                  <w:r>
                    <w:rPr>
                      <w:rFonts w:hAnsi="宋体"/>
                      <w:b/>
                      <w:kern w:val="2"/>
                      <w:szCs w:val="21"/>
                    </w:rPr>
                    <w:t>类别</w:t>
                  </w:r>
                </w:p>
              </w:tc>
              <w:tc>
                <w:tcPr>
                  <w:tcW w:w="4882" w:type="dxa"/>
                  <w:gridSpan w:val="4"/>
                  <w:vAlign w:val="center"/>
                </w:tcPr>
                <w:p>
                  <w:pPr>
                    <w:snapToGrid w:val="0"/>
                    <w:spacing w:line="240" w:lineRule="auto"/>
                    <w:jc w:val="center"/>
                    <w:rPr>
                      <w:b/>
                      <w:kern w:val="2"/>
                      <w:szCs w:val="21"/>
                    </w:rPr>
                  </w:pPr>
                  <w:r>
                    <w:rPr>
                      <w:rFonts w:hAnsi="宋体"/>
                      <w:b/>
                      <w:kern w:val="2"/>
                      <w:szCs w:val="21"/>
                    </w:rPr>
                    <w:t>标准限值</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napToGrid w:val="0"/>
                    <w:spacing w:line="240" w:lineRule="auto"/>
                    <w:jc w:val="center"/>
                    <w:rPr>
                      <w:kern w:val="2"/>
                      <w:szCs w:val="21"/>
                    </w:rPr>
                  </w:pPr>
                </w:p>
              </w:tc>
              <w:tc>
                <w:tcPr>
                  <w:tcW w:w="993" w:type="dxa"/>
                  <w:vAlign w:val="center"/>
                </w:tcPr>
                <w:p>
                  <w:pPr>
                    <w:snapToGrid w:val="0"/>
                    <w:spacing w:line="240" w:lineRule="auto"/>
                    <w:jc w:val="center"/>
                    <w:rPr>
                      <w:rFonts w:hAnsi="宋体"/>
                      <w:b/>
                      <w:kern w:val="2"/>
                      <w:szCs w:val="21"/>
                    </w:rPr>
                  </w:pPr>
                  <w:r>
                    <w:rPr>
                      <w:rFonts w:hAnsi="宋体" w:hint="eastAsia"/>
                      <w:b/>
                      <w:kern w:val="2"/>
                      <w:szCs w:val="21"/>
                    </w:rPr>
                    <w:t>污染因子</w:t>
                  </w:r>
                </w:p>
              </w:tc>
              <w:tc>
                <w:tcPr>
                  <w:tcW w:w="1106" w:type="dxa"/>
                  <w:vAlign w:val="center"/>
                </w:tcPr>
                <w:p>
                  <w:pPr>
                    <w:snapToGrid w:val="0"/>
                    <w:spacing w:line="240" w:lineRule="auto"/>
                    <w:jc w:val="center"/>
                    <w:rPr>
                      <w:b/>
                      <w:kern w:val="2"/>
                      <w:szCs w:val="21"/>
                    </w:rPr>
                  </w:pPr>
                  <w:r>
                    <w:rPr>
                      <w:rFonts w:hAnsi="宋体" w:hint="eastAsia"/>
                      <w:b/>
                      <w:kern w:val="2"/>
                      <w:szCs w:val="21"/>
                    </w:rPr>
                    <w:t>小时</w:t>
                  </w:r>
                </w:p>
              </w:tc>
              <w:tc>
                <w:tcPr>
                  <w:tcW w:w="1445" w:type="dxa"/>
                  <w:vAlign w:val="center"/>
                </w:tcPr>
                <w:p>
                  <w:pPr>
                    <w:snapToGrid w:val="0"/>
                    <w:spacing w:line="240" w:lineRule="auto"/>
                    <w:jc w:val="center"/>
                    <w:rPr>
                      <w:b/>
                      <w:kern w:val="2"/>
                      <w:szCs w:val="21"/>
                    </w:rPr>
                  </w:pPr>
                  <w:r>
                    <w:rPr>
                      <w:rFonts w:hint="eastAsia"/>
                      <w:b/>
                      <w:kern w:val="2"/>
                      <w:szCs w:val="21"/>
                    </w:rPr>
                    <w:t>日均</w:t>
                  </w:r>
                </w:p>
              </w:tc>
              <w:tc>
                <w:tcPr>
                  <w:tcW w:w="1338" w:type="dxa"/>
                  <w:vAlign w:val="center"/>
                </w:tcPr>
                <w:p>
                  <w:pPr>
                    <w:snapToGrid w:val="0"/>
                    <w:spacing w:line="240" w:lineRule="auto"/>
                    <w:jc w:val="center"/>
                    <w:rPr>
                      <w:b/>
                      <w:kern w:val="2"/>
                      <w:szCs w:val="21"/>
                    </w:rPr>
                  </w:pPr>
                  <w:r>
                    <w:rPr>
                      <w:rFonts w:hint="eastAsia"/>
                      <w:b/>
                      <w:kern w:val="2"/>
                      <w:szCs w:val="21"/>
                    </w:rPr>
                    <w:t>年平均</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restart"/>
                  <w:vAlign w:val="center"/>
                </w:tcPr>
                <w:p>
                  <w:pPr>
                    <w:snapToGrid w:val="0"/>
                    <w:spacing w:line="240" w:lineRule="auto"/>
                    <w:jc w:val="center"/>
                    <w:rPr>
                      <w:kern w:val="2"/>
                      <w:szCs w:val="21"/>
                    </w:rPr>
                  </w:pPr>
                  <w:r>
                    <w:rPr>
                      <w:rFonts w:hAnsi="宋体"/>
                      <w:kern w:val="2"/>
                      <w:szCs w:val="21"/>
                    </w:rPr>
                    <w:t>环</w:t>
                  </w:r>
                </w:p>
                <w:p>
                  <w:pPr>
                    <w:snapToGrid w:val="0"/>
                    <w:spacing w:line="240" w:lineRule="auto"/>
                    <w:jc w:val="center"/>
                    <w:rPr>
                      <w:kern w:val="2"/>
                      <w:szCs w:val="21"/>
                    </w:rPr>
                  </w:pPr>
                  <w:r>
                    <w:rPr>
                      <w:rFonts w:hAnsi="宋体"/>
                      <w:kern w:val="2"/>
                      <w:szCs w:val="21"/>
                    </w:rPr>
                    <w:t>境</w:t>
                  </w:r>
                </w:p>
                <w:p>
                  <w:pPr>
                    <w:snapToGrid w:val="0"/>
                    <w:spacing w:line="240" w:lineRule="auto"/>
                    <w:jc w:val="center"/>
                    <w:rPr>
                      <w:kern w:val="2"/>
                      <w:szCs w:val="21"/>
                    </w:rPr>
                  </w:pPr>
                  <w:r>
                    <w:rPr>
                      <w:rFonts w:hAnsi="宋体"/>
                      <w:kern w:val="2"/>
                      <w:szCs w:val="21"/>
                    </w:rPr>
                    <w:t>空</w:t>
                  </w:r>
                </w:p>
                <w:p>
                  <w:pPr>
                    <w:snapToGrid w:val="0"/>
                    <w:spacing w:line="240" w:lineRule="auto"/>
                    <w:jc w:val="center"/>
                    <w:rPr>
                      <w:kern w:val="2"/>
                      <w:szCs w:val="21"/>
                    </w:rPr>
                  </w:pPr>
                  <w:r>
                    <w:rPr>
                      <w:rFonts w:hAnsi="宋体"/>
                      <w:kern w:val="2"/>
                      <w:szCs w:val="21"/>
                    </w:rPr>
                    <w:t>气</w:t>
                  </w:r>
                </w:p>
              </w:tc>
              <w:tc>
                <w:tcPr>
                  <w:tcW w:w="2140" w:type="dxa"/>
                  <w:vMerge w:val="restart"/>
                  <w:vAlign w:val="center"/>
                </w:tcPr>
                <w:p>
                  <w:pPr>
                    <w:pStyle w:val="075"/>
                    <w:rPr>
                      <w:szCs w:val="22"/>
                    </w:rPr>
                  </w:pPr>
                  <w:r>
                    <w:rPr>
                      <w:rFonts w:hint="eastAsia"/>
                      <w:szCs w:val="22"/>
                    </w:rPr>
                    <w:t>《环境空气质量标准》（GB3095－2012）</w:t>
                  </w:r>
                </w:p>
              </w:tc>
              <w:tc>
                <w:tcPr>
                  <w:tcW w:w="826" w:type="dxa"/>
                  <w:vMerge w:val="restart"/>
                  <w:vAlign w:val="center"/>
                </w:tcPr>
                <w:p>
                  <w:pPr>
                    <w:snapToGrid w:val="0"/>
                    <w:spacing w:line="240" w:lineRule="auto"/>
                    <w:jc w:val="center"/>
                    <w:rPr>
                      <w:kern w:val="2"/>
                      <w:szCs w:val="21"/>
                    </w:rPr>
                  </w:pPr>
                  <w:r>
                    <w:rPr>
                      <w:rFonts w:hAnsi="宋体"/>
                      <w:kern w:val="2"/>
                      <w:szCs w:val="21"/>
                    </w:rPr>
                    <w:t>二级</w:t>
                  </w:r>
                </w:p>
              </w:tc>
              <w:tc>
                <w:tcPr>
                  <w:tcW w:w="993" w:type="dxa"/>
                  <w:vAlign w:val="center"/>
                </w:tcPr>
                <w:p>
                  <w:pPr>
                    <w:snapToGrid w:val="0"/>
                    <w:spacing w:line="240" w:lineRule="auto"/>
                    <w:jc w:val="center"/>
                    <w:rPr>
                      <w:kern w:val="2"/>
                      <w:szCs w:val="21"/>
                    </w:rPr>
                  </w:pPr>
                  <w:r>
                    <w:rPr>
                      <w:kern w:val="2"/>
                      <w:szCs w:val="21"/>
                    </w:rPr>
                    <w:t>SO</w:t>
                  </w:r>
                  <w:r>
                    <w:rPr>
                      <w:kern w:val="2"/>
                      <w:szCs w:val="21"/>
                      <w:vertAlign w:val="subscript"/>
                    </w:rPr>
                    <w:t>2</w:t>
                  </w:r>
                </w:p>
              </w:tc>
              <w:tc>
                <w:tcPr>
                  <w:tcW w:w="1106" w:type="dxa"/>
                  <w:vAlign w:val="center"/>
                </w:tcPr>
                <w:p>
                  <w:pPr>
                    <w:snapToGrid w:val="0"/>
                    <w:spacing w:line="240" w:lineRule="auto"/>
                    <w:jc w:val="center"/>
                    <w:rPr>
                      <w:kern w:val="2"/>
                      <w:szCs w:val="21"/>
                    </w:rPr>
                  </w:pPr>
                  <w:r>
                    <w:rPr>
                      <w:rFonts w:hint="eastAsia"/>
                      <w:kern w:val="2"/>
                      <w:szCs w:val="21"/>
                    </w:rPr>
                    <w:t>0.5</w:t>
                  </w:r>
                  <w:r>
                    <w:rPr>
                      <w:kern w:val="2"/>
                      <w:szCs w:val="21"/>
                    </w:rPr>
                    <w:t>mg/m</w:t>
                  </w:r>
                  <w:r>
                    <w:rPr>
                      <w:kern w:val="2"/>
                      <w:szCs w:val="21"/>
                      <w:vertAlign w:val="superscript"/>
                    </w:rPr>
                    <w:t>3</w:t>
                  </w:r>
                </w:p>
              </w:tc>
              <w:tc>
                <w:tcPr>
                  <w:tcW w:w="1445" w:type="dxa"/>
                  <w:vAlign w:val="center"/>
                </w:tcPr>
                <w:p>
                  <w:pPr>
                    <w:snapToGrid w:val="0"/>
                    <w:spacing w:line="240" w:lineRule="auto"/>
                    <w:jc w:val="center"/>
                    <w:rPr>
                      <w:kern w:val="2"/>
                      <w:szCs w:val="21"/>
                    </w:rPr>
                  </w:pPr>
                  <w:r>
                    <w:rPr>
                      <w:kern w:val="2"/>
                      <w:szCs w:val="21"/>
                    </w:rPr>
                    <w:t>0.</w:t>
                  </w:r>
                  <w:r>
                    <w:rPr>
                      <w:rFonts w:hint="eastAsia"/>
                      <w:kern w:val="2"/>
                      <w:szCs w:val="21"/>
                    </w:rPr>
                    <w:t>15</w:t>
                  </w:r>
                  <w:r>
                    <w:rPr>
                      <w:kern w:val="2"/>
                      <w:szCs w:val="21"/>
                    </w:rPr>
                    <w:t>mg/m</w:t>
                  </w:r>
                  <w:r>
                    <w:rPr>
                      <w:kern w:val="2"/>
                      <w:szCs w:val="21"/>
                      <w:vertAlign w:val="superscript"/>
                    </w:rPr>
                    <w:t>3</w:t>
                  </w:r>
                </w:p>
              </w:tc>
              <w:tc>
                <w:tcPr>
                  <w:tcW w:w="1338" w:type="dxa"/>
                  <w:vAlign w:val="center"/>
                </w:tcPr>
                <w:p>
                  <w:pPr>
                    <w:snapToGrid w:val="0"/>
                    <w:spacing w:line="240" w:lineRule="auto"/>
                    <w:jc w:val="center"/>
                    <w:rPr>
                      <w:kern w:val="2"/>
                      <w:szCs w:val="21"/>
                    </w:rPr>
                  </w:pPr>
                  <w:r>
                    <w:rPr>
                      <w:rFonts w:hint="eastAsia"/>
                      <w:kern w:val="2"/>
                      <w:szCs w:val="21"/>
                    </w:rPr>
                    <w:t>0.06</w:t>
                  </w:r>
                  <w:r>
                    <w:rPr>
                      <w:kern w:val="2"/>
                      <w:szCs w:val="21"/>
                    </w:rPr>
                    <w:t>mg/m</w:t>
                  </w:r>
                  <w:r>
                    <w:rPr>
                      <w:kern w:val="2"/>
                      <w:szCs w:val="21"/>
                      <w:vertAlign w:val="superscript"/>
                    </w:rPr>
                    <w:t>3</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rFonts w:hAnsi="宋体"/>
                      <w:kern w:val="2"/>
                      <w:szCs w:val="21"/>
                    </w:rPr>
                  </w:pPr>
                </w:p>
              </w:tc>
              <w:tc>
                <w:tcPr>
                  <w:tcW w:w="2140" w:type="dxa"/>
                  <w:vMerge/>
                  <w:vAlign w:val="center"/>
                </w:tcPr>
                <w:p>
                  <w:pPr>
                    <w:pStyle w:val="075"/>
                    <w:rPr>
                      <w:szCs w:val="22"/>
                    </w:rPr>
                  </w:pPr>
                </w:p>
              </w:tc>
              <w:tc>
                <w:tcPr>
                  <w:tcW w:w="826" w:type="dxa"/>
                  <w:vMerge/>
                  <w:vAlign w:val="center"/>
                </w:tcPr>
                <w:p>
                  <w:pPr>
                    <w:snapToGrid w:val="0"/>
                    <w:spacing w:line="240" w:lineRule="auto"/>
                    <w:jc w:val="center"/>
                    <w:rPr>
                      <w:rFonts w:hAnsi="宋体"/>
                      <w:kern w:val="2"/>
                      <w:szCs w:val="21"/>
                    </w:rPr>
                  </w:pPr>
                </w:p>
              </w:tc>
              <w:tc>
                <w:tcPr>
                  <w:tcW w:w="993" w:type="dxa"/>
                  <w:vAlign w:val="center"/>
                </w:tcPr>
                <w:p>
                  <w:pPr>
                    <w:snapToGrid w:val="0"/>
                    <w:spacing w:line="240" w:lineRule="auto"/>
                    <w:jc w:val="center"/>
                    <w:rPr>
                      <w:kern w:val="2"/>
                      <w:szCs w:val="21"/>
                    </w:rPr>
                  </w:pPr>
                  <w:r>
                    <w:rPr>
                      <w:rFonts w:hint="eastAsia"/>
                      <w:kern w:val="2"/>
                      <w:szCs w:val="21"/>
                    </w:rPr>
                    <w:t>NO</w:t>
                  </w:r>
                  <w:r>
                    <w:rPr>
                      <w:rFonts w:hint="eastAsia"/>
                      <w:kern w:val="2"/>
                      <w:szCs w:val="21"/>
                      <w:vertAlign w:val="subscript"/>
                    </w:rPr>
                    <w:t>2</w:t>
                  </w:r>
                </w:p>
              </w:tc>
              <w:tc>
                <w:tcPr>
                  <w:tcW w:w="1106" w:type="dxa"/>
                  <w:vAlign w:val="center"/>
                </w:tcPr>
                <w:p>
                  <w:pPr>
                    <w:snapToGrid w:val="0"/>
                    <w:spacing w:line="240" w:lineRule="auto"/>
                    <w:jc w:val="center"/>
                    <w:rPr>
                      <w:kern w:val="2"/>
                      <w:szCs w:val="21"/>
                    </w:rPr>
                  </w:pPr>
                  <w:r>
                    <w:rPr>
                      <w:rFonts w:hint="eastAsia"/>
                      <w:kern w:val="2"/>
                      <w:szCs w:val="21"/>
                    </w:rPr>
                    <w:t>0.2</w:t>
                  </w:r>
                  <w:r>
                    <w:rPr>
                      <w:kern w:val="2"/>
                      <w:szCs w:val="21"/>
                    </w:rPr>
                    <w:t>mg/m</w:t>
                  </w:r>
                  <w:r>
                    <w:rPr>
                      <w:kern w:val="2"/>
                      <w:szCs w:val="21"/>
                      <w:vertAlign w:val="superscript"/>
                    </w:rPr>
                    <w:t>3</w:t>
                  </w:r>
                </w:p>
              </w:tc>
              <w:tc>
                <w:tcPr>
                  <w:tcW w:w="1445" w:type="dxa"/>
                  <w:vAlign w:val="center"/>
                </w:tcPr>
                <w:p>
                  <w:pPr>
                    <w:snapToGrid w:val="0"/>
                    <w:spacing w:line="240" w:lineRule="auto"/>
                    <w:jc w:val="center"/>
                    <w:rPr>
                      <w:kern w:val="2"/>
                      <w:szCs w:val="21"/>
                    </w:rPr>
                  </w:pPr>
                  <w:r>
                    <w:rPr>
                      <w:rFonts w:hint="eastAsia"/>
                      <w:kern w:val="2"/>
                      <w:szCs w:val="21"/>
                    </w:rPr>
                    <w:t>0.08</w:t>
                  </w:r>
                  <w:r>
                    <w:rPr>
                      <w:kern w:val="2"/>
                      <w:szCs w:val="21"/>
                    </w:rPr>
                    <w:t>mg/m</w:t>
                  </w:r>
                  <w:r>
                    <w:rPr>
                      <w:kern w:val="2"/>
                      <w:szCs w:val="21"/>
                      <w:vertAlign w:val="superscript"/>
                    </w:rPr>
                    <w:t>3</w:t>
                  </w:r>
                </w:p>
              </w:tc>
              <w:tc>
                <w:tcPr>
                  <w:tcW w:w="1338" w:type="dxa"/>
                  <w:vAlign w:val="center"/>
                </w:tcPr>
                <w:p>
                  <w:pPr>
                    <w:snapToGrid w:val="0"/>
                    <w:spacing w:line="240" w:lineRule="auto"/>
                    <w:jc w:val="center"/>
                    <w:rPr>
                      <w:kern w:val="2"/>
                      <w:szCs w:val="21"/>
                    </w:rPr>
                  </w:pPr>
                  <w:r>
                    <w:rPr>
                      <w:rFonts w:hint="eastAsia"/>
                      <w:kern w:val="2"/>
                      <w:szCs w:val="21"/>
                    </w:rPr>
                    <w:t>0.04</w:t>
                  </w:r>
                  <w:r>
                    <w:rPr>
                      <w:kern w:val="2"/>
                      <w:szCs w:val="21"/>
                    </w:rPr>
                    <w:t>mg/m</w:t>
                  </w:r>
                  <w:r>
                    <w:rPr>
                      <w:kern w:val="2"/>
                      <w:szCs w:val="21"/>
                      <w:vertAlign w:val="superscript"/>
                    </w:rPr>
                    <w:t>3</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kern w:val="2"/>
                      <w:szCs w:val="21"/>
                    </w:rPr>
                  </w:pPr>
                  <w:r>
                    <w:rPr>
                      <w:kern w:val="2"/>
                      <w:szCs w:val="21"/>
                    </w:rPr>
                    <w:t>PM</w:t>
                  </w:r>
                  <w:r>
                    <w:rPr>
                      <w:kern w:val="2"/>
                      <w:szCs w:val="21"/>
                      <w:vertAlign w:val="subscript"/>
                    </w:rPr>
                    <w:t>10</w:t>
                  </w:r>
                </w:p>
              </w:tc>
              <w:tc>
                <w:tcPr>
                  <w:tcW w:w="1106" w:type="dxa"/>
                  <w:vAlign w:val="center"/>
                </w:tcPr>
                <w:p>
                  <w:pPr>
                    <w:snapToGrid w:val="0"/>
                    <w:spacing w:line="240" w:lineRule="auto"/>
                    <w:jc w:val="center"/>
                    <w:rPr>
                      <w:kern w:val="2"/>
                      <w:szCs w:val="21"/>
                    </w:rPr>
                  </w:pPr>
                  <w:r>
                    <w:rPr>
                      <w:rFonts w:hint="eastAsia"/>
                      <w:kern w:val="2"/>
                      <w:szCs w:val="21"/>
                    </w:rPr>
                    <w:t>/</w:t>
                  </w:r>
                </w:p>
              </w:tc>
              <w:tc>
                <w:tcPr>
                  <w:tcW w:w="1445" w:type="dxa"/>
                  <w:vAlign w:val="center"/>
                </w:tcPr>
                <w:p>
                  <w:pPr>
                    <w:snapToGrid w:val="0"/>
                    <w:spacing w:line="240" w:lineRule="auto"/>
                    <w:jc w:val="center"/>
                    <w:rPr>
                      <w:kern w:val="2"/>
                      <w:szCs w:val="21"/>
                    </w:rPr>
                  </w:pPr>
                  <w:r>
                    <w:rPr>
                      <w:rFonts w:hint="eastAsia"/>
                      <w:kern w:val="2"/>
                      <w:szCs w:val="21"/>
                    </w:rPr>
                    <w:t>0.15</w:t>
                  </w:r>
                  <w:r>
                    <w:rPr>
                      <w:kern w:val="2"/>
                      <w:szCs w:val="21"/>
                    </w:rPr>
                    <w:t>mg/m</w:t>
                  </w:r>
                  <w:r>
                    <w:rPr>
                      <w:kern w:val="2"/>
                      <w:szCs w:val="21"/>
                      <w:vertAlign w:val="superscript"/>
                    </w:rPr>
                    <w:t>3</w:t>
                  </w:r>
                </w:p>
              </w:tc>
              <w:tc>
                <w:tcPr>
                  <w:tcW w:w="1338" w:type="dxa"/>
                  <w:vAlign w:val="center"/>
                </w:tcPr>
                <w:p>
                  <w:pPr>
                    <w:snapToGrid w:val="0"/>
                    <w:spacing w:line="240" w:lineRule="auto"/>
                    <w:jc w:val="center"/>
                    <w:rPr>
                      <w:kern w:val="2"/>
                      <w:szCs w:val="21"/>
                    </w:rPr>
                  </w:pPr>
                  <w:r>
                    <w:rPr>
                      <w:rFonts w:hint="eastAsia"/>
                      <w:kern w:val="2"/>
                      <w:szCs w:val="21"/>
                    </w:rPr>
                    <w:t>0.07</w:t>
                  </w:r>
                  <w:r>
                    <w:rPr>
                      <w:kern w:val="2"/>
                      <w:szCs w:val="21"/>
                    </w:rPr>
                    <w:t>mg/m</w:t>
                  </w:r>
                  <w:r>
                    <w:rPr>
                      <w:kern w:val="2"/>
                      <w:szCs w:val="21"/>
                      <w:vertAlign w:val="superscript"/>
                    </w:rPr>
                    <w:t>3</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kern w:val="2"/>
                      <w:szCs w:val="21"/>
                    </w:rPr>
                  </w:pPr>
                  <w:r>
                    <w:rPr>
                      <w:kern w:val="2"/>
                      <w:szCs w:val="21"/>
                    </w:rPr>
                    <w:t>PM</w:t>
                  </w:r>
                  <w:r>
                    <w:rPr>
                      <w:kern w:val="2"/>
                      <w:szCs w:val="21"/>
                      <w:vertAlign w:val="subscript"/>
                    </w:rPr>
                    <w:t>2.5</w:t>
                  </w:r>
                </w:p>
              </w:tc>
              <w:tc>
                <w:tcPr>
                  <w:tcW w:w="1106" w:type="dxa"/>
                  <w:vAlign w:val="center"/>
                </w:tcPr>
                <w:p>
                  <w:pPr>
                    <w:snapToGrid w:val="0"/>
                    <w:spacing w:line="240" w:lineRule="auto"/>
                    <w:jc w:val="center"/>
                    <w:rPr>
                      <w:kern w:val="2"/>
                      <w:szCs w:val="21"/>
                    </w:rPr>
                  </w:pPr>
                  <w:r>
                    <w:rPr>
                      <w:rFonts w:hint="eastAsia"/>
                      <w:kern w:val="2"/>
                      <w:szCs w:val="21"/>
                    </w:rPr>
                    <w:t>/</w:t>
                  </w:r>
                </w:p>
              </w:tc>
              <w:tc>
                <w:tcPr>
                  <w:tcW w:w="1445" w:type="dxa"/>
                  <w:vAlign w:val="center"/>
                </w:tcPr>
                <w:p>
                  <w:pPr>
                    <w:snapToGrid w:val="0"/>
                    <w:spacing w:line="240" w:lineRule="auto"/>
                    <w:jc w:val="center"/>
                    <w:rPr>
                      <w:kern w:val="2"/>
                      <w:szCs w:val="21"/>
                    </w:rPr>
                  </w:pPr>
                  <w:r>
                    <w:rPr>
                      <w:rFonts w:hint="eastAsia"/>
                      <w:kern w:val="2"/>
                      <w:szCs w:val="21"/>
                    </w:rPr>
                    <w:t>0.</w:t>
                  </w:r>
                  <w:r>
                    <w:rPr>
                      <w:kern w:val="2"/>
                      <w:szCs w:val="21"/>
                    </w:rPr>
                    <w:t>07</w:t>
                  </w:r>
                  <w:r>
                    <w:rPr>
                      <w:rFonts w:hint="eastAsia"/>
                      <w:kern w:val="2"/>
                      <w:szCs w:val="21"/>
                    </w:rPr>
                    <w:t>5</w:t>
                  </w:r>
                  <w:r>
                    <w:rPr>
                      <w:kern w:val="2"/>
                      <w:szCs w:val="21"/>
                    </w:rPr>
                    <w:t>mg/m</w:t>
                  </w:r>
                  <w:r>
                    <w:rPr>
                      <w:kern w:val="2"/>
                      <w:szCs w:val="21"/>
                      <w:vertAlign w:val="superscript"/>
                    </w:rPr>
                    <w:t>3</w:t>
                  </w:r>
                </w:p>
              </w:tc>
              <w:tc>
                <w:tcPr>
                  <w:tcW w:w="1338" w:type="dxa"/>
                  <w:vAlign w:val="center"/>
                </w:tcPr>
                <w:p>
                  <w:pPr>
                    <w:snapToGrid w:val="0"/>
                    <w:spacing w:line="240" w:lineRule="auto"/>
                    <w:jc w:val="center"/>
                    <w:rPr>
                      <w:kern w:val="2"/>
                      <w:szCs w:val="21"/>
                    </w:rPr>
                  </w:pPr>
                  <w:r>
                    <w:rPr>
                      <w:rFonts w:hint="eastAsia"/>
                      <w:kern w:val="2"/>
                      <w:szCs w:val="21"/>
                    </w:rPr>
                    <w:t>0.0</w:t>
                  </w:r>
                  <w:r>
                    <w:rPr>
                      <w:kern w:val="2"/>
                      <w:szCs w:val="21"/>
                    </w:rPr>
                    <w:t>35mg/m</w:t>
                  </w:r>
                  <w:r>
                    <w:rPr>
                      <w:kern w:val="2"/>
                      <w:szCs w:val="21"/>
                      <w:vertAlign w:val="superscript"/>
                    </w:rPr>
                    <w:t>3</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color w:val="000000"/>
                      <w:kern w:val="2"/>
                      <w:szCs w:val="21"/>
                    </w:rPr>
                  </w:pPr>
                  <w:r>
                    <w:rPr>
                      <w:rFonts w:hint="eastAsia"/>
                      <w:color w:val="000000"/>
                      <w:kern w:val="2"/>
                      <w:szCs w:val="21"/>
                    </w:rPr>
                    <w:t>C</w:t>
                  </w:r>
                  <w:r>
                    <w:rPr>
                      <w:color w:val="000000"/>
                      <w:kern w:val="2"/>
                      <w:szCs w:val="21"/>
                    </w:rPr>
                    <w:t>O</w:t>
                  </w:r>
                </w:p>
              </w:tc>
              <w:tc>
                <w:tcPr>
                  <w:tcW w:w="1106" w:type="dxa"/>
                  <w:vAlign w:val="center"/>
                </w:tcPr>
                <w:p>
                  <w:pPr>
                    <w:snapToGrid w:val="0"/>
                    <w:spacing w:line="240" w:lineRule="auto"/>
                    <w:jc w:val="center"/>
                    <w:rPr>
                      <w:color w:val="000000"/>
                      <w:kern w:val="2"/>
                      <w:szCs w:val="21"/>
                    </w:rPr>
                  </w:pPr>
                  <w:r>
                    <w:rPr>
                      <w:rFonts w:hint="eastAsia"/>
                      <w:color w:val="000000"/>
                      <w:kern w:val="2"/>
                      <w:szCs w:val="21"/>
                    </w:rPr>
                    <w:t>0</w:t>
                  </w:r>
                  <w:r>
                    <w:rPr>
                      <w:color w:val="000000"/>
                      <w:kern w:val="2"/>
                      <w:szCs w:val="21"/>
                    </w:rPr>
                    <w:t>.2mg/m</w:t>
                  </w:r>
                  <w:r>
                    <w:rPr>
                      <w:color w:val="000000"/>
                      <w:kern w:val="2"/>
                      <w:szCs w:val="21"/>
                      <w:vertAlign w:val="superscript"/>
                    </w:rPr>
                    <w:t>3</w:t>
                  </w:r>
                </w:p>
              </w:tc>
              <w:tc>
                <w:tcPr>
                  <w:tcW w:w="1445" w:type="dxa"/>
                  <w:vAlign w:val="center"/>
                </w:tcPr>
                <w:p>
                  <w:pPr>
                    <w:snapToGrid w:val="0"/>
                    <w:spacing w:line="240" w:lineRule="auto"/>
                    <w:jc w:val="center"/>
                    <w:rPr>
                      <w:color w:val="000000"/>
                      <w:kern w:val="2"/>
                      <w:szCs w:val="21"/>
                    </w:rPr>
                  </w:pPr>
                  <w:r>
                    <w:rPr>
                      <w:rFonts w:hint="eastAsia"/>
                      <w:color w:val="000000"/>
                      <w:kern w:val="2"/>
                      <w:szCs w:val="21"/>
                    </w:rPr>
                    <w:t>0</w:t>
                  </w:r>
                  <w:r>
                    <w:rPr>
                      <w:color w:val="000000"/>
                      <w:kern w:val="2"/>
                      <w:szCs w:val="21"/>
                    </w:rPr>
                    <w:t>.004mg/m</w:t>
                  </w:r>
                  <w:r>
                    <w:rPr>
                      <w:color w:val="000000"/>
                      <w:kern w:val="2"/>
                      <w:szCs w:val="21"/>
                      <w:vertAlign w:val="superscript"/>
                    </w:rPr>
                    <w:t>3</w:t>
                  </w:r>
                </w:p>
              </w:tc>
              <w:tc>
                <w:tcPr>
                  <w:tcW w:w="1338" w:type="dxa"/>
                  <w:vAlign w:val="center"/>
                </w:tcPr>
                <w:p>
                  <w:pPr>
                    <w:snapToGrid w:val="0"/>
                    <w:spacing w:line="240" w:lineRule="auto"/>
                    <w:jc w:val="center"/>
                    <w:rPr>
                      <w:color w:val="000000"/>
                      <w:kern w:val="2"/>
                      <w:szCs w:val="21"/>
                    </w:rPr>
                  </w:pPr>
                  <w:r>
                    <w:rPr>
                      <w:rFonts w:hint="eastAsia"/>
                      <w:color w:val="000000"/>
                      <w:kern w:val="2"/>
                      <w:szCs w:val="21"/>
                    </w:rPr>
                    <w:t>/</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color w:val="000000"/>
                      <w:kern w:val="2"/>
                      <w:szCs w:val="21"/>
                      <w:vertAlign w:val="subscript"/>
                    </w:rPr>
                  </w:pPr>
                  <w:r>
                    <w:rPr>
                      <w:rFonts w:hint="eastAsia"/>
                      <w:color w:val="000000"/>
                      <w:kern w:val="2"/>
                      <w:szCs w:val="21"/>
                    </w:rPr>
                    <w:t>O</w:t>
                  </w:r>
                  <w:r>
                    <w:rPr>
                      <w:color w:val="000000"/>
                      <w:kern w:val="2"/>
                      <w:szCs w:val="21"/>
                      <w:vertAlign w:val="subscript"/>
                    </w:rPr>
                    <w:t>3</w:t>
                  </w:r>
                </w:p>
              </w:tc>
              <w:tc>
                <w:tcPr>
                  <w:tcW w:w="1106" w:type="dxa"/>
                  <w:vAlign w:val="center"/>
                </w:tcPr>
                <w:p>
                  <w:pPr>
                    <w:snapToGrid w:val="0"/>
                    <w:spacing w:line="240" w:lineRule="auto"/>
                    <w:jc w:val="center"/>
                    <w:rPr>
                      <w:color w:val="000000"/>
                      <w:kern w:val="2"/>
                      <w:szCs w:val="21"/>
                    </w:rPr>
                  </w:pPr>
                  <w:r>
                    <w:rPr>
                      <w:rFonts w:hint="eastAsia"/>
                      <w:color w:val="000000"/>
                      <w:kern w:val="2"/>
                      <w:szCs w:val="21"/>
                    </w:rPr>
                    <w:t>0</w:t>
                  </w:r>
                  <w:r>
                    <w:rPr>
                      <w:color w:val="000000"/>
                      <w:kern w:val="2"/>
                      <w:szCs w:val="21"/>
                    </w:rPr>
                    <w:t>.2mg/m</w:t>
                  </w:r>
                  <w:r>
                    <w:rPr>
                      <w:color w:val="000000"/>
                      <w:kern w:val="2"/>
                      <w:szCs w:val="21"/>
                      <w:vertAlign w:val="superscript"/>
                    </w:rPr>
                    <w:t>3</w:t>
                  </w:r>
                </w:p>
              </w:tc>
              <w:tc>
                <w:tcPr>
                  <w:tcW w:w="2783" w:type="dxa"/>
                  <w:gridSpan w:val="2"/>
                  <w:vAlign w:val="center"/>
                </w:tcPr>
                <w:p>
                  <w:pPr>
                    <w:snapToGrid w:val="0"/>
                    <w:spacing w:line="240" w:lineRule="auto"/>
                    <w:jc w:val="center"/>
                    <w:rPr>
                      <w:color w:val="000000"/>
                      <w:kern w:val="2"/>
                      <w:szCs w:val="21"/>
                    </w:rPr>
                  </w:pPr>
                  <w:r>
                    <w:rPr>
                      <w:rFonts w:hint="eastAsia"/>
                      <w:color w:val="000000"/>
                      <w:kern w:val="2"/>
                      <w:szCs w:val="21"/>
                    </w:rPr>
                    <w:t>0</w:t>
                  </w:r>
                  <w:r>
                    <w:rPr>
                      <w:color w:val="000000"/>
                      <w:kern w:val="2"/>
                      <w:szCs w:val="21"/>
                    </w:rPr>
                    <w:t>.16 mg/m</w:t>
                  </w:r>
                  <w:r>
                    <w:rPr>
                      <w:color w:val="000000"/>
                      <w:kern w:val="2"/>
                      <w:szCs w:val="21"/>
                      <w:vertAlign w:val="superscript"/>
                    </w:rPr>
                    <w:t>3</w:t>
                  </w:r>
                  <w:r>
                    <w:rPr>
                      <w:rFonts w:hint="eastAsia"/>
                      <w:color w:val="000000"/>
                      <w:kern w:val="2"/>
                      <w:szCs w:val="21"/>
                    </w:rPr>
                    <w:t>（最大8小时平均）</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restart"/>
                  <w:vAlign w:val="center"/>
                </w:tcPr>
                <w:p>
                  <w:pPr>
                    <w:snapToGrid w:val="0"/>
                    <w:spacing w:line="240" w:lineRule="auto"/>
                    <w:jc w:val="center"/>
                    <w:rPr>
                      <w:kern w:val="2"/>
                      <w:szCs w:val="21"/>
                    </w:rPr>
                  </w:pPr>
                  <w:r>
                    <w:rPr>
                      <w:rFonts w:hAnsi="宋体"/>
                      <w:kern w:val="2"/>
                      <w:szCs w:val="21"/>
                    </w:rPr>
                    <w:t>地</w:t>
                  </w:r>
                </w:p>
                <w:p>
                  <w:pPr>
                    <w:snapToGrid w:val="0"/>
                    <w:spacing w:line="240" w:lineRule="auto"/>
                    <w:jc w:val="center"/>
                    <w:rPr>
                      <w:kern w:val="2"/>
                      <w:szCs w:val="21"/>
                    </w:rPr>
                  </w:pPr>
                  <w:r>
                    <w:rPr>
                      <w:rFonts w:hAnsi="宋体"/>
                      <w:kern w:val="2"/>
                      <w:szCs w:val="21"/>
                    </w:rPr>
                    <w:t>表</w:t>
                  </w:r>
                </w:p>
                <w:p>
                  <w:pPr>
                    <w:snapToGrid w:val="0"/>
                    <w:spacing w:line="240" w:lineRule="auto"/>
                    <w:jc w:val="center"/>
                    <w:rPr>
                      <w:kern w:val="2"/>
                      <w:szCs w:val="21"/>
                    </w:rPr>
                  </w:pPr>
                  <w:r>
                    <w:rPr>
                      <w:rFonts w:hAnsi="宋体"/>
                      <w:kern w:val="2"/>
                      <w:szCs w:val="21"/>
                    </w:rPr>
                    <w:t>水</w:t>
                  </w:r>
                </w:p>
                <w:p>
                  <w:pPr>
                    <w:snapToGrid w:val="0"/>
                    <w:spacing w:line="240" w:lineRule="auto"/>
                    <w:jc w:val="center"/>
                    <w:rPr>
                      <w:kern w:val="2"/>
                      <w:szCs w:val="21"/>
                    </w:rPr>
                  </w:pPr>
                  <w:r>
                    <w:rPr>
                      <w:rFonts w:hAnsi="宋体"/>
                      <w:kern w:val="2"/>
                      <w:szCs w:val="21"/>
                    </w:rPr>
                    <w:t>环</w:t>
                  </w:r>
                </w:p>
                <w:p>
                  <w:pPr>
                    <w:snapToGrid w:val="0"/>
                    <w:spacing w:line="240" w:lineRule="auto"/>
                    <w:jc w:val="center"/>
                    <w:rPr>
                      <w:kern w:val="2"/>
                      <w:szCs w:val="21"/>
                    </w:rPr>
                  </w:pPr>
                  <w:r>
                    <w:rPr>
                      <w:rFonts w:hAnsi="宋体"/>
                      <w:kern w:val="2"/>
                      <w:szCs w:val="21"/>
                    </w:rPr>
                    <w:t>境</w:t>
                  </w:r>
                </w:p>
              </w:tc>
              <w:tc>
                <w:tcPr>
                  <w:tcW w:w="2140" w:type="dxa"/>
                  <w:vMerge w:val="restart"/>
                  <w:vAlign w:val="center"/>
                </w:tcPr>
                <w:p>
                  <w:pPr>
                    <w:pStyle w:val="075"/>
                    <w:rPr>
                      <w:szCs w:val="21"/>
                    </w:rPr>
                  </w:pPr>
                  <w:r>
                    <w:rPr>
                      <w:szCs w:val="22"/>
                    </w:rPr>
                    <w:t>《地表水环境质量标准》</w:t>
                  </w:r>
                  <w:r>
                    <w:rPr>
                      <w:rFonts w:hint="eastAsia"/>
                      <w:szCs w:val="22"/>
                    </w:rPr>
                    <w:t>（</w:t>
                  </w:r>
                  <w:r>
                    <w:rPr>
                      <w:szCs w:val="22"/>
                    </w:rPr>
                    <w:t>GB3838-2002</w:t>
                  </w:r>
                  <w:r>
                    <w:rPr>
                      <w:rFonts w:hint="eastAsia"/>
                      <w:szCs w:val="22"/>
                    </w:rPr>
                    <w:t>）</w:t>
                  </w:r>
                </w:p>
              </w:tc>
              <w:tc>
                <w:tcPr>
                  <w:tcW w:w="826" w:type="dxa"/>
                  <w:vMerge w:val="restart"/>
                  <w:vAlign w:val="center"/>
                </w:tcPr>
                <w:p>
                  <w:pPr>
                    <w:spacing w:line="240" w:lineRule="auto"/>
                    <w:jc w:val="center"/>
                    <w:rPr>
                      <w:kern w:val="2"/>
                      <w:szCs w:val="21"/>
                    </w:rPr>
                  </w:pPr>
                  <w:r>
                    <w:rPr>
                      <w:szCs w:val="21"/>
                    </w:rPr>
                    <w:fldChar w:fldCharType="begin"/>
                  </w:r>
                  <w:r>
                    <w:rPr>
                      <w:szCs w:val="21"/>
                    </w:rPr>
                    <w:instrText xml:space="preserve"> = 2 \* ROMAN \* MERGEFORMAT </w:instrText>
                  </w:r>
                  <w:r>
                    <w:rPr>
                      <w:szCs w:val="21"/>
                    </w:rPr>
                    <w:fldChar w:fldCharType="separate"/>
                  </w:r>
                  <w:r>
                    <w:rPr>
                      <w:szCs w:val="21"/>
                    </w:rPr>
                    <w:t>II</w:t>
                  </w:r>
                  <w:r>
                    <w:rPr>
                      <w:szCs w:val="21"/>
                    </w:rPr>
                    <w:fldChar w:fldCharType="end"/>
                  </w:r>
                  <w:r>
                    <w:rPr>
                      <w:szCs w:val="21"/>
                    </w:rPr>
                    <w:t>类</w:t>
                  </w:r>
                </w:p>
              </w:tc>
              <w:tc>
                <w:tcPr>
                  <w:tcW w:w="993" w:type="dxa"/>
                  <w:vAlign w:val="center"/>
                </w:tcPr>
                <w:p>
                  <w:pPr>
                    <w:spacing w:line="240" w:lineRule="auto"/>
                    <w:jc w:val="center"/>
                    <w:rPr>
                      <w:color w:val="000000"/>
                      <w:kern w:val="2"/>
                      <w:szCs w:val="21"/>
                    </w:rPr>
                  </w:pPr>
                  <w:r>
                    <w:rPr>
                      <w:szCs w:val="21"/>
                    </w:rPr>
                    <w:t>pH</w:t>
                  </w:r>
                </w:p>
              </w:tc>
              <w:tc>
                <w:tcPr>
                  <w:tcW w:w="3889" w:type="dxa"/>
                  <w:gridSpan w:val="3"/>
                  <w:vAlign w:val="center"/>
                </w:tcPr>
                <w:p>
                  <w:pPr>
                    <w:snapToGrid w:val="0"/>
                    <w:spacing w:line="240" w:lineRule="auto"/>
                    <w:jc w:val="center"/>
                    <w:rPr>
                      <w:color w:val="000000"/>
                      <w:kern w:val="2"/>
                      <w:szCs w:val="21"/>
                    </w:rPr>
                  </w:pPr>
                  <w:r>
                    <w:rPr>
                      <w:szCs w:val="21"/>
                    </w:rPr>
                    <w:t>6~9</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pStyle w:val="075"/>
                    <w:rPr>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color w:val="000000"/>
                      <w:kern w:val="2"/>
                      <w:szCs w:val="21"/>
                    </w:rPr>
                  </w:pPr>
                  <w:r>
                    <w:rPr>
                      <w:szCs w:val="21"/>
                    </w:rPr>
                    <w:t>CODCr</w:t>
                  </w:r>
                </w:p>
              </w:tc>
              <w:tc>
                <w:tcPr>
                  <w:tcW w:w="3889" w:type="dxa"/>
                  <w:gridSpan w:val="3"/>
                  <w:vAlign w:val="center"/>
                </w:tcPr>
                <w:p>
                  <w:pPr>
                    <w:snapToGrid w:val="0"/>
                    <w:spacing w:line="240" w:lineRule="auto"/>
                    <w:jc w:val="center"/>
                    <w:rPr>
                      <w:color w:val="000000"/>
                      <w:kern w:val="2"/>
                      <w:szCs w:val="21"/>
                    </w:rPr>
                  </w:pPr>
                  <w:r>
                    <w:rPr>
                      <w:szCs w:val="21"/>
                    </w:rPr>
                    <w:t>≤15mg/L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pStyle w:val="075"/>
                    <w:rPr>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color w:val="000000"/>
                      <w:kern w:val="2"/>
                      <w:szCs w:val="21"/>
                    </w:rPr>
                  </w:pPr>
                  <w:r>
                    <w:rPr>
                      <w:szCs w:val="21"/>
                    </w:rPr>
                    <w:t>BOD5</w:t>
                  </w:r>
                </w:p>
              </w:tc>
              <w:tc>
                <w:tcPr>
                  <w:tcW w:w="3889" w:type="dxa"/>
                  <w:gridSpan w:val="3"/>
                  <w:vAlign w:val="center"/>
                </w:tcPr>
                <w:p>
                  <w:pPr>
                    <w:snapToGrid w:val="0"/>
                    <w:spacing w:line="240" w:lineRule="auto"/>
                    <w:jc w:val="center"/>
                    <w:rPr>
                      <w:color w:val="000000"/>
                      <w:kern w:val="2"/>
                      <w:szCs w:val="21"/>
                    </w:rPr>
                  </w:pPr>
                  <w:r>
                    <w:rPr>
                      <w:szCs w:val="21"/>
                    </w:rPr>
                    <w:t>≤3mg/L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pStyle w:val="075"/>
                    <w:rPr>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color w:val="000000"/>
                      <w:kern w:val="2"/>
                      <w:szCs w:val="21"/>
                    </w:rPr>
                  </w:pPr>
                  <w:r>
                    <w:rPr>
                      <w:szCs w:val="21"/>
                    </w:rPr>
                    <w:t>NH3-N</w:t>
                  </w:r>
                </w:p>
              </w:tc>
              <w:tc>
                <w:tcPr>
                  <w:tcW w:w="3889" w:type="dxa"/>
                  <w:gridSpan w:val="3"/>
                  <w:vAlign w:val="center"/>
                </w:tcPr>
                <w:p>
                  <w:pPr>
                    <w:snapToGrid w:val="0"/>
                    <w:spacing w:line="240" w:lineRule="auto"/>
                    <w:jc w:val="center"/>
                    <w:rPr>
                      <w:color w:val="000000"/>
                      <w:kern w:val="2"/>
                      <w:szCs w:val="21"/>
                    </w:rPr>
                  </w:pPr>
                  <w:r>
                    <w:rPr>
                      <w:szCs w:val="21"/>
                    </w:rPr>
                    <w:t>≤0.5mg/L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pStyle w:val="075"/>
                    <w:rPr>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szCs w:val="21"/>
                    </w:rPr>
                  </w:pPr>
                  <w:r>
                    <w:rPr>
                      <w:szCs w:val="21"/>
                    </w:rPr>
                    <w:t>SS</w:t>
                  </w:r>
                </w:p>
              </w:tc>
              <w:tc>
                <w:tcPr>
                  <w:tcW w:w="3889" w:type="dxa"/>
                  <w:gridSpan w:val="3"/>
                  <w:vAlign w:val="center"/>
                </w:tcPr>
                <w:p>
                  <w:pPr>
                    <w:snapToGrid w:val="0"/>
                    <w:spacing w:line="240" w:lineRule="auto"/>
                    <w:jc w:val="center"/>
                    <w:rPr>
                      <w:szCs w:val="21"/>
                    </w:rPr>
                  </w:pPr>
                  <w:r>
                    <w:rPr>
                      <w:szCs w:val="21"/>
                    </w:rPr>
                    <w:t>≤25mg/L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pStyle w:val="075"/>
                    <w:rPr>
                      <w:szCs w:val="21"/>
                    </w:rPr>
                  </w:pPr>
                </w:p>
              </w:tc>
              <w:tc>
                <w:tcPr>
                  <w:tcW w:w="826" w:type="dxa"/>
                  <w:vMerge/>
                  <w:vAlign w:val="center"/>
                </w:tcPr>
                <w:p>
                  <w:pPr>
                    <w:spacing w:line="240" w:lineRule="auto"/>
                    <w:jc w:val="center"/>
                    <w:rPr>
                      <w:kern w:val="2"/>
                      <w:szCs w:val="21"/>
                    </w:rPr>
                  </w:pPr>
                </w:p>
              </w:tc>
              <w:tc>
                <w:tcPr>
                  <w:tcW w:w="993" w:type="dxa"/>
                  <w:vAlign w:val="center"/>
                </w:tcPr>
                <w:p>
                  <w:pPr>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T</w:t>
                  </w:r>
                  <w:r>
                    <w:rPr>
                      <w:color w:val="000000" w:themeColor="text1"/>
                      <w:kern w:val="2"/>
                      <w:szCs w:val="21"/>
                      <w14:textFill>
                        <w14:solidFill>
                          <w14:schemeClr w14:val="tx1"/>
                        </w14:solidFill>
                      </w14:textFill>
                    </w:rPr>
                    <w:t>P</w:t>
                  </w:r>
                </w:p>
              </w:tc>
              <w:tc>
                <w:tcPr>
                  <w:tcW w:w="3889" w:type="dxa"/>
                  <w:gridSpan w:val="3"/>
                  <w:vAlign w:val="center"/>
                </w:tcPr>
                <w:p>
                  <w:pPr>
                    <w:snapToGrid w:val="0"/>
                    <w:spacing w:line="240" w:lineRule="auto"/>
                    <w:jc w:val="center"/>
                    <w:rPr>
                      <w:color w:val="000000" w:themeColor="text1"/>
                      <w:kern w:val="2"/>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kern w:val="2"/>
                      <w:szCs w:val="21"/>
                      <w14:textFill>
                        <w14:solidFill>
                          <w14:schemeClr w14:val="tx1"/>
                        </w14:solidFill>
                      </w14:textFill>
                    </w:rPr>
                    <w:t>0</w:t>
                  </w:r>
                  <w:r>
                    <w:rPr>
                      <w:color w:val="000000" w:themeColor="text1"/>
                      <w:kern w:val="2"/>
                      <w:szCs w:val="21"/>
                      <w14:textFill>
                        <w14:solidFill>
                          <w14:schemeClr w14:val="tx1"/>
                        </w14:solidFill>
                      </w14:textFill>
                    </w:rPr>
                    <w:t>.1</w:t>
                  </w:r>
                  <w:r>
                    <w:rPr>
                      <w:color w:val="000000" w:themeColor="text1"/>
                      <w:szCs w:val="21"/>
                      <w14:textFill>
                        <w14:solidFill>
                          <w14:schemeClr w14:val="tx1"/>
                        </w14:solidFill>
                      </w14:textFill>
                    </w:rPr>
                    <w:t xml:space="preserve"> 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pStyle w:val="075"/>
                    <w:rPr>
                      <w:szCs w:val="22"/>
                    </w:rPr>
                  </w:pPr>
                </w:p>
              </w:tc>
              <w:tc>
                <w:tcPr>
                  <w:tcW w:w="826" w:type="dxa"/>
                  <w:vMerge w:val="restart"/>
                  <w:vAlign w:val="center"/>
                </w:tcPr>
                <w:p>
                  <w:pPr>
                    <w:spacing w:line="240" w:lineRule="auto"/>
                    <w:jc w:val="center"/>
                    <w:rPr>
                      <w:kern w:val="2"/>
                      <w:szCs w:val="21"/>
                    </w:rPr>
                  </w:pPr>
                  <w:r>
                    <w:rPr>
                      <w:rFonts w:hAnsi="宋体"/>
                      <w:kern w:val="2"/>
                      <w:szCs w:val="21"/>
                    </w:rPr>
                    <w:fldChar w:fldCharType="begin"/>
                  </w:r>
                  <w:r>
                    <w:rPr>
                      <w:rFonts w:hAnsi="宋体"/>
                      <w:kern w:val="2"/>
                      <w:szCs w:val="21"/>
                    </w:rPr>
                    <w:instrText xml:space="preserve"> </w:instrText>
                  </w:r>
                  <w:r>
                    <w:rPr>
                      <w:rFonts w:hAnsi="宋体" w:hint="eastAsia"/>
                      <w:kern w:val="2"/>
                      <w:szCs w:val="21"/>
                    </w:rPr>
                    <w:instrText>= 4 \* ROMAN</w:instrText>
                  </w:r>
                  <w:r>
                    <w:rPr>
                      <w:rFonts w:hAnsi="宋体"/>
                      <w:kern w:val="2"/>
                      <w:szCs w:val="21"/>
                    </w:rPr>
                    <w:instrText xml:space="preserve"> </w:instrText>
                  </w:r>
                  <w:r>
                    <w:rPr>
                      <w:rFonts w:hAnsi="宋体"/>
                      <w:kern w:val="2"/>
                      <w:szCs w:val="21"/>
                    </w:rPr>
                    <w:fldChar w:fldCharType="separate"/>
                  </w:r>
                  <w:r>
                    <w:rPr>
                      <w:rFonts w:hAnsi="宋体"/>
                      <w:kern w:val="2"/>
                      <w:szCs w:val="21"/>
                    </w:rPr>
                    <w:t>III</w:t>
                  </w:r>
                  <w:r>
                    <w:rPr>
                      <w:rFonts w:hAnsi="宋体"/>
                      <w:kern w:val="2"/>
                      <w:szCs w:val="21"/>
                    </w:rPr>
                    <w:fldChar w:fldCharType="end"/>
                  </w:r>
                  <w:r>
                    <w:rPr>
                      <w:rFonts w:hAnsi="宋体"/>
                      <w:kern w:val="2"/>
                      <w:szCs w:val="21"/>
                    </w:rPr>
                    <w:t>类</w:t>
                  </w:r>
                </w:p>
              </w:tc>
              <w:tc>
                <w:tcPr>
                  <w:tcW w:w="993" w:type="dxa"/>
                  <w:vAlign w:val="center"/>
                </w:tcPr>
                <w:p>
                  <w:pPr>
                    <w:snapToGrid w:val="0"/>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pH</w:t>
                  </w:r>
                </w:p>
              </w:tc>
              <w:tc>
                <w:tcPr>
                  <w:tcW w:w="3889" w:type="dxa"/>
                  <w:gridSpan w:val="3"/>
                  <w:vAlign w:val="center"/>
                </w:tcPr>
                <w:p>
                  <w:pPr>
                    <w:snapToGrid w:val="0"/>
                    <w:spacing w:line="240" w:lineRule="auto"/>
                    <w:jc w:val="center"/>
                    <w:rPr>
                      <w:color w:val="000000" w:themeColor="text1"/>
                      <w:kern w:val="2"/>
                      <w:szCs w:val="21"/>
                      <w14:textFill>
                        <w14:solidFill>
                          <w14:schemeClr w14:val="tx1"/>
                        </w14:solidFill>
                      </w14:textFill>
                    </w:rPr>
                  </w:pPr>
                  <w:r>
                    <w:rPr>
                      <w:color w:val="000000" w:themeColor="text1"/>
                      <w:kern w:val="2"/>
                      <w:szCs w:val="21"/>
                      <w14:textFill>
                        <w14:solidFill>
                          <w14:schemeClr w14:val="tx1"/>
                        </w14:solidFill>
                      </w14:textFill>
                    </w:rPr>
                    <w:t>6~9</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napToGrid w:val="0"/>
                    <w:spacing w:line="240" w:lineRule="auto"/>
                    <w:jc w:val="center"/>
                    <w:rPr>
                      <w:kern w:val="2"/>
                      <w:szCs w:val="21"/>
                    </w:rPr>
                  </w:pPr>
                  <w:r>
                    <w:rPr>
                      <w:kern w:val="2"/>
                      <w:szCs w:val="21"/>
                    </w:rPr>
                    <w:t>COD</w:t>
                  </w:r>
                  <w:r>
                    <w:rPr>
                      <w:kern w:val="2"/>
                      <w:szCs w:val="21"/>
                      <w:vertAlign w:val="subscript"/>
                    </w:rPr>
                    <w:t>Cr</w:t>
                  </w:r>
                </w:p>
              </w:tc>
              <w:tc>
                <w:tcPr>
                  <w:tcW w:w="3889" w:type="dxa"/>
                  <w:gridSpan w:val="3"/>
                  <w:vAlign w:val="center"/>
                </w:tcPr>
                <w:p>
                  <w:pPr>
                    <w:snapToGrid w:val="0"/>
                    <w:spacing w:line="240" w:lineRule="auto"/>
                    <w:jc w:val="center"/>
                    <w:rPr>
                      <w:kern w:val="2"/>
                      <w:szCs w:val="21"/>
                    </w:rPr>
                  </w:pPr>
                  <w:r>
                    <w:rPr>
                      <w:kern w:val="2"/>
                      <w:szCs w:val="21"/>
                    </w:rPr>
                    <w:t>≤20mg/L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napToGrid w:val="0"/>
                    <w:spacing w:line="240" w:lineRule="auto"/>
                    <w:jc w:val="center"/>
                    <w:rPr>
                      <w:kern w:val="2"/>
                      <w:szCs w:val="21"/>
                    </w:rPr>
                  </w:pPr>
                  <w:r>
                    <w:rPr>
                      <w:kern w:val="2"/>
                      <w:szCs w:val="21"/>
                    </w:rPr>
                    <w:t>BOD</w:t>
                  </w:r>
                  <w:r>
                    <w:rPr>
                      <w:kern w:val="2"/>
                      <w:szCs w:val="21"/>
                      <w:vertAlign w:val="subscript"/>
                    </w:rPr>
                    <w:t>5</w:t>
                  </w:r>
                </w:p>
              </w:tc>
              <w:tc>
                <w:tcPr>
                  <w:tcW w:w="3889" w:type="dxa"/>
                  <w:gridSpan w:val="3"/>
                  <w:vAlign w:val="center"/>
                </w:tcPr>
                <w:p>
                  <w:pPr>
                    <w:snapToGrid w:val="0"/>
                    <w:spacing w:line="240" w:lineRule="auto"/>
                    <w:jc w:val="center"/>
                    <w:rPr>
                      <w:kern w:val="2"/>
                      <w:szCs w:val="21"/>
                    </w:rPr>
                  </w:pPr>
                  <w:r>
                    <w:rPr>
                      <w:kern w:val="2"/>
                      <w:szCs w:val="21"/>
                    </w:rPr>
                    <w:t>≤4mg/L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napToGrid w:val="0"/>
                    <w:spacing w:line="240" w:lineRule="auto"/>
                    <w:jc w:val="center"/>
                    <w:rPr>
                      <w:kern w:val="2"/>
                      <w:szCs w:val="21"/>
                    </w:rPr>
                  </w:pPr>
                  <w:r>
                    <w:rPr>
                      <w:kern w:val="2"/>
                      <w:szCs w:val="21"/>
                    </w:rPr>
                    <w:t>NH</w:t>
                  </w:r>
                  <w:r>
                    <w:rPr>
                      <w:kern w:val="2"/>
                      <w:szCs w:val="21"/>
                      <w:vertAlign w:val="subscript"/>
                    </w:rPr>
                    <w:t>3</w:t>
                  </w:r>
                  <w:r>
                    <w:rPr>
                      <w:kern w:val="2"/>
                      <w:szCs w:val="21"/>
                    </w:rPr>
                    <w:t>-N</w:t>
                  </w:r>
                </w:p>
              </w:tc>
              <w:tc>
                <w:tcPr>
                  <w:tcW w:w="3889" w:type="dxa"/>
                  <w:gridSpan w:val="3"/>
                  <w:vAlign w:val="center"/>
                </w:tcPr>
                <w:p>
                  <w:pPr>
                    <w:snapToGrid w:val="0"/>
                    <w:spacing w:line="240" w:lineRule="auto"/>
                    <w:jc w:val="center"/>
                    <w:rPr>
                      <w:kern w:val="2"/>
                      <w:szCs w:val="21"/>
                    </w:rPr>
                  </w:pPr>
                  <w:r>
                    <w:rPr>
                      <w:kern w:val="2"/>
                      <w:szCs w:val="21"/>
                    </w:rPr>
                    <w:t>≤1.0mg/L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napToGrid w:val="0"/>
                    <w:spacing w:line="240" w:lineRule="auto"/>
                    <w:jc w:val="center"/>
                    <w:rPr>
                      <w:kern w:val="2"/>
                      <w:szCs w:val="21"/>
                    </w:rPr>
                  </w:pPr>
                  <w:r>
                    <w:rPr>
                      <w:rFonts w:hint="eastAsia"/>
                      <w:kern w:val="2"/>
                      <w:szCs w:val="21"/>
                    </w:rPr>
                    <w:t>SS*</w:t>
                  </w:r>
                </w:p>
              </w:tc>
              <w:tc>
                <w:tcPr>
                  <w:tcW w:w="3889" w:type="dxa"/>
                  <w:gridSpan w:val="3"/>
                  <w:vAlign w:val="center"/>
                </w:tcPr>
                <w:p>
                  <w:pPr>
                    <w:snapToGrid w:val="0"/>
                    <w:spacing w:line="240" w:lineRule="auto"/>
                    <w:jc w:val="center"/>
                    <w:rPr>
                      <w:kern w:val="2"/>
                      <w:szCs w:val="21"/>
                    </w:rPr>
                  </w:pPr>
                  <w:r>
                    <w:rPr>
                      <w:kern w:val="2"/>
                      <w:szCs w:val="21"/>
                    </w:rPr>
                    <w:t>≤30mg/L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kern w:val="2"/>
                      <w:szCs w:val="21"/>
                    </w:rPr>
                  </w:pPr>
                </w:p>
              </w:tc>
              <w:tc>
                <w:tcPr>
                  <w:tcW w:w="2140" w:type="dxa"/>
                  <w:vMerge/>
                  <w:vAlign w:val="center"/>
                </w:tcPr>
                <w:p>
                  <w:pPr>
                    <w:snapToGrid w:val="0"/>
                    <w:spacing w:line="240" w:lineRule="auto"/>
                    <w:jc w:val="center"/>
                    <w:rPr>
                      <w:kern w:val="2"/>
                      <w:szCs w:val="21"/>
                    </w:rPr>
                  </w:pPr>
                </w:p>
              </w:tc>
              <w:tc>
                <w:tcPr>
                  <w:tcW w:w="826" w:type="dxa"/>
                  <w:vMerge/>
                  <w:vAlign w:val="center"/>
                </w:tcPr>
                <w:p>
                  <w:pPr>
                    <w:spacing w:line="240" w:lineRule="auto"/>
                    <w:jc w:val="center"/>
                    <w:rPr>
                      <w:kern w:val="2"/>
                      <w:szCs w:val="21"/>
                    </w:rPr>
                  </w:pPr>
                </w:p>
              </w:tc>
              <w:tc>
                <w:tcPr>
                  <w:tcW w:w="993" w:type="dxa"/>
                  <w:vAlign w:val="center"/>
                </w:tcPr>
                <w:p>
                  <w:pPr>
                    <w:snapToGrid w:val="0"/>
                    <w:spacing w:line="240" w:lineRule="auto"/>
                    <w:jc w:val="center"/>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T</w:t>
                  </w:r>
                  <w:r>
                    <w:rPr>
                      <w:color w:val="000000" w:themeColor="text1"/>
                      <w:kern w:val="2"/>
                      <w:szCs w:val="21"/>
                      <w14:textFill>
                        <w14:solidFill>
                          <w14:schemeClr w14:val="tx1"/>
                        </w14:solidFill>
                      </w14:textFill>
                    </w:rPr>
                    <w:t>P</w:t>
                  </w:r>
                </w:p>
              </w:tc>
              <w:tc>
                <w:tcPr>
                  <w:tcW w:w="3889" w:type="dxa"/>
                  <w:gridSpan w:val="3"/>
                  <w:vAlign w:val="center"/>
                </w:tcPr>
                <w:p>
                  <w:pPr>
                    <w:snapToGrid w:val="0"/>
                    <w:spacing w:line="240" w:lineRule="auto"/>
                    <w:jc w:val="center"/>
                    <w:rPr>
                      <w:color w:val="000000" w:themeColor="text1"/>
                      <w:kern w:val="2"/>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kern w:val="2"/>
                      <w:szCs w:val="21"/>
                      <w14:textFill>
                        <w14:solidFill>
                          <w14:schemeClr w14:val="tx1"/>
                        </w14:solidFill>
                      </w14:textFill>
                    </w:rPr>
                    <w:t>0</w:t>
                  </w:r>
                  <w:r>
                    <w:rPr>
                      <w:color w:val="000000" w:themeColor="text1"/>
                      <w:kern w:val="2"/>
                      <w:szCs w:val="21"/>
                      <w14:textFill>
                        <w14:solidFill>
                          <w14:schemeClr w14:val="tx1"/>
                        </w14:solidFill>
                      </w14:textFill>
                    </w:rPr>
                    <w:t>.2</w:t>
                  </w:r>
                  <w:r>
                    <w:rPr>
                      <w:color w:val="000000" w:themeColor="text1"/>
                      <w:szCs w:val="21"/>
                      <w14:textFill>
                        <w14:solidFill>
                          <w14:schemeClr w14:val="tx1"/>
                        </w14:solidFill>
                      </w14:textFill>
                    </w:rPr>
                    <w:t xml:space="preserve"> mg/L</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restart"/>
                  <w:vAlign w:val="center"/>
                </w:tcPr>
                <w:p>
                  <w:pPr>
                    <w:snapToGrid w:val="0"/>
                    <w:spacing w:line="240" w:lineRule="auto"/>
                    <w:jc w:val="center"/>
                    <w:rPr>
                      <w:kern w:val="2"/>
                      <w:szCs w:val="21"/>
                    </w:rPr>
                  </w:pPr>
                  <w:r>
                    <w:rPr>
                      <w:rFonts w:hAnsi="宋体"/>
                      <w:kern w:val="2"/>
                      <w:szCs w:val="21"/>
                    </w:rPr>
                    <w:t>声</w:t>
                  </w:r>
                </w:p>
                <w:p>
                  <w:pPr>
                    <w:snapToGrid w:val="0"/>
                    <w:spacing w:line="240" w:lineRule="auto"/>
                    <w:jc w:val="center"/>
                    <w:rPr>
                      <w:kern w:val="2"/>
                      <w:szCs w:val="21"/>
                    </w:rPr>
                  </w:pPr>
                  <w:r>
                    <w:rPr>
                      <w:rFonts w:hAnsi="宋体"/>
                      <w:kern w:val="2"/>
                      <w:szCs w:val="21"/>
                    </w:rPr>
                    <w:t>环</w:t>
                  </w:r>
                </w:p>
                <w:p>
                  <w:pPr>
                    <w:snapToGrid w:val="0"/>
                    <w:spacing w:line="240" w:lineRule="auto"/>
                    <w:jc w:val="center"/>
                    <w:rPr>
                      <w:kern w:val="2"/>
                      <w:szCs w:val="21"/>
                    </w:rPr>
                  </w:pPr>
                  <w:r>
                    <w:rPr>
                      <w:rFonts w:hAnsi="宋体"/>
                      <w:kern w:val="2"/>
                      <w:szCs w:val="21"/>
                    </w:rPr>
                    <w:t>境</w:t>
                  </w:r>
                </w:p>
              </w:tc>
              <w:tc>
                <w:tcPr>
                  <w:tcW w:w="2140" w:type="dxa"/>
                  <w:vMerge w:val="restart"/>
                  <w:vAlign w:val="center"/>
                </w:tcPr>
                <w:p>
                  <w:pPr>
                    <w:snapToGrid w:val="0"/>
                    <w:spacing w:line="240" w:lineRule="auto"/>
                    <w:jc w:val="center"/>
                    <w:rPr>
                      <w:kern w:val="2"/>
                      <w:szCs w:val="21"/>
                    </w:rPr>
                  </w:pPr>
                  <w:r>
                    <w:rPr>
                      <w:rFonts w:hAnsi="宋体"/>
                      <w:kern w:val="2"/>
                      <w:szCs w:val="21"/>
                    </w:rPr>
                    <w:t>《声环境质量标准》</w:t>
                  </w:r>
                  <w:r>
                    <w:rPr>
                      <w:rFonts w:hAnsi="宋体" w:hint="eastAsia"/>
                      <w:kern w:val="2"/>
                      <w:szCs w:val="21"/>
                    </w:rPr>
                    <w:t>（</w:t>
                  </w:r>
                  <w:r>
                    <w:rPr>
                      <w:kern w:val="2"/>
                      <w:szCs w:val="21"/>
                    </w:rPr>
                    <w:t>GB3096-2008</w:t>
                  </w:r>
                  <w:r>
                    <w:rPr>
                      <w:rFonts w:hint="eastAsia"/>
                      <w:kern w:val="2"/>
                      <w:szCs w:val="21"/>
                    </w:rPr>
                    <w:t>）</w:t>
                  </w:r>
                </w:p>
              </w:tc>
              <w:tc>
                <w:tcPr>
                  <w:tcW w:w="826" w:type="dxa"/>
                  <w:vAlign w:val="center"/>
                </w:tcPr>
                <w:p>
                  <w:pPr>
                    <w:snapToGrid w:val="0"/>
                    <w:spacing w:line="240" w:lineRule="auto"/>
                    <w:jc w:val="center"/>
                    <w:rPr>
                      <w:kern w:val="2"/>
                      <w:szCs w:val="21"/>
                    </w:rPr>
                  </w:pPr>
                  <w:r>
                    <w:rPr>
                      <w:rFonts w:hint="eastAsia"/>
                      <w:kern w:val="2"/>
                      <w:szCs w:val="21"/>
                    </w:rPr>
                    <w:t>2</w:t>
                  </w:r>
                  <w:r>
                    <w:rPr>
                      <w:rFonts w:hAnsi="宋体"/>
                      <w:kern w:val="2"/>
                      <w:szCs w:val="21"/>
                    </w:rPr>
                    <w:t>类</w:t>
                  </w:r>
                </w:p>
              </w:tc>
              <w:tc>
                <w:tcPr>
                  <w:tcW w:w="993" w:type="dxa"/>
                  <w:vMerge w:val="restart"/>
                  <w:vAlign w:val="center"/>
                </w:tcPr>
                <w:p>
                  <w:pPr>
                    <w:spacing w:line="240" w:lineRule="auto"/>
                    <w:jc w:val="center"/>
                    <w:rPr>
                      <w:kern w:val="2"/>
                      <w:szCs w:val="21"/>
                    </w:rPr>
                  </w:pPr>
                  <w:r>
                    <w:rPr>
                      <w:kern w:val="2"/>
                      <w:szCs w:val="21"/>
                    </w:rPr>
                    <w:t>等效连续A声级Leq</w:t>
                  </w:r>
                </w:p>
              </w:tc>
              <w:tc>
                <w:tcPr>
                  <w:tcW w:w="3889" w:type="dxa"/>
                  <w:gridSpan w:val="3"/>
                  <w:vAlign w:val="center"/>
                </w:tcPr>
                <w:p>
                  <w:pPr>
                    <w:snapToGrid w:val="0"/>
                    <w:spacing w:line="240" w:lineRule="auto"/>
                    <w:jc w:val="center"/>
                    <w:rPr>
                      <w:kern w:val="2"/>
                      <w:szCs w:val="21"/>
                    </w:rPr>
                  </w:pPr>
                  <w:r>
                    <w:rPr>
                      <w:kern w:val="2"/>
                      <w:szCs w:val="21"/>
                    </w:rPr>
                    <w:t>昼间60dB(A)</w:t>
                  </w:r>
                  <w:r>
                    <w:rPr>
                      <w:rFonts w:hint="eastAsia"/>
                      <w:kern w:val="2"/>
                      <w:szCs w:val="21"/>
                    </w:rPr>
                    <w:t>，</w:t>
                  </w:r>
                  <w:r>
                    <w:rPr>
                      <w:kern w:val="2"/>
                      <w:szCs w:val="21"/>
                    </w:rPr>
                    <w:t>夜间5</w:t>
                  </w:r>
                  <w:r>
                    <w:rPr>
                      <w:rFonts w:hint="eastAsia"/>
                      <w:kern w:val="2"/>
                      <w:szCs w:val="21"/>
                    </w:rPr>
                    <w:t>0</w:t>
                  </w:r>
                  <w:r>
                    <w:rPr>
                      <w:kern w:val="2"/>
                      <w:szCs w:val="21"/>
                    </w:rPr>
                    <w:t>dB(A)</w:t>
                  </w:r>
                </w:p>
              </w:tc>
            </w:tr>
            <w:tr>
              <w:tblPrEx>
                <w:tblW w:w="8267" w:type="dxa"/>
                <w:jc w:val="center"/>
                <w:tblLayout w:type="fixed"/>
                <w:tblCellMar>
                  <w:top w:w="0" w:type="dxa"/>
                  <w:left w:w="108" w:type="dxa"/>
                  <w:bottom w:w="0" w:type="dxa"/>
                  <w:right w:w="108" w:type="dxa"/>
                </w:tblCellMar>
              </w:tblPrEx>
              <w:trPr>
                <w:cantSplit/>
                <w:trHeight w:val="337"/>
                <w:jc w:val="center"/>
              </w:trPr>
              <w:tc>
                <w:tcPr>
                  <w:tcW w:w="419" w:type="dxa"/>
                  <w:vMerge/>
                  <w:vAlign w:val="center"/>
                </w:tcPr>
                <w:p>
                  <w:pPr>
                    <w:snapToGrid w:val="0"/>
                    <w:spacing w:line="240" w:lineRule="auto"/>
                    <w:jc w:val="center"/>
                    <w:rPr>
                      <w:rFonts w:hAnsi="宋体"/>
                      <w:kern w:val="2"/>
                      <w:szCs w:val="21"/>
                    </w:rPr>
                  </w:pPr>
                </w:p>
              </w:tc>
              <w:tc>
                <w:tcPr>
                  <w:tcW w:w="2140" w:type="dxa"/>
                  <w:vMerge/>
                  <w:vAlign w:val="center"/>
                </w:tcPr>
                <w:p>
                  <w:pPr>
                    <w:snapToGrid w:val="0"/>
                    <w:spacing w:line="240" w:lineRule="auto"/>
                    <w:jc w:val="center"/>
                    <w:rPr>
                      <w:rFonts w:hAnsi="宋体"/>
                      <w:kern w:val="2"/>
                      <w:szCs w:val="21"/>
                    </w:rPr>
                  </w:pPr>
                </w:p>
              </w:tc>
              <w:tc>
                <w:tcPr>
                  <w:tcW w:w="826" w:type="dxa"/>
                  <w:vAlign w:val="center"/>
                </w:tcPr>
                <w:p>
                  <w:pPr>
                    <w:snapToGrid w:val="0"/>
                    <w:spacing w:line="240" w:lineRule="auto"/>
                    <w:jc w:val="center"/>
                    <w:rPr>
                      <w:kern w:val="2"/>
                      <w:szCs w:val="21"/>
                    </w:rPr>
                  </w:pPr>
                  <w:r>
                    <w:rPr>
                      <w:kern w:val="2"/>
                      <w:szCs w:val="21"/>
                    </w:rPr>
                    <w:t>4a</w:t>
                  </w:r>
                  <w:r>
                    <w:rPr>
                      <w:rFonts w:hint="eastAsia"/>
                      <w:kern w:val="2"/>
                      <w:szCs w:val="21"/>
                    </w:rPr>
                    <w:t>类</w:t>
                  </w:r>
                </w:p>
              </w:tc>
              <w:tc>
                <w:tcPr>
                  <w:tcW w:w="993" w:type="dxa"/>
                  <w:vMerge/>
                  <w:vAlign w:val="center"/>
                </w:tcPr>
                <w:p>
                  <w:pPr>
                    <w:spacing w:line="240" w:lineRule="auto"/>
                    <w:jc w:val="center"/>
                    <w:rPr>
                      <w:kern w:val="2"/>
                      <w:szCs w:val="21"/>
                    </w:rPr>
                  </w:pPr>
                </w:p>
              </w:tc>
              <w:tc>
                <w:tcPr>
                  <w:tcW w:w="3889" w:type="dxa"/>
                  <w:gridSpan w:val="3"/>
                  <w:vAlign w:val="center"/>
                </w:tcPr>
                <w:p>
                  <w:pPr>
                    <w:snapToGrid w:val="0"/>
                    <w:spacing w:line="240" w:lineRule="auto"/>
                    <w:jc w:val="center"/>
                    <w:rPr>
                      <w:kern w:val="2"/>
                      <w:szCs w:val="21"/>
                    </w:rPr>
                  </w:pPr>
                  <w:r>
                    <w:rPr>
                      <w:kern w:val="2"/>
                      <w:szCs w:val="21"/>
                    </w:rPr>
                    <w:t>昼间</w:t>
                  </w:r>
                  <w:r>
                    <w:rPr>
                      <w:rFonts w:hint="eastAsia"/>
                      <w:kern w:val="2"/>
                      <w:szCs w:val="21"/>
                    </w:rPr>
                    <w:t>7</w:t>
                  </w:r>
                  <w:r>
                    <w:rPr>
                      <w:kern w:val="2"/>
                      <w:szCs w:val="21"/>
                    </w:rPr>
                    <w:t>0dB(A)</w:t>
                  </w:r>
                  <w:r>
                    <w:rPr>
                      <w:rFonts w:hint="eastAsia"/>
                      <w:kern w:val="2"/>
                      <w:szCs w:val="21"/>
                    </w:rPr>
                    <w:t>，</w:t>
                  </w:r>
                  <w:r>
                    <w:rPr>
                      <w:kern w:val="2"/>
                      <w:szCs w:val="21"/>
                    </w:rPr>
                    <w:t>夜间55dB(A)</w:t>
                  </w:r>
                </w:p>
              </w:tc>
            </w:tr>
          </w:tbl>
          <w:p>
            <w:pPr>
              <w:spacing w:line="360" w:lineRule="auto"/>
              <w:ind w:left="480"/>
              <w:rPr>
                <w:kern w:val="2"/>
                <w:sz w:val="28"/>
                <w:szCs w:val="22"/>
              </w:rPr>
            </w:pPr>
          </w:p>
        </w:tc>
      </w:tr>
    </w:tbl>
    <w:p>
      <w:r>
        <w:br/>
      </w:r>
      <w: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4" w:history="1">
        <w:r>
          <w:rPr>
            <w:rFonts w:ascii="SimSun" w:eastAsia="SimSun" w:hAnsi="SimSun" w:cs="SimSun"/>
            <w:b/>
            <w:bCs/>
            <w:color w:val="0000EE"/>
            <w:sz w:val="30"/>
            <w:szCs w:val="30"/>
            <w:u w:val="single" w:color="0000EE"/>
          </w:rPr>
          <w:t>https://d.book118.com/027146125032006046</w:t>
        </w:r>
      </w:hyperlink>
    </w:p>
    <w:p/>
    <w:sectPr>
      <w:footerReference w:type="even" r:id="rId105"/>
      <w:footerReference w:type="default" r:id="rId106"/>
      <w:footerReference w:type="first" r:id="rId107"/>
      <w:type w:val="nextPage"/>
      <w:pgSz w:w="11907" w:h="16840"/>
      <w:pgMar w:top="1418" w:right="1418" w:bottom="1418" w:left="1418" w:header="851" w:footer="680" w:gutter="113"/>
      <w:pgNumType w:start="28"/>
      <w:cols w:num="1" w:space="720"/>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1" w:csb1="00000000"/>
  </w:font>
  <w:font w:name="方正仿宋_GBK">
    <w:altName w:val="宋体"/>
    <w:panose1 w:val="00000000000000000000"/>
    <w:charset w:val="86"/>
    <w:family w:val="script"/>
    <w:pitch w:val="default"/>
    <w:sig w:usb0="00000000" w:usb1="00000000" w:usb2="00000010" w:usb3="00000000" w:csb0="003C0041" w:csb1="00000000"/>
  </w:font>
  <w:font w:name="Century Gothic">
    <w:panose1 w:val="020B0502020202020204"/>
    <w:charset w:val="00"/>
    <w:family w:val="swiss"/>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0000012" w:usb3="00000000" w:csb0="0002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2"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66</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50" type="#_x0000_t202" style="width:19.6pt;height:15.6pt;margin-top:0;margin-left:0;mso-position-horizontal:center;mso-position-horizontal-relative:margin;mso-wrap-distance-bottom:0;mso-wrap-distance-left:9pt;mso-wrap-distance-right:9pt;mso-wrap-distance-top:0;position:absolute;v-text-anchor:top;z-index:251658240" filled="f" fillcolor="this" stroked="f">
              <v:textbox style="mso-fit-shape-to-text:t" inset="0,0,0,0">
                <w:txbxContent>
                  <w:p>
                    <w:pPr>
                      <w:snapToGrid w:val="0"/>
                    </w:pPr>
                    <w:r>
                      <w:fldChar w:fldCharType="begin"/>
                    </w:r>
                    <w:r>
                      <w:instrText xml:space="preserve"> PAGE  \* MERGEFORMAT </w:instrText>
                    </w:r>
                    <w:r>
                      <w:fldChar w:fldCharType="separate"/>
                    </w:r>
                    <w:r>
                      <w:t>66</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49" type="#_x0000_t202" style="width:4.55pt;height:15.6pt;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537923422"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52" type="#_x0000_t202" style="width:19.6pt;height:15.6pt;margin-top:0;margin-left:0;mso-position-horizontal:center;mso-position-horizontal-relative:margin;mso-wrap-distance-bottom:0;mso-wrap-distance-left:9pt;mso-wrap-distance-right:9pt;mso-wrap-distance-top:0;position:absolute;v-text-anchor:top;z-index:251662336" filled="f" fillcolor="this" stroked="f">
              <v:textbox style="mso-fit-shape-to-text:t" inset="0,0,0,0">
                <w:txbxContent>
                  <w:p>
                    <w:pPr>
                      <w:snapToGrid w:val="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83780332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51" type="#_x0000_t202" style="width:4.55pt;height:15.6pt;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542029541"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66</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54" type="#_x0000_t202" style="width:19.6pt;height:15.6pt;margin-top:0;margin-left:0;mso-position-horizontal:center;mso-position-horizontal-relative:margin;mso-wrap-distance-bottom:0;mso-wrap-distance-left:9pt;mso-wrap-distance-right:9pt;mso-wrap-distance-top:0;position:absolute;v-text-anchor:top;z-index:251666432" filled="f" fillcolor="this" stroked="f">
              <v:textbox style="mso-fit-shape-to-text:t" inset="0,0,0,0">
                <w:txbxContent>
                  <w:p>
                    <w:pPr>
                      <w:snapToGrid w:val="0"/>
                    </w:pPr>
                    <w:r>
                      <w:fldChar w:fldCharType="begin"/>
                    </w:r>
                    <w:r>
                      <w:instrText xml:space="preserve"> PAGE  \* MERGEFORMAT </w:instrText>
                    </w:r>
                    <w:r>
                      <w:fldChar w:fldCharType="separate"/>
                    </w:r>
                    <w:r>
                      <w:t>66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2101807069"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53" type="#_x0000_t202" style="width:4.55pt;height:15.6pt;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939887329"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56" type="#_x0000_t202" style="width:19.6pt;height:15.6pt;margin-top:0;margin-left:0;mso-position-horizontal:center;mso-position-horizontal-relative:margin;mso-wrap-distance-bottom:0;mso-wrap-distance-left:9pt;mso-wrap-distance-right:9pt;mso-wrap-distance-top:0;position:absolute;v-text-anchor:top;z-index:251670528" filled="f" fillcolor="this" stroked="f">
              <v:textbox style="mso-fit-shape-to-text:t" inset="0,0,0,0">
                <w:txbxContent>
                  <w:p>
                    <w:pPr>
                      <w:snapToGrid w:val="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35593030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55" type="#_x0000_t202" style="width:4.55pt;height:15.6pt;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735541566"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3</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58" type="#_x0000_t202" style="width:19.6pt;height:15.6pt;margin-top:0;margin-left:0;mso-position-horizontal:center;mso-position-horizontal-relative:margin;mso-wrap-distance-bottom:0;mso-wrap-distance-left:9pt;mso-wrap-distance-right:9pt;mso-wrap-distance-top:0;position:absolute;v-text-anchor:top;z-index:251674624" filled="f" fillcolor="this" stroked="f">
              <v:textbox style="mso-fit-shape-to-text:t" inset="0,0,0,0">
                <w:txbxContent>
                  <w:p>
                    <w:pPr>
                      <w:snapToGrid w:val="0"/>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44440807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57" type="#_x0000_t202" style="width:4.55pt;height:15.6pt;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242415169"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4</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60" type="#_x0000_t202" style="width:19.6pt;height:15.6pt;margin-top:0;margin-left:0;mso-position-horizontal:center;mso-position-horizontal-relative:margin;mso-wrap-distance-bottom:0;mso-wrap-distance-left:9pt;mso-wrap-distance-right:9pt;mso-wrap-distance-top:0;position:absolute;v-text-anchor:top;z-index:251678720" filled="f" fillcolor="this" stroked="f">
              <v:textbox style="mso-fit-shape-to-text:t" inset="0,0,0,0">
                <w:txbxContent>
                  <w:p>
                    <w:pPr>
                      <w:snapToGrid w:val="0"/>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702074533"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59" type="#_x0000_t202" style="width:4.55pt;height:15.6pt;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156350501"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5</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62" type="#_x0000_t202" style="width:19.6pt;height:15.6pt;margin-top:0;margin-left:0;mso-position-horizontal:center;mso-position-horizontal-relative:margin;mso-wrap-distance-bottom:0;mso-wrap-distance-left:9pt;mso-wrap-distance-right:9pt;mso-wrap-distance-top:0;position:absolute;v-text-anchor:top;z-index:251682816" filled="f" fillcolor="this" stroked="f">
              <v:textbox style="mso-fit-shape-to-text:t" inset="0,0,0,0">
                <w:txbxContent>
                  <w:p>
                    <w:pPr>
                      <w:snapToGrid w:val="0"/>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23425462"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61" type="#_x0000_t202" style="width:4.55pt;height:15.6pt;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460644643"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6</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64" type="#_x0000_t202" style="width:19.6pt;height:15.6pt;margin-top:0;margin-left:0;mso-position-horizontal:center;mso-position-horizontal-relative:margin;mso-wrap-distance-bottom:0;mso-wrap-distance-left:9pt;mso-wrap-distance-right:9pt;mso-wrap-distance-top:0;position:absolute;v-text-anchor:top;z-index:251686912" filled="f" fillcolor="this" stroked="f">
              <v:textbox style="mso-fit-shape-to-text:t" inset="0,0,0,0">
                <w:txbxContent>
                  <w:p>
                    <w:pPr>
                      <w:snapToGrid w:val="0"/>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218267918"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63" type="#_x0000_t202" style="width:4.55pt;height:15.6pt;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683406047"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7</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66" type="#_x0000_t202" style="width:19.6pt;height:15.6pt;margin-top:0;margin-left:0;mso-position-horizontal:center;mso-position-horizontal-relative:margin;mso-wrap-distance-bottom:0;mso-wrap-distance-left:9pt;mso-wrap-distance-right:9pt;mso-wrap-distance-top:0;position:absolute;v-text-anchor:top;z-index:251691008" filled="f" fillcolor="this" stroked="f">
              <v:textbox style="mso-fit-shape-to-text:t" inset="0,0,0,0">
                <w:txbxContent>
                  <w:p>
                    <w:pPr>
                      <w:snapToGrid w:val="0"/>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50102644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65" type="#_x0000_t202" style="width:4.55pt;height:15.6pt;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557043811"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9</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68" type="#_x0000_t202" style="width:19.6pt;height:15.6pt;margin-top:0;margin-left:0;mso-position-horizontal:center;mso-position-horizontal-relative:margin;mso-wrap-distance-bottom:0;mso-wrap-distance-left:9pt;mso-wrap-distance-right:9pt;mso-wrap-distance-top:0;position:absolute;v-text-anchor:top;z-index:251695104" filled="f" fillcolor="this" stroked="f">
              <v:textbox style="mso-fit-shape-to-text:t" inset="0,0,0,0">
                <w:txbxContent>
                  <w:p>
                    <w:pPr>
                      <w:snapToGrid w:val="0"/>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288788339"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67" type="#_x0000_t202" style="width:4.55pt;height:15.6pt;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859371796"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10</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70" type="#_x0000_t202" style="width:19.6pt;height:15.6pt;margin-top:0;margin-left:0;mso-position-horizontal:center;mso-position-horizontal-relative:margin;mso-wrap-distance-bottom:0;mso-wrap-distance-left:9pt;mso-wrap-distance-right:9pt;mso-wrap-distance-top:0;position:absolute;v-text-anchor:top;z-index:251699200" filled="f" fillcolor="this" stroked="f">
              <v:textbox style="mso-fit-shape-to-text:t" inset="0,0,0,0">
                <w:txbxContent>
                  <w:p>
                    <w:pPr>
                      <w:snapToGrid w:val="0"/>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2088808563"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69" type="#_x0000_t202" style="width:4.55pt;height:15.6pt;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2105364902"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10</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72" type="#_x0000_t202" style="width:19.6pt;height:15.6pt;margin-top:0;margin-left:0;mso-position-horizontal:center;mso-position-horizontal-relative:margin;mso-wrap-distance-bottom:0;mso-wrap-distance-left:9pt;mso-wrap-distance-right:9pt;mso-wrap-distance-top:0;position:absolute;v-text-anchor:top;z-index:251703296" filled="f" fillcolor="this" stroked="f">
              <v:textbox style="mso-fit-shape-to-text:t" inset="0,0,0,0">
                <w:txbxContent>
                  <w:p>
                    <w:pPr>
                      <w:snapToGrid w:val="0"/>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69559322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71" type="#_x0000_t202" style="width:4.55pt;height:15.6pt;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855433209"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11</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74" type="#_x0000_t202" style="width:19.6pt;height:15.6pt;margin-top:0;margin-left:0;mso-position-horizontal:center;mso-position-horizontal-relative:margin;mso-wrap-distance-bottom:0;mso-wrap-distance-left:9pt;mso-wrap-distance-right:9pt;mso-wrap-distance-top:0;position:absolute;v-text-anchor:top;z-index:251707392" filled="f" fillcolor="this" stroked="f">
              <v:textbox style="mso-fit-shape-to-text:t" inset="0,0,0,0">
                <w:txbxContent>
                  <w:p>
                    <w:pPr>
                      <w:snapToGrid w:val="0"/>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36912114"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73" type="#_x0000_t202" style="width:4.55pt;height:15.6pt;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317236432"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12</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76" type="#_x0000_t202" style="width:19.6pt;height:15.6pt;margin-top:0;margin-left:0;mso-position-horizontal:center;mso-position-horizontal-relative:margin;mso-wrap-distance-bottom:0;mso-wrap-distance-left:9pt;mso-wrap-distance-right:9pt;mso-wrap-distance-top:0;position:absolute;v-text-anchor:top;z-index:251711488" filled="f" fillcolor="this" stroked="f">
              <v:textbox style="mso-fit-shape-to-text:t" inset="0,0,0,0">
                <w:txbxContent>
                  <w:p>
                    <w:pPr>
                      <w:snapToGrid w:val="0"/>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61738047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75" type="#_x0000_t202" style="width:4.55pt;height:15.6pt;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2094207776"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13</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78" type="#_x0000_t202" style="width:19.6pt;height:15.6pt;margin-top:0;margin-left:0;mso-position-horizontal:center;mso-position-horizontal-relative:margin;mso-wrap-distance-bottom:0;mso-wrap-distance-left:9pt;mso-wrap-distance-right:9pt;mso-wrap-distance-top:0;position:absolute;v-text-anchor:top;z-index:251715584" filled="f" fillcolor="this" stroked="f">
              <v:textbox style="mso-fit-shape-to-text:t" inset="0,0,0,0">
                <w:txbxContent>
                  <w:p>
                    <w:pPr>
                      <w:snapToGrid w:val="0"/>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500214603"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77" type="#_x0000_t202" style="width:4.55pt;height:15.6pt;margin-top:0;margin-left:0;mso-position-horizontal:center;mso-position-horizontal-relative:margin;mso-wrap-distance-bottom:0;mso-wrap-distance-left:9pt;mso-wrap-distance-right:9pt;mso-wrap-distance-top:0;mso-wrap-style:none;position:absolute;v-text-anchor:top;z-index:25171763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58901530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14</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80" type="#_x0000_t202" style="width:19.6pt;height:15.6pt;margin-top:0;margin-left:0;mso-position-horizontal:center;mso-position-horizontal-relative:margin;mso-wrap-distance-bottom:0;mso-wrap-distance-left:9pt;mso-wrap-distance-right:9pt;mso-wrap-distance-top:0;position:absolute;v-text-anchor:top;z-index:251719680" filled="f" fillcolor="this" stroked="f">
              <v:textbox style="mso-fit-shape-to-text:t" inset="0,0,0,0">
                <w:txbxContent>
                  <w:p>
                    <w:pPr>
                      <w:snapToGrid w:val="0"/>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663633608"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79" type="#_x0000_t202" style="width:4.55pt;height:15.6pt;margin-top:0;margin-left:0;mso-position-horizontal:center;mso-position-horizontal-relative:margin;mso-wrap-distance-bottom:0;mso-wrap-distance-left:9pt;mso-wrap-distance-right:9pt;mso-wrap-distance-top:0;mso-wrap-style:none;position:absolute;v-text-anchor:top;z-index:25172172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775470276"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15</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82" type="#_x0000_t202" style="width:19.6pt;height:15.6pt;margin-top:0;margin-left:0;mso-position-horizontal:center;mso-position-horizontal-relative:margin;mso-wrap-distance-bottom:0;mso-wrap-distance-left:9pt;mso-wrap-distance-right:9pt;mso-wrap-distance-top:0;position:absolute;v-text-anchor:top;z-index:251723776" filled="f" fillcolor="this" stroked="f">
              <v:textbox style="mso-fit-shape-to-text:t" inset="0,0,0,0">
                <w:txbxContent>
                  <w:p>
                    <w:pPr>
                      <w:snapToGrid w:val="0"/>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372377275"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81" type="#_x0000_t202" style="width:4.55pt;height:15.6pt;margin-top:0;margin-left:0;mso-position-horizontal:center;mso-position-horizontal-relative:margin;mso-wrap-distance-bottom:0;mso-wrap-distance-left:9pt;mso-wrap-distance-right:9pt;mso-wrap-distance-top:0;mso-wrap-style:none;position:absolute;v-text-anchor:top;z-index:25172582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002717465"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16</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84" type="#_x0000_t202" style="width:19.6pt;height:15.6pt;margin-top:0;margin-left:0;mso-position-horizontal:center;mso-position-horizontal-relative:margin;mso-wrap-distance-bottom:0;mso-wrap-distance-left:9pt;mso-wrap-distance-right:9pt;mso-wrap-distance-top:0;position:absolute;v-text-anchor:top;z-index:251727872" filled="f" fillcolor="this" stroked="f">
              <v:textbox style="mso-fit-shape-to-text:t" inset="0,0,0,0">
                <w:txbxContent>
                  <w:p>
                    <w:pPr>
                      <w:snapToGrid w:val="0"/>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273435889"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83" type="#_x0000_t202" style="width:4.55pt;height:15.6pt;margin-top:0;margin-left:0;mso-position-horizontal:center;mso-position-horizontal-relative:margin;mso-wrap-distance-bottom:0;mso-wrap-distance-left:9pt;mso-wrap-distance-right:9pt;mso-wrap-distance-top:0;mso-wrap-style:none;position:absolute;v-text-anchor:top;z-index:25172992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38003715"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17</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86" type="#_x0000_t202" style="width:19.6pt;height:15.6pt;margin-top:0;margin-left:0;mso-position-horizontal:center;mso-position-horizontal-relative:margin;mso-wrap-distance-bottom:0;mso-wrap-distance-left:9pt;mso-wrap-distance-right:9pt;mso-wrap-distance-top:0;position:absolute;v-text-anchor:top;z-index:251731968" filled="f" fillcolor="this" stroked="f">
              <v:textbox style="mso-fit-shape-to-text:t" inset="0,0,0,0">
                <w:txbxContent>
                  <w:p>
                    <w:pPr>
                      <w:snapToGrid w:val="0"/>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2133200290"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85" type="#_x0000_t202" style="width:4.55pt;height:15.6pt;margin-top:0;margin-left:0;mso-position-horizontal:center;mso-position-horizontal-relative:margin;mso-wrap-distance-bottom:0;mso-wrap-distance-left:9pt;mso-wrap-distance-right:9pt;mso-wrap-distance-top:0;mso-wrap-style:none;position:absolute;v-text-anchor:top;z-index:25173401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249236643"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18</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88" type="#_x0000_t202" style="width:19.6pt;height:15.6pt;margin-top:0;margin-left:0;mso-position-horizontal:center;mso-position-horizontal-relative:margin;mso-wrap-distance-bottom:0;mso-wrap-distance-left:9pt;mso-wrap-distance-right:9pt;mso-wrap-distance-top:0;position:absolute;v-text-anchor:top;z-index:251736064" filled="f" fillcolor="this" stroked="f">
              <v:textbox style="mso-fit-shape-to-text:t" inset="0,0,0,0">
                <w:txbxContent>
                  <w:p>
                    <w:pPr>
                      <w:snapToGrid w:val="0"/>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367358317"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87" type="#_x0000_t202" style="width:4.55pt;height:15.6pt;margin-top:0;margin-left:0;mso-position-horizontal:center;mso-position-horizontal-relative:margin;mso-wrap-distance-bottom:0;mso-wrap-distance-left:9pt;mso-wrap-distance-right:9pt;mso-wrap-distance-top:0;mso-wrap-style:none;position:absolute;v-text-anchor:top;z-index:25173811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431882343"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20</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90" type="#_x0000_t202" style="width:19.6pt;height:15.6pt;margin-top:0;margin-left:0;mso-position-horizontal:center;mso-position-horizontal-relative:margin;mso-wrap-distance-bottom:0;mso-wrap-distance-left:9pt;mso-wrap-distance-right:9pt;mso-wrap-distance-top:0;position:absolute;v-text-anchor:top;z-index:251740160" filled="f" fillcolor="this" stroked="f">
              <v:textbox style="mso-fit-shape-to-text:t" inset="0,0,0,0">
                <w:txbxContent>
                  <w:p>
                    <w:pPr>
                      <w:snapToGrid w:val="0"/>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434573788"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89" type="#_x0000_t202" style="width:4.55pt;height:15.6pt;margin-top:0;margin-left:0;mso-position-horizontal:center;mso-position-horizontal-relative:margin;mso-wrap-distance-bottom:0;mso-wrap-distance-left:9pt;mso-wrap-distance-right:9pt;mso-wrap-distance-top:0;mso-wrap-style:none;position:absolute;v-text-anchor:top;z-index:25174220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5280"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283315107"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20</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92" type="#_x0000_t202" style="width:19.6pt;height:15.6pt;margin-top:0;margin-left:0;mso-position-horizontal:center;mso-position-horizontal-relative:margin;mso-wrap-distance-bottom:0;mso-wrap-distance-left:9pt;mso-wrap-distance-right:9pt;mso-wrap-distance-top:0;position:absolute;v-text-anchor:top;z-index:251744256" filled="f" fillcolor="this" stroked="f">
              <v:textbox style="mso-fit-shape-to-text:t" inset="0,0,0,0">
                <w:txbxContent>
                  <w:p>
                    <w:pPr>
                      <w:snapToGrid w:val="0"/>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7328"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897399077"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91" type="#_x0000_t202" style="width:4.55pt;height:15.6pt;margin-top:0;margin-left:0;mso-position-horizontal:center;mso-position-horizontal-relative:margin;mso-wrap-distance-bottom:0;mso-wrap-distance-left:9pt;mso-wrap-distance-right:9pt;mso-wrap-distance-top:0;mso-wrap-style:none;position:absolute;v-text-anchor:top;z-index:25174630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9376"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15106629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22</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94" type="#_x0000_t202" style="width:19.6pt;height:15.6pt;margin-top:0;margin-left:0;mso-position-horizontal:center;mso-position-horizontal-relative:margin;mso-wrap-distance-bottom:0;mso-wrap-distance-left:9pt;mso-wrap-distance-right:9pt;mso-wrap-distance-top:0;position:absolute;v-text-anchor:top;z-index:251748352" filled="f" fillcolor="this" stroked="f">
              <v:textbox style="mso-fit-shape-to-text:t" inset="0,0,0,0">
                <w:txbxContent>
                  <w:p>
                    <w:pPr>
                      <w:snapToGrid w:val="0"/>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330969764"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93" type="#_x0000_t202" style="width:4.55pt;height:15.6pt;margin-top:0;margin-left:0;mso-position-horizontal:center;mso-position-horizontal-relative:margin;mso-wrap-distance-bottom:0;mso-wrap-distance-left:9pt;mso-wrap-distance-right:9pt;mso-wrap-distance-top:0;mso-wrap-style:none;position:absolute;v-text-anchor:top;z-index:25175040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53472"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087978543"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22</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96" type="#_x0000_t202" style="width:19.6pt;height:15.6pt;margin-top:0;margin-left:0;mso-position-horizontal:center;mso-position-horizontal-relative:margin;mso-wrap-distance-bottom:0;mso-wrap-distance-left:9pt;mso-wrap-distance-right:9pt;mso-wrap-distance-top:0;position:absolute;v-text-anchor:top;z-index:251752448" filled="f" fillcolor="this" stroked="f">
              <v:textbox style="mso-fit-shape-to-text:t" inset="0,0,0,0">
                <w:txbxContent>
                  <w:p>
                    <w:pPr>
                      <w:snapToGrid w:val="0"/>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55520"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39712203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95" type="#_x0000_t202" style="width:4.55pt;height:15.6pt;margin-top:0;margin-left:0;mso-position-horizontal:center;mso-position-horizontal-relative:margin;mso-wrap-distance-bottom:0;mso-wrap-distance-left:9pt;mso-wrap-distance-right:9pt;mso-wrap-distance-top:0;mso-wrap-style:none;position:absolute;v-text-anchor:top;z-index:25175449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57568"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480667414"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24</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98" type="#_x0000_t202" style="width:19.6pt;height:15.6pt;margin-top:0;margin-left:0;mso-position-horizontal:center;mso-position-horizontal-relative:margin;mso-wrap-distance-bottom:0;mso-wrap-distance-left:9pt;mso-wrap-distance-right:9pt;mso-wrap-distance-top:0;position:absolute;v-text-anchor:top;z-index:251756544" filled="f" fillcolor="this" stroked="f">
              <v:textbox style="mso-fit-shape-to-text:t" inset="0,0,0,0">
                <w:txbxContent>
                  <w:p>
                    <w:pPr>
                      <w:snapToGrid w:val="0"/>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59616"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855476242"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97" type="#_x0000_t202" style="width:4.55pt;height:15.6pt;margin-top:0;margin-left:0;mso-position-horizontal:center;mso-position-horizontal-relative:margin;mso-wrap-distance-bottom:0;mso-wrap-distance-left:9pt;mso-wrap-distance-right:9pt;mso-wrap-distance-top:0;mso-wrap-style:none;position:absolute;v-text-anchor:top;z-index:25175859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1664"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130743036"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24</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100" type="#_x0000_t202" style="width:19.6pt;height:15.6pt;margin-top:0;margin-left:0;mso-position-horizontal:center;mso-position-horizontal-relative:margin;mso-wrap-distance-bottom:0;mso-wrap-distance-left:9pt;mso-wrap-distance-right:9pt;mso-wrap-distance-top:0;position:absolute;v-text-anchor:top;z-index:251760640" filled="f" fillcolor="this" stroked="f">
              <v:textbox style="mso-fit-shape-to-text:t" inset="0,0,0,0">
                <w:txbxContent>
                  <w:p>
                    <w:pPr>
                      <w:snapToGrid w:val="0"/>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3712"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489596800"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099" type="#_x0000_t202" style="width:4.55pt;height:15.6pt;margin-top:0;margin-left:0;mso-position-horizontal:center;mso-position-horizontal-relative:margin;mso-wrap-distance-bottom:0;mso-wrap-distance-left:9pt;mso-wrap-distance-right:9pt;mso-wrap-distance-top:0;mso-wrap-style:none;position:absolute;v-text-anchor:top;z-index:25176268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5760"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675423705"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25</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102" type="#_x0000_t202" style="width:19.6pt;height:15.6pt;margin-top:0;margin-left:0;mso-position-horizontal:center;mso-position-horizontal-relative:margin;mso-wrap-distance-bottom:0;mso-wrap-distance-left:9pt;mso-wrap-distance-right:9pt;mso-wrap-distance-top:0;position:absolute;v-text-anchor:top;z-index:251764736" filled="f" fillcolor="this" stroked="f">
              <v:textbox style="mso-fit-shape-to-text:t" inset="0,0,0,0">
                <w:txbxContent>
                  <w:p>
                    <w:pPr>
                      <w:snapToGrid w:val="0"/>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7808"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005355806"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101" type="#_x0000_t202" style="width:4.55pt;height:15.6pt;margin-top:0;margin-left:0;mso-position-horizontal:center;mso-position-horizontal-relative:margin;mso-wrap-distance-bottom:0;mso-wrap-distance-left:9pt;mso-wrap-distance-right:9pt;mso-wrap-distance-top:0;mso-wrap-style:none;position:absolute;v-text-anchor:top;z-index:25176678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9856"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11433605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26</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104" type="#_x0000_t202" style="width:19.6pt;height:15.6pt;margin-top:0;margin-left:0;mso-position-horizontal:center;mso-position-horizontal-relative:margin;mso-wrap-distance-bottom:0;mso-wrap-distance-left:9pt;mso-wrap-distance-right:9pt;mso-wrap-distance-top:0;position:absolute;v-text-anchor:top;z-index:251768832" filled="f" fillcolor="this" stroked="f">
              <v:textbox style="mso-fit-shape-to-text:t" inset="0,0,0,0">
                <w:txbxContent>
                  <w:p>
                    <w:pPr>
                      <w:snapToGrid w:val="0"/>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71904"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073308717"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103" type="#_x0000_t202" style="width:4.55pt;height:15.6pt;margin-top:0;margin-left:0;mso-position-horizontal:center;mso-position-horizontal-relative:margin;mso-wrap-distance-bottom:0;mso-wrap-distance-left:9pt;mso-wrap-distance-right:9pt;mso-wrap-distance-top:0;mso-wrap-style:none;position:absolute;v-text-anchor:top;z-index:25177088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73952"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28842731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27</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106" type="#_x0000_t202" style="width:19.6pt;height:15.6pt;margin-top:0;margin-left:0;mso-position-horizontal:center;mso-position-horizontal-relative:margin;mso-wrap-distance-bottom:0;mso-wrap-distance-left:9pt;mso-wrap-distance-right:9pt;mso-wrap-distance-top:0;position:absolute;v-text-anchor:top;z-index:251772928" filled="f" fillcolor="this" stroked="f">
              <v:textbox style="mso-fit-shape-to-text:t" inset="0,0,0,0">
                <w:txbxContent>
                  <w:p>
                    <w:pPr>
                      <w:snapToGrid w:val="0"/>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76000"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27503194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105" type="#_x0000_t202" style="width:4.55pt;height:15.6pt;margin-top:0;margin-left:0;mso-position-horizontal:center;mso-position-horizontal-relative:margin;mso-wrap-distance-bottom:0;mso-wrap-distance-left:9pt;mso-wrap-distance-right:9pt;mso-wrap-distance-top:0;mso-wrap-style:none;position:absolute;v-text-anchor:top;z-index:25177497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78048" behindDoc="0" locked="0" layoutInCell="1" allowOverlap="1">
              <wp:simplePos x="0" y="0"/>
              <wp:positionH relativeFrom="margin">
                <wp:align>center</wp:align>
              </wp:positionH>
              <wp:positionV relativeFrom="paragraph">
                <wp:posOffset>0</wp:posOffset>
              </wp:positionV>
              <wp:extent cx="248920" cy="198120"/>
              <wp:effectExtent l="0" t="3175" r="2540" b="0"/>
              <wp:wrapNone/>
              <wp:docPr id="1299992950"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8920" cy="198120"/>
                      </a:xfrm>
                      <a:prstGeom prst="rect">
                        <a:avLst/>
                      </a:prstGeom>
                      <a:noFill/>
                      <a:ln>
                        <a:noFill/>
                      </a:ln>
                    </wps:spPr>
                    <wps:txbx>
                      <w:txbxContent>
                        <w:p>
                          <w:pPr>
                            <w:snapToGrid w:val="0"/>
                          </w:pPr>
                          <w:r>
                            <w:fldChar w:fldCharType="begin"/>
                          </w:r>
                          <w:r>
                            <w:instrText xml:space="preserve"> PAGE  \* MERGEFORMAT </w:instrText>
                          </w:r>
                          <w:r>
                            <w:fldChar w:fldCharType="separate"/>
                          </w:r>
                          <w:r>
                            <w:t>28</w:t>
                          </w:r>
                          <w: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108" type="#_x0000_t202" style="width:19.6pt;height:15.6pt;margin-top:0;margin-left:0;mso-position-horizontal:center;mso-position-horizontal-relative:margin;mso-wrap-distance-bottom:0;mso-wrap-distance-left:9pt;mso-wrap-distance-right:9pt;mso-wrap-distance-top:0;position:absolute;v-text-anchor:top;z-index:251777024" filled="f" fillcolor="this" stroked="f">
              <v:textbox style="mso-fit-shape-to-text:t" inset="0,0,0,0">
                <w:txbxContent>
                  <w:p>
                    <w:pPr>
                      <w:snapToGrid w:val="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80096" behindDoc="0" locked="0" layoutInCell="1" allowOverlap="1">
              <wp:simplePos x="0" y="0"/>
              <wp:positionH relativeFrom="margin">
                <wp:align>center</wp:align>
              </wp:positionH>
              <wp:positionV relativeFrom="paragraph">
                <wp:posOffset>0</wp:posOffset>
              </wp:positionV>
              <wp:extent cx="57785" cy="198120"/>
              <wp:effectExtent l="0" t="3175" r="3175" b="0"/>
              <wp:wrapNone/>
              <wp:docPr id="110702473"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19812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2107" type="#_x0000_t202" style="width:4.55pt;height:15.6pt;margin-top:0;margin-left:0;mso-position-horizontal:center;mso-position-horizontal-relative:margin;mso-wrap-distance-bottom:0;mso-wrap-distance-left:9pt;mso-wrap-distance-right:9pt;mso-wrap-distance-top:0;mso-wrap-style:none;position:absolute;v-text-anchor:top;z-index:25177907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01279E"/>
    <w:multiLevelType w:val="singleLevel"/>
    <w:tmpl w:val="56372675"/>
    <w:lvl w:ilvl="0">
      <w:start w:val="1"/>
      <w:numFmt w:val="chineseCounting"/>
      <w:suff w:val="nothing"/>
      <w:lvlText w:val="%1、"/>
      <w:lvlJc w:val="left"/>
    </w:lvl>
  </w:abstractNum>
  <w:abstractNum w:abstractNumId="1">
    <w:nsid w:val="256B2F2D"/>
    <w:multiLevelType w:val="multilevel"/>
    <w:tmpl w:val="256B2F2D"/>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56372675"/>
    <w:multiLevelType w:val="singleLevel"/>
    <w:tmpl w:val="56372675"/>
    <w:lvl w:ilvl="0">
      <w:start w:val="1"/>
      <w:numFmt w:val="chineseCounting"/>
      <w:suff w:val="nothing"/>
      <w:lvlText w:val="%1、"/>
      <w:lvlJc w:val="left"/>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xch">
    <w15:presenceInfo w15:providerId="None" w15:userId="xc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30"/>
  <w:bordersDoNotSurroundHeader/>
  <w:bordersDoNotSurroundFooter/>
  <w:defaultTabStop w:val="425"/>
  <w:drawingGridHorizontalSpacing w:val="105"/>
  <w:drawingGridVerticalSpacing w:val="2"/>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121"/>
    <w:rsid w:val="000011AF"/>
    <w:rsid w:val="000011C8"/>
    <w:rsid w:val="00001E8C"/>
    <w:rsid w:val="00001F28"/>
    <w:rsid w:val="00002144"/>
    <w:rsid w:val="00002D0B"/>
    <w:rsid w:val="00004075"/>
    <w:rsid w:val="00004E62"/>
    <w:rsid w:val="00005591"/>
    <w:rsid w:val="00005CF4"/>
    <w:rsid w:val="000070F5"/>
    <w:rsid w:val="00007432"/>
    <w:rsid w:val="0000781D"/>
    <w:rsid w:val="00007C2E"/>
    <w:rsid w:val="00007F88"/>
    <w:rsid w:val="00010E5C"/>
    <w:rsid w:val="000116ED"/>
    <w:rsid w:val="00011F16"/>
    <w:rsid w:val="0001208B"/>
    <w:rsid w:val="000121DD"/>
    <w:rsid w:val="00012DDD"/>
    <w:rsid w:val="00012E44"/>
    <w:rsid w:val="00013FD8"/>
    <w:rsid w:val="00014243"/>
    <w:rsid w:val="000155DF"/>
    <w:rsid w:val="0001585B"/>
    <w:rsid w:val="00016646"/>
    <w:rsid w:val="00017BBC"/>
    <w:rsid w:val="00022ADF"/>
    <w:rsid w:val="00023234"/>
    <w:rsid w:val="00023387"/>
    <w:rsid w:val="000236E3"/>
    <w:rsid w:val="0002534D"/>
    <w:rsid w:val="00025FDB"/>
    <w:rsid w:val="00026422"/>
    <w:rsid w:val="00026C1D"/>
    <w:rsid w:val="000273CB"/>
    <w:rsid w:val="00027B3A"/>
    <w:rsid w:val="00027B73"/>
    <w:rsid w:val="00027C4B"/>
    <w:rsid w:val="00027F15"/>
    <w:rsid w:val="00030EF9"/>
    <w:rsid w:val="000312F1"/>
    <w:rsid w:val="00031394"/>
    <w:rsid w:val="00031D31"/>
    <w:rsid w:val="00031F59"/>
    <w:rsid w:val="000320FA"/>
    <w:rsid w:val="00032814"/>
    <w:rsid w:val="00032AED"/>
    <w:rsid w:val="00033AD2"/>
    <w:rsid w:val="000340E0"/>
    <w:rsid w:val="00034307"/>
    <w:rsid w:val="00034779"/>
    <w:rsid w:val="00034939"/>
    <w:rsid w:val="00034E9D"/>
    <w:rsid w:val="00035B7A"/>
    <w:rsid w:val="00037F1E"/>
    <w:rsid w:val="00040B0B"/>
    <w:rsid w:val="00042695"/>
    <w:rsid w:val="00042937"/>
    <w:rsid w:val="00042BAD"/>
    <w:rsid w:val="00042D87"/>
    <w:rsid w:val="00042E45"/>
    <w:rsid w:val="00043561"/>
    <w:rsid w:val="0004395A"/>
    <w:rsid w:val="00043DF4"/>
    <w:rsid w:val="00044E1B"/>
    <w:rsid w:val="000451A0"/>
    <w:rsid w:val="00045851"/>
    <w:rsid w:val="00046554"/>
    <w:rsid w:val="0004684B"/>
    <w:rsid w:val="00047234"/>
    <w:rsid w:val="00047313"/>
    <w:rsid w:val="0004755A"/>
    <w:rsid w:val="000504F2"/>
    <w:rsid w:val="000509A8"/>
    <w:rsid w:val="000510A2"/>
    <w:rsid w:val="000513D1"/>
    <w:rsid w:val="00051464"/>
    <w:rsid w:val="00051986"/>
    <w:rsid w:val="00051EDF"/>
    <w:rsid w:val="0005260F"/>
    <w:rsid w:val="0005425C"/>
    <w:rsid w:val="000555FB"/>
    <w:rsid w:val="00055742"/>
    <w:rsid w:val="00055D66"/>
    <w:rsid w:val="00055DE7"/>
    <w:rsid w:val="000561B7"/>
    <w:rsid w:val="000566B9"/>
    <w:rsid w:val="00056978"/>
    <w:rsid w:val="00056A92"/>
    <w:rsid w:val="00057138"/>
    <w:rsid w:val="00057403"/>
    <w:rsid w:val="00057881"/>
    <w:rsid w:val="000602E6"/>
    <w:rsid w:val="00061E6B"/>
    <w:rsid w:val="0006200D"/>
    <w:rsid w:val="0006221E"/>
    <w:rsid w:val="00063205"/>
    <w:rsid w:val="00063336"/>
    <w:rsid w:val="0006366A"/>
    <w:rsid w:val="00064629"/>
    <w:rsid w:val="00065880"/>
    <w:rsid w:val="00065AE5"/>
    <w:rsid w:val="00065C70"/>
    <w:rsid w:val="000660DE"/>
    <w:rsid w:val="0006625B"/>
    <w:rsid w:val="000666E2"/>
    <w:rsid w:val="0006779F"/>
    <w:rsid w:val="00067998"/>
    <w:rsid w:val="000679D9"/>
    <w:rsid w:val="00070E69"/>
    <w:rsid w:val="000721F9"/>
    <w:rsid w:val="00072505"/>
    <w:rsid w:val="00072685"/>
    <w:rsid w:val="000733C6"/>
    <w:rsid w:val="000738EB"/>
    <w:rsid w:val="00073DB5"/>
    <w:rsid w:val="00075F6C"/>
    <w:rsid w:val="0007713A"/>
    <w:rsid w:val="000774E7"/>
    <w:rsid w:val="000775E6"/>
    <w:rsid w:val="00077CFC"/>
    <w:rsid w:val="00077EF0"/>
    <w:rsid w:val="00080201"/>
    <w:rsid w:val="00080D8E"/>
    <w:rsid w:val="00081715"/>
    <w:rsid w:val="00082344"/>
    <w:rsid w:val="00082FAE"/>
    <w:rsid w:val="00083772"/>
    <w:rsid w:val="000837D6"/>
    <w:rsid w:val="000839DB"/>
    <w:rsid w:val="00084747"/>
    <w:rsid w:val="000847D8"/>
    <w:rsid w:val="00084A40"/>
    <w:rsid w:val="00085B92"/>
    <w:rsid w:val="0008601E"/>
    <w:rsid w:val="00087636"/>
    <w:rsid w:val="00087C18"/>
    <w:rsid w:val="000900E9"/>
    <w:rsid w:val="0009010F"/>
    <w:rsid w:val="00090517"/>
    <w:rsid w:val="000917AE"/>
    <w:rsid w:val="000918E6"/>
    <w:rsid w:val="00091EFB"/>
    <w:rsid w:val="000934B6"/>
    <w:rsid w:val="00093788"/>
    <w:rsid w:val="000939C8"/>
    <w:rsid w:val="00094137"/>
    <w:rsid w:val="00094AB2"/>
    <w:rsid w:val="00094B4F"/>
    <w:rsid w:val="000962EA"/>
    <w:rsid w:val="000962F8"/>
    <w:rsid w:val="000969F3"/>
    <w:rsid w:val="00096A58"/>
    <w:rsid w:val="00096D3D"/>
    <w:rsid w:val="00096D87"/>
    <w:rsid w:val="000A03D9"/>
    <w:rsid w:val="000A1589"/>
    <w:rsid w:val="000A245D"/>
    <w:rsid w:val="000A292E"/>
    <w:rsid w:val="000A319C"/>
    <w:rsid w:val="000A3249"/>
    <w:rsid w:val="000A33AA"/>
    <w:rsid w:val="000A3985"/>
    <w:rsid w:val="000A43E8"/>
    <w:rsid w:val="000A50EA"/>
    <w:rsid w:val="000A56E9"/>
    <w:rsid w:val="000A5C5B"/>
    <w:rsid w:val="000A5E01"/>
    <w:rsid w:val="000A6B1F"/>
    <w:rsid w:val="000A6D66"/>
    <w:rsid w:val="000A7A33"/>
    <w:rsid w:val="000B1262"/>
    <w:rsid w:val="000B1759"/>
    <w:rsid w:val="000B1F5B"/>
    <w:rsid w:val="000B27D3"/>
    <w:rsid w:val="000B2BCC"/>
    <w:rsid w:val="000B3017"/>
    <w:rsid w:val="000B39FE"/>
    <w:rsid w:val="000B3A3E"/>
    <w:rsid w:val="000B3DB6"/>
    <w:rsid w:val="000B4F58"/>
    <w:rsid w:val="000B6414"/>
    <w:rsid w:val="000B6623"/>
    <w:rsid w:val="000C020F"/>
    <w:rsid w:val="000C04B5"/>
    <w:rsid w:val="000C28C7"/>
    <w:rsid w:val="000C31D1"/>
    <w:rsid w:val="000C37E7"/>
    <w:rsid w:val="000C3889"/>
    <w:rsid w:val="000C3C31"/>
    <w:rsid w:val="000C408E"/>
    <w:rsid w:val="000C4A36"/>
    <w:rsid w:val="000C54D3"/>
    <w:rsid w:val="000C5B00"/>
    <w:rsid w:val="000C5F15"/>
    <w:rsid w:val="000C628B"/>
    <w:rsid w:val="000D0063"/>
    <w:rsid w:val="000D0F94"/>
    <w:rsid w:val="000D18E4"/>
    <w:rsid w:val="000D1CA7"/>
    <w:rsid w:val="000D1DB3"/>
    <w:rsid w:val="000D32D4"/>
    <w:rsid w:val="000D38C8"/>
    <w:rsid w:val="000D4AE1"/>
    <w:rsid w:val="000D4D50"/>
    <w:rsid w:val="000D598A"/>
    <w:rsid w:val="000D5C5F"/>
    <w:rsid w:val="000D5CA8"/>
    <w:rsid w:val="000D5F6D"/>
    <w:rsid w:val="000D6D77"/>
    <w:rsid w:val="000D7229"/>
    <w:rsid w:val="000D72C8"/>
    <w:rsid w:val="000D77C5"/>
    <w:rsid w:val="000E0249"/>
    <w:rsid w:val="000E069F"/>
    <w:rsid w:val="000E0B96"/>
    <w:rsid w:val="000E0BBB"/>
    <w:rsid w:val="000E0F0D"/>
    <w:rsid w:val="000E284D"/>
    <w:rsid w:val="000E2AC7"/>
    <w:rsid w:val="000E3F18"/>
    <w:rsid w:val="000E3F52"/>
    <w:rsid w:val="000E414F"/>
    <w:rsid w:val="000E4CF1"/>
    <w:rsid w:val="000E6825"/>
    <w:rsid w:val="000E6F6D"/>
    <w:rsid w:val="000E7783"/>
    <w:rsid w:val="000E7B2A"/>
    <w:rsid w:val="000E7D10"/>
    <w:rsid w:val="000F0114"/>
    <w:rsid w:val="000F0847"/>
    <w:rsid w:val="000F0A79"/>
    <w:rsid w:val="000F1092"/>
    <w:rsid w:val="000F1B1A"/>
    <w:rsid w:val="000F2182"/>
    <w:rsid w:val="000F2C92"/>
    <w:rsid w:val="000F314E"/>
    <w:rsid w:val="000F3306"/>
    <w:rsid w:val="000F5B2C"/>
    <w:rsid w:val="000F64D0"/>
    <w:rsid w:val="00100459"/>
    <w:rsid w:val="001004A8"/>
    <w:rsid w:val="001007E4"/>
    <w:rsid w:val="00100A9B"/>
    <w:rsid w:val="00100F5B"/>
    <w:rsid w:val="00101BAA"/>
    <w:rsid w:val="00101C71"/>
    <w:rsid w:val="00102816"/>
    <w:rsid w:val="00103AF5"/>
    <w:rsid w:val="00104E3A"/>
    <w:rsid w:val="00105A56"/>
    <w:rsid w:val="001064D4"/>
    <w:rsid w:val="00106969"/>
    <w:rsid w:val="00106B19"/>
    <w:rsid w:val="00106BF5"/>
    <w:rsid w:val="00106C03"/>
    <w:rsid w:val="00106CFA"/>
    <w:rsid w:val="0010750A"/>
    <w:rsid w:val="00107D8B"/>
    <w:rsid w:val="00107D9B"/>
    <w:rsid w:val="00107F79"/>
    <w:rsid w:val="00110252"/>
    <w:rsid w:val="0011056E"/>
    <w:rsid w:val="00110D29"/>
    <w:rsid w:val="00111329"/>
    <w:rsid w:val="00111497"/>
    <w:rsid w:val="0011156C"/>
    <w:rsid w:val="00111E97"/>
    <w:rsid w:val="001120E8"/>
    <w:rsid w:val="00112387"/>
    <w:rsid w:val="0011274A"/>
    <w:rsid w:val="00112F4A"/>
    <w:rsid w:val="001130E3"/>
    <w:rsid w:val="00113116"/>
    <w:rsid w:val="0011339F"/>
    <w:rsid w:val="001148F3"/>
    <w:rsid w:val="00114941"/>
    <w:rsid w:val="00114E71"/>
    <w:rsid w:val="001154D7"/>
    <w:rsid w:val="00115808"/>
    <w:rsid w:val="00116699"/>
    <w:rsid w:val="00116F09"/>
    <w:rsid w:val="00117B95"/>
    <w:rsid w:val="00120679"/>
    <w:rsid w:val="00120A3A"/>
    <w:rsid w:val="001214EC"/>
    <w:rsid w:val="001215DC"/>
    <w:rsid w:val="001218CA"/>
    <w:rsid w:val="001218F2"/>
    <w:rsid w:val="00122881"/>
    <w:rsid w:val="00123591"/>
    <w:rsid w:val="00123864"/>
    <w:rsid w:val="001238F8"/>
    <w:rsid w:val="00123947"/>
    <w:rsid w:val="001254B0"/>
    <w:rsid w:val="00125673"/>
    <w:rsid w:val="00125D69"/>
    <w:rsid w:val="0012650D"/>
    <w:rsid w:val="001274F4"/>
    <w:rsid w:val="00127666"/>
    <w:rsid w:val="00127741"/>
    <w:rsid w:val="00127EA7"/>
    <w:rsid w:val="001300AE"/>
    <w:rsid w:val="0013038A"/>
    <w:rsid w:val="00130C78"/>
    <w:rsid w:val="00130FAB"/>
    <w:rsid w:val="0013192A"/>
    <w:rsid w:val="00131A43"/>
    <w:rsid w:val="00131CA8"/>
    <w:rsid w:val="00132352"/>
    <w:rsid w:val="00132F09"/>
    <w:rsid w:val="00133130"/>
    <w:rsid w:val="0013334B"/>
    <w:rsid w:val="00133E03"/>
    <w:rsid w:val="0013422A"/>
    <w:rsid w:val="00134DBE"/>
    <w:rsid w:val="00135509"/>
    <w:rsid w:val="00136051"/>
    <w:rsid w:val="001363FB"/>
    <w:rsid w:val="001364D4"/>
    <w:rsid w:val="001365F0"/>
    <w:rsid w:val="00136F2F"/>
    <w:rsid w:val="00137B59"/>
    <w:rsid w:val="00137E67"/>
    <w:rsid w:val="00140415"/>
    <w:rsid w:val="001405A5"/>
    <w:rsid w:val="0014142E"/>
    <w:rsid w:val="001415AE"/>
    <w:rsid w:val="00141B52"/>
    <w:rsid w:val="00141BC1"/>
    <w:rsid w:val="001426C8"/>
    <w:rsid w:val="00142E7C"/>
    <w:rsid w:val="00143464"/>
    <w:rsid w:val="0014453D"/>
    <w:rsid w:val="00144596"/>
    <w:rsid w:val="00144A4C"/>
    <w:rsid w:val="001451CE"/>
    <w:rsid w:val="00145971"/>
    <w:rsid w:val="001466CF"/>
    <w:rsid w:val="00146DA6"/>
    <w:rsid w:val="00147315"/>
    <w:rsid w:val="00147678"/>
    <w:rsid w:val="00150220"/>
    <w:rsid w:val="0015122D"/>
    <w:rsid w:val="001520CB"/>
    <w:rsid w:val="00153824"/>
    <w:rsid w:val="001548B9"/>
    <w:rsid w:val="001551A4"/>
    <w:rsid w:val="00155546"/>
    <w:rsid w:val="00156751"/>
    <w:rsid w:val="001574F7"/>
    <w:rsid w:val="00157A36"/>
    <w:rsid w:val="001604BB"/>
    <w:rsid w:val="001615DB"/>
    <w:rsid w:val="001626C1"/>
    <w:rsid w:val="0016275B"/>
    <w:rsid w:val="00162A21"/>
    <w:rsid w:val="001634CD"/>
    <w:rsid w:val="001639B7"/>
    <w:rsid w:val="00164897"/>
    <w:rsid w:val="0016523A"/>
    <w:rsid w:val="0016554E"/>
    <w:rsid w:val="001656E1"/>
    <w:rsid w:val="0016610B"/>
    <w:rsid w:val="00166897"/>
    <w:rsid w:val="00166A44"/>
    <w:rsid w:val="001676BF"/>
    <w:rsid w:val="00167E3C"/>
    <w:rsid w:val="00167F18"/>
    <w:rsid w:val="00170023"/>
    <w:rsid w:val="00171212"/>
    <w:rsid w:val="00171BB2"/>
    <w:rsid w:val="0017203D"/>
    <w:rsid w:val="00172A27"/>
    <w:rsid w:val="001743EB"/>
    <w:rsid w:val="001749A6"/>
    <w:rsid w:val="00174CCF"/>
    <w:rsid w:val="00175B1A"/>
    <w:rsid w:val="00176CF3"/>
    <w:rsid w:val="0017702A"/>
    <w:rsid w:val="0017796C"/>
    <w:rsid w:val="00177B02"/>
    <w:rsid w:val="00177F2F"/>
    <w:rsid w:val="001805F4"/>
    <w:rsid w:val="00181D75"/>
    <w:rsid w:val="001828F1"/>
    <w:rsid w:val="00182E17"/>
    <w:rsid w:val="001830EA"/>
    <w:rsid w:val="00183AB2"/>
    <w:rsid w:val="001842A3"/>
    <w:rsid w:val="001852AB"/>
    <w:rsid w:val="001853E8"/>
    <w:rsid w:val="0018543B"/>
    <w:rsid w:val="00185630"/>
    <w:rsid w:val="00185D9E"/>
    <w:rsid w:val="001867A2"/>
    <w:rsid w:val="00186865"/>
    <w:rsid w:val="00186900"/>
    <w:rsid w:val="00187B7A"/>
    <w:rsid w:val="00190F65"/>
    <w:rsid w:val="00191BDD"/>
    <w:rsid w:val="00191C51"/>
    <w:rsid w:val="00191E10"/>
    <w:rsid w:val="00193046"/>
    <w:rsid w:val="0019330E"/>
    <w:rsid w:val="001938BC"/>
    <w:rsid w:val="00193E50"/>
    <w:rsid w:val="001942C8"/>
    <w:rsid w:val="00194394"/>
    <w:rsid w:val="001943E2"/>
    <w:rsid w:val="001943FF"/>
    <w:rsid w:val="0019509A"/>
    <w:rsid w:val="0019688C"/>
    <w:rsid w:val="00196B5F"/>
    <w:rsid w:val="00197678"/>
    <w:rsid w:val="00197876"/>
    <w:rsid w:val="00197A5F"/>
    <w:rsid w:val="001A0323"/>
    <w:rsid w:val="001A1DFF"/>
    <w:rsid w:val="001A204A"/>
    <w:rsid w:val="001A2E9C"/>
    <w:rsid w:val="001A3526"/>
    <w:rsid w:val="001A4146"/>
    <w:rsid w:val="001A4694"/>
    <w:rsid w:val="001A49EF"/>
    <w:rsid w:val="001A4D3B"/>
    <w:rsid w:val="001A4F71"/>
    <w:rsid w:val="001A505E"/>
    <w:rsid w:val="001A595C"/>
    <w:rsid w:val="001A5BE4"/>
    <w:rsid w:val="001A5D3D"/>
    <w:rsid w:val="001A6DE3"/>
    <w:rsid w:val="001A7EF9"/>
    <w:rsid w:val="001B0C6B"/>
    <w:rsid w:val="001B0EB3"/>
    <w:rsid w:val="001B18A8"/>
    <w:rsid w:val="001B1FB1"/>
    <w:rsid w:val="001B22BE"/>
    <w:rsid w:val="001B2731"/>
    <w:rsid w:val="001B28ED"/>
    <w:rsid w:val="001B2B7A"/>
    <w:rsid w:val="001B2FB0"/>
    <w:rsid w:val="001B31B3"/>
    <w:rsid w:val="001B3987"/>
    <w:rsid w:val="001B3E83"/>
    <w:rsid w:val="001B498F"/>
    <w:rsid w:val="001B502D"/>
    <w:rsid w:val="001B5A24"/>
    <w:rsid w:val="001B758E"/>
    <w:rsid w:val="001C024C"/>
    <w:rsid w:val="001C0517"/>
    <w:rsid w:val="001C0BC5"/>
    <w:rsid w:val="001C1230"/>
    <w:rsid w:val="001C133E"/>
    <w:rsid w:val="001C1DC8"/>
    <w:rsid w:val="001C2302"/>
    <w:rsid w:val="001C4563"/>
    <w:rsid w:val="001C5AEB"/>
    <w:rsid w:val="001C6201"/>
    <w:rsid w:val="001C6A7E"/>
    <w:rsid w:val="001C6EA5"/>
    <w:rsid w:val="001D02EA"/>
    <w:rsid w:val="001D05AE"/>
    <w:rsid w:val="001D0878"/>
    <w:rsid w:val="001D0BCB"/>
    <w:rsid w:val="001D12F6"/>
    <w:rsid w:val="001D2079"/>
    <w:rsid w:val="001D2317"/>
    <w:rsid w:val="001D26CD"/>
    <w:rsid w:val="001D2A23"/>
    <w:rsid w:val="001D2C15"/>
    <w:rsid w:val="001D335D"/>
    <w:rsid w:val="001D384E"/>
    <w:rsid w:val="001D3A96"/>
    <w:rsid w:val="001D3EA1"/>
    <w:rsid w:val="001D3EF8"/>
    <w:rsid w:val="001D49F6"/>
    <w:rsid w:val="001D4C9A"/>
    <w:rsid w:val="001D5ABB"/>
    <w:rsid w:val="001D5C60"/>
    <w:rsid w:val="001D5F4D"/>
    <w:rsid w:val="001D5F96"/>
    <w:rsid w:val="001D7EAB"/>
    <w:rsid w:val="001E1842"/>
    <w:rsid w:val="001E194F"/>
    <w:rsid w:val="001E20E7"/>
    <w:rsid w:val="001E2650"/>
    <w:rsid w:val="001E2DDE"/>
    <w:rsid w:val="001E2F81"/>
    <w:rsid w:val="001E3691"/>
    <w:rsid w:val="001E36DD"/>
    <w:rsid w:val="001E37B3"/>
    <w:rsid w:val="001E3FB3"/>
    <w:rsid w:val="001E40E8"/>
    <w:rsid w:val="001E43A1"/>
    <w:rsid w:val="001E4911"/>
    <w:rsid w:val="001E4935"/>
    <w:rsid w:val="001E4A8E"/>
    <w:rsid w:val="001E4C0E"/>
    <w:rsid w:val="001E504E"/>
    <w:rsid w:val="001E50CF"/>
    <w:rsid w:val="001E559E"/>
    <w:rsid w:val="001F0079"/>
    <w:rsid w:val="001F0F58"/>
    <w:rsid w:val="001F10CA"/>
    <w:rsid w:val="001F132A"/>
    <w:rsid w:val="001F1C2C"/>
    <w:rsid w:val="001F34F0"/>
    <w:rsid w:val="001F429E"/>
    <w:rsid w:val="001F443D"/>
    <w:rsid w:val="001F54F2"/>
    <w:rsid w:val="001F5EE2"/>
    <w:rsid w:val="001F6266"/>
    <w:rsid w:val="001F6FD3"/>
    <w:rsid w:val="001F72FC"/>
    <w:rsid w:val="002003F1"/>
    <w:rsid w:val="00200525"/>
    <w:rsid w:val="00200613"/>
    <w:rsid w:val="002008BB"/>
    <w:rsid w:val="00203239"/>
    <w:rsid w:val="00204EE8"/>
    <w:rsid w:val="002053D9"/>
    <w:rsid w:val="00205C54"/>
    <w:rsid w:val="002067A4"/>
    <w:rsid w:val="00206BF2"/>
    <w:rsid w:val="00206C76"/>
    <w:rsid w:val="00206CDE"/>
    <w:rsid w:val="0020710E"/>
    <w:rsid w:val="00207C81"/>
    <w:rsid w:val="0021036F"/>
    <w:rsid w:val="00210C5A"/>
    <w:rsid w:val="0021167B"/>
    <w:rsid w:val="00211E3A"/>
    <w:rsid w:val="002128A4"/>
    <w:rsid w:val="002129B4"/>
    <w:rsid w:val="00212F7C"/>
    <w:rsid w:val="00213102"/>
    <w:rsid w:val="00213613"/>
    <w:rsid w:val="00213759"/>
    <w:rsid w:val="00213914"/>
    <w:rsid w:val="002143F3"/>
    <w:rsid w:val="00214DC3"/>
    <w:rsid w:val="00216899"/>
    <w:rsid w:val="00216A69"/>
    <w:rsid w:val="0021705F"/>
    <w:rsid w:val="00217BDF"/>
    <w:rsid w:val="00220056"/>
    <w:rsid w:val="00220ED5"/>
    <w:rsid w:val="002214AD"/>
    <w:rsid w:val="00221C3B"/>
    <w:rsid w:val="00221C7B"/>
    <w:rsid w:val="0022275C"/>
    <w:rsid w:val="00222E4D"/>
    <w:rsid w:val="0022384A"/>
    <w:rsid w:val="00223D62"/>
    <w:rsid w:val="00223F68"/>
    <w:rsid w:val="00224382"/>
    <w:rsid w:val="00224688"/>
    <w:rsid w:val="00224A2D"/>
    <w:rsid w:val="002261C2"/>
    <w:rsid w:val="0022678C"/>
    <w:rsid w:val="0022684F"/>
    <w:rsid w:val="00226F47"/>
    <w:rsid w:val="00227D77"/>
    <w:rsid w:val="00230A61"/>
    <w:rsid w:val="00230DBD"/>
    <w:rsid w:val="00231003"/>
    <w:rsid w:val="00231C2D"/>
    <w:rsid w:val="002325FD"/>
    <w:rsid w:val="00232AAF"/>
    <w:rsid w:val="00232D1C"/>
    <w:rsid w:val="00233216"/>
    <w:rsid w:val="002333FF"/>
    <w:rsid w:val="0023354B"/>
    <w:rsid w:val="00233784"/>
    <w:rsid w:val="002344C1"/>
    <w:rsid w:val="002351E0"/>
    <w:rsid w:val="00235799"/>
    <w:rsid w:val="00235C90"/>
    <w:rsid w:val="00236367"/>
    <w:rsid w:val="00236A87"/>
    <w:rsid w:val="00240835"/>
    <w:rsid w:val="002413DF"/>
    <w:rsid w:val="002422CB"/>
    <w:rsid w:val="002422DB"/>
    <w:rsid w:val="00242CE7"/>
    <w:rsid w:val="002430E1"/>
    <w:rsid w:val="0024477B"/>
    <w:rsid w:val="00244AF1"/>
    <w:rsid w:val="00244CEB"/>
    <w:rsid w:val="0024635D"/>
    <w:rsid w:val="00246769"/>
    <w:rsid w:val="00247F09"/>
    <w:rsid w:val="00250CED"/>
    <w:rsid w:val="00251AE2"/>
    <w:rsid w:val="00251C15"/>
    <w:rsid w:val="0025219D"/>
    <w:rsid w:val="00253242"/>
    <w:rsid w:val="00253AF8"/>
    <w:rsid w:val="00253B7B"/>
    <w:rsid w:val="0025554A"/>
    <w:rsid w:val="00255E18"/>
    <w:rsid w:val="00256920"/>
    <w:rsid w:val="00257A6B"/>
    <w:rsid w:val="00260212"/>
    <w:rsid w:val="0026047C"/>
    <w:rsid w:val="00260F56"/>
    <w:rsid w:val="002611A3"/>
    <w:rsid w:val="002616C4"/>
    <w:rsid w:val="002616E1"/>
    <w:rsid w:val="00261EF6"/>
    <w:rsid w:val="0026218C"/>
    <w:rsid w:val="0026239B"/>
    <w:rsid w:val="002625B4"/>
    <w:rsid w:val="002628CE"/>
    <w:rsid w:val="00263037"/>
    <w:rsid w:val="002636A8"/>
    <w:rsid w:val="002638A1"/>
    <w:rsid w:val="00263A00"/>
    <w:rsid w:val="002655F1"/>
    <w:rsid w:val="00265A81"/>
    <w:rsid w:val="00266A6D"/>
    <w:rsid w:val="0027014E"/>
    <w:rsid w:val="00271377"/>
    <w:rsid w:val="00271EA0"/>
    <w:rsid w:val="00274D2E"/>
    <w:rsid w:val="00275053"/>
    <w:rsid w:val="002756D8"/>
    <w:rsid w:val="00275C3A"/>
    <w:rsid w:val="00276010"/>
    <w:rsid w:val="00276F75"/>
    <w:rsid w:val="00277429"/>
    <w:rsid w:val="002778A9"/>
    <w:rsid w:val="00277CF2"/>
    <w:rsid w:val="0028039C"/>
    <w:rsid w:val="0028076A"/>
    <w:rsid w:val="00280D12"/>
    <w:rsid w:val="00281252"/>
    <w:rsid w:val="0028364F"/>
    <w:rsid w:val="00283F3F"/>
    <w:rsid w:val="00283F9A"/>
    <w:rsid w:val="00284460"/>
    <w:rsid w:val="00284BE3"/>
    <w:rsid w:val="00284EE8"/>
    <w:rsid w:val="00285350"/>
    <w:rsid w:val="00285982"/>
    <w:rsid w:val="00285EB7"/>
    <w:rsid w:val="00286679"/>
    <w:rsid w:val="00286B02"/>
    <w:rsid w:val="00286D43"/>
    <w:rsid w:val="002872AD"/>
    <w:rsid w:val="0028732F"/>
    <w:rsid w:val="00287F15"/>
    <w:rsid w:val="00290D29"/>
    <w:rsid w:val="0029109A"/>
    <w:rsid w:val="002911C8"/>
    <w:rsid w:val="00291E47"/>
    <w:rsid w:val="00291E81"/>
    <w:rsid w:val="00291FDA"/>
    <w:rsid w:val="00292C47"/>
    <w:rsid w:val="00292C75"/>
    <w:rsid w:val="00292FD1"/>
    <w:rsid w:val="00293011"/>
    <w:rsid w:val="002931EE"/>
    <w:rsid w:val="00293968"/>
    <w:rsid w:val="00293B21"/>
    <w:rsid w:val="00295295"/>
    <w:rsid w:val="00295C72"/>
    <w:rsid w:val="002971FE"/>
    <w:rsid w:val="00297701"/>
    <w:rsid w:val="002979CB"/>
    <w:rsid w:val="002A0A48"/>
    <w:rsid w:val="002A0AAC"/>
    <w:rsid w:val="002A23C4"/>
    <w:rsid w:val="002A2C52"/>
    <w:rsid w:val="002A2FB8"/>
    <w:rsid w:val="002A3184"/>
    <w:rsid w:val="002A39B2"/>
    <w:rsid w:val="002A3DE2"/>
    <w:rsid w:val="002A3FAA"/>
    <w:rsid w:val="002A42AD"/>
    <w:rsid w:val="002A453D"/>
    <w:rsid w:val="002A465E"/>
    <w:rsid w:val="002A656E"/>
    <w:rsid w:val="002A67EA"/>
    <w:rsid w:val="002A6AF2"/>
    <w:rsid w:val="002A79E8"/>
    <w:rsid w:val="002B09B4"/>
    <w:rsid w:val="002B1C31"/>
    <w:rsid w:val="002B2613"/>
    <w:rsid w:val="002B289F"/>
    <w:rsid w:val="002B3105"/>
    <w:rsid w:val="002B356D"/>
    <w:rsid w:val="002B3771"/>
    <w:rsid w:val="002B3D25"/>
    <w:rsid w:val="002B41BF"/>
    <w:rsid w:val="002B5692"/>
    <w:rsid w:val="002B57E2"/>
    <w:rsid w:val="002B5DD8"/>
    <w:rsid w:val="002B6445"/>
    <w:rsid w:val="002B6A51"/>
    <w:rsid w:val="002B6AC8"/>
    <w:rsid w:val="002B765C"/>
    <w:rsid w:val="002B7F3C"/>
    <w:rsid w:val="002B7FDB"/>
    <w:rsid w:val="002C01F3"/>
    <w:rsid w:val="002C04E8"/>
    <w:rsid w:val="002C195C"/>
    <w:rsid w:val="002C1FD3"/>
    <w:rsid w:val="002C214A"/>
    <w:rsid w:val="002C306D"/>
    <w:rsid w:val="002C3DE1"/>
    <w:rsid w:val="002C4733"/>
    <w:rsid w:val="002C50AC"/>
    <w:rsid w:val="002C511B"/>
    <w:rsid w:val="002C5B1E"/>
    <w:rsid w:val="002C629B"/>
    <w:rsid w:val="002C78A5"/>
    <w:rsid w:val="002C7AEE"/>
    <w:rsid w:val="002D2CD7"/>
    <w:rsid w:val="002D3131"/>
    <w:rsid w:val="002D3F04"/>
    <w:rsid w:val="002D4EC6"/>
    <w:rsid w:val="002D66F3"/>
    <w:rsid w:val="002D687D"/>
    <w:rsid w:val="002D690C"/>
    <w:rsid w:val="002E0C4D"/>
    <w:rsid w:val="002E10B1"/>
    <w:rsid w:val="002E1172"/>
    <w:rsid w:val="002E18BA"/>
    <w:rsid w:val="002E2D02"/>
    <w:rsid w:val="002E2DFF"/>
    <w:rsid w:val="002E2F03"/>
    <w:rsid w:val="002E371A"/>
    <w:rsid w:val="002E38A2"/>
    <w:rsid w:val="002E38D6"/>
    <w:rsid w:val="002E391C"/>
    <w:rsid w:val="002E3A9C"/>
    <w:rsid w:val="002E449D"/>
    <w:rsid w:val="002E4AA0"/>
    <w:rsid w:val="002E5D7D"/>
    <w:rsid w:val="002E619D"/>
    <w:rsid w:val="002E6201"/>
    <w:rsid w:val="002E64B7"/>
    <w:rsid w:val="002E660D"/>
    <w:rsid w:val="002E7183"/>
    <w:rsid w:val="002E7368"/>
    <w:rsid w:val="002E7E7F"/>
    <w:rsid w:val="002F0047"/>
    <w:rsid w:val="002F018B"/>
    <w:rsid w:val="002F0968"/>
    <w:rsid w:val="002F0AD4"/>
    <w:rsid w:val="002F1008"/>
    <w:rsid w:val="002F1177"/>
    <w:rsid w:val="002F1354"/>
    <w:rsid w:val="002F1562"/>
    <w:rsid w:val="002F19E5"/>
    <w:rsid w:val="002F25B7"/>
    <w:rsid w:val="002F2B79"/>
    <w:rsid w:val="002F330A"/>
    <w:rsid w:val="002F33F5"/>
    <w:rsid w:val="002F3A57"/>
    <w:rsid w:val="002F3D10"/>
    <w:rsid w:val="002F4552"/>
    <w:rsid w:val="002F4B24"/>
    <w:rsid w:val="002F4F13"/>
    <w:rsid w:val="002F5832"/>
    <w:rsid w:val="002F5EC3"/>
    <w:rsid w:val="002F5F4F"/>
    <w:rsid w:val="002F623F"/>
    <w:rsid w:val="002F6ECB"/>
    <w:rsid w:val="003013CE"/>
    <w:rsid w:val="0030177D"/>
    <w:rsid w:val="00303051"/>
    <w:rsid w:val="003036D3"/>
    <w:rsid w:val="00303EF5"/>
    <w:rsid w:val="00304259"/>
    <w:rsid w:val="0030435C"/>
    <w:rsid w:val="003044E4"/>
    <w:rsid w:val="00304DFB"/>
    <w:rsid w:val="003054D3"/>
    <w:rsid w:val="00306367"/>
    <w:rsid w:val="00306461"/>
    <w:rsid w:val="003064DD"/>
    <w:rsid w:val="003074AA"/>
    <w:rsid w:val="0030771E"/>
    <w:rsid w:val="003077D6"/>
    <w:rsid w:val="00307C84"/>
    <w:rsid w:val="00310879"/>
    <w:rsid w:val="00310E09"/>
    <w:rsid w:val="00311AC8"/>
    <w:rsid w:val="003120FC"/>
    <w:rsid w:val="00312668"/>
    <w:rsid w:val="00312DFE"/>
    <w:rsid w:val="00313095"/>
    <w:rsid w:val="0031320B"/>
    <w:rsid w:val="00313AFB"/>
    <w:rsid w:val="00313B53"/>
    <w:rsid w:val="00314486"/>
    <w:rsid w:val="00314523"/>
    <w:rsid w:val="003148AD"/>
    <w:rsid w:val="00315D90"/>
    <w:rsid w:val="00316A0B"/>
    <w:rsid w:val="00317469"/>
    <w:rsid w:val="00317842"/>
    <w:rsid w:val="00317A1A"/>
    <w:rsid w:val="00320F69"/>
    <w:rsid w:val="00321040"/>
    <w:rsid w:val="00321F80"/>
    <w:rsid w:val="003223DC"/>
    <w:rsid w:val="00322B54"/>
    <w:rsid w:val="003234BC"/>
    <w:rsid w:val="003246BB"/>
    <w:rsid w:val="00324A47"/>
    <w:rsid w:val="00324E28"/>
    <w:rsid w:val="003256EA"/>
    <w:rsid w:val="00326E83"/>
    <w:rsid w:val="00327615"/>
    <w:rsid w:val="00327AB4"/>
    <w:rsid w:val="0033071F"/>
    <w:rsid w:val="0033128B"/>
    <w:rsid w:val="00331BC4"/>
    <w:rsid w:val="00331F96"/>
    <w:rsid w:val="0033205D"/>
    <w:rsid w:val="00332394"/>
    <w:rsid w:val="00332DF2"/>
    <w:rsid w:val="0033365C"/>
    <w:rsid w:val="00334663"/>
    <w:rsid w:val="003349EA"/>
    <w:rsid w:val="0033505B"/>
    <w:rsid w:val="00335A43"/>
    <w:rsid w:val="00335A7C"/>
    <w:rsid w:val="00337116"/>
    <w:rsid w:val="003377CD"/>
    <w:rsid w:val="00337933"/>
    <w:rsid w:val="003401D4"/>
    <w:rsid w:val="003405BB"/>
    <w:rsid w:val="00341050"/>
    <w:rsid w:val="003416DF"/>
    <w:rsid w:val="00341C3E"/>
    <w:rsid w:val="0034215F"/>
    <w:rsid w:val="003424A5"/>
    <w:rsid w:val="00343186"/>
    <w:rsid w:val="003438A1"/>
    <w:rsid w:val="003440B5"/>
    <w:rsid w:val="00344615"/>
    <w:rsid w:val="00344FD1"/>
    <w:rsid w:val="00345533"/>
    <w:rsid w:val="0034561E"/>
    <w:rsid w:val="00346989"/>
    <w:rsid w:val="00347889"/>
    <w:rsid w:val="00350432"/>
    <w:rsid w:val="00351E7B"/>
    <w:rsid w:val="00352342"/>
    <w:rsid w:val="003524E8"/>
    <w:rsid w:val="00353603"/>
    <w:rsid w:val="003537F1"/>
    <w:rsid w:val="00354BB7"/>
    <w:rsid w:val="00354DB1"/>
    <w:rsid w:val="00356137"/>
    <w:rsid w:val="0035613A"/>
    <w:rsid w:val="00356479"/>
    <w:rsid w:val="0035669D"/>
    <w:rsid w:val="00356F61"/>
    <w:rsid w:val="0035748E"/>
    <w:rsid w:val="003603EE"/>
    <w:rsid w:val="00361171"/>
    <w:rsid w:val="00361209"/>
    <w:rsid w:val="00361465"/>
    <w:rsid w:val="00361556"/>
    <w:rsid w:val="00361896"/>
    <w:rsid w:val="00361D3D"/>
    <w:rsid w:val="0036266D"/>
    <w:rsid w:val="00362954"/>
    <w:rsid w:val="00363672"/>
    <w:rsid w:val="0036380C"/>
    <w:rsid w:val="00363B6C"/>
    <w:rsid w:val="00363D4E"/>
    <w:rsid w:val="003641A0"/>
    <w:rsid w:val="0036465F"/>
    <w:rsid w:val="0036596D"/>
    <w:rsid w:val="00366976"/>
    <w:rsid w:val="00367D18"/>
    <w:rsid w:val="003700A4"/>
    <w:rsid w:val="003708C0"/>
    <w:rsid w:val="003717B8"/>
    <w:rsid w:val="00371C32"/>
    <w:rsid w:val="00371DAC"/>
    <w:rsid w:val="003721D7"/>
    <w:rsid w:val="00372EC9"/>
    <w:rsid w:val="00373C01"/>
    <w:rsid w:val="00374934"/>
    <w:rsid w:val="00374FCE"/>
    <w:rsid w:val="00375866"/>
    <w:rsid w:val="00375A13"/>
    <w:rsid w:val="00375A9D"/>
    <w:rsid w:val="00375CB7"/>
    <w:rsid w:val="003762C3"/>
    <w:rsid w:val="00376509"/>
    <w:rsid w:val="003766F3"/>
    <w:rsid w:val="00377280"/>
    <w:rsid w:val="00377C94"/>
    <w:rsid w:val="00380B83"/>
    <w:rsid w:val="00380C30"/>
    <w:rsid w:val="00381012"/>
    <w:rsid w:val="00381B47"/>
    <w:rsid w:val="00382D32"/>
    <w:rsid w:val="00382E04"/>
    <w:rsid w:val="00383C09"/>
    <w:rsid w:val="00383DBA"/>
    <w:rsid w:val="00384213"/>
    <w:rsid w:val="0038422A"/>
    <w:rsid w:val="003847C6"/>
    <w:rsid w:val="00384EF0"/>
    <w:rsid w:val="003853B1"/>
    <w:rsid w:val="003876F0"/>
    <w:rsid w:val="00387776"/>
    <w:rsid w:val="00390424"/>
    <w:rsid w:val="00390546"/>
    <w:rsid w:val="00390D4C"/>
    <w:rsid w:val="0039138E"/>
    <w:rsid w:val="00392D4F"/>
    <w:rsid w:val="00392DAB"/>
    <w:rsid w:val="00393919"/>
    <w:rsid w:val="00394BAF"/>
    <w:rsid w:val="00396E78"/>
    <w:rsid w:val="00396E9B"/>
    <w:rsid w:val="00396EFF"/>
    <w:rsid w:val="00396FE0"/>
    <w:rsid w:val="003974BB"/>
    <w:rsid w:val="00397C0A"/>
    <w:rsid w:val="00397EE8"/>
    <w:rsid w:val="003A037F"/>
    <w:rsid w:val="003A061E"/>
    <w:rsid w:val="003A07D7"/>
    <w:rsid w:val="003A0FFD"/>
    <w:rsid w:val="003A2982"/>
    <w:rsid w:val="003A3874"/>
    <w:rsid w:val="003A38A2"/>
    <w:rsid w:val="003A41BA"/>
    <w:rsid w:val="003A45C3"/>
    <w:rsid w:val="003A4742"/>
    <w:rsid w:val="003A4AA9"/>
    <w:rsid w:val="003A4FFD"/>
    <w:rsid w:val="003A54AD"/>
    <w:rsid w:val="003A5818"/>
    <w:rsid w:val="003A6358"/>
    <w:rsid w:val="003A67AF"/>
    <w:rsid w:val="003B0B10"/>
    <w:rsid w:val="003B0CD2"/>
    <w:rsid w:val="003B153D"/>
    <w:rsid w:val="003B1CED"/>
    <w:rsid w:val="003B23A7"/>
    <w:rsid w:val="003B27A3"/>
    <w:rsid w:val="003B2A41"/>
    <w:rsid w:val="003B417C"/>
    <w:rsid w:val="003B4250"/>
    <w:rsid w:val="003B4E45"/>
    <w:rsid w:val="003B5036"/>
    <w:rsid w:val="003B74F3"/>
    <w:rsid w:val="003B77AA"/>
    <w:rsid w:val="003C0CA7"/>
    <w:rsid w:val="003C0EBB"/>
    <w:rsid w:val="003C1EBE"/>
    <w:rsid w:val="003C1EF0"/>
    <w:rsid w:val="003C1F67"/>
    <w:rsid w:val="003C294C"/>
    <w:rsid w:val="003C2B48"/>
    <w:rsid w:val="003C376E"/>
    <w:rsid w:val="003C3B6F"/>
    <w:rsid w:val="003C4474"/>
    <w:rsid w:val="003C4633"/>
    <w:rsid w:val="003C493A"/>
    <w:rsid w:val="003C6DE2"/>
    <w:rsid w:val="003C6E77"/>
    <w:rsid w:val="003C7356"/>
    <w:rsid w:val="003C7BB0"/>
    <w:rsid w:val="003D06D7"/>
    <w:rsid w:val="003D0BAA"/>
    <w:rsid w:val="003D12AE"/>
    <w:rsid w:val="003D14C0"/>
    <w:rsid w:val="003D1885"/>
    <w:rsid w:val="003D34F9"/>
    <w:rsid w:val="003D47E5"/>
    <w:rsid w:val="003D530A"/>
    <w:rsid w:val="003D567F"/>
    <w:rsid w:val="003D5EBC"/>
    <w:rsid w:val="003D66E1"/>
    <w:rsid w:val="003D77C3"/>
    <w:rsid w:val="003E0316"/>
    <w:rsid w:val="003E1A06"/>
    <w:rsid w:val="003E2F88"/>
    <w:rsid w:val="003E37B8"/>
    <w:rsid w:val="003E4466"/>
    <w:rsid w:val="003E519E"/>
    <w:rsid w:val="003E57A9"/>
    <w:rsid w:val="003E7698"/>
    <w:rsid w:val="003F049C"/>
    <w:rsid w:val="003F1BF4"/>
    <w:rsid w:val="003F25B1"/>
    <w:rsid w:val="003F3229"/>
    <w:rsid w:val="003F365E"/>
    <w:rsid w:val="003F40EE"/>
    <w:rsid w:val="003F41FB"/>
    <w:rsid w:val="003F4583"/>
    <w:rsid w:val="003F4C61"/>
    <w:rsid w:val="003F560A"/>
    <w:rsid w:val="003F681A"/>
    <w:rsid w:val="003F76AA"/>
    <w:rsid w:val="003F7AF2"/>
    <w:rsid w:val="0040078F"/>
    <w:rsid w:val="00400AFF"/>
    <w:rsid w:val="00400F36"/>
    <w:rsid w:val="004017BF"/>
    <w:rsid w:val="00401C68"/>
    <w:rsid w:val="00403108"/>
    <w:rsid w:val="004036BC"/>
    <w:rsid w:val="004037D0"/>
    <w:rsid w:val="00403DE4"/>
    <w:rsid w:val="00404158"/>
    <w:rsid w:val="00404450"/>
    <w:rsid w:val="00404D9B"/>
    <w:rsid w:val="00404F96"/>
    <w:rsid w:val="00404FAF"/>
    <w:rsid w:val="00405281"/>
    <w:rsid w:val="00405C57"/>
    <w:rsid w:val="00406ABF"/>
    <w:rsid w:val="00407B18"/>
    <w:rsid w:val="004101B3"/>
    <w:rsid w:val="0041087A"/>
    <w:rsid w:val="00410C07"/>
    <w:rsid w:val="00411446"/>
    <w:rsid w:val="00412227"/>
    <w:rsid w:val="004122F6"/>
    <w:rsid w:val="0041239C"/>
    <w:rsid w:val="00412EE9"/>
    <w:rsid w:val="00415DA7"/>
    <w:rsid w:val="004160B8"/>
    <w:rsid w:val="004162B4"/>
    <w:rsid w:val="004164D5"/>
    <w:rsid w:val="004167AA"/>
    <w:rsid w:val="00416A48"/>
    <w:rsid w:val="00416A90"/>
    <w:rsid w:val="004174CA"/>
    <w:rsid w:val="004176CB"/>
    <w:rsid w:val="00417835"/>
    <w:rsid w:val="00420CC4"/>
    <w:rsid w:val="00420E98"/>
    <w:rsid w:val="00421B6D"/>
    <w:rsid w:val="00421BC3"/>
    <w:rsid w:val="00422635"/>
    <w:rsid w:val="00422746"/>
    <w:rsid w:val="00422B52"/>
    <w:rsid w:val="00422B83"/>
    <w:rsid w:val="0042322E"/>
    <w:rsid w:val="00423421"/>
    <w:rsid w:val="004237E5"/>
    <w:rsid w:val="00423858"/>
    <w:rsid w:val="00424D9B"/>
    <w:rsid w:val="0042539A"/>
    <w:rsid w:val="00425548"/>
    <w:rsid w:val="00425F78"/>
    <w:rsid w:val="004261B2"/>
    <w:rsid w:val="00426201"/>
    <w:rsid w:val="00427690"/>
    <w:rsid w:val="004308FC"/>
    <w:rsid w:val="004318FD"/>
    <w:rsid w:val="004326C8"/>
    <w:rsid w:val="0043320D"/>
    <w:rsid w:val="00434258"/>
    <w:rsid w:val="00434429"/>
    <w:rsid w:val="004346A6"/>
    <w:rsid w:val="00434704"/>
    <w:rsid w:val="004353EC"/>
    <w:rsid w:val="00435A28"/>
    <w:rsid w:val="00435A92"/>
    <w:rsid w:val="0043638F"/>
    <w:rsid w:val="004369C1"/>
    <w:rsid w:val="00436C26"/>
    <w:rsid w:val="0043714C"/>
    <w:rsid w:val="004371A2"/>
    <w:rsid w:val="0043735E"/>
    <w:rsid w:val="004400D6"/>
    <w:rsid w:val="00440AFC"/>
    <w:rsid w:val="00441476"/>
    <w:rsid w:val="004417BC"/>
    <w:rsid w:val="00441CBF"/>
    <w:rsid w:val="004422D7"/>
    <w:rsid w:val="00442767"/>
    <w:rsid w:val="00443654"/>
    <w:rsid w:val="00443AAC"/>
    <w:rsid w:val="00443AAE"/>
    <w:rsid w:val="00444674"/>
    <w:rsid w:val="00444A12"/>
    <w:rsid w:val="00444BC9"/>
    <w:rsid w:val="00446BB3"/>
    <w:rsid w:val="004471E9"/>
    <w:rsid w:val="00447434"/>
    <w:rsid w:val="00450395"/>
    <w:rsid w:val="00450919"/>
    <w:rsid w:val="00450ECD"/>
    <w:rsid w:val="0045147A"/>
    <w:rsid w:val="00451C44"/>
    <w:rsid w:val="00452C73"/>
    <w:rsid w:val="00453D96"/>
    <w:rsid w:val="00453FC1"/>
    <w:rsid w:val="00454BA1"/>
    <w:rsid w:val="00454BF0"/>
    <w:rsid w:val="00454CE6"/>
    <w:rsid w:val="004550D1"/>
    <w:rsid w:val="00455832"/>
    <w:rsid w:val="004559A1"/>
    <w:rsid w:val="00455C88"/>
    <w:rsid w:val="00455CBD"/>
    <w:rsid w:val="00455D96"/>
    <w:rsid w:val="00455E89"/>
    <w:rsid w:val="004564E4"/>
    <w:rsid w:val="0045658B"/>
    <w:rsid w:val="00456D95"/>
    <w:rsid w:val="0045737F"/>
    <w:rsid w:val="004606D2"/>
    <w:rsid w:val="0046141F"/>
    <w:rsid w:val="004614BA"/>
    <w:rsid w:val="00461971"/>
    <w:rsid w:val="00462002"/>
    <w:rsid w:val="0046294E"/>
    <w:rsid w:val="00463521"/>
    <w:rsid w:val="004647B8"/>
    <w:rsid w:val="00464817"/>
    <w:rsid w:val="0046526E"/>
    <w:rsid w:val="004653AE"/>
    <w:rsid w:val="00465706"/>
    <w:rsid w:val="00466D8A"/>
    <w:rsid w:val="00467601"/>
    <w:rsid w:val="00467FED"/>
    <w:rsid w:val="004708F8"/>
    <w:rsid w:val="004713DB"/>
    <w:rsid w:val="004713E1"/>
    <w:rsid w:val="00471A31"/>
    <w:rsid w:val="00472082"/>
    <w:rsid w:val="004727E6"/>
    <w:rsid w:val="00473369"/>
    <w:rsid w:val="00473F09"/>
    <w:rsid w:val="004743CC"/>
    <w:rsid w:val="004746B5"/>
    <w:rsid w:val="004752D2"/>
    <w:rsid w:val="00475997"/>
    <w:rsid w:val="0047633E"/>
    <w:rsid w:val="00476D29"/>
    <w:rsid w:val="00476EFB"/>
    <w:rsid w:val="004777CE"/>
    <w:rsid w:val="00480048"/>
    <w:rsid w:val="00480709"/>
    <w:rsid w:val="004823C3"/>
    <w:rsid w:val="004831B5"/>
    <w:rsid w:val="00483820"/>
    <w:rsid w:val="00483935"/>
    <w:rsid w:val="0048622B"/>
    <w:rsid w:val="00486693"/>
    <w:rsid w:val="004866CB"/>
    <w:rsid w:val="004869B0"/>
    <w:rsid w:val="00487314"/>
    <w:rsid w:val="00487719"/>
    <w:rsid w:val="004908B6"/>
    <w:rsid w:val="0049097D"/>
    <w:rsid w:val="00490C50"/>
    <w:rsid w:val="00490D9A"/>
    <w:rsid w:val="0049133B"/>
    <w:rsid w:val="00491791"/>
    <w:rsid w:val="004931B9"/>
    <w:rsid w:val="0049437F"/>
    <w:rsid w:val="0049450D"/>
    <w:rsid w:val="00494908"/>
    <w:rsid w:val="0049554F"/>
    <w:rsid w:val="00495EF8"/>
    <w:rsid w:val="0049602F"/>
    <w:rsid w:val="004962CB"/>
    <w:rsid w:val="00496514"/>
    <w:rsid w:val="00497C86"/>
    <w:rsid w:val="004A023A"/>
    <w:rsid w:val="004A032D"/>
    <w:rsid w:val="004A0943"/>
    <w:rsid w:val="004A110F"/>
    <w:rsid w:val="004A1413"/>
    <w:rsid w:val="004A1453"/>
    <w:rsid w:val="004A1880"/>
    <w:rsid w:val="004A1EB7"/>
    <w:rsid w:val="004A2649"/>
    <w:rsid w:val="004A299C"/>
    <w:rsid w:val="004A2A7D"/>
    <w:rsid w:val="004A47D3"/>
    <w:rsid w:val="004A59FF"/>
    <w:rsid w:val="004A5E91"/>
    <w:rsid w:val="004A615C"/>
    <w:rsid w:val="004A64B9"/>
    <w:rsid w:val="004A68ED"/>
    <w:rsid w:val="004A71FD"/>
    <w:rsid w:val="004B09AC"/>
    <w:rsid w:val="004B0C39"/>
    <w:rsid w:val="004B14F3"/>
    <w:rsid w:val="004B1C3A"/>
    <w:rsid w:val="004B1C9C"/>
    <w:rsid w:val="004B21C9"/>
    <w:rsid w:val="004B360B"/>
    <w:rsid w:val="004B3874"/>
    <w:rsid w:val="004B493D"/>
    <w:rsid w:val="004B5267"/>
    <w:rsid w:val="004B556F"/>
    <w:rsid w:val="004B5CAA"/>
    <w:rsid w:val="004B5EFA"/>
    <w:rsid w:val="004B640C"/>
    <w:rsid w:val="004B6439"/>
    <w:rsid w:val="004B67F5"/>
    <w:rsid w:val="004B6AA0"/>
    <w:rsid w:val="004B6FF6"/>
    <w:rsid w:val="004B7117"/>
    <w:rsid w:val="004B780D"/>
    <w:rsid w:val="004B7830"/>
    <w:rsid w:val="004B7991"/>
    <w:rsid w:val="004B7CF8"/>
    <w:rsid w:val="004C0367"/>
    <w:rsid w:val="004C05FC"/>
    <w:rsid w:val="004C0CD6"/>
    <w:rsid w:val="004C0DD8"/>
    <w:rsid w:val="004C0EEB"/>
    <w:rsid w:val="004C241E"/>
    <w:rsid w:val="004C26A9"/>
    <w:rsid w:val="004C3A55"/>
    <w:rsid w:val="004C5209"/>
    <w:rsid w:val="004C53B5"/>
    <w:rsid w:val="004C55AF"/>
    <w:rsid w:val="004C5C59"/>
    <w:rsid w:val="004C66D6"/>
    <w:rsid w:val="004C696A"/>
    <w:rsid w:val="004C6A8C"/>
    <w:rsid w:val="004C6DEA"/>
    <w:rsid w:val="004C73A4"/>
    <w:rsid w:val="004C7582"/>
    <w:rsid w:val="004C7939"/>
    <w:rsid w:val="004D1CF2"/>
    <w:rsid w:val="004D25C4"/>
    <w:rsid w:val="004D3686"/>
    <w:rsid w:val="004D3DE2"/>
    <w:rsid w:val="004D5EBE"/>
    <w:rsid w:val="004D61FC"/>
    <w:rsid w:val="004D6322"/>
    <w:rsid w:val="004D658B"/>
    <w:rsid w:val="004D7330"/>
    <w:rsid w:val="004D7546"/>
    <w:rsid w:val="004E03AC"/>
    <w:rsid w:val="004E0F54"/>
    <w:rsid w:val="004E1743"/>
    <w:rsid w:val="004E1CA3"/>
    <w:rsid w:val="004E2082"/>
    <w:rsid w:val="004E4235"/>
    <w:rsid w:val="004E45FE"/>
    <w:rsid w:val="004E486A"/>
    <w:rsid w:val="004E5123"/>
    <w:rsid w:val="004E5F83"/>
    <w:rsid w:val="004E69B3"/>
    <w:rsid w:val="004E76DE"/>
    <w:rsid w:val="004E77C7"/>
    <w:rsid w:val="004E7E43"/>
    <w:rsid w:val="004E7EA4"/>
    <w:rsid w:val="004F1DE5"/>
    <w:rsid w:val="004F1F95"/>
    <w:rsid w:val="004F2ACD"/>
    <w:rsid w:val="004F2B7C"/>
    <w:rsid w:val="004F2E5C"/>
    <w:rsid w:val="004F32FF"/>
    <w:rsid w:val="004F3F9E"/>
    <w:rsid w:val="004F4542"/>
    <w:rsid w:val="004F48A3"/>
    <w:rsid w:val="004F504F"/>
    <w:rsid w:val="004F58D4"/>
    <w:rsid w:val="004F5CB2"/>
    <w:rsid w:val="004F5F0A"/>
    <w:rsid w:val="004F5F99"/>
    <w:rsid w:val="004F5FB3"/>
    <w:rsid w:val="004F620C"/>
    <w:rsid w:val="004F6C6F"/>
    <w:rsid w:val="004F7497"/>
    <w:rsid w:val="004F7E96"/>
    <w:rsid w:val="004F7FE2"/>
    <w:rsid w:val="00500563"/>
    <w:rsid w:val="00500978"/>
    <w:rsid w:val="005011F0"/>
    <w:rsid w:val="0050131D"/>
    <w:rsid w:val="00501680"/>
    <w:rsid w:val="005016C7"/>
    <w:rsid w:val="00501F38"/>
    <w:rsid w:val="00502410"/>
    <w:rsid w:val="005024FF"/>
    <w:rsid w:val="00502B1C"/>
    <w:rsid w:val="00503606"/>
    <w:rsid w:val="00503A96"/>
    <w:rsid w:val="0050447B"/>
    <w:rsid w:val="00504889"/>
    <w:rsid w:val="005048A6"/>
    <w:rsid w:val="00504EA1"/>
    <w:rsid w:val="00505782"/>
    <w:rsid w:val="00505F14"/>
    <w:rsid w:val="00506FF7"/>
    <w:rsid w:val="005072A5"/>
    <w:rsid w:val="00507889"/>
    <w:rsid w:val="00507F8E"/>
    <w:rsid w:val="00510400"/>
    <w:rsid w:val="005106D2"/>
    <w:rsid w:val="00510A52"/>
    <w:rsid w:val="00511296"/>
    <w:rsid w:val="00511852"/>
    <w:rsid w:val="00511E8E"/>
    <w:rsid w:val="00512600"/>
    <w:rsid w:val="00512AB8"/>
    <w:rsid w:val="005130FC"/>
    <w:rsid w:val="0051317C"/>
    <w:rsid w:val="00513757"/>
    <w:rsid w:val="00513A58"/>
    <w:rsid w:val="00513C73"/>
    <w:rsid w:val="00514B27"/>
    <w:rsid w:val="00514E2D"/>
    <w:rsid w:val="00515127"/>
    <w:rsid w:val="005156E2"/>
    <w:rsid w:val="0051580B"/>
    <w:rsid w:val="005158D5"/>
    <w:rsid w:val="00515A46"/>
    <w:rsid w:val="00515AA6"/>
    <w:rsid w:val="005171F1"/>
    <w:rsid w:val="00517253"/>
    <w:rsid w:val="00517459"/>
    <w:rsid w:val="00517BEB"/>
    <w:rsid w:val="00520023"/>
    <w:rsid w:val="005201AE"/>
    <w:rsid w:val="00520217"/>
    <w:rsid w:val="00520B45"/>
    <w:rsid w:val="00520D43"/>
    <w:rsid w:val="00520E96"/>
    <w:rsid w:val="0052120E"/>
    <w:rsid w:val="00521449"/>
    <w:rsid w:val="00521C22"/>
    <w:rsid w:val="00522BE1"/>
    <w:rsid w:val="00523786"/>
    <w:rsid w:val="00523B32"/>
    <w:rsid w:val="00523B9B"/>
    <w:rsid w:val="0052430C"/>
    <w:rsid w:val="00524D9C"/>
    <w:rsid w:val="005257FF"/>
    <w:rsid w:val="00525ADF"/>
    <w:rsid w:val="00525BC6"/>
    <w:rsid w:val="00525D57"/>
    <w:rsid w:val="00526057"/>
    <w:rsid w:val="0052659E"/>
    <w:rsid w:val="00526984"/>
    <w:rsid w:val="00526B34"/>
    <w:rsid w:val="005270BA"/>
    <w:rsid w:val="005310A2"/>
    <w:rsid w:val="00531A61"/>
    <w:rsid w:val="0053221D"/>
    <w:rsid w:val="00533407"/>
    <w:rsid w:val="00533B4A"/>
    <w:rsid w:val="00534523"/>
    <w:rsid w:val="0053512D"/>
    <w:rsid w:val="0053564A"/>
    <w:rsid w:val="00536222"/>
    <w:rsid w:val="00536CF8"/>
    <w:rsid w:val="00536F34"/>
    <w:rsid w:val="0053710E"/>
    <w:rsid w:val="005372F2"/>
    <w:rsid w:val="005372F6"/>
    <w:rsid w:val="00537B1C"/>
    <w:rsid w:val="00540E1E"/>
    <w:rsid w:val="0054158F"/>
    <w:rsid w:val="0054201E"/>
    <w:rsid w:val="0054248D"/>
    <w:rsid w:val="00542F4C"/>
    <w:rsid w:val="00542F98"/>
    <w:rsid w:val="005445D4"/>
    <w:rsid w:val="00544FBC"/>
    <w:rsid w:val="0054530F"/>
    <w:rsid w:val="00545C05"/>
    <w:rsid w:val="00546567"/>
    <w:rsid w:val="005471EE"/>
    <w:rsid w:val="0054748B"/>
    <w:rsid w:val="00547EF3"/>
    <w:rsid w:val="00550468"/>
    <w:rsid w:val="00550858"/>
    <w:rsid w:val="00550D41"/>
    <w:rsid w:val="00550F32"/>
    <w:rsid w:val="00551A13"/>
    <w:rsid w:val="00552791"/>
    <w:rsid w:val="00554259"/>
    <w:rsid w:val="005545F8"/>
    <w:rsid w:val="00554C47"/>
    <w:rsid w:val="005550D3"/>
    <w:rsid w:val="00555EB4"/>
    <w:rsid w:val="00555FCD"/>
    <w:rsid w:val="0055609F"/>
    <w:rsid w:val="005562D9"/>
    <w:rsid w:val="00556E04"/>
    <w:rsid w:val="00556FDA"/>
    <w:rsid w:val="00557138"/>
    <w:rsid w:val="0055738B"/>
    <w:rsid w:val="005573D8"/>
    <w:rsid w:val="005600BD"/>
    <w:rsid w:val="005601C9"/>
    <w:rsid w:val="00560921"/>
    <w:rsid w:val="00560D6A"/>
    <w:rsid w:val="00563609"/>
    <w:rsid w:val="005637D3"/>
    <w:rsid w:val="0056383A"/>
    <w:rsid w:val="005642B7"/>
    <w:rsid w:val="005650B1"/>
    <w:rsid w:val="005652E0"/>
    <w:rsid w:val="00565A2B"/>
    <w:rsid w:val="00566019"/>
    <w:rsid w:val="005669FC"/>
    <w:rsid w:val="005708EB"/>
    <w:rsid w:val="00570B3E"/>
    <w:rsid w:val="00570F76"/>
    <w:rsid w:val="0057115A"/>
    <w:rsid w:val="00571F3C"/>
    <w:rsid w:val="00572BAD"/>
    <w:rsid w:val="00574726"/>
    <w:rsid w:val="0057472A"/>
    <w:rsid w:val="00574741"/>
    <w:rsid w:val="00574A29"/>
    <w:rsid w:val="00574B79"/>
    <w:rsid w:val="00576422"/>
    <w:rsid w:val="0057676A"/>
    <w:rsid w:val="0057695F"/>
    <w:rsid w:val="005774A0"/>
    <w:rsid w:val="00577992"/>
    <w:rsid w:val="00577A68"/>
    <w:rsid w:val="00577A75"/>
    <w:rsid w:val="00577C19"/>
    <w:rsid w:val="0058175C"/>
    <w:rsid w:val="00581ED7"/>
    <w:rsid w:val="005820D7"/>
    <w:rsid w:val="005826E4"/>
    <w:rsid w:val="00582849"/>
    <w:rsid w:val="00582B61"/>
    <w:rsid w:val="00582C0B"/>
    <w:rsid w:val="00583123"/>
    <w:rsid w:val="00584E0E"/>
    <w:rsid w:val="00585B3B"/>
    <w:rsid w:val="00585FD8"/>
    <w:rsid w:val="00586399"/>
    <w:rsid w:val="00586AB6"/>
    <w:rsid w:val="0058721C"/>
    <w:rsid w:val="00591535"/>
    <w:rsid w:val="0059244E"/>
    <w:rsid w:val="00592A6B"/>
    <w:rsid w:val="00593599"/>
    <w:rsid w:val="00593F03"/>
    <w:rsid w:val="00594347"/>
    <w:rsid w:val="00595F4E"/>
    <w:rsid w:val="005970BA"/>
    <w:rsid w:val="005A00BD"/>
    <w:rsid w:val="005A06C5"/>
    <w:rsid w:val="005A16F9"/>
    <w:rsid w:val="005A2339"/>
    <w:rsid w:val="005A243E"/>
    <w:rsid w:val="005A2458"/>
    <w:rsid w:val="005A3553"/>
    <w:rsid w:val="005A3BA8"/>
    <w:rsid w:val="005A418D"/>
    <w:rsid w:val="005A488F"/>
    <w:rsid w:val="005A5306"/>
    <w:rsid w:val="005A5740"/>
    <w:rsid w:val="005A608E"/>
    <w:rsid w:val="005A6156"/>
    <w:rsid w:val="005A7774"/>
    <w:rsid w:val="005B0B27"/>
    <w:rsid w:val="005B1A6E"/>
    <w:rsid w:val="005B1D53"/>
    <w:rsid w:val="005B1D69"/>
    <w:rsid w:val="005B2751"/>
    <w:rsid w:val="005B27CD"/>
    <w:rsid w:val="005B2D5C"/>
    <w:rsid w:val="005B406A"/>
    <w:rsid w:val="005B4071"/>
    <w:rsid w:val="005B49B2"/>
    <w:rsid w:val="005B4A66"/>
    <w:rsid w:val="005B4AC2"/>
    <w:rsid w:val="005B6BFE"/>
    <w:rsid w:val="005B6E05"/>
    <w:rsid w:val="005B7531"/>
    <w:rsid w:val="005C0D65"/>
    <w:rsid w:val="005C1142"/>
    <w:rsid w:val="005C1219"/>
    <w:rsid w:val="005C134F"/>
    <w:rsid w:val="005C19AE"/>
    <w:rsid w:val="005C20CC"/>
    <w:rsid w:val="005C3252"/>
    <w:rsid w:val="005C380E"/>
    <w:rsid w:val="005C3C4A"/>
    <w:rsid w:val="005C3FA0"/>
    <w:rsid w:val="005C40E6"/>
    <w:rsid w:val="005C416F"/>
    <w:rsid w:val="005C5180"/>
    <w:rsid w:val="005C5CB3"/>
    <w:rsid w:val="005C6286"/>
    <w:rsid w:val="005C655C"/>
    <w:rsid w:val="005C6E1A"/>
    <w:rsid w:val="005C79AE"/>
    <w:rsid w:val="005D05B3"/>
    <w:rsid w:val="005D0BC5"/>
    <w:rsid w:val="005D15C1"/>
    <w:rsid w:val="005D16D1"/>
    <w:rsid w:val="005D240C"/>
    <w:rsid w:val="005D28CA"/>
    <w:rsid w:val="005D2939"/>
    <w:rsid w:val="005D2AAE"/>
    <w:rsid w:val="005D2C3E"/>
    <w:rsid w:val="005D37DD"/>
    <w:rsid w:val="005D3821"/>
    <w:rsid w:val="005D3CC4"/>
    <w:rsid w:val="005D49A2"/>
    <w:rsid w:val="005D4E32"/>
    <w:rsid w:val="005D52BC"/>
    <w:rsid w:val="005D57CE"/>
    <w:rsid w:val="005D6135"/>
    <w:rsid w:val="005D69BA"/>
    <w:rsid w:val="005D70E3"/>
    <w:rsid w:val="005D7497"/>
    <w:rsid w:val="005D78E5"/>
    <w:rsid w:val="005D7D9D"/>
    <w:rsid w:val="005D7F7C"/>
    <w:rsid w:val="005D7F80"/>
    <w:rsid w:val="005E0FB4"/>
    <w:rsid w:val="005E1CB0"/>
    <w:rsid w:val="005E2069"/>
    <w:rsid w:val="005E248B"/>
    <w:rsid w:val="005E2598"/>
    <w:rsid w:val="005E27DF"/>
    <w:rsid w:val="005E3587"/>
    <w:rsid w:val="005E4DA1"/>
    <w:rsid w:val="005E5D15"/>
    <w:rsid w:val="005E6CB3"/>
    <w:rsid w:val="005E737C"/>
    <w:rsid w:val="005F0B3D"/>
    <w:rsid w:val="005F0EB4"/>
    <w:rsid w:val="005F124A"/>
    <w:rsid w:val="005F23F4"/>
    <w:rsid w:val="005F3115"/>
    <w:rsid w:val="005F3FA3"/>
    <w:rsid w:val="005F4ACC"/>
    <w:rsid w:val="005F4B17"/>
    <w:rsid w:val="005F4D2E"/>
    <w:rsid w:val="005F598F"/>
    <w:rsid w:val="005F5A9A"/>
    <w:rsid w:val="005F6492"/>
    <w:rsid w:val="0060055D"/>
    <w:rsid w:val="0060113B"/>
    <w:rsid w:val="00603693"/>
    <w:rsid w:val="006039E0"/>
    <w:rsid w:val="00603EF1"/>
    <w:rsid w:val="00604C53"/>
    <w:rsid w:val="00605521"/>
    <w:rsid w:val="006057AB"/>
    <w:rsid w:val="00605DAE"/>
    <w:rsid w:val="006062F0"/>
    <w:rsid w:val="00606A18"/>
    <w:rsid w:val="0060796A"/>
    <w:rsid w:val="00607AED"/>
    <w:rsid w:val="00610255"/>
    <w:rsid w:val="006102F4"/>
    <w:rsid w:val="00610758"/>
    <w:rsid w:val="00610F24"/>
    <w:rsid w:val="00611430"/>
    <w:rsid w:val="006114E7"/>
    <w:rsid w:val="006117D8"/>
    <w:rsid w:val="00611B51"/>
    <w:rsid w:val="00612203"/>
    <w:rsid w:val="006122B7"/>
    <w:rsid w:val="0061239E"/>
    <w:rsid w:val="00612569"/>
    <w:rsid w:val="006129EB"/>
    <w:rsid w:val="0061397C"/>
    <w:rsid w:val="00613C1C"/>
    <w:rsid w:val="006147D9"/>
    <w:rsid w:val="00614C45"/>
    <w:rsid w:val="00614FCE"/>
    <w:rsid w:val="006150B6"/>
    <w:rsid w:val="00615164"/>
    <w:rsid w:val="006154BC"/>
    <w:rsid w:val="00615896"/>
    <w:rsid w:val="00615F2D"/>
    <w:rsid w:val="00616D08"/>
    <w:rsid w:val="00616D93"/>
    <w:rsid w:val="00616EEC"/>
    <w:rsid w:val="0061708E"/>
    <w:rsid w:val="00617789"/>
    <w:rsid w:val="00617909"/>
    <w:rsid w:val="00617AD5"/>
    <w:rsid w:val="00617F69"/>
    <w:rsid w:val="0062017D"/>
    <w:rsid w:val="00620C7B"/>
    <w:rsid w:val="0062280E"/>
    <w:rsid w:val="00622B34"/>
    <w:rsid w:val="00622FDB"/>
    <w:rsid w:val="00623464"/>
    <w:rsid w:val="00623E99"/>
    <w:rsid w:val="00624495"/>
    <w:rsid w:val="00625CCB"/>
    <w:rsid w:val="0062714F"/>
    <w:rsid w:val="00627AF4"/>
    <w:rsid w:val="006303CB"/>
    <w:rsid w:val="0063062A"/>
    <w:rsid w:val="00630F85"/>
    <w:rsid w:val="00632321"/>
    <w:rsid w:val="0063278D"/>
    <w:rsid w:val="00632905"/>
    <w:rsid w:val="00632A19"/>
    <w:rsid w:val="00632CBA"/>
    <w:rsid w:val="00633140"/>
    <w:rsid w:val="006336C3"/>
    <w:rsid w:val="0063545A"/>
    <w:rsid w:val="006355CC"/>
    <w:rsid w:val="00635617"/>
    <w:rsid w:val="00635AE5"/>
    <w:rsid w:val="00636DF8"/>
    <w:rsid w:val="006376CD"/>
    <w:rsid w:val="00637722"/>
    <w:rsid w:val="00637B16"/>
    <w:rsid w:val="006406EE"/>
    <w:rsid w:val="00640BD0"/>
    <w:rsid w:val="00640F48"/>
    <w:rsid w:val="00641321"/>
    <w:rsid w:val="00642583"/>
    <w:rsid w:val="00642CB9"/>
    <w:rsid w:val="006435F0"/>
    <w:rsid w:val="00643F32"/>
    <w:rsid w:val="00643FB3"/>
    <w:rsid w:val="006444E1"/>
    <w:rsid w:val="00644BEC"/>
    <w:rsid w:val="00644D63"/>
    <w:rsid w:val="00645678"/>
    <w:rsid w:val="00645E4F"/>
    <w:rsid w:val="00646487"/>
    <w:rsid w:val="00646CE7"/>
    <w:rsid w:val="006472AE"/>
    <w:rsid w:val="00647395"/>
    <w:rsid w:val="0064755C"/>
    <w:rsid w:val="00647CD2"/>
    <w:rsid w:val="006506E8"/>
    <w:rsid w:val="00650C01"/>
    <w:rsid w:val="00651404"/>
    <w:rsid w:val="00651A61"/>
    <w:rsid w:val="00652013"/>
    <w:rsid w:val="006525CF"/>
    <w:rsid w:val="006529AF"/>
    <w:rsid w:val="00653A9A"/>
    <w:rsid w:val="0065409C"/>
    <w:rsid w:val="00654F79"/>
    <w:rsid w:val="00655431"/>
    <w:rsid w:val="0065564D"/>
    <w:rsid w:val="00655746"/>
    <w:rsid w:val="00655D03"/>
    <w:rsid w:val="0065601D"/>
    <w:rsid w:val="00656BBE"/>
    <w:rsid w:val="00656E80"/>
    <w:rsid w:val="00656EDE"/>
    <w:rsid w:val="006571D3"/>
    <w:rsid w:val="00657F8C"/>
    <w:rsid w:val="006603E0"/>
    <w:rsid w:val="00660AFF"/>
    <w:rsid w:val="006628E6"/>
    <w:rsid w:val="006632EB"/>
    <w:rsid w:val="006638CB"/>
    <w:rsid w:val="00663968"/>
    <w:rsid w:val="00663E09"/>
    <w:rsid w:val="0066435C"/>
    <w:rsid w:val="00664F72"/>
    <w:rsid w:val="006656A5"/>
    <w:rsid w:val="0066742B"/>
    <w:rsid w:val="00667A07"/>
    <w:rsid w:val="00667F9D"/>
    <w:rsid w:val="00670140"/>
    <w:rsid w:val="006707F2"/>
    <w:rsid w:val="00671641"/>
    <w:rsid w:val="00672426"/>
    <w:rsid w:val="00672B14"/>
    <w:rsid w:val="00672C87"/>
    <w:rsid w:val="00673A0B"/>
    <w:rsid w:val="00673BDC"/>
    <w:rsid w:val="00673E26"/>
    <w:rsid w:val="0067413E"/>
    <w:rsid w:val="00675073"/>
    <w:rsid w:val="00675C9D"/>
    <w:rsid w:val="00676FDE"/>
    <w:rsid w:val="00680799"/>
    <w:rsid w:val="00680B08"/>
    <w:rsid w:val="00681DFD"/>
    <w:rsid w:val="00682453"/>
    <w:rsid w:val="00682AB7"/>
    <w:rsid w:val="006832D0"/>
    <w:rsid w:val="0068336C"/>
    <w:rsid w:val="006841D6"/>
    <w:rsid w:val="00684BC7"/>
    <w:rsid w:val="00684EB1"/>
    <w:rsid w:val="0068555F"/>
    <w:rsid w:val="00685A1D"/>
    <w:rsid w:val="00685B67"/>
    <w:rsid w:val="00685E64"/>
    <w:rsid w:val="006872E9"/>
    <w:rsid w:val="00687386"/>
    <w:rsid w:val="00690A04"/>
    <w:rsid w:val="006912A2"/>
    <w:rsid w:val="00691984"/>
    <w:rsid w:val="0069231D"/>
    <w:rsid w:val="00692922"/>
    <w:rsid w:val="00693E71"/>
    <w:rsid w:val="00693FD9"/>
    <w:rsid w:val="00693FE7"/>
    <w:rsid w:val="0069437D"/>
    <w:rsid w:val="0069497B"/>
    <w:rsid w:val="00694A1A"/>
    <w:rsid w:val="00696A5E"/>
    <w:rsid w:val="00696D7D"/>
    <w:rsid w:val="00697E50"/>
    <w:rsid w:val="006A0945"/>
    <w:rsid w:val="006A0958"/>
    <w:rsid w:val="006A0B98"/>
    <w:rsid w:val="006A13F5"/>
    <w:rsid w:val="006A1463"/>
    <w:rsid w:val="006A17C8"/>
    <w:rsid w:val="006A20ED"/>
    <w:rsid w:val="006A2C29"/>
    <w:rsid w:val="006A2C3F"/>
    <w:rsid w:val="006A36A9"/>
    <w:rsid w:val="006A3AF9"/>
    <w:rsid w:val="006A3C81"/>
    <w:rsid w:val="006A4062"/>
    <w:rsid w:val="006A4732"/>
    <w:rsid w:val="006A48DA"/>
    <w:rsid w:val="006A491E"/>
    <w:rsid w:val="006A5AEA"/>
    <w:rsid w:val="006A5B5E"/>
    <w:rsid w:val="006A6D02"/>
    <w:rsid w:val="006A702C"/>
    <w:rsid w:val="006A70E0"/>
    <w:rsid w:val="006B1314"/>
    <w:rsid w:val="006B147B"/>
    <w:rsid w:val="006B1A69"/>
    <w:rsid w:val="006B26BF"/>
    <w:rsid w:val="006B27BE"/>
    <w:rsid w:val="006B3383"/>
    <w:rsid w:val="006B41BE"/>
    <w:rsid w:val="006B450E"/>
    <w:rsid w:val="006B47FA"/>
    <w:rsid w:val="006B49CB"/>
    <w:rsid w:val="006B4B4F"/>
    <w:rsid w:val="006B5E61"/>
    <w:rsid w:val="006B6397"/>
    <w:rsid w:val="006B6F48"/>
    <w:rsid w:val="006B7CFF"/>
    <w:rsid w:val="006B7F12"/>
    <w:rsid w:val="006C046C"/>
    <w:rsid w:val="006C1FB1"/>
    <w:rsid w:val="006C283A"/>
    <w:rsid w:val="006C2A91"/>
    <w:rsid w:val="006C2BF3"/>
    <w:rsid w:val="006C386C"/>
    <w:rsid w:val="006C43BF"/>
    <w:rsid w:val="006C5084"/>
    <w:rsid w:val="006C51E3"/>
    <w:rsid w:val="006C5F42"/>
    <w:rsid w:val="006C727F"/>
    <w:rsid w:val="006C79F5"/>
    <w:rsid w:val="006C7E32"/>
    <w:rsid w:val="006D0576"/>
    <w:rsid w:val="006D0E37"/>
    <w:rsid w:val="006D10DF"/>
    <w:rsid w:val="006D22CA"/>
    <w:rsid w:val="006D4805"/>
    <w:rsid w:val="006D49C0"/>
    <w:rsid w:val="006D49D6"/>
    <w:rsid w:val="006D4A5B"/>
    <w:rsid w:val="006D5263"/>
    <w:rsid w:val="006D52BB"/>
    <w:rsid w:val="006D5DDE"/>
    <w:rsid w:val="006D6B35"/>
    <w:rsid w:val="006D6D3C"/>
    <w:rsid w:val="006D7C3E"/>
    <w:rsid w:val="006D7D1B"/>
    <w:rsid w:val="006E0A21"/>
    <w:rsid w:val="006E0B72"/>
    <w:rsid w:val="006E0D11"/>
    <w:rsid w:val="006E1F7F"/>
    <w:rsid w:val="006E2E90"/>
    <w:rsid w:val="006E2ED1"/>
    <w:rsid w:val="006E310B"/>
    <w:rsid w:val="006E3AE7"/>
    <w:rsid w:val="006E3F71"/>
    <w:rsid w:val="006E40ED"/>
    <w:rsid w:val="006E4437"/>
    <w:rsid w:val="006E5299"/>
    <w:rsid w:val="006E554D"/>
    <w:rsid w:val="006E6B90"/>
    <w:rsid w:val="006E7DC2"/>
    <w:rsid w:val="006E7EE6"/>
    <w:rsid w:val="006E7FCD"/>
    <w:rsid w:val="006F0C70"/>
    <w:rsid w:val="006F0FA0"/>
    <w:rsid w:val="006F189F"/>
    <w:rsid w:val="006F19E3"/>
    <w:rsid w:val="006F1B60"/>
    <w:rsid w:val="006F3347"/>
    <w:rsid w:val="006F3492"/>
    <w:rsid w:val="006F3D05"/>
    <w:rsid w:val="006F47DD"/>
    <w:rsid w:val="006F5335"/>
    <w:rsid w:val="006F54CF"/>
    <w:rsid w:val="006F6242"/>
    <w:rsid w:val="006F6497"/>
    <w:rsid w:val="006F6706"/>
    <w:rsid w:val="006F67AB"/>
    <w:rsid w:val="006F6811"/>
    <w:rsid w:val="006F692C"/>
    <w:rsid w:val="006F722A"/>
    <w:rsid w:val="006F742A"/>
    <w:rsid w:val="006F7C2D"/>
    <w:rsid w:val="006F7D5B"/>
    <w:rsid w:val="00700053"/>
    <w:rsid w:val="00700AFF"/>
    <w:rsid w:val="0070170B"/>
    <w:rsid w:val="0070195D"/>
    <w:rsid w:val="00702E3B"/>
    <w:rsid w:val="007030E1"/>
    <w:rsid w:val="00703FA2"/>
    <w:rsid w:val="007049D2"/>
    <w:rsid w:val="00704FA6"/>
    <w:rsid w:val="00705389"/>
    <w:rsid w:val="007055B9"/>
    <w:rsid w:val="00705B08"/>
    <w:rsid w:val="00705D67"/>
    <w:rsid w:val="00705DA1"/>
    <w:rsid w:val="00707C56"/>
    <w:rsid w:val="0071058B"/>
    <w:rsid w:val="00711516"/>
    <w:rsid w:val="00711AAE"/>
    <w:rsid w:val="00712134"/>
    <w:rsid w:val="00712E4E"/>
    <w:rsid w:val="00713094"/>
    <w:rsid w:val="00713DD0"/>
    <w:rsid w:val="00714276"/>
    <w:rsid w:val="007146FE"/>
    <w:rsid w:val="00714E79"/>
    <w:rsid w:val="0071600D"/>
    <w:rsid w:val="00716098"/>
    <w:rsid w:val="007173CE"/>
    <w:rsid w:val="007177FC"/>
    <w:rsid w:val="007200DF"/>
    <w:rsid w:val="00721026"/>
    <w:rsid w:val="00723180"/>
    <w:rsid w:val="007245B2"/>
    <w:rsid w:val="00724ACC"/>
    <w:rsid w:val="0072546D"/>
    <w:rsid w:val="00725BE6"/>
    <w:rsid w:val="0072657F"/>
    <w:rsid w:val="0072685A"/>
    <w:rsid w:val="00727645"/>
    <w:rsid w:val="00730158"/>
    <w:rsid w:val="00730CCD"/>
    <w:rsid w:val="00730D04"/>
    <w:rsid w:val="00731438"/>
    <w:rsid w:val="007314AC"/>
    <w:rsid w:val="007318CB"/>
    <w:rsid w:val="00731DF6"/>
    <w:rsid w:val="00731FD7"/>
    <w:rsid w:val="00732691"/>
    <w:rsid w:val="007327B2"/>
    <w:rsid w:val="00732D4F"/>
    <w:rsid w:val="00733AD8"/>
    <w:rsid w:val="0073442F"/>
    <w:rsid w:val="00734B33"/>
    <w:rsid w:val="00735D2A"/>
    <w:rsid w:val="00735F46"/>
    <w:rsid w:val="007361ED"/>
    <w:rsid w:val="00736772"/>
    <w:rsid w:val="00736A8C"/>
    <w:rsid w:val="00736B40"/>
    <w:rsid w:val="007374E8"/>
    <w:rsid w:val="007414C2"/>
    <w:rsid w:val="007419AD"/>
    <w:rsid w:val="0074221A"/>
    <w:rsid w:val="007422D4"/>
    <w:rsid w:val="0074259B"/>
    <w:rsid w:val="007427F6"/>
    <w:rsid w:val="00743C85"/>
    <w:rsid w:val="0074452B"/>
    <w:rsid w:val="00745CF0"/>
    <w:rsid w:val="007461F1"/>
    <w:rsid w:val="00746BFB"/>
    <w:rsid w:val="00746C50"/>
    <w:rsid w:val="00747792"/>
    <w:rsid w:val="0074780B"/>
    <w:rsid w:val="00747962"/>
    <w:rsid w:val="00750FD9"/>
    <w:rsid w:val="00751C4F"/>
    <w:rsid w:val="00751E6F"/>
    <w:rsid w:val="0075231F"/>
    <w:rsid w:val="007525FB"/>
    <w:rsid w:val="00752E84"/>
    <w:rsid w:val="00752EA4"/>
    <w:rsid w:val="00753A8E"/>
    <w:rsid w:val="00753DCA"/>
    <w:rsid w:val="0075492C"/>
    <w:rsid w:val="00754A0E"/>
    <w:rsid w:val="00755481"/>
    <w:rsid w:val="0075711D"/>
    <w:rsid w:val="00757957"/>
    <w:rsid w:val="00757C0E"/>
    <w:rsid w:val="00757D36"/>
    <w:rsid w:val="00757F66"/>
    <w:rsid w:val="00760AE2"/>
    <w:rsid w:val="00761837"/>
    <w:rsid w:val="00761EB3"/>
    <w:rsid w:val="0076206F"/>
    <w:rsid w:val="007629B4"/>
    <w:rsid w:val="007629E3"/>
    <w:rsid w:val="00762ECA"/>
    <w:rsid w:val="007637F1"/>
    <w:rsid w:val="0076434D"/>
    <w:rsid w:val="007643FE"/>
    <w:rsid w:val="00764545"/>
    <w:rsid w:val="00764DE0"/>
    <w:rsid w:val="00765988"/>
    <w:rsid w:val="007663FB"/>
    <w:rsid w:val="00766958"/>
    <w:rsid w:val="007674D6"/>
    <w:rsid w:val="007705D2"/>
    <w:rsid w:val="00770D6C"/>
    <w:rsid w:val="00771CA3"/>
    <w:rsid w:val="00771E82"/>
    <w:rsid w:val="00772091"/>
    <w:rsid w:val="007722A0"/>
    <w:rsid w:val="00772D98"/>
    <w:rsid w:val="007736B9"/>
    <w:rsid w:val="00773B4C"/>
    <w:rsid w:val="00773F52"/>
    <w:rsid w:val="00775140"/>
    <w:rsid w:val="007751C4"/>
    <w:rsid w:val="007755E4"/>
    <w:rsid w:val="0077568A"/>
    <w:rsid w:val="0077686E"/>
    <w:rsid w:val="00776A57"/>
    <w:rsid w:val="00777A77"/>
    <w:rsid w:val="00780CEA"/>
    <w:rsid w:val="00780F9E"/>
    <w:rsid w:val="00781E94"/>
    <w:rsid w:val="00782D5A"/>
    <w:rsid w:val="00782D94"/>
    <w:rsid w:val="0078344B"/>
    <w:rsid w:val="00784F76"/>
    <w:rsid w:val="00784FB0"/>
    <w:rsid w:val="0078511C"/>
    <w:rsid w:val="00785B2B"/>
    <w:rsid w:val="00785C24"/>
    <w:rsid w:val="00786FF6"/>
    <w:rsid w:val="00787DB7"/>
    <w:rsid w:val="007914CA"/>
    <w:rsid w:val="007918F2"/>
    <w:rsid w:val="007919F7"/>
    <w:rsid w:val="007920D2"/>
    <w:rsid w:val="0079217C"/>
    <w:rsid w:val="00792458"/>
    <w:rsid w:val="007924CD"/>
    <w:rsid w:val="00792531"/>
    <w:rsid w:val="007926F3"/>
    <w:rsid w:val="00792FD6"/>
    <w:rsid w:val="00793B37"/>
    <w:rsid w:val="00793E77"/>
    <w:rsid w:val="00794140"/>
    <w:rsid w:val="00795792"/>
    <w:rsid w:val="00795BA5"/>
    <w:rsid w:val="00797330"/>
    <w:rsid w:val="007975C8"/>
    <w:rsid w:val="00797856"/>
    <w:rsid w:val="00797938"/>
    <w:rsid w:val="007A01A8"/>
    <w:rsid w:val="007A149B"/>
    <w:rsid w:val="007A164F"/>
    <w:rsid w:val="007A1705"/>
    <w:rsid w:val="007A1C2E"/>
    <w:rsid w:val="007A232D"/>
    <w:rsid w:val="007A23AE"/>
    <w:rsid w:val="007A2913"/>
    <w:rsid w:val="007A2DCE"/>
    <w:rsid w:val="007A2EAB"/>
    <w:rsid w:val="007A2F67"/>
    <w:rsid w:val="007A3EA3"/>
    <w:rsid w:val="007A3EAF"/>
    <w:rsid w:val="007A45B2"/>
    <w:rsid w:val="007A4D72"/>
    <w:rsid w:val="007A4DF0"/>
    <w:rsid w:val="007A5059"/>
    <w:rsid w:val="007A5060"/>
    <w:rsid w:val="007A52BD"/>
    <w:rsid w:val="007A5BE7"/>
    <w:rsid w:val="007A5C0B"/>
    <w:rsid w:val="007A5D17"/>
    <w:rsid w:val="007A65FE"/>
    <w:rsid w:val="007A6E33"/>
    <w:rsid w:val="007B0708"/>
    <w:rsid w:val="007B0AC1"/>
    <w:rsid w:val="007B0C27"/>
    <w:rsid w:val="007B0F0F"/>
    <w:rsid w:val="007B1728"/>
    <w:rsid w:val="007B1E52"/>
    <w:rsid w:val="007B1EC7"/>
    <w:rsid w:val="007B220D"/>
    <w:rsid w:val="007B227A"/>
    <w:rsid w:val="007B29B4"/>
    <w:rsid w:val="007B2B88"/>
    <w:rsid w:val="007B3CA1"/>
    <w:rsid w:val="007B3FEF"/>
    <w:rsid w:val="007B41BF"/>
    <w:rsid w:val="007B42E5"/>
    <w:rsid w:val="007B4611"/>
    <w:rsid w:val="007B48A8"/>
    <w:rsid w:val="007B4D50"/>
    <w:rsid w:val="007B4F6B"/>
    <w:rsid w:val="007B4FED"/>
    <w:rsid w:val="007B50AB"/>
    <w:rsid w:val="007B5377"/>
    <w:rsid w:val="007B609F"/>
    <w:rsid w:val="007B681C"/>
    <w:rsid w:val="007B6A88"/>
    <w:rsid w:val="007B6AE8"/>
    <w:rsid w:val="007B6E1B"/>
    <w:rsid w:val="007B7274"/>
    <w:rsid w:val="007B7EBE"/>
    <w:rsid w:val="007C0AA2"/>
    <w:rsid w:val="007C0BB1"/>
    <w:rsid w:val="007C1104"/>
    <w:rsid w:val="007C12B3"/>
    <w:rsid w:val="007C220F"/>
    <w:rsid w:val="007C38BA"/>
    <w:rsid w:val="007C3BE7"/>
    <w:rsid w:val="007C3DC8"/>
    <w:rsid w:val="007C3F16"/>
    <w:rsid w:val="007C40DA"/>
    <w:rsid w:val="007C521F"/>
    <w:rsid w:val="007C563B"/>
    <w:rsid w:val="007C6408"/>
    <w:rsid w:val="007C670C"/>
    <w:rsid w:val="007C6952"/>
    <w:rsid w:val="007C69A7"/>
    <w:rsid w:val="007C6A9E"/>
    <w:rsid w:val="007C6CC4"/>
    <w:rsid w:val="007D0113"/>
    <w:rsid w:val="007D0448"/>
    <w:rsid w:val="007D23A2"/>
    <w:rsid w:val="007D25A6"/>
    <w:rsid w:val="007D291D"/>
    <w:rsid w:val="007D2BE6"/>
    <w:rsid w:val="007D318F"/>
    <w:rsid w:val="007D323E"/>
    <w:rsid w:val="007D327D"/>
    <w:rsid w:val="007D3417"/>
    <w:rsid w:val="007D3802"/>
    <w:rsid w:val="007D3B22"/>
    <w:rsid w:val="007D3E21"/>
    <w:rsid w:val="007D4A73"/>
    <w:rsid w:val="007D5BA4"/>
    <w:rsid w:val="007D6018"/>
    <w:rsid w:val="007D602F"/>
    <w:rsid w:val="007D6144"/>
    <w:rsid w:val="007D653A"/>
    <w:rsid w:val="007D65CA"/>
    <w:rsid w:val="007D7488"/>
    <w:rsid w:val="007D78EF"/>
    <w:rsid w:val="007D7A9A"/>
    <w:rsid w:val="007D7B6F"/>
    <w:rsid w:val="007E03C5"/>
    <w:rsid w:val="007E2212"/>
    <w:rsid w:val="007E25F0"/>
    <w:rsid w:val="007E2606"/>
    <w:rsid w:val="007E2840"/>
    <w:rsid w:val="007E32D7"/>
    <w:rsid w:val="007E3FFF"/>
    <w:rsid w:val="007E42AC"/>
    <w:rsid w:val="007E4423"/>
    <w:rsid w:val="007E5146"/>
    <w:rsid w:val="007E54EF"/>
    <w:rsid w:val="007E6060"/>
    <w:rsid w:val="007E6C63"/>
    <w:rsid w:val="007E6F6E"/>
    <w:rsid w:val="007E728B"/>
    <w:rsid w:val="007F022A"/>
    <w:rsid w:val="007F09BA"/>
    <w:rsid w:val="007F1544"/>
    <w:rsid w:val="007F1A8E"/>
    <w:rsid w:val="007F2DAA"/>
    <w:rsid w:val="007F3327"/>
    <w:rsid w:val="007F337C"/>
    <w:rsid w:val="007F364B"/>
    <w:rsid w:val="007F3B63"/>
    <w:rsid w:val="007F40CC"/>
    <w:rsid w:val="007F42AA"/>
    <w:rsid w:val="007F4323"/>
    <w:rsid w:val="007F46AC"/>
    <w:rsid w:val="007F4BBD"/>
    <w:rsid w:val="007F587D"/>
    <w:rsid w:val="007F594D"/>
    <w:rsid w:val="007F60A0"/>
    <w:rsid w:val="007F6907"/>
    <w:rsid w:val="007F71EC"/>
    <w:rsid w:val="007F77BA"/>
    <w:rsid w:val="008001EC"/>
    <w:rsid w:val="00800685"/>
    <w:rsid w:val="0080077A"/>
    <w:rsid w:val="008007F0"/>
    <w:rsid w:val="008013EE"/>
    <w:rsid w:val="008015C7"/>
    <w:rsid w:val="00801B83"/>
    <w:rsid w:val="00802650"/>
    <w:rsid w:val="0080281A"/>
    <w:rsid w:val="00802C3A"/>
    <w:rsid w:val="00804AA7"/>
    <w:rsid w:val="00805728"/>
    <w:rsid w:val="0080645B"/>
    <w:rsid w:val="00810446"/>
    <w:rsid w:val="00811743"/>
    <w:rsid w:val="00811FFC"/>
    <w:rsid w:val="0081259B"/>
    <w:rsid w:val="00812A06"/>
    <w:rsid w:val="00812CC4"/>
    <w:rsid w:val="00813378"/>
    <w:rsid w:val="00813AB8"/>
    <w:rsid w:val="00813BD0"/>
    <w:rsid w:val="00813F34"/>
    <w:rsid w:val="00814A58"/>
    <w:rsid w:val="00814B4F"/>
    <w:rsid w:val="008153A5"/>
    <w:rsid w:val="00815546"/>
    <w:rsid w:val="008157BF"/>
    <w:rsid w:val="008158A0"/>
    <w:rsid w:val="00816897"/>
    <w:rsid w:val="00816A61"/>
    <w:rsid w:val="00817387"/>
    <w:rsid w:val="00817E6B"/>
    <w:rsid w:val="0082004D"/>
    <w:rsid w:val="0082007B"/>
    <w:rsid w:val="008200CF"/>
    <w:rsid w:val="0082031E"/>
    <w:rsid w:val="00820409"/>
    <w:rsid w:val="00820C7D"/>
    <w:rsid w:val="008217B4"/>
    <w:rsid w:val="00822019"/>
    <w:rsid w:val="00822525"/>
    <w:rsid w:val="00822720"/>
    <w:rsid w:val="00822D1F"/>
    <w:rsid w:val="0082369C"/>
    <w:rsid w:val="00824B14"/>
    <w:rsid w:val="00824E39"/>
    <w:rsid w:val="00825499"/>
    <w:rsid w:val="0082579A"/>
    <w:rsid w:val="00825B39"/>
    <w:rsid w:val="0082611E"/>
    <w:rsid w:val="0082679F"/>
    <w:rsid w:val="008278BD"/>
    <w:rsid w:val="00831E64"/>
    <w:rsid w:val="00831E67"/>
    <w:rsid w:val="00832109"/>
    <w:rsid w:val="008321DD"/>
    <w:rsid w:val="008323C0"/>
    <w:rsid w:val="00832B3D"/>
    <w:rsid w:val="00833473"/>
    <w:rsid w:val="00833EDC"/>
    <w:rsid w:val="00834175"/>
    <w:rsid w:val="00834189"/>
    <w:rsid w:val="0083568C"/>
    <w:rsid w:val="0083655B"/>
    <w:rsid w:val="00837F28"/>
    <w:rsid w:val="00837FB1"/>
    <w:rsid w:val="0084028F"/>
    <w:rsid w:val="008405E1"/>
    <w:rsid w:val="00840F82"/>
    <w:rsid w:val="00841848"/>
    <w:rsid w:val="00842FDA"/>
    <w:rsid w:val="00843EFF"/>
    <w:rsid w:val="00844923"/>
    <w:rsid w:val="00844F12"/>
    <w:rsid w:val="008451E1"/>
    <w:rsid w:val="008454A7"/>
    <w:rsid w:val="0084597C"/>
    <w:rsid w:val="00846415"/>
    <w:rsid w:val="00846493"/>
    <w:rsid w:val="00847894"/>
    <w:rsid w:val="00847B23"/>
    <w:rsid w:val="00850A88"/>
    <w:rsid w:val="00850B5D"/>
    <w:rsid w:val="00850CD2"/>
    <w:rsid w:val="00850DBC"/>
    <w:rsid w:val="0085116B"/>
    <w:rsid w:val="00851184"/>
    <w:rsid w:val="00851504"/>
    <w:rsid w:val="008519F0"/>
    <w:rsid w:val="00852615"/>
    <w:rsid w:val="00853911"/>
    <w:rsid w:val="00853E12"/>
    <w:rsid w:val="0085428E"/>
    <w:rsid w:val="008551A7"/>
    <w:rsid w:val="0085520E"/>
    <w:rsid w:val="00855525"/>
    <w:rsid w:val="0085597E"/>
    <w:rsid w:val="00855A44"/>
    <w:rsid w:val="008561EF"/>
    <w:rsid w:val="00856B81"/>
    <w:rsid w:val="00856EC5"/>
    <w:rsid w:val="00856FB6"/>
    <w:rsid w:val="0085719C"/>
    <w:rsid w:val="008575B0"/>
    <w:rsid w:val="00857AC2"/>
    <w:rsid w:val="00857E56"/>
    <w:rsid w:val="008621E8"/>
    <w:rsid w:val="008629C7"/>
    <w:rsid w:val="00863D45"/>
    <w:rsid w:val="0086443E"/>
    <w:rsid w:val="008647DD"/>
    <w:rsid w:val="0086494A"/>
    <w:rsid w:val="00865AC7"/>
    <w:rsid w:val="00865AE2"/>
    <w:rsid w:val="00867118"/>
    <w:rsid w:val="008671A5"/>
    <w:rsid w:val="00867DEA"/>
    <w:rsid w:val="00870015"/>
    <w:rsid w:val="00870697"/>
    <w:rsid w:val="00870EE2"/>
    <w:rsid w:val="0087105A"/>
    <w:rsid w:val="0087318A"/>
    <w:rsid w:val="00873405"/>
    <w:rsid w:val="0087356F"/>
    <w:rsid w:val="0087404C"/>
    <w:rsid w:val="00874804"/>
    <w:rsid w:val="00874BA1"/>
    <w:rsid w:val="00875383"/>
    <w:rsid w:val="008753D6"/>
    <w:rsid w:val="008754C2"/>
    <w:rsid w:val="0087558D"/>
    <w:rsid w:val="00875EBE"/>
    <w:rsid w:val="00876621"/>
    <w:rsid w:val="00876658"/>
    <w:rsid w:val="008767CD"/>
    <w:rsid w:val="00876A71"/>
    <w:rsid w:val="00876B85"/>
    <w:rsid w:val="00876E62"/>
    <w:rsid w:val="00877A87"/>
    <w:rsid w:val="008801A2"/>
    <w:rsid w:val="00880628"/>
    <w:rsid w:val="008820A1"/>
    <w:rsid w:val="00882F24"/>
    <w:rsid w:val="008833C5"/>
    <w:rsid w:val="00883926"/>
    <w:rsid w:val="00883B80"/>
    <w:rsid w:val="00883DEC"/>
    <w:rsid w:val="00884089"/>
    <w:rsid w:val="008849A2"/>
    <w:rsid w:val="00885150"/>
    <w:rsid w:val="00885285"/>
    <w:rsid w:val="00885BBE"/>
    <w:rsid w:val="00886373"/>
    <w:rsid w:val="00886550"/>
    <w:rsid w:val="00886968"/>
    <w:rsid w:val="00886A9F"/>
    <w:rsid w:val="00886E73"/>
    <w:rsid w:val="008871D5"/>
    <w:rsid w:val="00887295"/>
    <w:rsid w:val="0088750C"/>
    <w:rsid w:val="00887D51"/>
    <w:rsid w:val="00890168"/>
    <w:rsid w:val="00890278"/>
    <w:rsid w:val="00890F51"/>
    <w:rsid w:val="00891AED"/>
    <w:rsid w:val="00892423"/>
    <w:rsid w:val="00892D86"/>
    <w:rsid w:val="00892F5F"/>
    <w:rsid w:val="008933CF"/>
    <w:rsid w:val="008939B0"/>
    <w:rsid w:val="008946B0"/>
    <w:rsid w:val="00894773"/>
    <w:rsid w:val="008953A4"/>
    <w:rsid w:val="008958C3"/>
    <w:rsid w:val="00896D88"/>
    <w:rsid w:val="0089725C"/>
    <w:rsid w:val="008975D6"/>
    <w:rsid w:val="008A04B7"/>
    <w:rsid w:val="008A09FE"/>
    <w:rsid w:val="008A0B11"/>
    <w:rsid w:val="008A31F5"/>
    <w:rsid w:val="008A37D9"/>
    <w:rsid w:val="008A3963"/>
    <w:rsid w:val="008A4D13"/>
    <w:rsid w:val="008A56D6"/>
    <w:rsid w:val="008A58F4"/>
    <w:rsid w:val="008A5E70"/>
    <w:rsid w:val="008A602D"/>
    <w:rsid w:val="008A678E"/>
    <w:rsid w:val="008A786E"/>
    <w:rsid w:val="008A7FB7"/>
    <w:rsid w:val="008A7FD5"/>
    <w:rsid w:val="008B08D0"/>
    <w:rsid w:val="008B102D"/>
    <w:rsid w:val="008B26F9"/>
    <w:rsid w:val="008B31AD"/>
    <w:rsid w:val="008B378F"/>
    <w:rsid w:val="008B47F9"/>
    <w:rsid w:val="008B53F2"/>
    <w:rsid w:val="008B6157"/>
    <w:rsid w:val="008B7886"/>
    <w:rsid w:val="008C0AB2"/>
    <w:rsid w:val="008C1CD5"/>
    <w:rsid w:val="008C2C45"/>
    <w:rsid w:val="008C44C9"/>
    <w:rsid w:val="008C47BE"/>
    <w:rsid w:val="008C59AA"/>
    <w:rsid w:val="008C5A9D"/>
    <w:rsid w:val="008C60F3"/>
    <w:rsid w:val="008C7290"/>
    <w:rsid w:val="008C7668"/>
    <w:rsid w:val="008D0366"/>
    <w:rsid w:val="008D0CAD"/>
    <w:rsid w:val="008D1F76"/>
    <w:rsid w:val="008D2389"/>
    <w:rsid w:val="008D3252"/>
    <w:rsid w:val="008D39BC"/>
    <w:rsid w:val="008D4473"/>
    <w:rsid w:val="008D4C10"/>
    <w:rsid w:val="008D4E21"/>
    <w:rsid w:val="008D581B"/>
    <w:rsid w:val="008D5ADF"/>
    <w:rsid w:val="008D5FC1"/>
    <w:rsid w:val="008D683D"/>
    <w:rsid w:val="008D6B56"/>
    <w:rsid w:val="008D6F65"/>
    <w:rsid w:val="008D736C"/>
    <w:rsid w:val="008D7942"/>
    <w:rsid w:val="008E0F1E"/>
    <w:rsid w:val="008E11EF"/>
    <w:rsid w:val="008E1490"/>
    <w:rsid w:val="008E1784"/>
    <w:rsid w:val="008E1AEE"/>
    <w:rsid w:val="008E2B20"/>
    <w:rsid w:val="008E4FDE"/>
    <w:rsid w:val="008E5069"/>
    <w:rsid w:val="008E5072"/>
    <w:rsid w:val="008E6BC6"/>
    <w:rsid w:val="008E7115"/>
    <w:rsid w:val="008F106B"/>
    <w:rsid w:val="008F3681"/>
    <w:rsid w:val="008F3856"/>
    <w:rsid w:val="008F478B"/>
    <w:rsid w:val="008F5D2C"/>
    <w:rsid w:val="008F6677"/>
    <w:rsid w:val="008F6DD2"/>
    <w:rsid w:val="008F6DD4"/>
    <w:rsid w:val="008F7112"/>
    <w:rsid w:val="008F7505"/>
    <w:rsid w:val="008F7545"/>
    <w:rsid w:val="008F7DFA"/>
    <w:rsid w:val="008F7E81"/>
    <w:rsid w:val="009006DD"/>
    <w:rsid w:val="00900888"/>
    <w:rsid w:val="00901184"/>
    <w:rsid w:val="009013CA"/>
    <w:rsid w:val="00903096"/>
    <w:rsid w:val="0090373B"/>
    <w:rsid w:val="00904418"/>
    <w:rsid w:val="00904A43"/>
    <w:rsid w:val="00904A82"/>
    <w:rsid w:val="00904CF7"/>
    <w:rsid w:val="009060B4"/>
    <w:rsid w:val="009064A2"/>
    <w:rsid w:val="00906B63"/>
    <w:rsid w:val="00906CCC"/>
    <w:rsid w:val="00907179"/>
    <w:rsid w:val="009072F8"/>
    <w:rsid w:val="009076EC"/>
    <w:rsid w:val="0091079A"/>
    <w:rsid w:val="009108E3"/>
    <w:rsid w:val="00911AEC"/>
    <w:rsid w:val="0091211D"/>
    <w:rsid w:val="009122A5"/>
    <w:rsid w:val="009128E2"/>
    <w:rsid w:val="00912F2E"/>
    <w:rsid w:val="009134A6"/>
    <w:rsid w:val="00913CFA"/>
    <w:rsid w:val="009143FB"/>
    <w:rsid w:val="00915401"/>
    <w:rsid w:val="00915758"/>
    <w:rsid w:val="0091596D"/>
    <w:rsid w:val="00916A1E"/>
    <w:rsid w:val="00916C58"/>
    <w:rsid w:val="00917B94"/>
    <w:rsid w:val="00920452"/>
    <w:rsid w:val="00922EA3"/>
    <w:rsid w:val="0092303D"/>
    <w:rsid w:val="00923CB7"/>
    <w:rsid w:val="00923D8D"/>
    <w:rsid w:val="00924597"/>
    <w:rsid w:val="00924B4A"/>
    <w:rsid w:val="009253B6"/>
    <w:rsid w:val="00925F2F"/>
    <w:rsid w:val="00926EF6"/>
    <w:rsid w:val="00927CA2"/>
    <w:rsid w:val="00932214"/>
    <w:rsid w:val="009328BE"/>
    <w:rsid w:val="00932F0A"/>
    <w:rsid w:val="00933016"/>
    <w:rsid w:val="009345C5"/>
    <w:rsid w:val="00934CC2"/>
    <w:rsid w:val="00934DD6"/>
    <w:rsid w:val="00935F2C"/>
    <w:rsid w:val="009360CF"/>
    <w:rsid w:val="00936739"/>
    <w:rsid w:val="00936DA0"/>
    <w:rsid w:val="0093784D"/>
    <w:rsid w:val="0093799B"/>
    <w:rsid w:val="00937ADF"/>
    <w:rsid w:val="00937E68"/>
    <w:rsid w:val="00940B76"/>
    <w:rsid w:val="00941D99"/>
    <w:rsid w:val="009425C5"/>
    <w:rsid w:val="00942B1E"/>
    <w:rsid w:val="00942C18"/>
    <w:rsid w:val="00942DE6"/>
    <w:rsid w:val="0094360B"/>
    <w:rsid w:val="00943679"/>
    <w:rsid w:val="00943B92"/>
    <w:rsid w:val="009450FD"/>
    <w:rsid w:val="00945161"/>
    <w:rsid w:val="00945709"/>
    <w:rsid w:val="00945BB6"/>
    <w:rsid w:val="00946651"/>
    <w:rsid w:val="009468B7"/>
    <w:rsid w:val="009468DB"/>
    <w:rsid w:val="00946E14"/>
    <w:rsid w:val="0094787F"/>
    <w:rsid w:val="00947C31"/>
    <w:rsid w:val="00950233"/>
    <w:rsid w:val="00950E1B"/>
    <w:rsid w:val="009511EA"/>
    <w:rsid w:val="00952FE7"/>
    <w:rsid w:val="00953474"/>
    <w:rsid w:val="00953536"/>
    <w:rsid w:val="009539C6"/>
    <w:rsid w:val="00953D9C"/>
    <w:rsid w:val="0095431D"/>
    <w:rsid w:val="009555E3"/>
    <w:rsid w:val="009560AA"/>
    <w:rsid w:val="009569D7"/>
    <w:rsid w:val="009576A8"/>
    <w:rsid w:val="009606F2"/>
    <w:rsid w:val="009607C2"/>
    <w:rsid w:val="00960999"/>
    <w:rsid w:val="00961E01"/>
    <w:rsid w:val="00961E52"/>
    <w:rsid w:val="0096367E"/>
    <w:rsid w:val="00963E0E"/>
    <w:rsid w:val="0096409C"/>
    <w:rsid w:val="009644C8"/>
    <w:rsid w:val="00964ACC"/>
    <w:rsid w:val="00964F1E"/>
    <w:rsid w:val="00965C9A"/>
    <w:rsid w:val="00965EE5"/>
    <w:rsid w:val="00966C6F"/>
    <w:rsid w:val="0096788F"/>
    <w:rsid w:val="0097040E"/>
    <w:rsid w:val="00970523"/>
    <w:rsid w:val="0097111D"/>
    <w:rsid w:val="00972CE1"/>
    <w:rsid w:val="00974BC0"/>
    <w:rsid w:val="00974C4D"/>
    <w:rsid w:val="009764F2"/>
    <w:rsid w:val="00976A2A"/>
    <w:rsid w:val="00976A60"/>
    <w:rsid w:val="0098008C"/>
    <w:rsid w:val="0098035F"/>
    <w:rsid w:val="00980C76"/>
    <w:rsid w:val="0098101A"/>
    <w:rsid w:val="009823C2"/>
    <w:rsid w:val="009825F2"/>
    <w:rsid w:val="00982725"/>
    <w:rsid w:val="0098292D"/>
    <w:rsid w:val="00982B15"/>
    <w:rsid w:val="00983857"/>
    <w:rsid w:val="00983B7A"/>
    <w:rsid w:val="00983F59"/>
    <w:rsid w:val="009845C6"/>
    <w:rsid w:val="0098475C"/>
    <w:rsid w:val="0098492D"/>
    <w:rsid w:val="00984B3B"/>
    <w:rsid w:val="009854C8"/>
    <w:rsid w:val="00986EF0"/>
    <w:rsid w:val="00987863"/>
    <w:rsid w:val="00990D4C"/>
    <w:rsid w:val="00991302"/>
    <w:rsid w:val="009919FC"/>
    <w:rsid w:val="009928EF"/>
    <w:rsid w:val="00992E49"/>
    <w:rsid w:val="00993406"/>
    <w:rsid w:val="00993DFA"/>
    <w:rsid w:val="00994899"/>
    <w:rsid w:val="00994B5D"/>
    <w:rsid w:val="00994DAD"/>
    <w:rsid w:val="00995084"/>
    <w:rsid w:val="009950F3"/>
    <w:rsid w:val="0099520E"/>
    <w:rsid w:val="00995275"/>
    <w:rsid w:val="009954D3"/>
    <w:rsid w:val="00996249"/>
    <w:rsid w:val="009A05ED"/>
    <w:rsid w:val="009A0937"/>
    <w:rsid w:val="009A0A91"/>
    <w:rsid w:val="009A0EC6"/>
    <w:rsid w:val="009A1234"/>
    <w:rsid w:val="009A2813"/>
    <w:rsid w:val="009A2CCD"/>
    <w:rsid w:val="009A3095"/>
    <w:rsid w:val="009A3140"/>
    <w:rsid w:val="009A3662"/>
    <w:rsid w:val="009A383E"/>
    <w:rsid w:val="009A3A1D"/>
    <w:rsid w:val="009A3D27"/>
    <w:rsid w:val="009A4346"/>
    <w:rsid w:val="009A465D"/>
    <w:rsid w:val="009A5198"/>
    <w:rsid w:val="009A5E68"/>
    <w:rsid w:val="009A6087"/>
    <w:rsid w:val="009A71D9"/>
    <w:rsid w:val="009A7B76"/>
    <w:rsid w:val="009B0D09"/>
    <w:rsid w:val="009B11E7"/>
    <w:rsid w:val="009B1793"/>
    <w:rsid w:val="009B1EE1"/>
    <w:rsid w:val="009B2D66"/>
    <w:rsid w:val="009B310A"/>
    <w:rsid w:val="009B323F"/>
    <w:rsid w:val="009B3A8E"/>
    <w:rsid w:val="009B4506"/>
    <w:rsid w:val="009B459F"/>
    <w:rsid w:val="009B4E24"/>
    <w:rsid w:val="009B4F45"/>
    <w:rsid w:val="009B5367"/>
    <w:rsid w:val="009B5644"/>
    <w:rsid w:val="009B5C21"/>
    <w:rsid w:val="009B6101"/>
    <w:rsid w:val="009B64DC"/>
    <w:rsid w:val="009B6552"/>
    <w:rsid w:val="009B6DED"/>
    <w:rsid w:val="009B7559"/>
    <w:rsid w:val="009B7739"/>
    <w:rsid w:val="009C07CD"/>
    <w:rsid w:val="009C0F7B"/>
    <w:rsid w:val="009C10B6"/>
    <w:rsid w:val="009C1668"/>
    <w:rsid w:val="009C195A"/>
    <w:rsid w:val="009C2D80"/>
    <w:rsid w:val="009C4374"/>
    <w:rsid w:val="009C448C"/>
    <w:rsid w:val="009C49CC"/>
    <w:rsid w:val="009C5D87"/>
    <w:rsid w:val="009C6212"/>
    <w:rsid w:val="009C643D"/>
    <w:rsid w:val="009D0DF1"/>
    <w:rsid w:val="009D102E"/>
    <w:rsid w:val="009D127F"/>
    <w:rsid w:val="009D19AB"/>
    <w:rsid w:val="009D25C0"/>
    <w:rsid w:val="009D276A"/>
    <w:rsid w:val="009D284D"/>
    <w:rsid w:val="009D2D40"/>
    <w:rsid w:val="009D392C"/>
    <w:rsid w:val="009D3ECF"/>
    <w:rsid w:val="009D48EA"/>
    <w:rsid w:val="009D4AFB"/>
    <w:rsid w:val="009D5EFC"/>
    <w:rsid w:val="009D6077"/>
    <w:rsid w:val="009D6199"/>
    <w:rsid w:val="009D6420"/>
    <w:rsid w:val="009D6454"/>
    <w:rsid w:val="009D652C"/>
    <w:rsid w:val="009D6808"/>
    <w:rsid w:val="009D7D91"/>
    <w:rsid w:val="009E054F"/>
    <w:rsid w:val="009E066A"/>
    <w:rsid w:val="009E06EF"/>
    <w:rsid w:val="009E0AE1"/>
    <w:rsid w:val="009E23F7"/>
    <w:rsid w:val="009E313F"/>
    <w:rsid w:val="009E38C4"/>
    <w:rsid w:val="009E4263"/>
    <w:rsid w:val="009E4330"/>
    <w:rsid w:val="009E5240"/>
    <w:rsid w:val="009E54C2"/>
    <w:rsid w:val="009E5B76"/>
    <w:rsid w:val="009E5BBE"/>
    <w:rsid w:val="009E5E6B"/>
    <w:rsid w:val="009E76E4"/>
    <w:rsid w:val="009F0448"/>
    <w:rsid w:val="009F1136"/>
    <w:rsid w:val="009F11BC"/>
    <w:rsid w:val="009F1A13"/>
    <w:rsid w:val="009F2C02"/>
    <w:rsid w:val="009F2D3B"/>
    <w:rsid w:val="009F39AB"/>
    <w:rsid w:val="009F3BBE"/>
    <w:rsid w:val="009F3BD6"/>
    <w:rsid w:val="009F4A92"/>
    <w:rsid w:val="009F59D7"/>
    <w:rsid w:val="009F5C90"/>
    <w:rsid w:val="009F6435"/>
    <w:rsid w:val="009F6D02"/>
    <w:rsid w:val="009F70C7"/>
    <w:rsid w:val="009F70D0"/>
    <w:rsid w:val="009F7240"/>
    <w:rsid w:val="00A00107"/>
    <w:rsid w:val="00A0216C"/>
    <w:rsid w:val="00A02334"/>
    <w:rsid w:val="00A031ED"/>
    <w:rsid w:val="00A0338C"/>
    <w:rsid w:val="00A0346B"/>
    <w:rsid w:val="00A034AD"/>
    <w:rsid w:val="00A03ECA"/>
    <w:rsid w:val="00A04174"/>
    <w:rsid w:val="00A04A9A"/>
    <w:rsid w:val="00A059DB"/>
    <w:rsid w:val="00A06560"/>
    <w:rsid w:val="00A0703E"/>
    <w:rsid w:val="00A07FAD"/>
    <w:rsid w:val="00A107A3"/>
    <w:rsid w:val="00A109FB"/>
    <w:rsid w:val="00A10E34"/>
    <w:rsid w:val="00A11732"/>
    <w:rsid w:val="00A128D9"/>
    <w:rsid w:val="00A12CD8"/>
    <w:rsid w:val="00A130CA"/>
    <w:rsid w:val="00A13D1D"/>
    <w:rsid w:val="00A13FA7"/>
    <w:rsid w:val="00A1478F"/>
    <w:rsid w:val="00A149F7"/>
    <w:rsid w:val="00A15B8B"/>
    <w:rsid w:val="00A17B49"/>
    <w:rsid w:val="00A202D3"/>
    <w:rsid w:val="00A20A04"/>
    <w:rsid w:val="00A20A12"/>
    <w:rsid w:val="00A20A8B"/>
    <w:rsid w:val="00A2221D"/>
    <w:rsid w:val="00A22C3F"/>
    <w:rsid w:val="00A2342F"/>
    <w:rsid w:val="00A2440F"/>
    <w:rsid w:val="00A246D2"/>
    <w:rsid w:val="00A24E62"/>
    <w:rsid w:val="00A25871"/>
    <w:rsid w:val="00A309D2"/>
    <w:rsid w:val="00A31636"/>
    <w:rsid w:val="00A31E31"/>
    <w:rsid w:val="00A333FA"/>
    <w:rsid w:val="00A33EF5"/>
    <w:rsid w:val="00A3478C"/>
    <w:rsid w:val="00A35DE4"/>
    <w:rsid w:val="00A36601"/>
    <w:rsid w:val="00A3698F"/>
    <w:rsid w:val="00A36C96"/>
    <w:rsid w:val="00A36D52"/>
    <w:rsid w:val="00A3712C"/>
    <w:rsid w:val="00A37BE7"/>
    <w:rsid w:val="00A40A94"/>
    <w:rsid w:val="00A40D8D"/>
    <w:rsid w:val="00A40F5F"/>
    <w:rsid w:val="00A410B2"/>
    <w:rsid w:val="00A41A70"/>
    <w:rsid w:val="00A41D1F"/>
    <w:rsid w:val="00A41F69"/>
    <w:rsid w:val="00A423BA"/>
    <w:rsid w:val="00A4271A"/>
    <w:rsid w:val="00A42AFD"/>
    <w:rsid w:val="00A43F03"/>
    <w:rsid w:val="00A446D3"/>
    <w:rsid w:val="00A44A87"/>
    <w:rsid w:val="00A4592F"/>
    <w:rsid w:val="00A46274"/>
    <w:rsid w:val="00A46911"/>
    <w:rsid w:val="00A46C1B"/>
    <w:rsid w:val="00A46E41"/>
    <w:rsid w:val="00A47404"/>
    <w:rsid w:val="00A4793B"/>
    <w:rsid w:val="00A47B73"/>
    <w:rsid w:val="00A47E1A"/>
    <w:rsid w:val="00A47E98"/>
    <w:rsid w:val="00A5044A"/>
    <w:rsid w:val="00A50531"/>
    <w:rsid w:val="00A50559"/>
    <w:rsid w:val="00A507BA"/>
    <w:rsid w:val="00A51B70"/>
    <w:rsid w:val="00A51E2D"/>
    <w:rsid w:val="00A520AB"/>
    <w:rsid w:val="00A522F7"/>
    <w:rsid w:val="00A5258B"/>
    <w:rsid w:val="00A53251"/>
    <w:rsid w:val="00A5350E"/>
    <w:rsid w:val="00A5399B"/>
    <w:rsid w:val="00A542CF"/>
    <w:rsid w:val="00A54620"/>
    <w:rsid w:val="00A54647"/>
    <w:rsid w:val="00A5479C"/>
    <w:rsid w:val="00A557B4"/>
    <w:rsid w:val="00A559CC"/>
    <w:rsid w:val="00A55AAF"/>
    <w:rsid w:val="00A569AF"/>
    <w:rsid w:val="00A56E14"/>
    <w:rsid w:val="00A60CE7"/>
    <w:rsid w:val="00A61872"/>
    <w:rsid w:val="00A6210C"/>
    <w:rsid w:val="00A629C1"/>
    <w:rsid w:val="00A62EED"/>
    <w:rsid w:val="00A645AA"/>
    <w:rsid w:val="00A64747"/>
    <w:rsid w:val="00A64836"/>
    <w:rsid w:val="00A64E3B"/>
    <w:rsid w:val="00A6548B"/>
    <w:rsid w:val="00A6558E"/>
    <w:rsid w:val="00A660A2"/>
    <w:rsid w:val="00A66227"/>
    <w:rsid w:val="00A66237"/>
    <w:rsid w:val="00A66523"/>
    <w:rsid w:val="00A700B9"/>
    <w:rsid w:val="00A702C1"/>
    <w:rsid w:val="00A7083E"/>
    <w:rsid w:val="00A739F0"/>
    <w:rsid w:val="00A73AB9"/>
    <w:rsid w:val="00A7517E"/>
    <w:rsid w:val="00A75319"/>
    <w:rsid w:val="00A75970"/>
    <w:rsid w:val="00A762B3"/>
    <w:rsid w:val="00A80BB1"/>
    <w:rsid w:val="00A81CD1"/>
    <w:rsid w:val="00A8247A"/>
    <w:rsid w:val="00A82575"/>
    <w:rsid w:val="00A8260E"/>
    <w:rsid w:val="00A82A53"/>
    <w:rsid w:val="00A834BE"/>
    <w:rsid w:val="00A840B5"/>
    <w:rsid w:val="00A845A6"/>
    <w:rsid w:val="00A8474A"/>
    <w:rsid w:val="00A84AC5"/>
    <w:rsid w:val="00A851E0"/>
    <w:rsid w:val="00A85425"/>
    <w:rsid w:val="00A855D8"/>
    <w:rsid w:val="00A858FA"/>
    <w:rsid w:val="00A879C5"/>
    <w:rsid w:val="00A9042B"/>
    <w:rsid w:val="00A90511"/>
    <w:rsid w:val="00A90CA6"/>
    <w:rsid w:val="00A911BC"/>
    <w:rsid w:val="00A91AC7"/>
    <w:rsid w:val="00A91BFC"/>
    <w:rsid w:val="00A91EC4"/>
    <w:rsid w:val="00A91FE4"/>
    <w:rsid w:val="00A924F6"/>
    <w:rsid w:val="00A92ACE"/>
    <w:rsid w:val="00A92C17"/>
    <w:rsid w:val="00A92D5A"/>
    <w:rsid w:val="00A92E6C"/>
    <w:rsid w:val="00A93024"/>
    <w:rsid w:val="00A9442F"/>
    <w:rsid w:val="00A946C6"/>
    <w:rsid w:val="00A946EE"/>
    <w:rsid w:val="00A950EA"/>
    <w:rsid w:val="00A9569C"/>
    <w:rsid w:val="00A9575A"/>
    <w:rsid w:val="00A95BFC"/>
    <w:rsid w:val="00A95FCD"/>
    <w:rsid w:val="00A96878"/>
    <w:rsid w:val="00A96F4B"/>
    <w:rsid w:val="00A97169"/>
    <w:rsid w:val="00A97BCE"/>
    <w:rsid w:val="00AA0AAC"/>
    <w:rsid w:val="00AA257E"/>
    <w:rsid w:val="00AA2AE9"/>
    <w:rsid w:val="00AA39BB"/>
    <w:rsid w:val="00AA41B0"/>
    <w:rsid w:val="00AA447F"/>
    <w:rsid w:val="00AA4492"/>
    <w:rsid w:val="00AA4534"/>
    <w:rsid w:val="00AA46DE"/>
    <w:rsid w:val="00AA713C"/>
    <w:rsid w:val="00AA7F2C"/>
    <w:rsid w:val="00AB034A"/>
    <w:rsid w:val="00AB18EA"/>
    <w:rsid w:val="00AB198B"/>
    <w:rsid w:val="00AB1E0D"/>
    <w:rsid w:val="00AB288F"/>
    <w:rsid w:val="00AB28A0"/>
    <w:rsid w:val="00AB31AC"/>
    <w:rsid w:val="00AB333F"/>
    <w:rsid w:val="00AB359C"/>
    <w:rsid w:val="00AB387D"/>
    <w:rsid w:val="00AB38FE"/>
    <w:rsid w:val="00AB3FE5"/>
    <w:rsid w:val="00AB5864"/>
    <w:rsid w:val="00AB5B68"/>
    <w:rsid w:val="00AB6003"/>
    <w:rsid w:val="00AB61D0"/>
    <w:rsid w:val="00AB69DF"/>
    <w:rsid w:val="00AB741F"/>
    <w:rsid w:val="00AB7456"/>
    <w:rsid w:val="00AB7B12"/>
    <w:rsid w:val="00AB7E88"/>
    <w:rsid w:val="00AB7F3B"/>
    <w:rsid w:val="00AC0154"/>
    <w:rsid w:val="00AC0DE0"/>
    <w:rsid w:val="00AC0F04"/>
    <w:rsid w:val="00AC237A"/>
    <w:rsid w:val="00AC28E0"/>
    <w:rsid w:val="00AC29DC"/>
    <w:rsid w:val="00AC2CA4"/>
    <w:rsid w:val="00AC3C8B"/>
    <w:rsid w:val="00AC4419"/>
    <w:rsid w:val="00AC51B0"/>
    <w:rsid w:val="00AC569E"/>
    <w:rsid w:val="00AC5A15"/>
    <w:rsid w:val="00AC6FEB"/>
    <w:rsid w:val="00AD05AB"/>
    <w:rsid w:val="00AD0A49"/>
    <w:rsid w:val="00AD1A12"/>
    <w:rsid w:val="00AD1A9C"/>
    <w:rsid w:val="00AD22AD"/>
    <w:rsid w:val="00AD23FF"/>
    <w:rsid w:val="00AD2DC5"/>
    <w:rsid w:val="00AD3052"/>
    <w:rsid w:val="00AD4268"/>
    <w:rsid w:val="00AD4CE5"/>
    <w:rsid w:val="00AD6D2E"/>
    <w:rsid w:val="00AD74DA"/>
    <w:rsid w:val="00AD7630"/>
    <w:rsid w:val="00AE0343"/>
    <w:rsid w:val="00AE0E91"/>
    <w:rsid w:val="00AE112B"/>
    <w:rsid w:val="00AE1C4C"/>
    <w:rsid w:val="00AE3BD2"/>
    <w:rsid w:val="00AE41FC"/>
    <w:rsid w:val="00AE4855"/>
    <w:rsid w:val="00AE622D"/>
    <w:rsid w:val="00AE71AE"/>
    <w:rsid w:val="00AE74FB"/>
    <w:rsid w:val="00AF05E6"/>
    <w:rsid w:val="00AF1A2C"/>
    <w:rsid w:val="00AF1AAD"/>
    <w:rsid w:val="00AF20D5"/>
    <w:rsid w:val="00AF24FF"/>
    <w:rsid w:val="00AF266F"/>
    <w:rsid w:val="00AF2E65"/>
    <w:rsid w:val="00AF3465"/>
    <w:rsid w:val="00AF41C7"/>
    <w:rsid w:val="00AF43DA"/>
    <w:rsid w:val="00AF484B"/>
    <w:rsid w:val="00AF4C4A"/>
    <w:rsid w:val="00AF4F79"/>
    <w:rsid w:val="00AF5BC4"/>
    <w:rsid w:val="00AF6070"/>
    <w:rsid w:val="00AF6373"/>
    <w:rsid w:val="00AF6490"/>
    <w:rsid w:val="00AF66AC"/>
    <w:rsid w:val="00AF67AE"/>
    <w:rsid w:val="00AF6B8A"/>
    <w:rsid w:val="00AF7268"/>
    <w:rsid w:val="00AF7CCF"/>
    <w:rsid w:val="00B0012B"/>
    <w:rsid w:val="00B00437"/>
    <w:rsid w:val="00B006F5"/>
    <w:rsid w:val="00B00971"/>
    <w:rsid w:val="00B00B73"/>
    <w:rsid w:val="00B00C56"/>
    <w:rsid w:val="00B014FC"/>
    <w:rsid w:val="00B0155A"/>
    <w:rsid w:val="00B016D7"/>
    <w:rsid w:val="00B01AE2"/>
    <w:rsid w:val="00B02C67"/>
    <w:rsid w:val="00B04A51"/>
    <w:rsid w:val="00B04CDF"/>
    <w:rsid w:val="00B0520B"/>
    <w:rsid w:val="00B057B3"/>
    <w:rsid w:val="00B058C0"/>
    <w:rsid w:val="00B060D4"/>
    <w:rsid w:val="00B0649E"/>
    <w:rsid w:val="00B07078"/>
    <w:rsid w:val="00B07600"/>
    <w:rsid w:val="00B07FE0"/>
    <w:rsid w:val="00B11420"/>
    <w:rsid w:val="00B115EA"/>
    <w:rsid w:val="00B11A8A"/>
    <w:rsid w:val="00B13E22"/>
    <w:rsid w:val="00B13EC6"/>
    <w:rsid w:val="00B150B6"/>
    <w:rsid w:val="00B15301"/>
    <w:rsid w:val="00B15EC6"/>
    <w:rsid w:val="00B16266"/>
    <w:rsid w:val="00B1647D"/>
    <w:rsid w:val="00B16D94"/>
    <w:rsid w:val="00B172C1"/>
    <w:rsid w:val="00B17952"/>
    <w:rsid w:val="00B20343"/>
    <w:rsid w:val="00B209F0"/>
    <w:rsid w:val="00B2145D"/>
    <w:rsid w:val="00B21659"/>
    <w:rsid w:val="00B2228F"/>
    <w:rsid w:val="00B22496"/>
    <w:rsid w:val="00B224D3"/>
    <w:rsid w:val="00B22C1B"/>
    <w:rsid w:val="00B22CCB"/>
    <w:rsid w:val="00B23D47"/>
    <w:rsid w:val="00B24054"/>
    <w:rsid w:val="00B240BE"/>
    <w:rsid w:val="00B24747"/>
    <w:rsid w:val="00B25C9D"/>
    <w:rsid w:val="00B25CFF"/>
    <w:rsid w:val="00B26851"/>
    <w:rsid w:val="00B30285"/>
    <w:rsid w:val="00B3037A"/>
    <w:rsid w:val="00B30775"/>
    <w:rsid w:val="00B31801"/>
    <w:rsid w:val="00B31F49"/>
    <w:rsid w:val="00B324D7"/>
    <w:rsid w:val="00B340A1"/>
    <w:rsid w:val="00B341D3"/>
    <w:rsid w:val="00B3479E"/>
    <w:rsid w:val="00B3485F"/>
    <w:rsid w:val="00B34CD3"/>
    <w:rsid w:val="00B34F61"/>
    <w:rsid w:val="00B3614E"/>
    <w:rsid w:val="00B3629E"/>
    <w:rsid w:val="00B36A55"/>
    <w:rsid w:val="00B40044"/>
    <w:rsid w:val="00B40DAD"/>
    <w:rsid w:val="00B419F5"/>
    <w:rsid w:val="00B41D62"/>
    <w:rsid w:val="00B41DE9"/>
    <w:rsid w:val="00B421FF"/>
    <w:rsid w:val="00B4282F"/>
    <w:rsid w:val="00B42D35"/>
    <w:rsid w:val="00B42F03"/>
    <w:rsid w:val="00B43A79"/>
    <w:rsid w:val="00B44E38"/>
    <w:rsid w:val="00B454FF"/>
    <w:rsid w:val="00B45E81"/>
    <w:rsid w:val="00B468A4"/>
    <w:rsid w:val="00B46AC8"/>
    <w:rsid w:val="00B5148F"/>
    <w:rsid w:val="00B518BB"/>
    <w:rsid w:val="00B5320A"/>
    <w:rsid w:val="00B53EEF"/>
    <w:rsid w:val="00B54183"/>
    <w:rsid w:val="00B54498"/>
    <w:rsid w:val="00B54BBA"/>
    <w:rsid w:val="00B55238"/>
    <w:rsid w:val="00B55FC6"/>
    <w:rsid w:val="00B5638A"/>
    <w:rsid w:val="00B567AF"/>
    <w:rsid w:val="00B56B68"/>
    <w:rsid w:val="00B57A67"/>
    <w:rsid w:val="00B57C35"/>
    <w:rsid w:val="00B57D8C"/>
    <w:rsid w:val="00B609CD"/>
    <w:rsid w:val="00B60FB3"/>
    <w:rsid w:val="00B60FE6"/>
    <w:rsid w:val="00B618CD"/>
    <w:rsid w:val="00B638FF"/>
    <w:rsid w:val="00B63DC1"/>
    <w:rsid w:val="00B6453A"/>
    <w:rsid w:val="00B64861"/>
    <w:rsid w:val="00B64A28"/>
    <w:rsid w:val="00B6562E"/>
    <w:rsid w:val="00B65B55"/>
    <w:rsid w:val="00B6662E"/>
    <w:rsid w:val="00B669D0"/>
    <w:rsid w:val="00B66F84"/>
    <w:rsid w:val="00B67643"/>
    <w:rsid w:val="00B679F5"/>
    <w:rsid w:val="00B67D76"/>
    <w:rsid w:val="00B70805"/>
    <w:rsid w:val="00B70A38"/>
    <w:rsid w:val="00B70AB2"/>
    <w:rsid w:val="00B70BF2"/>
    <w:rsid w:val="00B71677"/>
    <w:rsid w:val="00B71DB4"/>
    <w:rsid w:val="00B72E46"/>
    <w:rsid w:val="00B7331A"/>
    <w:rsid w:val="00B736A7"/>
    <w:rsid w:val="00B73C09"/>
    <w:rsid w:val="00B73D08"/>
    <w:rsid w:val="00B74328"/>
    <w:rsid w:val="00B74A10"/>
    <w:rsid w:val="00B74C2B"/>
    <w:rsid w:val="00B757D0"/>
    <w:rsid w:val="00B75BD5"/>
    <w:rsid w:val="00B76177"/>
    <w:rsid w:val="00B7680A"/>
    <w:rsid w:val="00B77CDC"/>
    <w:rsid w:val="00B80342"/>
    <w:rsid w:val="00B803E5"/>
    <w:rsid w:val="00B808B9"/>
    <w:rsid w:val="00B80AA8"/>
    <w:rsid w:val="00B80B30"/>
    <w:rsid w:val="00B80B81"/>
    <w:rsid w:val="00B8173B"/>
    <w:rsid w:val="00B82F53"/>
    <w:rsid w:val="00B8345A"/>
    <w:rsid w:val="00B83D26"/>
    <w:rsid w:val="00B84046"/>
    <w:rsid w:val="00B84E78"/>
    <w:rsid w:val="00B85F07"/>
    <w:rsid w:val="00B86DE7"/>
    <w:rsid w:val="00B87DD4"/>
    <w:rsid w:val="00B87EFB"/>
    <w:rsid w:val="00B903C1"/>
    <w:rsid w:val="00B91ABC"/>
    <w:rsid w:val="00B9398A"/>
    <w:rsid w:val="00B93B17"/>
    <w:rsid w:val="00B93BDA"/>
    <w:rsid w:val="00B93CEB"/>
    <w:rsid w:val="00B94377"/>
    <w:rsid w:val="00B9476B"/>
    <w:rsid w:val="00B94820"/>
    <w:rsid w:val="00B9483F"/>
    <w:rsid w:val="00B95632"/>
    <w:rsid w:val="00B96249"/>
    <w:rsid w:val="00B965B9"/>
    <w:rsid w:val="00B96D0B"/>
    <w:rsid w:val="00B976EE"/>
    <w:rsid w:val="00B97A49"/>
    <w:rsid w:val="00B97EF2"/>
    <w:rsid w:val="00BA024A"/>
    <w:rsid w:val="00BA1117"/>
    <w:rsid w:val="00BA1AD6"/>
    <w:rsid w:val="00BA1D8B"/>
    <w:rsid w:val="00BA2581"/>
    <w:rsid w:val="00BA25E0"/>
    <w:rsid w:val="00BA29E8"/>
    <w:rsid w:val="00BA2F26"/>
    <w:rsid w:val="00BA3935"/>
    <w:rsid w:val="00BA426B"/>
    <w:rsid w:val="00BA4A4B"/>
    <w:rsid w:val="00BA4A95"/>
    <w:rsid w:val="00BA52C8"/>
    <w:rsid w:val="00BA5691"/>
    <w:rsid w:val="00BA5EE3"/>
    <w:rsid w:val="00BA660B"/>
    <w:rsid w:val="00BA667E"/>
    <w:rsid w:val="00BA69BB"/>
    <w:rsid w:val="00BA6C18"/>
    <w:rsid w:val="00BA6F7F"/>
    <w:rsid w:val="00BA7CD2"/>
    <w:rsid w:val="00BB00E4"/>
    <w:rsid w:val="00BB06B6"/>
    <w:rsid w:val="00BB0CA6"/>
    <w:rsid w:val="00BB0F50"/>
    <w:rsid w:val="00BB0F71"/>
    <w:rsid w:val="00BB140A"/>
    <w:rsid w:val="00BB14F8"/>
    <w:rsid w:val="00BB1A69"/>
    <w:rsid w:val="00BB20C2"/>
    <w:rsid w:val="00BB2319"/>
    <w:rsid w:val="00BB234F"/>
    <w:rsid w:val="00BB3016"/>
    <w:rsid w:val="00BB306F"/>
    <w:rsid w:val="00BB39E1"/>
    <w:rsid w:val="00BB3D88"/>
    <w:rsid w:val="00BB3DAC"/>
    <w:rsid w:val="00BB4AD8"/>
    <w:rsid w:val="00BB4D1B"/>
    <w:rsid w:val="00BB5094"/>
    <w:rsid w:val="00BB59C5"/>
    <w:rsid w:val="00BB624E"/>
    <w:rsid w:val="00BB7064"/>
    <w:rsid w:val="00BB75CE"/>
    <w:rsid w:val="00BB7E3C"/>
    <w:rsid w:val="00BB7F8A"/>
    <w:rsid w:val="00BC0885"/>
    <w:rsid w:val="00BC116E"/>
    <w:rsid w:val="00BC1195"/>
    <w:rsid w:val="00BC12CD"/>
    <w:rsid w:val="00BC1A8C"/>
    <w:rsid w:val="00BC33A3"/>
    <w:rsid w:val="00BC34CD"/>
    <w:rsid w:val="00BC36CA"/>
    <w:rsid w:val="00BC36CE"/>
    <w:rsid w:val="00BC36E4"/>
    <w:rsid w:val="00BC3A6F"/>
    <w:rsid w:val="00BC3B33"/>
    <w:rsid w:val="00BC3DF9"/>
    <w:rsid w:val="00BC3FF4"/>
    <w:rsid w:val="00BC4699"/>
    <w:rsid w:val="00BD0D7F"/>
    <w:rsid w:val="00BD0E8E"/>
    <w:rsid w:val="00BD1F04"/>
    <w:rsid w:val="00BD2F40"/>
    <w:rsid w:val="00BD45AE"/>
    <w:rsid w:val="00BD464E"/>
    <w:rsid w:val="00BD49A7"/>
    <w:rsid w:val="00BD4B10"/>
    <w:rsid w:val="00BD53F5"/>
    <w:rsid w:val="00BD55C8"/>
    <w:rsid w:val="00BD56D4"/>
    <w:rsid w:val="00BD60C3"/>
    <w:rsid w:val="00BD6683"/>
    <w:rsid w:val="00BD78F9"/>
    <w:rsid w:val="00BD799A"/>
    <w:rsid w:val="00BD7B2D"/>
    <w:rsid w:val="00BD7B7B"/>
    <w:rsid w:val="00BE00BE"/>
    <w:rsid w:val="00BE0A5F"/>
    <w:rsid w:val="00BE0BFF"/>
    <w:rsid w:val="00BE0DD3"/>
    <w:rsid w:val="00BE0F0A"/>
    <w:rsid w:val="00BE1B55"/>
    <w:rsid w:val="00BE238C"/>
    <w:rsid w:val="00BE2647"/>
    <w:rsid w:val="00BE3290"/>
    <w:rsid w:val="00BE3F7C"/>
    <w:rsid w:val="00BE5680"/>
    <w:rsid w:val="00BE5AA6"/>
    <w:rsid w:val="00BE6E7F"/>
    <w:rsid w:val="00BE79B0"/>
    <w:rsid w:val="00BE7E96"/>
    <w:rsid w:val="00BF0880"/>
    <w:rsid w:val="00BF18B2"/>
    <w:rsid w:val="00BF28D2"/>
    <w:rsid w:val="00BF316D"/>
    <w:rsid w:val="00BF31A0"/>
    <w:rsid w:val="00BF4962"/>
    <w:rsid w:val="00BF4E93"/>
    <w:rsid w:val="00BF54EB"/>
    <w:rsid w:val="00BF5ADB"/>
    <w:rsid w:val="00BF5EA8"/>
    <w:rsid w:val="00BF636B"/>
    <w:rsid w:val="00BF64C5"/>
    <w:rsid w:val="00BF6900"/>
    <w:rsid w:val="00BF6B44"/>
    <w:rsid w:val="00BF7413"/>
    <w:rsid w:val="00BF7C90"/>
    <w:rsid w:val="00C016D2"/>
    <w:rsid w:val="00C01B9C"/>
    <w:rsid w:val="00C030A8"/>
    <w:rsid w:val="00C035F4"/>
    <w:rsid w:val="00C0373E"/>
    <w:rsid w:val="00C03F98"/>
    <w:rsid w:val="00C0428F"/>
    <w:rsid w:val="00C056C8"/>
    <w:rsid w:val="00C05CB6"/>
    <w:rsid w:val="00C066FE"/>
    <w:rsid w:val="00C06CFB"/>
    <w:rsid w:val="00C06EEB"/>
    <w:rsid w:val="00C07584"/>
    <w:rsid w:val="00C07914"/>
    <w:rsid w:val="00C07CB3"/>
    <w:rsid w:val="00C07D34"/>
    <w:rsid w:val="00C07D9E"/>
    <w:rsid w:val="00C10990"/>
    <w:rsid w:val="00C11454"/>
    <w:rsid w:val="00C11629"/>
    <w:rsid w:val="00C133CE"/>
    <w:rsid w:val="00C13790"/>
    <w:rsid w:val="00C14613"/>
    <w:rsid w:val="00C15CB4"/>
    <w:rsid w:val="00C15F28"/>
    <w:rsid w:val="00C16794"/>
    <w:rsid w:val="00C16B0C"/>
    <w:rsid w:val="00C16CBB"/>
    <w:rsid w:val="00C16F0B"/>
    <w:rsid w:val="00C17307"/>
    <w:rsid w:val="00C17D16"/>
    <w:rsid w:val="00C17FF7"/>
    <w:rsid w:val="00C2021F"/>
    <w:rsid w:val="00C203D2"/>
    <w:rsid w:val="00C20A92"/>
    <w:rsid w:val="00C20D20"/>
    <w:rsid w:val="00C21799"/>
    <w:rsid w:val="00C21980"/>
    <w:rsid w:val="00C222CA"/>
    <w:rsid w:val="00C223FF"/>
    <w:rsid w:val="00C232DB"/>
    <w:rsid w:val="00C2374B"/>
    <w:rsid w:val="00C246D8"/>
    <w:rsid w:val="00C267AD"/>
    <w:rsid w:val="00C26994"/>
    <w:rsid w:val="00C26D2C"/>
    <w:rsid w:val="00C26DE4"/>
    <w:rsid w:val="00C301D6"/>
    <w:rsid w:val="00C313B7"/>
    <w:rsid w:val="00C3141B"/>
    <w:rsid w:val="00C31460"/>
    <w:rsid w:val="00C31F7A"/>
    <w:rsid w:val="00C32107"/>
    <w:rsid w:val="00C32294"/>
    <w:rsid w:val="00C323BD"/>
    <w:rsid w:val="00C3409B"/>
    <w:rsid w:val="00C348CA"/>
    <w:rsid w:val="00C35F52"/>
    <w:rsid w:val="00C36B44"/>
    <w:rsid w:val="00C37A88"/>
    <w:rsid w:val="00C41B12"/>
    <w:rsid w:val="00C41D17"/>
    <w:rsid w:val="00C42D7E"/>
    <w:rsid w:val="00C43424"/>
    <w:rsid w:val="00C43DA0"/>
    <w:rsid w:val="00C43ED1"/>
    <w:rsid w:val="00C44059"/>
    <w:rsid w:val="00C44C0F"/>
    <w:rsid w:val="00C4529B"/>
    <w:rsid w:val="00C45647"/>
    <w:rsid w:val="00C4636C"/>
    <w:rsid w:val="00C46649"/>
    <w:rsid w:val="00C47674"/>
    <w:rsid w:val="00C47FC1"/>
    <w:rsid w:val="00C5034E"/>
    <w:rsid w:val="00C50F33"/>
    <w:rsid w:val="00C5100E"/>
    <w:rsid w:val="00C5129F"/>
    <w:rsid w:val="00C5222F"/>
    <w:rsid w:val="00C52F80"/>
    <w:rsid w:val="00C54963"/>
    <w:rsid w:val="00C54CFC"/>
    <w:rsid w:val="00C54EFA"/>
    <w:rsid w:val="00C54EFE"/>
    <w:rsid w:val="00C5521D"/>
    <w:rsid w:val="00C55B7A"/>
    <w:rsid w:val="00C56EE9"/>
    <w:rsid w:val="00C57469"/>
    <w:rsid w:val="00C60F10"/>
    <w:rsid w:val="00C60F29"/>
    <w:rsid w:val="00C619E6"/>
    <w:rsid w:val="00C61E01"/>
    <w:rsid w:val="00C61EAE"/>
    <w:rsid w:val="00C6306D"/>
    <w:rsid w:val="00C6444F"/>
    <w:rsid w:val="00C64BAE"/>
    <w:rsid w:val="00C653C8"/>
    <w:rsid w:val="00C65C57"/>
    <w:rsid w:val="00C67D0A"/>
    <w:rsid w:val="00C70039"/>
    <w:rsid w:val="00C7005B"/>
    <w:rsid w:val="00C708B1"/>
    <w:rsid w:val="00C7156D"/>
    <w:rsid w:val="00C716A1"/>
    <w:rsid w:val="00C7215E"/>
    <w:rsid w:val="00C725EB"/>
    <w:rsid w:val="00C72FF5"/>
    <w:rsid w:val="00C73E3D"/>
    <w:rsid w:val="00C74A1C"/>
    <w:rsid w:val="00C752F7"/>
    <w:rsid w:val="00C76661"/>
    <w:rsid w:val="00C7668E"/>
    <w:rsid w:val="00C76698"/>
    <w:rsid w:val="00C76C85"/>
    <w:rsid w:val="00C777B1"/>
    <w:rsid w:val="00C80192"/>
    <w:rsid w:val="00C80A21"/>
    <w:rsid w:val="00C80B77"/>
    <w:rsid w:val="00C80BB0"/>
    <w:rsid w:val="00C81420"/>
    <w:rsid w:val="00C81B61"/>
    <w:rsid w:val="00C81BB8"/>
    <w:rsid w:val="00C826E3"/>
    <w:rsid w:val="00C82EA2"/>
    <w:rsid w:val="00C834E0"/>
    <w:rsid w:val="00C83EC2"/>
    <w:rsid w:val="00C84106"/>
    <w:rsid w:val="00C85047"/>
    <w:rsid w:val="00C85350"/>
    <w:rsid w:val="00C85571"/>
    <w:rsid w:val="00C86B53"/>
    <w:rsid w:val="00C86C65"/>
    <w:rsid w:val="00C86D7A"/>
    <w:rsid w:val="00C87272"/>
    <w:rsid w:val="00C873B9"/>
    <w:rsid w:val="00C87891"/>
    <w:rsid w:val="00C90116"/>
    <w:rsid w:val="00C909DB"/>
    <w:rsid w:val="00C90C43"/>
    <w:rsid w:val="00C90D8F"/>
    <w:rsid w:val="00C90DFC"/>
    <w:rsid w:val="00C924F2"/>
    <w:rsid w:val="00C9318E"/>
    <w:rsid w:val="00C934C0"/>
    <w:rsid w:val="00C9367F"/>
    <w:rsid w:val="00C93A45"/>
    <w:rsid w:val="00C93EEB"/>
    <w:rsid w:val="00C9537E"/>
    <w:rsid w:val="00C95382"/>
    <w:rsid w:val="00C95517"/>
    <w:rsid w:val="00C95B08"/>
    <w:rsid w:val="00C96D00"/>
    <w:rsid w:val="00C97531"/>
    <w:rsid w:val="00CA04E4"/>
    <w:rsid w:val="00CA119E"/>
    <w:rsid w:val="00CA3B20"/>
    <w:rsid w:val="00CA4C72"/>
    <w:rsid w:val="00CA4DDD"/>
    <w:rsid w:val="00CA5728"/>
    <w:rsid w:val="00CA5880"/>
    <w:rsid w:val="00CA5AB7"/>
    <w:rsid w:val="00CA5B13"/>
    <w:rsid w:val="00CB00DB"/>
    <w:rsid w:val="00CB06DA"/>
    <w:rsid w:val="00CB0A4E"/>
    <w:rsid w:val="00CB1420"/>
    <w:rsid w:val="00CB243A"/>
    <w:rsid w:val="00CB24AC"/>
    <w:rsid w:val="00CB28D6"/>
    <w:rsid w:val="00CB3D6A"/>
    <w:rsid w:val="00CB5617"/>
    <w:rsid w:val="00CB6C8B"/>
    <w:rsid w:val="00CB72A2"/>
    <w:rsid w:val="00CB77E6"/>
    <w:rsid w:val="00CB7A9F"/>
    <w:rsid w:val="00CB7DAA"/>
    <w:rsid w:val="00CC025C"/>
    <w:rsid w:val="00CC0298"/>
    <w:rsid w:val="00CC04B6"/>
    <w:rsid w:val="00CC060A"/>
    <w:rsid w:val="00CC09EF"/>
    <w:rsid w:val="00CC0F1F"/>
    <w:rsid w:val="00CC143D"/>
    <w:rsid w:val="00CC18D3"/>
    <w:rsid w:val="00CC2133"/>
    <w:rsid w:val="00CC2324"/>
    <w:rsid w:val="00CC236D"/>
    <w:rsid w:val="00CC31B5"/>
    <w:rsid w:val="00CC37C7"/>
    <w:rsid w:val="00CC3B67"/>
    <w:rsid w:val="00CC5789"/>
    <w:rsid w:val="00CC5CBD"/>
    <w:rsid w:val="00CC66FD"/>
    <w:rsid w:val="00CC6B7C"/>
    <w:rsid w:val="00CC6B9A"/>
    <w:rsid w:val="00CD0577"/>
    <w:rsid w:val="00CD0952"/>
    <w:rsid w:val="00CD0CC9"/>
    <w:rsid w:val="00CD103F"/>
    <w:rsid w:val="00CD13E7"/>
    <w:rsid w:val="00CD1553"/>
    <w:rsid w:val="00CD1983"/>
    <w:rsid w:val="00CD2699"/>
    <w:rsid w:val="00CD4359"/>
    <w:rsid w:val="00CD4EEC"/>
    <w:rsid w:val="00CD51EE"/>
    <w:rsid w:val="00CD5B4E"/>
    <w:rsid w:val="00CD623B"/>
    <w:rsid w:val="00CD700A"/>
    <w:rsid w:val="00CD731B"/>
    <w:rsid w:val="00CD746F"/>
    <w:rsid w:val="00CE03B9"/>
    <w:rsid w:val="00CE07A3"/>
    <w:rsid w:val="00CE2064"/>
    <w:rsid w:val="00CE2B5E"/>
    <w:rsid w:val="00CE2D42"/>
    <w:rsid w:val="00CE3B02"/>
    <w:rsid w:val="00CE42C7"/>
    <w:rsid w:val="00CE4647"/>
    <w:rsid w:val="00CE4BDA"/>
    <w:rsid w:val="00CE617B"/>
    <w:rsid w:val="00CE6D6A"/>
    <w:rsid w:val="00CE6D73"/>
    <w:rsid w:val="00CE7079"/>
    <w:rsid w:val="00CE73BF"/>
    <w:rsid w:val="00CE74C6"/>
    <w:rsid w:val="00CE7D56"/>
    <w:rsid w:val="00CF1335"/>
    <w:rsid w:val="00CF136D"/>
    <w:rsid w:val="00CF1914"/>
    <w:rsid w:val="00CF2E36"/>
    <w:rsid w:val="00CF3C30"/>
    <w:rsid w:val="00CF52F0"/>
    <w:rsid w:val="00CF53B4"/>
    <w:rsid w:val="00CF578D"/>
    <w:rsid w:val="00CF6C00"/>
    <w:rsid w:val="00CF6C15"/>
    <w:rsid w:val="00CF6F6F"/>
    <w:rsid w:val="00CF7579"/>
    <w:rsid w:val="00CF7826"/>
    <w:rsid w:val="00D002BF"/>
    <w:rsid w:val="00D00CB1"/>
    <w:rsid w:val="00D02521"/>
    <w:rsid w:val="00D02CFE"/>
    <w:rsid w:val="00D04229"/>
    <w:rsid w:val="00D05CBB"/>
    <w:rsid w:val="00D07D36"/>
    <w:rsid w:val="00D1032A"/>
    <w:rsid w:val="00D10651"/>
    <w:rsid w:val="00D10950"/>
    <w:rsid w:val="00D10967"/>
    <w:rsid w:val="00D117F0"/>
    <w:rsid w:val="00D11F16"/>
    <w:rsid w:val="00D13CBF"/>
    <w:rsid w:val="00D14986"/>
    <w:rsid w:val="00D14FE1"/>
    <w:rsid w:val="00D1562C"/>
    <w:rsid w:val="00D15ECC"/>
    <w:rsid w:val="00D168DE"/>
    <w:rsid w:val="00D16A25"/>
    <w:rsid w:val="00D171BA"/>
    <w:rsid w:val="00D17A93"/>
    <w:rsid w:val="00D2070C"/>
    <w:rsid w:val="00D20A54"/>
    <w:rsid w:val="00D22418"/>
    <w:rsid w:val="00D2293A"/>
    <w:rsid w:val="00D22D41"/>
    <w:rsid w:val="00D24E4B"/>
    <w:rsid w:val="00D257C0"/>
    <w:rsid w:val="00D25CAE"/>
    <w:rsid w:val="00D25D8A"/>
    <w:rsid w:val="00D26D92"/>
    <w:rsid w:val="00D27BC6"/>
    <w:rsid w:val="00D27E8E"/>
    <w:rsid w:val="00D30033"/>
    <w:rsid w:val="00D3084F"/>
    <w:rsid w:val="00D308C4"/>
    <w:rsid w:val="00D31164"/>
    <w:rsid w:val="00D313A1"/>
    <w:rsid w:val="00D31E22"/>
    <w:rsid w:val="00D32FB4"/>
    <w:rsid w:val="00D3348E"/>
    <w:rsid w:val="00D337EA"/>
    <w:rsid w:val="00D33A81"/>
    <w:rsid w:val="00D33B09"/>
    <w:rsid w:val="00D35186"/>
    <w:rsid w:val="00D3551F"/>
    <w:rsid w:val="00D37091"/>
    <w:rsid w:val="00D3710D"/>
    <w:rsid w:val="00D4019F"/>
    <w:rsid w:val="00D40A02"/>
    <w:rsid w:val="00D420C1"/>
    <w:rsid w:val="00D446B8"/>
    <w:rsid w:val="00D44851"/>
    <w:rsid w:val="00D449E6"/>
    <w:rsid w:val="00D46AC4"/>
    <w:rsid w:val="00D46FC4"/>
    <w:rsid w:val="00D472A9"/>
    <w:rsid w:val="00D47DB6"/>
    <w:rsid w:val="00D509EE"/>
    <w:rsid w:val="00D50F8E"/>
    <w:rsid w:val="00D518B4"/>
    <w:rsid w:val="00D51C94"/>
    <w:rsid w:val="00D51D01"/>
    <w:rsid w:val="00D521A5"/>
    <w:rsid w:val="00D52516"/>
    <w:rsid w:val="00D5277A"/>
    <w:rsid w:val="00D5310E"/>
    <w:rsid w:val="00D531CE"/>
    <w:rsid w:val="00D5334B"/>
    <w:rsid w:val="00D5380C"/>
    <w:rsid w:val="00D53852"/>
    <w:rsid w:val="00D53FB4"/>
    <w:rsid w:val="00D54211"/>
    <w:rsid w:val="00D55081"/>
    <w:rsid w:val="00D55307"/>
    <w:rsid w:val="00D55581"/>
    <w:rsid w:val="00D55F38"/>
    <w:rsid w:val="00D562D7"/>
    <w:rsid w:val="00D56967"/>
    <w:rsid w:val="00D56BA9"/>
    <w:rsid w:val="00D56FEF"/>
    <w:rsid w:val="00D6010F"/>
    <w:rsid w:val="00D60227"/>
    <w:rsid w:val="00D602B3"/>
    <w:rsid w:val="00D611EA"/>
    <w:rsid w:val="00D61754"/>
    <w:rsid w:val="00D61A1C"/>
    <w:rsid w:val="00D6268D"/>
    <w:rsid w:val="00D62952"/>
    <w:rsid w:val="00D62A7B"/>
    <w:rsid w:val="00D62E15"/>
    <w:rsid w:val="00D62F4B"/>
    <w:rsid w:val="00D63B8F"/>
    <w:rsid w:val="00D6405C"/>
    <w:rsid w:val="00D6420E"/>
    <w:rsid w:val="00D646DB"/>
    <w:rsid w:val="00D64DE3"/>
    <w:rsid w:val="00D65721"/>
    <w:rsid w:val="00D65F03"/>
    <w:rsid w:val="00D663BC"/>
    <w:rsid w:val="00D664EA"/>
    <w:rsid w:val="00D66B65"/>
    <w:rsid w:val="00D66D80"/>
    <w:rsid w:val="00D67694"/>
    <w:rsid w:val="00D6780B"/>
    <w:rsid w:val="00D67F9B"/>
    <w:rsid w:val="00D710C9"/>
    <w:rsid w:val="00D71734"/>
    <w:rsid w:val="00D717A0"/>
    <w:rsid w:val="00D7185C"/>
    <w:rsid w:val="00D7220B"/>
    <w:rsid w:val="00D73D38"/>
    <w:rsid w:val="00D7462B"/>
    <w:rsid w:val="00D74839"/>
    <w:rsid w:val="00D7645A"/>
    <w:rsid w:val="00D76EAA"/>
    <w:rsid w:val="00D76FCA"/>
    <w:rsid w:val="00D77385"/>
    <w:rsid w:val="00D77580"/>
    <w:rsid w:val="00D77DCD"/>
    <w:rsid w:val="00D80036"/>
    <w:rsid w:val="00D804F0"/>
    <w:rsid w:val="00D80529"/>
    <w:rsid w:val="00D805A4"/>
    <w:rsid w:val="00D809B9"/>
    <w:rsid w:val="00D8125C"/>
    <w:rsid w:val="00D813C4"/>
    <w:rsid w:val="00D816C3"/>
    <w:rsid w:val="00D8186D"/>
    <w:rsid w:val="00D83F68"/>
    <w:rsid w:val="00D84525"/>
    <w:rsid w:val="00D848B4"/>
    <w:rsid w:val="00D849EB"/>
    <w:rsid w:val="00D85498"/>
    <w:rsid w:val="00D8558F"/>
    <w:rsid w:val="00D8666E"/>
    <w:rsid w:val="00D86F76"/>
    <w:rsid w:val="00D877DA"/>
    <w:rsid w:val="00D90580"/>
    <w:rsid w:val="00D9090D"/>
    <w:rsid w:val="00D92483"/>
    <w:rsid w:val="00D92BB1"/>
    <w:rsid w:val="00D93133"/>
    <w:rsid w:val="00D93179"/>
    <w:rsid w:val="00D936AA"/>
    <w:rsid w:val="00D968CB"/>
    <w:rsid w:val="00D96CD3"/>
    <w:rsid w:val="00D96F51"/>
    <w:rsid w:val="00D976BE"/>
    <w:rsid w:val="00D97F62"/>
    <w:rsid w:val="00DA0EC5"/>
    <w:rsid w:val="00DA1066"/>
    <w:rsid w:val="00DA1720"/>
    <w:rsid w:val="00DA1831"/>
    <w:rsid w:val="00DA19C4"/>
    <w:rsid w:val="00DA3499"/>
    <w:rsid w:val="00DA3ACD"/>
    <w:rsid w:val="00DA45AB"/>
    <w:rsid w:val="00DA5A01"/>
    <w:rsid w:val="00DA5C1C"/>
    <w:rsid w:val="00DA6272"/>
    <w:rsid w:val="00DA6699"/>
    <w:rsid w:val="00DA7C17"/>
    <w:rsid w:val="00DB071F"/>
    <w:rsid w:val="00DB128C"/>
    <w:rsid w:val="00DB2363"/>
    <w:rsid w:val="00DB315C"/>
    <w:rsid w:val="00DB32B7"/>
    <w:rsid w:val="00DB3501"/>
    <w:rsid w:val="00DB380D"/>
    <w:rsid w:val="00DB393A"/>
    <w:rsid w:val="00DB39FC"/>
    <w:rsid w:val="00DB3C8C"/>
    <w:rsid w:val="00DB3DF3"/>
    <w:rsid w:val="00DB41AF"/>
    <w:rsid w:val="00DB4944"/>
    <w:rsid w:val="00DB6560"/>
    <w:rsid w:val="00DB689C"/>
    <w:rsid w:val="00DB68C6"/>
    <w:rsid w:val="00DB7045"/>
    <w:rsid w:val="00DB722A"/>
    <w:rsid w:val="00DB7543"/>
    <w:rsid w:val="00DB7F08"/>
    <w:rsid w:val="00DC0B44"/>
    <w:rsid w:val="00DC0CAD"/>
    <w:rsid w:val="00DC1409"/>
    <w:rsid w:val="00DC1BFD"/>
    <w:rsid w:val="00DC2799"/>
    <w:rsid w:val="00DC2812"/>
    <w:rsid w:val="00DC4822"/>
    <w:rsid w:val="00DC4A28"/>
    <w:rsid w:val="00DC4B06"/>
    <w:rsid w:val="00DC57D1"/>
    <w:rsid w:val="00DC581D"/>
    <w:rsid w:val="00DC5F17"/>
    <w:rsid w:val="00DC62BB"/>
    <w:rsid w:val="00DC6C22"/>
    <w:rsid w:val="00DC6F89"/>
    <w:rsid w:val="00DC71D1"/>
    <w:rsid w:val="00DC72BC"/>
    <w:rsid w:val="00DC77B6"/>
    <w:rsid w:val="00DD0326"/>
    <w:rsid w:val="00DD0830"/>
    <w:rsid w:val="00DD1AF6"/>
    <w:rsid w:val="00DD3146"/>
    <w:rsid w:val="00DD32CF"/>
    <w:rsid w:val="00DD3907"/>
    <w:rsid w:val="00DD4AC9"/>
    <w:rsid w:val="00DD53C7"/>
    <w:rsid w:val="00DD53F9"/>
    <w:rsid w:val="00DD555D"/>
    <w:rsid w:val="00DD5BD2"/>
    <w:rsid w:val="00DD60D7"/>
    <w:rsid w:val="00DD6A42"/>
    <w:rsid w:val="00DE09E7"/>
    <w:rsid w:val="00DE131B"/>
    <w:rsid w:val="00DE13E0"/>
    <w:rsid w:val="00DE1F03"/>
    <w:rsid w:val="00DE2515"/>
    <w:rsid w:val="00DE2AE5"/>
    <w:rsid w:val="00DE2D53"/>
    <w:rsid w:val="00DE2F88"/>
    <w:rsid w:val="00DE335E"/>
    <w:rsid w:val="00DE3A8D"/>
    <w:rsid w:val="00DE3BF3"/>
    <w:rsid w:val="00DE3C2D"/>
    <w:rsid w:val="00DE3C73"/>
    <w:rsid w:val="00DE4A55"/>
    <w:rsid w:val="00DE4B6A"/>
    <w:rsid w:val="00DE5014"/>
    <w:rsid w:val="00DE5A9A"/>
    <w:rsid w:val="00DE7919"/>
    <w:rsid w:val="00DE7E86"/>
    <w:rsid w:val="00DF02D8"/>
    <w:rsid w:val="00DF03DC"/>
    <w:rsid w:val="00DF1712"/>
    <w:rsid w:val="00DF1DB3"/>
    <w:rsid w:val="00DF230B"/>
    <w:rsid w:val="00DF2ABF"/>
    <w:rsid w:val="00DF2C48"/>
    <w:rsid w:val="00DF2FAE"/>
    <w:rsid w:val="00DF35C9"/>
    <w:rsid w:val="00DF3C57"/>
    <w:rsid w:val="00DF3F09"/>
    <w:rsid w:val="00DF429C"/>
    <w:rsid w:val="00DF44AB"/>
    <w:rsid w:val="00DF48DA"/>
    <w:rsid w:val="00DF4CE6"/>
    <w:rsid w:val="00DF4E0C"/>
    <w:rsid w:val="00DF51CE"/>
    <w:rsid w:val="00DF5204"/>
    <w:rsid w:val="00DF6EF7"/>
    <w:rsid w:val="00DF7424"/>
    <w:rsid w:val="00DF77C5"/>
    <w:rsid w:val="00DF77EC"/>
    <w:rsid w:val="00E001B6"/>
    <w:rsid w:val="00E005BE"/>
    <w:rsid w:val="00E00F4A"/>
    <w:rsid w:val="00E00FB7"/>
    <w:rsid w:val="00E01911"/>
    <w:rsid w:val="00E01BA2"/>
    <w:rsid w:val="00E02881"/>
    <w:rsid w:val="00E02B3A"/>
    <w:rsid w:val="00E02EA6"/>
    <w:rsid w:val="00E03A16"/>
    <w:rsid w:val="00E03C3F"/>
    <w:rsid w:val="00E045D6"/>
    <w:rsid w:val="00E058BC"/>
    <w:rsid w:val="00E05B13"/>
    <w:rsid w:val="00E060A1"/>
    <w:rsid w:val="00E071FA"/>
    <w:rsid w:val="00E078A6"/>
    <w:rsid w:val="00E07A15"/>
    <w:rsid w:val="00E07FB7"/>
    <w:rsid w:val="00E10123"/>
    <w:rsid w:val="00E103BE"/>
    <w:rsid w:val="00E11758"/>
    <w:rsid w:val="00E12269"/>
    <w:rsid w:val="00E123C4"/>
    <w:rsid w:val="00E12416"/>
    <w:rsid w:val="00E1253B"/>
    <w:rsid w:val="00E12AE9"/>
    <w:rsid w:val="00E145A8"/>
    <w:rsid w:val="00E14DB2"/>
    <w:rsid w:val="00E14E35"/>
    <w:rsid w:val="00E151C9"/>
    <w:rsid w:val="00E15432"/>
    <w:rsid w:val="00E1742E"/>
    <w:rsid w:val="00E1773E"/>
    <w:rsid w:val="00E201B0"/>
    <w:rsid w:val="00E20478"/>
    <w:rsid w:val="00E20CA8"/>
    <w:rsid w:val="00E20CDF"/>
    <w:rsid w:val="00E21284"/>
    <w:rsid w:val="00E21C34"/>
    <w:rsid w:val="00E22CFB"/>
    <w:rsid w:val="00E23D4F"/>
    <w:rsid w:val="00E23FD7"/>
    <w:rsid w:val="00E25475"/>
    <w:rsid w:val="00E2549B"/>
    <w:rsid w:val="00E25617"/>
    <w:rsid w:val="00E25C75"/>
    <w:rsid w:val="00E264BC"/>
    <w:rsid w:val="00E26AAF"/>
    <w:rsid w:val="00E26FBB"/>
    <w:rsid w:val="00E2730C"/>
    <w:rsid w:val="00E30177"/>
    <w:rsid w:val="00E30C81"/>
    <w:rsid w:val="00E30C93"/>
    <w:rsid w:val="00E30E08"/>
    <w:rsid w:val="00E31214"/>
    <w:rsid w:val="00E3144E"/>
    <w:rsid w:val="00E3157D"/>
    <w:rsid w:val="00E315F2"/>
    <w:rsid w:val="00E31CAD"/>
    <w:rsid w:val="00E32A89"/>
    <w:rsid w:val="00E333F8"/>
    <w:rsid w:val="00E34A94"/>
    <w:rsid w:val="00E34FFD"/>
    <w:rsid w:val="00E356B1"/>
    <w:rsid w:val="00E35880"/>
    <w:rsid w:val="00E363C6"/>
    <w:rsid w:val="00E365AA"/>
    <w:rsid w:val="00E36670"/>
    <w:rsid w:val="00E36D95"/>
    <w:rsid w:val="00E36DED"/>
    <w:rsid w:val="00E3730F"/>
    <w:rsid w:val="00E37460"/>
    <w:rsid w:val="00E374AE"/>
    <w:rsid w:val="00E37598"/>
    <w:rsid w:val="00E403F9"/>
    <w:rsid w:val="00E407D4"/>
    <w:rsid w:val="00E40C09"/>
    <w:rsid w:val="00E40C20"/>
    <w:rsid w:val="00E40CBF"/>
    <w:rsid w:val="00E410BA"/>
    <w:rsid w:val="00E415D4"/>
    <w:rsid w:val="00E41C51"/>
    <w:rsid w:val="00E425DC"/>
    <w:rsid w:val="00E427D4"/>
    <w:rsid w:val="00E42BAE"/>
    <w:rsid w:val="00E43335"/>
    <w:rsid w:val="00E43562"/>
    <w:rsid w:val="00E43E11"/>
    <w:rsid w:val="00E43E44"/>
    <w:rsid w:val="00E4524B"/>
    <w:rsid w:val="00E46746"/>
    <w:rsid w:val="00E471BB"/>
    <w:rsid w:val="00E51ED7"/>
    <w:rsid w:val="00E52A85"/>
    <w:rsid w:val="00E53124"/>
    <w:rsid w:val="00E53879"/>
    <w:rsid w:val="00E546E6"/>
    <w:rsid w:val="00E5478D"/>
    <w:rsid w:val="00E54825"/>
    <w:rsid w:val="00E54CB8"/>
    <w:rsid w:val="00E55050"/>
    <w:rsid w:val="00E550B3"/>
    <w:rsid w:val="00E556E9"/>
    <w:rsid w:val="00E55D96"/>
    <w:rsid w:val="00E5658F"/>
    <w:rsid w:val="00E57530"/>
    <w:rsid w:val="00E5771B"/>
    <w:rsid w:val="00E5783E"/>
    <w:rsid w:val="00E57B0C"/>
    <w:rsid w:val="00E6101D"/>
    <w:rsid w:val="00E61977"/>
    <w:rsid w:val="00E621F2"/>
    <w:rsid w:val="00E630C9"/>
    <w:rsid w:val="00E631B2"/>
    <w:rsid w:val="00E631E8"/>
    <w:rsid w:val="00E63566"/>
    <w:rsid w:val="00E636BB"/>
    <w:rsid w:val="00E63A07"/>
    <w:rsid w:val="00E645E1"/>
    <w:rsid w:val="00E647DB"/>
    <w:rsid w:val="00E64A59"/>
    <w:rsid w:val="00E65096"/>
    <w:rsid w:val="00E650A7"/>
    <w:rsid w:val="00E652C8"/>
    <w:rsid w:val="00E65ECB"/>
    <w:rsid w:val="00E66379"/>
    <w:rsid w:val="00E6663B"/>
    <w:rsid w:val="00E667E0"/>
    <w:rsid w:val="00E673AF"/>
    <w:rsid w:val="00E67E66"/>
    <w:rsid w:val="00E700ED"/>
    <w:rsid w:val="00E70F3B"/>
    <w:rsid w:val="00E7175A"/>
    <w:rsid w:val="00E721C0"/>
    <w:rsid w:val="00E7252F"/>
    <w:rsid w:val="00E72579"/>
    <w:rsid w:val="00E7287C"/>
    <w:rsid w:val="00E728F6"/>
    <w:rsid w:val="00E73037"/>
    <w:rsid w:val="00E73533"/>
    <w:rsid w:val="00E7377D"/>
    <w:rsid w:val="00E74044"/>
    <w:rsid w:val="00E74A74"/>
    <w:rsid w:val="00E75108"/>
    <w:rsid w:val="00E75D9F"/>
    <w:rsid w:val="00E75F4D"/>
    <w:rsid w:val="00E764FB"/>
    <w:rsid w:val="00E768DB"/>
    <w:rsid w:val="00E76AD7"/>
    <w:rsid w:val="00E76CFB"/>
    <w:rsid w:val="00E76E61"/>
    <w:rsid w:val="00E77097"/>
    <w:rsid w:val="00E7726F"/>
    <w:rsid w:val="00E773CD"/>
    <w:rsid w:val="00E77481"/>
    <w:rsid w:val="00E774B4"/>
    <w:rsid w:val="00E77A50"/>
    <w:rsid w:val="00E8045B"/>
    <w:rsid w:val="00E80E4A"/>
    <w:rsid w:val="00E8103B"/>
    <w:rsid w:val="00E81399"/>
    <w:rsid w:val="00E817F3"/>
    <w:rsid w:val="00E81EB4"/>
    <w:rsid w:val="00E81FA3"/>
    <w:rsid w:val="00E82A69"/>
    <w:rsid w:val="00E82F4B"/>
    <w:rsid w:val="00E82FA3"/>
    <w:rsid w:val="00E832E6"/>
    <w:rsid w:val="00E840AA"/>
    <w:rsid w:val="00E84A5A"/>
    <w:rsid w:val="00E85310"/>
    <w:rsid w:val="00E857EF"/>
    <w:rsid w:val="00E85D64"/>
    <w:rsid w:val="00E86197"/>
    <w:rsid w:val="00E86413"/>
    <w:rsid w:val="00E86998"/>
    <w:rsid w:val="00E86F62"/>
    <w:rsid w:val="00E87734"/>
    <w:rsid w:val="00E87736"/>
    <w:rsid w:val="00E87A24"/>
    <w:rsid w:val="00E87A77"/>
    <w:rsid w:val="00E904A0"/>
    <w:rsid w:val="00E90C2B"/>
    <w:rsid w:val="00E91E3E"/>
    <w:rsid w:val="00E928C1"/>
    <w:rsid w:val="00E92C8B"/>
    <w:rsid w:val="00E93AEF"/>
    <w:rsid w:val="00E93FE9"/>
    <w:rsid w:val="00E9537D"/>
    <w:rsid w:val="00E95BA1"/>
    <w:rsid w:val="00E96A7B"/>
    <w:rsid w:val="00EA0164"/>
    <w:rsid w:val="00EA0B25"/>
    <w:rsid w:val="00EA16E8"/>
    <w:rsid w:val="00EA18B1"/>
    <w:rsid w:val="00EA2465"/>
    <w:rsid w:val="00EA294B"/>
    <w:rsid w:val="00EA2A07"/>
    <w:rsid w:val="00EA2BB5"/>
    <w:rsid w:val="00EA318E"/>
    <w:rsid w:val="00EA3B7D"/>
    <w:rsid w:val="00EA3F5F"/>
    <w:rsid w:val="00EA6229"/>
    <w:rsid w:val="00EA62A3"/>
    <w:rsid w:val="00EA692A"/>
    <w:rsid w:val="00EA69A7"/>
    <w:rsid w:val="00EA6D0F"/>
    <w:rsid w:val="00EA7285"/>
    <w:rsid w:val="00EA7891"/>
    <w:rsid w:val="00EA7D3D"/>
    <w:rsid w:val="00EB0FE1"/>
    <w:rsid w:val="00EB123C"/>
    <w:rsid w:val="00EB14C0"/>
    <w:rsid w:val="00EB1F9B"/>
    <w:rsid w:val="00EB2144"/>
    <w:rsid w:val="00EB25DA"/>
    <w:rsid w:val="00EB31A0"/>
    <w:rsid w:val="00EB3441"/>
    <w:rsid w:val="00EB4CB0"/>
    <w:rsid w:val="00EB695B"/>
    <w:rsid w:val="00EB6FA6"/>
    <w:rsid w:val="00EB7CCC"/>
    <w:rsid w:val="00EC0062"/>
    <w:rsid w:val="00EC296C"/>
    <w:rsid w:val="00EC2A1B"/>
    <w:rsid w:val="00EC4EE3"/>
    <w:rsid w:val="00EC5478"/>
    <w:rsid w:val="00EC5E75"/>
    <w:rsid w:val="00EC6511"/>
    <w:rsid w:val="00EC686C"/>
    <w:rsid w:val="00EC6B91"/>
    <w:rsid w:val="00EC7286"/>
    <w:rsid w:val="00EC72A7"/>
    <w:rsid w:val="00EC7470"/>
    <w:rsid w:val="00EC7EE1"/>
    <w:rsid w:val="00ED0012"/>
    <w:rsid w:val="00ED05D5"/>
    <w:rsid w:val="00ED0AE8"/>
    <w:rsid w:val="00ED0F27"/>
    <w:rsid w:val="00ED303E"/>
    <w:rsid w:val="00ED32A2"/>
    <w:rsid w:val="00ED39E0"/>
    <w:rsid w:val="00ED3B42"/>
    <w:rsid w:val="00ED3D39"/>
    <w:rsid w:val="00ED3FFE"/>
    <w:rsid w:val="00ED49F9"/>
    <w:rsid w:val="00ED4E8C"/>
    <w:rsid w:val="00ED52ED"/>
    <w:rsid w:val="00ED54A2"/>
    <w:rsid w:val="00ED5568"/>
    <w:rsid w:val="00ED641D"/>
    <w:rsid w:val="00ED65E8"/>
    <w:rsid w:val="00ED703A"/>
    <w:rsid w:val="00ED71E6"/>
    <w:rsid w:val="00EE0616"/>
    <w:rsid w:val="00EE19F3"/>
    <w:rsid w:val="00EE1E05"/>
    <w:rsid w:val="00EE3009"/>
    <w:rsid w:val="00EE30BC"/>
    <w:rsid w:val="00EE4375"/>
    <w:rsid w:val="00EE49EB"/>
    <w:rsid w:val="00EE4A89"/>
    <w:rsid w:val="00EE4F34"/>
    <w:rsid w:val="00EE52C9"/>
    <w:rsid w:val="00EE54BB"/>
    <w:rsid w:val="00EE5966"/>
    <w:rsid w:val="00EE5DE2"/>
    <w:rsid w:val="00EE6EE4"/>
    <w:rsid w:val="00EE7154"/>
    <w:rsid w:val="00EE715D"/>
    <w:rsid w:val="00EE7A54"/>
    <w:rsid w:val="00EF02D5"/>
    <w:rsid w:val="00EF0623"/>
    <w:rsid w:val="00EF07B7"/>
    <w:rsid w:val="00EF13AD"/>
    <w:rsid w:val="00EF1AF9"/>
    <w:rsid w:val="00EF1B0F"/>
    <w:rsid w:val="00EF37BE"/>
    <w:rsid w:val="00EF39B3"/>
    <w:rsid w:val="00EF3B9E"/>
    <w:rsid w:val="00EF4684"/>
    <w:rsid w:val="00EF496F"/>
    <w:rsid w:val="00EF523E"/>
    <w:rsid w:val="00EF5360"/>
    <w:rsid w:val="00EF6DCB"/>
    <w:rsid w:val="00EF7241"/>
    <w:rsid w:val="00EF7433"/>
    <w:rsid w:val="00EF7801"/>
    <w:rsid w:val="00EF7C7D"/>
    <w:rsid w:val="00F0041D"/>
    <w:rsid w:val="00F00B62"/>
    <w:rsid w:val="00F00E0A"/>
    <w:rsid w:val="00F00E33"/>
    <w:rsid w:val="00F00E81"/>
    <w:rsid w:val="00F0121D"/>
    <w:rsid w:val="00F01748"/>
    <w:rsid w:val="00F0183E"/>
    <w:rsid w:val="00F01934"/>
    <w:rsid w:val="00F02C6C"/>
    <w:rsid w:val="00F031E4"/>
    <w:rsid w:val="00F03A9C"/>
    <w:rsid w:val="00F04624"/>
    <w:rsid w:val="00F0524C"/>
    <w:rsid w:val="00F0528A"/>
    <w:rsid w:val="00F054BA"/>
    <w:rsid w:val="00F05670"/>
    <w:rsid w:val="00F05924"/>
    <w:rsid w:val="00F06015"/>
    <w:rsid w:val="00F07DFC"/>
    <w:rsid w:val="00F10877"/>
    <w:rsid w:val="00F1203F"/>
    <w:rsid w:val="00F1219F"/>
    <w:rsid w:val="00F1281E"/>
    <w:rsid w:val="00F12ADC"/>
    <w:rsid w:val="00F12C87"/>
    <w:rsid w:val="00F12E53"/>
    <w:rsid w:val="00F13666"/>
    <w:rsid w:val="00F1399A"/>
    <w:rsid w:val="00F141CA"/>
    <w:rsid w:val="00F17530"/>
    <w:rsid w:val="00F179CC"/>
    <w:rsid w:val="00F17A32"/>
    <w:rsid w:val="00F20D5C"/>
    <w:rsid w:val="00F211A9"/>
    <w:rsid w:val="00F2132D"/>
    <w:rsid w:val="00F22649"/>
    <w:rsid w:val="00F228BD"/>
    <w:rsid w:val="00F2290F"/>
    <w:rsid w:val="00F22995"/>
    <w:rsid w:val="00F22AEA"/>
    <w:rsid w:val="00F22D8B"/>
    <w:rsid w:val="00F23131"/>
    <w:rsid w:val="00F24179"/>
    <w:rsid w:val="00F248CB"/>
    <w:rsid w:val="00F25A3E"/>
    <w:rsid w:val="00F25A86"/>
    <w:rsid w:val="00F26B33"/>
    <w:rsid w:val="00F26FA0"/>
    <w:rsid w:val="00F27434"/>
    <w:rsid w:val="00F27F25"/>
    <w:rsid w:val="00F300DF"/>
    <w:rsid w:val="00F3253F"/>
    <w:rsid w:val="00F33259"/>
    <w:rsid w:val="00F333BE"/>
    <w:rsid w:val="00F33450"/>
    <w:rsid w:val="00F3345C"/>
    <w:rsid w:val="00F33C66"/>
    <w:rsid w:val="00F34A92"/>
    <w:rsid w:val="00F34F81"/>
    <w:rsid w:val="00F357C5"/>
    <w:rsid w:val="00F36227"/>
    <w:rsid w:val="00F3636E"/>
    <w:rsid w:val="00F36386"/>
    <w:rsid w:val="00F36811"/>
    <w:rsid w:val="00F3693B"/>
    <w:rsid w:val="00F37B12"/>
    <w:rsid w:val="00F40398"/>
    <w:rsid w:val="00F409BC"/>
    <w:rsid w:val="00F40A7E"/>
    <w:rsid w:val="00F4165A"/>
    <w:rsid w:val="00F416D3"/>
    <w:rsid w:val="00F4267E"/>
    <w:rsid w:val="00F42D5C"/>
    <w:rsid w:val="00F42FB1"/>
    <w:rsid w:val="00F43889"/>
    <w:rsid w:val="00F446C6"/>
    <w:rsid w:val="00F44DCB"/>
    <w:rsid w:val="00F45540"/>
    <w:rsid w:val="00F464DE"/>
    <w:rsid w:val="00F467E1"/>
    <w:rsid w:val="00F47671"/>
    <w:rsid w:val="00F47976"/>
    <w:rsid w:val="00F501EC"/>
    <w:rsid w:val="00F50753"/>
    <w:rsid w:val="00F52DB4"/>
    <w:rsid w:val="00F52E35"/>
    <w:rsid w:val="00F5301F"/>
    <w:rsid w:val="00F53AC2"/>
    <w:rsid w:val="00F53CF6"/>
    <w:rsid w:val="00F53F75"/>
    <w:rsid w:val="00F54037"/>
    <w:rsid w:val="00F5496E"/>
    <w:rsid w:val="00F54DE7"/>
    <w:rsid w:val="00F55249"/>
    <w:rsid w:val="00F56A28"/>
    <w:rsid w:val="00F56CDF"/>
    <w:rsid w:val="00F57424"/>
    <w:rsid w:val="00F5746F"/>
    <w:rsid w:val="00F57885"/>
    <w:rsid w:val="00F61049"/>
    <w:rsid w:val="00F61679"/>
    <w:rsid w:val="00F61915"/>
    <w:rsid w:val="00F63856"/>
    <w:rsid w:val="00F63B9A"/>
    <w:rsid w:val="00F642A3"/>
    <w:rsid w:val="00F64488"/>
    <w:rsid w:val="00F64A18"/>
    <w:rsid w:val="00F64C05"/>
    <w:rsid w:val="00F64E9C"/>
    <w:rsid w:val="00F65679"/>
    <w:rsid w:val="00F65C8F"/>
    <w:rsid w:val="00F6623D"/>
    <w:rsid w:val="00F662FF"/>
    <w:rsid w:val="00F66ADB"/>
    <w:rsid w:val="00F700EC"/>
    <w:rsid w:val="00F70541"/>
    <w:rsid w:val="00F71223"/>
    <w:rsid w:val="00F71366"/>
    <w:rsid w:val="00F71BB2"/>
    <w:rsid w:val="00F72513"/>
    <w:rsid w:val="00F72B4A"/>
    <w:rsid w:val="00F72F62"/>
    <w:rsid w:val="00F730BD"/>
    <w:rsid w:val="00F74006"/>
    <w:rsid w:val="00F75B6A"/>
    <w:rsid w:val="00F764D8"/>
    <w:rsid w:val="00F76611"/>
    <w:rsid w:val="00F76943"/>
    <w:rsid w:val="00F77D81"/>
    <w:rsid w:val="00F81572"/>
    <w:rsid w:val="00F82095"/>
    <w:rsid w:val="00F82100"/>
    <w:rsid w:val="00F827E9"/>
    <w:rsid w:val="00F829A3"/>
    <w:rsid w:val="00F83FB6"/>
    <w:rsid w:val="00F84CCD"/>
    <w:rsid w:val="00F861AE"/>
    <w:rsid w:val="00F86435"/>
    <w:rsid w:val="00F86AF1"/>
    <w:rsid w:val="00F87BE5"/>
    <w:rsid w:val="00F87D3D"/>
    <w:rsid w:val="00F87F62"/>
    <w:rsid w:val="00F907BB"/>
    <w:rsid w:val="00F90E15"/>
    <w:rsid w:val="00F914F4"/>
    <w:rsid w:val="00F92599"/>
    <w:rsid w:val="00F92E44"/>
    <w:rsid w:val="00F93438"/>
    <w:rsid w:val="00F93B10"/>
    <w:rsid w:val="00F93E4F"/>
    <w:rsid w:val="00F94546"/>
    <w:rsid w:val="00F94D57"/>
    <w:rsid w:val="00F94FDA"/>
    <w:rsid w:val="00F95E2F"/>
    <w:rsid w:val="00F96225"/>
    <w:rsid w:val="00F9781B"/>
    <w:rsid w:val="00FA00D9"/>
    <w:rsid w:val="00FA0166"/>
    <w:rsid w:val="00FA05F1"/>
    <w:rsid w:val="00FA0F75"/>
    <w:rsid w:val="00FA1140"/>
    <w:rsid w:val="00FA1326"/>
    <w:rsid w:val="00FA1393"/>
    <w:rsid w:val="00FA14B3"/>
    <w:rsid w:val="00FA1BCD"/>
    <w:rsid w:val="00FA1D0C"/>
    <w:rsid w:val="00FA26FB"/>
    <w:rsid w:val="00FA2A9C"/>
    <w:rsid w:val="00FA32BB"/>
    <w:rsid w:val="00FA347C"/>
    <w:rsid w:val="00FA3B48"/>
    <w:rsid w:val="00FA3B72"/>
    <w:rsid w:val="00FA482B"/>
    <w:rsid w:val="00FA499A"/>
    <w:rsid w:val="00FA56D4"/>
    <w:rsid w:val="00FA57B8"/>
    <w:rsid w:val="00FA5F20"/>
    <w:rsid w:val="00FA635E"/>
    <w:rsid w:val="00FA683A"/>
    <w:rsid w:val="00FA6B11"/>
    <w:rsid w:val="00FA7856"/>
    <w:rsid w:val="00FB0DA3"/>
    <w:rsid w:val="00FB14BB"/>
    <w:rsid w:val="00FB2289"/>
    <w:rsid w:val="00FB2D64"/>
    <w:rsid w:val="00FB2F47"/>
    <w:rsid w:val="00FB34DD"/>
    <w:rsid w:val="00FB3596"/>
    <w:rsid w:val="00FB35CC"/>
    <w:rsid w:val="00FB35F9"/>
    <w:rsid w:val="00FB3C15"/>
    <w:rsid w:val="00FB3FE6"/>
    <w:rsid w:val="00FB4A8F"/>
    <w:rsid w:val="00FB4C3D"/>
    <w:rsid w:val="00FB5542"/>
    <w:rsid w:val="00FB5C77"/>
    <w:rsid w:val="00FB5F2A"/>
    <w:rsid w:val="00FB7332"/>
    <w:rsid w:val="00FB7AA2"/>
    <w:rsid w:val="00FC03DE"/>
    <w:rsid w:val="00FC046C"/>
    <w:rsid w:val="00FC06A8"/>
    <w:rsid w:val="00FC0B1C"/>
    <w:rsid w:val="00FC24E9"/>
    <w:rsid w:val="00FC2577"/>
    <w:rsid w:val="00FC2653"/>
    <w:rsid w:val="00FC2808"/>
    <w:rsid w:val="00FC2923"/>
    <w:rsid w:val="00FC2BD0"/>
    <w:rsid w:val="00FC2E34"/>
    <w:rsid w:val="00FC2FF8"/>
    <w:rsid w:val="00FC3E58"/>
    <w:rsid w:val="00FC50B1"/>
    <w:rsid w:val="00FC521F"/>
    <w:rsid w:val="00FC5751"/>
    <w:rsid w:val="00FC59CE"/>
    <w:rsid w:val="00FC5B17"/>
    <w:rsid w:val="00FC61E5"/>
    <w:rsid w:val="00FC6654"/>
    <w:rsid w:val="00FC6808"/>
    <w:rsid w:val="00FC6EDE"/>
    <w:rsid w:val="00FC6F82"/>
    <w:rsid w:val="00FC71E7"/>
    <w:rsid w:val="00FC78C5"/>
    <w:rsid w:val="00FD05EC"/>
    <w:rsid w:val="00FD19C9"/>
    <w:rsid w:val="00FD2BDB"/>
    <w:rsid w:val="00FD2F2B"/>
    <w:rsid w:val="00FD3194"/>
    <w:rsid w:val="00FD329A"/>
    <w:rsid w:val="00FD3D93"/>
    <w:rsid w:val="00FD4159"/>
    <w:rsid w:val="00FD4421"/>
    <w:rsid w:val="00FD48E4"/>
    <w:rsid w:val="00FD4DA8"/>
    <w:rsid w:val="00FD4FF0"/>
    <w:rsid w:val="00FD673F"/>
    <w:rsid w:val="00FD68AC"/>
    <w:rsid w:val="00FD742D"/>
    <w:rsid w:val="00FD74D9"/>
    <w:rsid w:val="00FD7C02"/>
    <w:rsid w:val="00FE10C8"/>
    <w:rsid w:val="00FE1151"/>
    <w:rsid w:val="00FE13C6"/>
    <w:rsid w:val="00FE1EFD"/>
    <w:rsid w:val="00FE2F74"/>
    <w:rsid w:val="00FE3850"/>
    <w:rsid w:val="00FE3CE5"/>
    <w:rsid w:val="00FE4226"/>
    <w:rsid w:val="00FE562B"/>
    <w:rsid w:val="00FE5E53"/>
    <w:rsid w:val="00FE6614"/>
    <w:rsid w:val="00FE75F6"/>
    <w:rsid w:val="00FE7BEB"/>
    <w:rsid w:val="00FE7EE2"/>
    <w:rsid w:val="00FE7F0C"/>
    <w:rsid w:val="00FF04FE"/>
    <w:rsid w:val="00FF137D"/>
    <w:rsid w:val="00FF2031"/>
    <w:rsid w:val="00FF220E"/>
    <w:rsid w:val="00FF2281"/>
    <w:rsid w:val="00FF2803"/>
    <w:rsid w:val="00FF2CFD"/>
    <w:rsid w:val="00FF3B1D"/>
    <w:rsid w:val="00FF3D45"/>
    <w:rsid w:val="00FF4237"/>
    <w:rsid w:val="00FF4742"/>
    <w:rsid w:val="00FF4827"/>
    <w:rsid w:val="00FF4866"/>
    <w:rsid w:val="00FF4924"/>
    <w:rsid w:val="00FF55C1"/>
    <w:rsid w:val="00FF5FD1"/>
    <w:rsid w:val="00FF70F8"/>
    <w:rsid w:val="00FF7135"/>
    <w:rsid w:val="00FF773E"/>
    <w:rsid w:val="00FF7D67"/>
    <w:rsid w:val="01013D18"/>
    <w:rsid w:val="012A7440"/>
    <w:rsid w:val="013672FD"/>
    <w:rsid w:val="013D7528"/>
    <w:rsid w:val="0187791E"/>
    <w:rsid w:val="019F4B88"/>
    <w:rsid w:val="01A21C7E"/>
    <w:rsid w:val="01AB763C"/>
    <w:rsid w:val="01D27009"/>
    <w:rsid w:val="01D4177F"/>
    <w:rsid w:val="01DA7C98"/>
    <w:rsid w:val="01F323DE"/>
    <w:rsid w:val="01F92478"/>
    <w:rsid w:val="020539B6"/>
    <w:rsid w:val="02063FE0"/>
    <w:rsid w:val="020D3297"/>
    <w:rsid w:val="023006A7"/>
    <w:rsid w:val="02737C03"/>
    <w:rsid w:val="0291590C"/>
    <w:rsid w:val="02972111"/>
    <w:rsid w:val="02C32A1C"/>
    <w:rsid w:val="032D0800"/>
    <w:rsid w:val="0366545A"/>
    <w:rsid w:val="038D2B62"/>
    <w:rsid w:val="03E37CED"/>
    <w:rsid w:val="04005122"/>
    <w:rsid w:val="04253FDA"/>
    <w:rsid w:val="04781926"/>
    <w:rsid w:val="04A920AB"/>
    <w:rsid w:val="04B734A5"/>
    <w:rsid w:val="052F6A15"/>
    <w:rsid w:val="05821FED"/>
    <w:rsid w:val="05B61A88"/>
    <w:rsid w:val="05D639A0"/>
    <w:rsid w:val="05ED35C6"/>
    <w:rsid w:val="06177B96"/>
    <w:rsid w:val="06503B38"/>
    <w:rsid w:val="06D928E9"/>
    <w:rsid w:val="07375519"/>
    <w:rsid w:val="075E2523"/>
    <w:rsid w:val="076351A5"/>
    <w:rsid w:val="07AE1028"/>
    <w:rsid w:val="07E64A87"/>
    <w:rsid w:val="082251B9"/>
    <w:rsid w:val="082E28EB"/>
    <w:rsid w:val="08426019"/>
    <w:rsid w:val="084F2F35"/>
    <w:rsid w:val="0857273B"/>
    <w:rsid w:val="089042E3"/>
    <w:rsid w:val="08B168FC"/>
    <w:rsid w:val="08DA4E48"/>
    <w:rsid w:val="09125DA5"/>
    <w:rsid w:val="09435942"/>
    <w:rsid w:val="097951BB"/>
    <w:rsid w:val="099D1ED6"/>
    <w:rsid w:val="09A70B45"/>
    <w:rsid w:val="09BB1BB5"/>
    <w:rsid w:val="09D82B41"/>
    <w:rsid w:val="09EF3AA1"/>
    <w:rsid w:val="0A141268"/>
    <w:rsid w:val="0A5B6B1C"/>
    <w:rsid w:val="0A6E7FC0"/>
    <w:rsid w:val="0A8B54A5"/>
    <w:rsid w:val="0AAC0A11"/>
    <w:rsid w:val="0AAD580F"/>
    <w:rsid w:val="0ADF09CB"/>
    <w:rsid w:val="0B1338B8"/>
    <w:rsid w:val="0B1F571E"/>
    <w:rsid w:val="0B2E5767"/>
    <w:rsid w:val="0B4836F1"/>
    <w:rsid w:val="0B95098E"/>
    <w:rsid w:val="0BAC5339"/>
    <w:rsid w:val="0C1E592E"/>
    <w:rsid w:val="0C404066"/>
    <w:rsid w:val="0C646853"/>
    <w:rsid w:val="0C7A4D8B"/>
    <w:rsid w:val="0C855371"/>
    <w:rsid w:val="0C9F0587"/>
    <w:rsid w:val="0CCE61E8"/>
    <w:rsid w:val="0D0C1474"/>
    <w:rsid w:val="0D0F6598"/>
    <w:rsid w:val="0D125E69"/>
    <w:rsid w:val="0D1C1881"/>
    <w:rsid w:val="0D4557CA"/>
    <w:rsid w:val="0D4F0CD8"/>
    <w:rsid w:val="0D693ADE"/>
    <w:rsid w:val="0D781E29"/>
    <w:rsid w:val="0DAF42B0"/>
    <w:rsid w:val="0DAF4501"/>
    <w:rsid w:val="0E523D0A"/>
    <w:rsid w:val="0E66622E"/>
    <w:rsid w:val="0EC46BD3"/>
    <w:rsid w:val="0EC82A4F"/>
    <w:rsid w:val="0EE80D86"/>
    <w:rsid w:val="0EFB6CC1"/>
    <w:rsid w:val="0F031CC5"/>
    <w:rsid w:val="0F111284"/>
    <w:rsid w:val="0F1B3C00"/>
    <w:rsid w:val="0F404D9E"/>
    <w:rsid w:val="0F983670"/>
    <w:rsid w:val="0FD349C7"/>
    <w:rsid w:val="10166A30"/>
    <w:rsid w:val="101B45FA"/>
    <w:rsid w:val="10353A2A"/>
    <w:rsid w:val="107A5C99"/>
    <w:rsid w:val="10BA440F"/>
    <w:rsid w:val="10BD6382"/>
    <w:rsid w:val="10D001DE"/>
    <w:rsid w:val="10EA1DEE"/>
    <w:rsid w:val="11840349"/>
    <w:rsid w:val="11951E37"/>
    <w:rsid w:val="11F60645"/>
    <w:rsid w:val="11FE073A"/>
    <w:rsid w:val="120B7776"/>
    <w:rsid w:val="120E2ECB"/>
    <w:rsid w:val="12435284"/>
    <w:rsid w:val="12B74689"/>
    <w:rsid w:val="12BB03C6"/>
    <w:rsid w:val="12C169BB"/>
    <w:rsid w:val="132A7993"/>
    <w:rsid w:val="132E4AAA"/>
    <w:rsid w:val="134B65B9"/>
    <w:rsid w:val="136817E4"/>
    <w:rsid w:val="137C3BF2"/>
    <w:rsid w:val="13991F8A"/>
    <w:rsid w:val="13B373AC"/>
    <w:rsid w:val="13DF4867"/>
    <w:rsid w:val="140037EF"/>
    <w:rsid w:val="14112ECB"/>
    <w:rsid w:val="143C7CBA"/>
    <w:rsid w:val="149C5198"/>
    <w:rsid w:val="14CE23B0"/>
    <w:rsid w:val="14EF0366"/>
    <w:rsid w:val="1502073C"/>
    <w:rsid w:val="15030229"/>
    <w:rsid w:val="15044A88"/>
    <w:rsid w:val="1505030B"/>
    <w:rsid w:val="15142729"/>
    <w:rsid w:val="15400AE3"/>
    <w:rsid w:val="156C4459"/>
    <w:rsid w:val="157D344D"/>
    <w:rsid w:val="1597787A"/>
    <w:rsid w:val="15DA6934"/>
    <w:rsid w:val="15F34D63"/>
    <w:rsid w:val="163A53EE"/>
    <w:rsid w:val="165F01A4"/>
    <w:rsid w:val="1668043D"/>
    <w:rsid w:val="16A54F40"/>
    <w:rsid w:val="16CE4765"/>
    <w:rsid w:val="16CF2299"/>
    <w:rsid w:val="17080D14"/>
    <w:rsid w:val="172E28C3"/>
    <w:rsid w:val="1773164A"/>
    <w:rsid w:val="1775245E"/>
    <w:rsid w:val="177A5491"/>
    <w:rsid w:val="17B80635"/>
    <w:rsid w:val="17C93C15"/>
    <w:rsid w:val="17D15EA0"/>
    <w:rsid w:val="17DC7AB4"/>
    <w:rsid w:val="18423329"/>
    <w:rsid w:val="186C4740"/>
    <w:rsid w:val="18A77E68"/>
    <w:rsid w:val="18A90A1B"/>
    <w:rsid w:val="18D9286C"/>
    <w:rsid w:val="19004393"/>
    <w:rsid w:val="190B09A4"/>
    <w:rsid w:val="190B2C29"/>
    <w:rsid w:val="193F1144"/>
    <w:rsid w:val="19420406"/>
    <w:rsid w:val="195111A3"/>
    <w:rsid w:val="19632DB3"/>
    <w:rsid w:val="19756550"/>
    <w:rsid w:val="19782D58"/>
    <w:rsid w:val="197D2C12"/>
    <w:rsid w:val="1998116A"/>
    <w:rsid w:val="1A8E4F1B"/>
    <w:rsid w:val="1AB836E5"/>
    <w:rsid w:val="1AED613D"/>
    <w:rsid w:val="1B0F40F3"/>
    <w:rsid w:val="1B2D53C2"/>
    <w:rsid w:val="1B5744E8"/>
    <w:rsid w:val="1B682787"/>
    <w:rsid w:val="1B7D17EA"/>
    <w:rsid w:val="1B80312D"/>
    <w:rsid w:val="1B846CA0"/>
    <w:rsid w:val="1C0C2C1C"/>
    <w:rsid w:val="1C1277C5"/>
    <w:rsid w:val="1C426436"/>
    <w:rsid w:val="1C4E4F47"/>
    <w:rsid w:val="1C5F1BAB"/>
    <w:rsid w:val="1C9B12FC"/>
    <w:rsid w:val="1CA87F05"/>
    <w:rsid w:val="1CC659C3"/>
    <w:rsid w:val="1D043115"/>
    <w:rsid w:val="1D113230"/>
    <w:rsid w:val="1D297EFC"/>
    <w:rsid w:val="1D8553D5"/>
    <w:rsid w:val="1D8F21B6"/>
    <w:rsid w:val="1DE17414"/>
    <w:rsid w:val="1DF11E05"/>
    <w:rsid w:val="1E161E6D"/>
    <w:rsid w:val="1E306F6F"/>
    <w:rsid w:val="1E3A162D"/>
    <w:rsid w:val="1E6D1CF2"/>
    <w:rsid w:val="1E6D7A4D"/>
    <w:rsid w:val="1F9E08C3"/>
    <w:rsid w:val="1FB44D91"/>
    <w:rsid w:val="1FC84996"/>
    <w:rsid w:val="1FCF11BE"/>
    <w:rsid w:val="1FEA526B"/>
    <w:rsid w:val="2042653B"/>
    <w:rsid w:val="20BC7128"/>
    <w:rsid w:val="20BD5446"/>
    <w:rsid w:val="20BE7282"/>
    <w:rsid w:val="20C51B4F"/>
    <w:rsid w:val="20E3647A"/>
    <w:rsid w:val="211A20DA"/>
    <w:rsid w:val="21276954"/>
    <w:rsid w:val="213A3C94"/>
    <w:rsid w:val="213A410B"/>
    <w:rsid w:val="2191045A"/>
    <w:rsid w:val="21B500A3"/>
    <w:rsid w:val="21CC0D3F"/>
    <w:rsid w:val="21E7728C"/>
    <w:rsid w:val="22124DC5"/>
    <w:rsid w:val="223D1AA5"/>
    <w:rsid w:val="224C3DAD"/>
    <w:rsid w:val="22744246"/>
    <w:rsid w:val="228C7176"/>
    <w:rsid w:val="22B53C09"/>
    <w:rsid w:val="22D24446"/>
    <w:rsid w:val="23080FFB"/>
    <w:rsid w:val="234F33BC"/>
    <w:rsid w:val="237A63C1"/>
    <w:rsid w:val="23AB030D"/>
    <w:rsid w:val="23B22E56"/>
    <w:rsid w:val="23C2552D"/>
    <w:rsid w:val="23FF62F2"/>
    <w:rsid w:val="24267B5E"/>
    <w:rsid w:val="24481FE6"/>
    <w:rsid w:val="246624BC"/>
    <w:rsid w:val="247B19B8"/>
    <w:rsid w:val="24B25385"/>
    <w:rsid w:val="24CA43D2"/>
    <w:rsid w:val="25004B85"/>
    <w:rsid w:val="250B3654"/>
    <w:rsid w:val="250C32D4"/>
    <w:rsid w:val="25381A09"/>
    <w:rsid w:val="253C72D6"/>
    <w:rsid w:val="255D2D40"/>
    <w:rsid w:val="2567791E"/>
    <w:rsid w:val="257E0747"/>
    <w:rsid w:val="25AD1F1C"/>
    <w:rsid w:val="25E66D4B"/>
    <w:rsid w:val="25F954DB"/>
    <w:rsid w:val="26201B3E"/>
    <w:rsid w:val="26517E07"/>
    <w:rsid w:val="265452C6"/>
    <w:rsid w:val="267979DF"/>
    <w:rsid w:val="2685113B"/>
    <w:rsid w:val="26D23665"/>
    <w:rsid w:val="26DE67AD"/>
    <w:rsid w:val="26EF6821"/>
    <w:rsid w:val="27041509"/>
    <w:rsid w:val="271D24CE"/>
    <w:rsid w:val="271F52BE"/>
    <w:rsid w:val="2729252A"/>
    <w:rsid w:val="273D6821"/>
    <w:rsid w:val="27604AC6"/>
    <w:rsid w:val="277351B5"/>
    <w:rsid w:val="27793867"/>
    <w:rsid w:val="281954D5"/>
    <w:rsid w:val="286544A6"/>
    <w:rsid w:val="28A44A67"/>
    <w:rsid w:val="28A605BD"/>
    <w:rsid w:val="29053E33"/>
    <w:rsid w:val="29062A88"/>
    <w:rsid w:val="291C12E4"/>
    <w:rsid w:val="2925470E"/>
    <w:rsid w:val="29271338"/>
    <w:rsid w:val="293F4CCE"/>
    <w:rsid w:val="296A5FFD"/>
    <w:rsid w:val="29B45851"/>
    <w:rsid w:val="29EC66D5"/>
    <w:rsid w:val="2A002482"/>
    <w:rsid w:val="2A08764D"/>
    <w:rsid w:val="2A5B4493"/>
    <w:rsid w:val="2A6805DA"/>
    <w:rsid w:val="2A6820DA"/>
    <w:rsid w:val="2A945BEA"/>
    <w:rsid w:val="2AA9230C"/>
    <w:rsid w:val="2AE93ACF"/>
    <w:rsid w:val="2B000886"/>
    <w:rsid w:val="2B0C7BA2"/>
    <w:rsid w:val="2B601A3A"/>
    <w:rsid w:val="2BA22524"/>
    <w:rsid w:val="2BCD4B30"/>
    <w:rsid w:val="2C101734"/>
    <w:rsid w:val="2C164A61"/>
    <w:rsid w:val="2C2B1183"/>
    <w:rsid w:val="2C417838"/>
    <w:rsid w:val="2C55584A"/>
    <w:rsid w:val="2CBA355C"/>
    <w:rsid w:val="2CC85DB1"/>
    <w:rsid w:val="2CD92D9E"/>
    <w:rsid w:val="2CE13B77"/>
    <w:rsid w:val="2CE30931"/>
    <w:rsid w:val="2D024C85"/>
    <w:rsid w:val="2D045522"/>
    <w:rsid w:val="2D0F4C79"/>
    <w:rsid w:val="2D5B72F6"/>
    <w:rsid w:val="2DBF6338"/>
    <w:rsid w:val="2DD36EC0"/>
    <w:rsid w:val="2E070A94"/>
    <w:rsid w:val="2E7F2C46"/>
    <w:rsid w:val="2EBD67CC"/>
    <w:rsid w:val="2ECE08D2"/>
    <w:rsid w:val="2EEE4BDC"/>
    <w:rsid w:val="2F4926D0"/>
    <w:rsid w:val="2FA7171D"/>
    <w:rsid w:val="2FBA00DA"/>
    <w:rsid w:val="2FD00080"/>
    <w:rsid w:val="300B3D12"/>
    <w:rsid w:val="30437E24"/>
    <w:rsid w:val="30500B64"/>
    <w:rsid w:val="30534DD6"/>
    <w:rsid w:val="30684D7B"/>
    <w:rsid w:val="306E5B2E"/>
    <w:rsid w:val="307D790D"/>
    <w:rsid w:val="30B30DEC"/>
    <w:rsid w:val="30E31EBC"/>
    <w:rsid w:val="30E31FB2"/>
    <w:rsid w:val="315C30E0"/>
    <w:rsid w:val="31800A36"/>
    <w:rsid w:val="3185059A"/>
    <w:rsid w:val="319510B7"/>
    <w:rsid w:val="31C858FC"/>
    <w:rsid w:val="32057529"/>
    <w:rsid w:val="32194741"/>
    <w:rsid w:val="3228700C"/>
    <w:rsid w:val="32687696"/>
    <w:rsid w:val="32840854"/>
    <w:rsid w:val="32A24969"/>
    <w:rsid w:val="32C957DF"/>
    <w:rsid w:val="32E35FEC"/>
    <w:rsid w:val="32E4768D"/>
    <w:rsid w:val="32EB57F0"/>
    <w:rsid w:val="332C1DAC"/>
    <w:rsid w:val="33365956"/>
    <w:rsid w:val="33540C46"/>
    <w:rsid w:val="33575E51"/>
    <w:rsid w:val="335903EA"/>
    <w:rsid w:val="336D3568"/>
    <w:rsid w:val="337762CC"/>
    <w:rsid w:val="337C0B05"/>
    <w:rsid w:val="338A576D"/>
    <w:rsid w:val="33A57080"/>
    <w:rsid w:val="3424001A"/>
    <w:rsid w:val="345F592E"/>
    <w:rsid w:val="34981939"/>
    <w:rsid w:val="34E03C50"/>
    <w:rsid w:val="34ED65CA"/>
    <w:rsid w:val="351E06BE"/>
    <w:rsid w:val="354748F9"/>
    <w:rsid w:val="35DE71AF"/>
    <w:rsid w:val="35FC2678"/>
    <w:rsid w:val="36244471"/>
    <w:rsid w:val="36615420"/>
    <w:rsid w:val="367E6DE3"/>
    <w:rsid w:val="368843C4"/>
    <w:rsid w:val="36AD4A45"/>
    <w:rsid w:val="36C41867"/>
    <w:rsid w:val="36CB3AD6"/>
    <w:rsid w:val="36F312BB"/>
    <w:rsid w:val="37046B5E"/>
    <w:rsid w:val="37A83CCD"/>
    <w:rsid w:val="37B81BD6"/>
    <w:rsid w:val="37C562BA"/>
    <w:rsid w:val="37C83693"/>
    <w:rsid w:val="37D24DB3"/>
    <w:rsid w:val="384B6807"/>
    <w:rsid w:val="38FA222D"/>
    <w:rsid w:val="39440601"/>
    <w:rsid w:val="399578F6"/>
    <w:rsid w:val="39BB5F26"/>
    <w:rsid w:val="39CF09FF"/>
    <w:rsid w:val="39DF3160"/>
    <w:rsid w:val="39F252A2"/>
    <w:rsid w:val="39FF6820"/>
    <w:rsid w:val="3A057EA0"/>
    <w:rsid w:val="3A5774A1"/>
    <w:rsid w:val="3A842D61"/>
    <w:rsid w:val="3AD83C96"/>
    <w:rsid w:val="3AF03E7C"/>
    <w:rsid w:val="3AF75A98"/>
    <w:rsid w:val="3B5566E2"/>
    <w:rsid w:val="3B5E233C"/>
    <w:rsid w:val="3B76512B"/>
    <w:rsid w:val="3B89663D"/>
    <w:rsid w:val="3B8D2C42"/>
    <w:rsid w:val="3B8E0546"/>
    <w:rsid w:val="3BFD3D4A"/>
    <w:rsid w:val="3C8D609B"/>
    <w:rsid w:val="3CE1487E"/>
    <w:rsid w:val="3D0954D3"/>
    <w:rsid w:val="3D1C50B7"/>
    <w:rsid w:val="3D3306B5"/>
    <w:rsid w:val="3D3739E8"/>
    <w:rsid w:val="3D677185"/>
    <w:rsid w:val="3D855C17"/>
    <w:rsid w:val="3DA51DA6"/>
    <w:rsid w:val="3DB94353"/>
    <w:rsid w:val="3DC34C62"/>
    <w:rsid w:val="3DD46A95"/>
    <w:rsid w:val="3E561D2A"/>
    <w:rsid w:val="3E5917F3"/>
    <w:rsid w:val="3E605DE6"/>
    <w:rsid w:val="3E667CEF"/>
    <w:rsid w:val="3E7579FC"/>
    <w:rsid w:val="3E7F5EBF"/>
    <w:rsid w:val="3E802756"/>
    <w:rsid w:val="3E8E5CC5"/>
    <w:rsid w:val="3EB801B0"/>
    <w:rsid w:val="3EDD55B8"/>
    <w:rsid w:val="3FEF1E44"/>
    <w:rsid w:val="3FF700BF"/>
    <w:rsid w:val="40025851"/>
    <w:rsid w:val="40421325"/>
    <w:rsid w:val="40450D26"/>
    <w:rsid w:val="404970F1"/>
    <w:rsid w:val="405939A2"/>
    <w:rsid w:val="405C3386"/>
    <w:rsid w:val="406756B5"/>
    <w:rsid w:val="407F255D"/>
    <w:rsid w:val="40C515B1"/>
    <w:rsid w:val="40DC06F8"/>
    <w:rsid w:val="414C482C"/>
    <w:rsid w:val="415D1732"/>
    <w:rsid w:val="41795FF8"/>
    <w:rsid w:val="418D4259"/>
    <w:rsid w:val="41FC040C"/>
    <w:rsid w:val="422F72B4"/>
    <w:rsid w:val="43702E63"/>
    <w:rsid w:val="43737E97"/>
    <w:rsid w:val="437E09FA"/>
    <w:rsid w:val="43911EEB"/>
    <w:rsid w:val="43B3461E"/>
    <w:rsid w:val="43EF2792"/>
    <w:rsid w:val="44241F7B"/>
    <w:rsid w:val="4441092D"/>
    <w:rsid w:val="445B35CD"/>
    <w:rsid w:val="44605A3B"/>
    <w:rsid w:val="44685F56"/>
    <w:rsid w:val="44A56AE4"/>
    <w:rsid w:val="44AB0730"/>
    <w:rsid w:val="44B6685B"/>
    <w:rsid w:val="44C7458D"/>
    <w:rsid w:val="44D47F78"/>
    <w:rsid w:val="44EE0367"/>
    <w:rsid w:val="44F92736"/>
    <w:rsid w:val="45221874"/>
    <w:rsid w:val="452245D4"/>
    <w:rsid w:val="454277D4"/>
    <w:rsid w:val="4586581D"/>
    <w:rsid w:val="45A01C4B"/>
    <w:rsid w:val="45A55DFD"/>
    <w:rsid w:val="45C66607"/>
    <w:rsid w:val="460A7A28"/>
    <w:rsid w:val="465E3302"/>
    <w:rsid w:val="46647B1E"/>
    <w:rsid w:val="46884EF0"/>
    <w:rsid w:val="469F3D6C"/>
    <w:rsid w:val="46B866EB"/>
    <w:rsid w:val="46CA086B"/>
    <w:rsid w:val="46D30FD1"/>
    <w:rsid w:val="46E84E81"/>
    <w:rsid w:val="46E965D0"/>
    <w:rsid w:val="47012B0C"/>
    <w:rsid w:val="472C5B18"/>
    <w:rsid w:val="47323525"/>
    <w:rsid w:val="47631FC0"/>
    <w:rsid w:val="47706FB9"/>
    <w:rsid w:val="47A62D61"/>
    <w:rsid w:val="47EF4992"/>
    <w:rsid w:val="480C6F31"/>
    <w:rsid w:val="480E356D"/>
    <w:rsid w:val="48416498"/>
    <w:rsid w:val="4848261A"/>
    <w:rsid w:val="484A0AE8"/>
    <w:rsid w:val="489D5DB0"/>
    <w:rsid w:val="48B459D5"/>
    <w:rsid w:val="491A5893"/>
    <w:rsid w:val="496C7771"/>
    <w:rsid w:val="49AD5188"/>
    <w:rsid w:val="49C65643"/>
    <w:rsid w:val="49D8762B"/>
    <w:rsid w:val="4A1D5A59"/>
    <w:rsid w:val="4A7E4A81"/>
    <w:rsid w:val="4A873352"/>
    <w:rsid w:val="4A9B162E"/>
    <w:rsid w:val="4A9C1C84"/>
    <w:rsid w:val="4ACE2511"/>
    <w:rsid w:val="4B3F2B00"/>
    <w:rsid w:val="4BB0793C"/>
    <w:rsid w:val="4BCB7722"/>
    <w:rsid w:val="4C130566"/>
    <w:rsid w:val="4C7B4C61"/>
    <w:rsid w:val="4CD17A13"/>
    <w:rsid w:val="4CD26F61"/>
    <w:rsid w:val="4CE1211D"/>
    <w:rsid w:val="4CE21A38"/>
    <w:rsid w:val="4CF9540E"/>
    <w:rsid w:val="4D090A95"/>
    <w:rsid w:val="4D1637EA"/>
    <w:rsid w:val="4D2D41F3"/>
    <w:rsid w:val="4D68717B"/>
    <w:rsid w:val="4D7875F0"/>
    <w:rsid w:val="4D7B7C86"/>
    <w:rsid w:val="4D7E67C7"/>
    <w:rsid w:val="4D8D7A0B"/>
    <w:rsid w:val="4D8E364A"/>
    <w:rsid w:val="4DD37586"/>
    <w:rsid w:val="4DE742EB"/>
    <w:rsid w:val="4E8273DA"/>
    <w:rsid w:val="4E836414"/>
    <w:rsid w:val="4E9B25C0"/>
    <w:rsid w:val="4EE66573"/>
    <w:rsid w:val="4F1D273A"/>
    <w:rsid w:val="4F502563"/>
    <w:rsid w:val="4F842B94"/>
    <w:rsid w:val="4F875874"/>
    <w:rsid w:val="4F9A259A"/>
    <w:rsid w:val="4FD0245A"/>
    <w:rsid w:val="4FD33884"/>
    <w:rsid w:val="4FD560FC"/>
    <w:rsid w:val="4FE219F4"/>
    <w:rsid w:val="4FFE13C4"/>
    <w:rsid w:val="503A495C"/>
    <w:rsid w:val="50903C11"/>
    <w:rsid w:val="51374CDC"/>
    <w:rsid w:val="513A40D0"/>
    <w:rsid w:val="51462F01"/>
    <w:rsid w:val="5169185D"/>
    <w:rsid w:val="51742FB0"/>
    <w:rsid w:val="518865F9"/>
    <w:rsid w:val="51C67537"/>
    <w:rsid w:val="52012007"/>
    <w:rsid w:val="522C6655"/>
    <w:rsid w:val="5249428D"/>
    <w:rsid w:val="529871A0"/>
    <w:rsid w:val="52AF2D38"/>
    <w:rsid w:val="52BA4E5B"/>
    <w:rsid w:val="52CC52D6"/>
    <w:rsid w:val="52D21CFB"/>
    <w:rsid w:val="52FF0755"/>
    <w:rsid w:val="531A3717"/>
    <w:rsid w:val="534357AA"/>
    <w:rsid w:val="535A7116"/>
    <w:rsid w:val="53726715"/>
    <w:rsid w:val="537808A3"/>
    <w:rsid w:val="539223E9"/>
    <w:rsid w:val="53AD35BD"/>
    <w:rsid w:val="53B50F60"/>
    <w:rsid w:val="53FF3202"/>
    <w:rsid w:val="542072D4"/>
    <w:rsid w:val="542953C5"/>
    <w:rsid w:val="543A7700"/>
    <w:rsid w:val="5440569A"/>
    <w:rsid w:val="544D2B61"/>
    <w:rsid w:val="546A7444"/>
    <w:rsid w:val="54824E31"/>
    <w:rsid w:val="54BD5016"/>
    <w:rsid w:val="54D413B8"/>
    <w:rsid w:val="54E61532"/>
    <w:rsid w:val="54F267FD"/>
    <w:rsid w:val="55095097"/>
    <w:rsid w:val="55111660"/>
    <w:rsid w:val="55287CB6"/>
    <w:rsid w:val="552E67E9"/>
    <w:rsid w:val="55320116"/>
    <w:rsid w:val="55382AC4"/>
    <w:rsid w:val="55585C2A"/>
    <w:rsid w:val="558A776E"/>
    <w:rsid w:val="55EE11B9"/>
    <w:rsid w:val="561C3CA9"/>
    <w:rsid w:val="561C6E78"/>
    <w:rsid w:val="56277D52"/>
    <w:rsid w:val="56286AA8"/>
    <w:rsid w:val="56914465"/>
    <w:rsid w:val="56991A56"/>
    <w:rsid w:val="56E654E8"/>
    <w:rsid w:val="56F70026"/>
    <w:rsid w:val="56FF0A48"/>
    <w:rsid w:val="57290971"/>
    <w:rsid w:val="57844525"/>
    <w:rsid w:val="5796443F"/>
    <w:rsid w:val="579833E3"/>
    <w:rsid w:val="57AB0F5C"/>
    <w:rsid w:val="57B04B10"/>
    <w:rsid w:val="57DA1876"/>
    <w:rsid w:val="57E16E3D"/>
    <w:rsid w:val="57F65321"/>
    <w:rsid w:val="580D0E4E"/>
    <w:rsid w:val="580E1183"/>
    <w:rsid w:val="584A7AE1"/>
    <w:rsid w:val="5863030F"/>
    <w:rsid w:val="58AE20D7"/>
    <w:rsid w:val="58C10DDD"/>
    <w:rsid w:val="58CD153B"/>
    <w:rsid w:val="58DA7055"/>
    <w:rsid w:val="591C610D"/>
    <w:rsid w:val="59232D2E"/>
    <w:rsid w:val="592F24B1"/>
    <w:rsid w:val="593A75A2"/>
    <w:rsid w:val="59430202"/>
    <w:rsid w:val="59494CBE"/>
    <w:rsid w:val="5959222C"/>
    <w:rsid w:val="595D75FD"/>
    <w:rsid w:val="596B4C7A"/>
    <w:rsid w:val="59E00B01"/>
    <w:rsid w:val="59F50AA6"/>
    <w:rsid w:val="59FF35B4"/>
    <w:rsid w:val="5A3A3634"/>
    <w:rsid w:val="5A5523A6"/>
    <w:rsid w:val="5A615BD7"/>
    <w:rsid w:val="5A6C3F68"/>
    <w:rsid w:val="5A6D3BE8"/>
    <w:rsid w:val="5A7350A7"/>
    <w:rsid w:val="5A8057CA"/>
    <w:rsid w:val="5ACE639A"/>
    <w:rsid w:val="5AEE5D6D"/>
    <w:rsid w:val="5B363D55"/>
    <w:rsid w:val="5B553EE5"/>
    <w:rsid w:val="5B5A5DEF"/>
    <w:rsid w:val="5BA3484A"/>
    <w:rsid w:val="5BC23472"/>
    <w:rsid w:val="5BC86423"/>
    <w:rsid w:val="5C016DDD"/>
    <w:rsid w:val="5C037E32"/>
    <w:rsid w:val="5C0E61E4"/>
    <w:rsid w:val="5C2A0D12"/>
    <w:rsid w:val="5C376ECF"/>
    <w:rsid w:val="5CBF2385"/>
    <w:rsid w:val="5CE32B76"/>
    <w:rsid w:val="5D33780A"/>
    <w:rsid w:val="5D6A09BA"/>
    <w:rsid w:val="5DE22724"/>
    <w:rsid w:val="5DE74876"/>
    <w:rsid w:val="5E1D27FE"/>
    <w:rsid w:val="5E325597"/>
    <w:rsid w:val="5E681AC0"/>
    <w:rsid w:val="5E9C725D"/>
    <w:rsid w:val="5EAA151C"/>
    <w:rsid w:val="5ECF1535"/>
    <w:rsid w:val="5ED33684"/>
    <w:rsid w:val="5EEE08B1"/>
    <w:rsid w:val="5F1E3A1C"/>
    <w:rsid w:val="5FCC162E"/>
    <w:rsid w:val="5FCE2009"/>
    <w:rsid w:val="5FE730C9"/>
    <w:rsid w:val="5FEA1B4B"/>
    <w:rsid w:val="6015704D"/>
    <w:rsid w:val="60400817"/>
    <w:rsid w:val="604646FE"/>
    <w:rsid w:val="60561746"/>
    <w:rsid w:val="60876C1B"/>
    <w:rsid w:val="60A64071"/>
    <w:rsid w:val="60FB52EB"/>
    <w:rsid w:val="610A0F8A"/>
    <w:rsid w:val="610C727A"/>
    <w:rsid w:val="611C4919"/>
    <w:rsid w:val="61A13570"/>
    <w:rsid w:val="61AF3B12"/>
    <w:rsid w:val="61BE7399"/>
    <w:rsid w:val="61EC4D24"/>
    <w:rsid w:val="61FF60A8"/>
    <w:rsid w:val="621409C5"/>
    <w:rsid w:val="62182F61"/>
    <w:rsid w:val="622D4E72"/>
    <w:rsid w:val="626671FB"/>
    <w:rsid w:val="626D18DC"/>
    <w:rsid w:val="630B77F1"/>
    <w:rsid w:val="631A7677"/>
    <w:rsid w:val="63375B4B"/>
    <w:rsid w:val="63386701"/>
    <w:rsid w:val="63466CAB"/>
    <w:rsid w:val="634A2CF1"/>
    <w:rsid w:val="63855464"/>
    <w:rsid w:val="639939E8"/>
    <w:rsid w:val="63A26D31"/>
    <w:rsid w:val="63AC1800"/>
    <w:rsid w:val="63B14FEE"/>
    <w:rsid w:val="640D7C1D"/>
    <w:rsid w:val="644E168A"/>
    <w:rsid w:val="645A6057"/>
    <w:rsid w:val="648C4087"/>
    <w:rsid w:val="64C475D5"/>
    <w:rsid w:val="64C47FDF"/>
    <w:rsid w:val="64DB419C"/>
    <w:rsid w:val="64DB5A06"/>
    <w:rsid w:val="652F07B2"/>
    <w:rsid w:val="653F57FF"/>
    <w:rsid w:val="655F1792"/>
    <w:rsid w:val="65BA5E91"/>
    <w:rsid w:val="65C02543"/>
    <w:rsid w:val="65E63FA3"/>
    <w:rsid w:val="660E0A0B"/>
    <w:rsid w:val="662B413F"/>
    <w:rsid w:val="66477DF6"/>
    <w:rsid w:val="66496906"/>
    <w:rsid w:val="6650743F"/>
    <w:rsid w:val="66763229"/>
    <w:rsid w:val="66782EA9"/>
    <w:rsid w:val="66CC4B74"/>
    <w:rsid w:val="66D57AA7"/>
    <w:rsid w:val="67084D7C"/>
    <w:rsid w:val="673C0471"/>
    <w:rsid w:val="67764C1E"/>
    <w:rsid w:val="677860F3"/>
    <w:rsid w:val="677E6C6E"/>
    <w:rsid w:val="67C816C3"/>
    <w:rsid w:val="67D12158"/>
    <w:rsid w:val="67DA093E"/>
    <w:rsid w:val="68313563"/>
    <w:rsid w:val="68344483"/>
    <w:rsid w:val="68414DD3"/>
    <w:rsid w:val="68584CF9"/>
    <w:rsid w:val="68644FD2"/>
    <w:rsid w:val="688B4E92"/>
    <w:rsid w:val="689858E7"/>
    <w:rsid w:val="68A5317B"/>
    <w:rsid w:val="68B925C6"/>
    <w:rsid w:val="69003B40"/>
    <w:rsid w:val="690B09EA"/>
    <w:rsid w:val="690D19DE"/>
    <w:rsid w:val="69223F3F"/>
    <w:rsid w:val="69313B56"/>
    <w:rsid w:val="69490748"/>
    <w:rsid w:val="695F7FD7"/>
    <w:rsid w:val="69894DB5"/>
    <w:rsid w:val="698F343B"/>
    <w:rsid w:val="699A504F"/>
    <w:rsid w:val="69B1325F"/>
    <w:rsid w:val="69BB1EF7"/>
    <w:rsid w:val="69C0321F"/>
    <w:rsid w:val="69C96015"/>
    <w:rsid w:val="69F66072"/>
    <w:rsid w:val="6A0E396E"/>
    <w:rsid w:val="6A385045"/>
    <w:rsid w:val="6A4300E7"/>
    <w:rsid w:val="6A461C27"/>
    <w:rsid w:val="6A484C94"/>
    <w:rsid w:val="6AA01CA8"/>
    <w:rsid w:val="6AA9520C"/>
    <w:rsid w:val="6AAA4E8C"/>
    <w:rsid w:val="6AB76280"/>
    <w:rsid w:val="6AF447A6"/>
    <w:rsid w:val="6B161FBD"/>
    <w:rsid w:val="6B3602F4"/>
    <w:rsid w:val="6B4D63AF"/>
    <w:rsid w:val="6B694688"/>
    <w:rsid w:val="6B8F76D2"/>
    <w:rsid w:val="6B9F2848"/>
    <w:rsid w:val="6BF23362"/>
    <w:rsid w:val="6C1A367E"/>
    <w:rsid w:val="6C6B556E"/>
    <w:rsid w:val="6CAC256E"/>
    <w:rsid w:val="6CC058EA"/>
    <w:rsid w:val="6CFE78DF"/>
    <w:rsid w:val="6D0A6821"/>
    <w:rsid w:val="6D141456"/>
    <w:rsid w:val="6D2A34A7"/>
    <w:rsid w:val="6D485B78"/>
    <w:rsid w:val="6D970D57"/>
    <w:rsid w:val="6DDC54F7"/>
    <w:rsid w:val="6E256323"/>
    <w:rsid w:val="6E33494C"/>
    <w:rsid w:val="6E5E7164"/>
    <w:rsid w:val="6E600F6E"/>
    <w:rsid w:val="6E7564F3"/>
    <w:rsid w:val="6E7E04CD"/>
    <w:rsid w:val="6EA30C31"/>
    <w:rsid w:val="6EA50F15"/>
    <w:rsid w:val="6EBB0EBA"/>
    <w:rsid w:val="6F1E6490"/>
    <w:rsid w:val="6F554D1F"/>
    <w:rsid w:val="6F8C6707"/>
    <w:rsid w:val="6F9C2463"/>
    <w:rsid w:val="6FCB0CF7"/>
    <w:rsid w:val="6FCF7421"/>
    <w:rsid w:val="70100B1F"/>
    <w:rsid w:val="701C76B1"/>
    <w:rsid w:val="701F211E"/>
    <w:rsid w:val="70385345"/>
    <w:rsid w:val="7057415E"/>
    <w:rsid w:val="70617936"/>
    <w:rsid w:val="707F4466"/>
    <w:rsid w:val="70AE4B6D"/>
    <w:rsid w:val="70AF47ED"/>
    <w:rsid w:val="70B34FFE"/>
    <w:rsid w:val="70DD539F"/>
    <w:rsid w:val="70E57245"/>
    <w:rsid w:val="713841A3"/>
    <w:rsid w:val="714A429B"/>
    <w:rsid w:val="718911F2"/>
    <w:rsid w:val="71D310CC"/>
    <w:rsid w:val="71DB0D72"/>
    <w:rsid w:val="722A535E"/>
    <w:rsid w:val="72445F08"/>
    <w:rsid w:val="729C5702"/>
    <w:rsid w:val="72A6279E"/>
    <w:rsid w:val="72B02DAD"/>
    <w:rsid w:val="72D92B78"/>
    <w:rsid w:val="736C2226"/>
    <w:rsid w:val="737534C5"/>
    <w:rsid w:val="7387231C"/>
    <w:rsid w:val="73A66A49"/>
    <w:rsid w:val="73ED71BD"/>
    <w:rsid w:val="73F310C6"/>
    <w:rsid w:val="73FE7194"/>
    <w:rsid w:val="740149E4"/>
    <w:rsid w:val="741108C8"/>
    <w:rsid w:val="742457F5"/>
    <w:rsid w:val="743933C7"/>
    <w:rsid w:val="743D1EBB"/>
    <w:rsid w:val="7445616F"/>
    <w:rsid w:val="744E13B4"/>
    <w:rsid w:val="74C0081A"/>
    <w:rsid w:val="74ED1566"/>
    <w:rsid w:val="75385482"/>
    <w:rsid w:val="75635F18"/>
    <w:rsid w:val="75647124"/>
    <w:rsid w:val="757318D8"/>
    <w:rsid w:val="75946AEF"/>
    <w:rsid w:val="75C867DD"/>
    <w:rsid w:val="763A15B4"/>
    <w:rsid w:val="766E3282"/>
    <w:rsid w:val="76704167"/>
    <w:rsid w:val="768674AC"/>
    <w:rsid w:val="76B344CD"/>
    <w:rsid w:val="76BA4473"/>
    <w:rsid w:val="772903D0"/>
    <w:rsid w:val="77294DEB"/>
    <w:rsid w:val="77361223"/>
    <w:rsid w:val="773F591E"/>
    <w:rsid w:val="774B1168"/>
    <w:rsid w:val="774D5E81"/>
    <w:rsid w:val="77B1415D"/>
    <w:rsid w:val="77CC2C84"/>
    <w:rsid w:val="77CD0BD4"/>
    <w:rsid w:val="77D34B1E"/>
    <w:rsid w:val="781A4D19"/>
    <w:rsid w:val="784028FB"/>
    <w:rsid w:val="786D46A6"/>
    <w:rsid w:val="789E0B32"/>
    <w:rsid w:val="78D2372E"/>
    <w:rsid w:val="78DA6B3C"/>
    <w:rsid w:val="78FA7C0B"/>
    <w:rsid w:val="79183842"/>
    <w:rsid w:val="792A567C"/>
    <w:rsid w:val="79BB785C"/>
    <w:rsid w:val="7A03263B"/>
    <w:rsid w:val="7A255642"/>
    <w:rsid w:val="7A6F776C"/>
    <w:rsid w:val="7A9B3AB3"/>
    <w:rsid w:val="7AA160B3"/>
    <w:rsid w:val="7AB03A59"/>
    <w:rsid w:val="7B535EC1"/>
    <w:rsid w:val="7B5A7868"/>
    <w:rsid w:val="7BA100EA"/>
    <w:rsid w:val="7BA26928"/>
    <w:rsid w:val="7BA73324"/>
    <w:rsid w:val="7BB10DCD"/>
    <w:rsid w:val="7BD40338"/>
    <w:rsid w:val="7C097250"/>
    <w:rsid w:val="7C6C2405"/>
    <w:rsid w:val="7C7D1A17"/>
    <w:rsid w:val="7CCE5B13"/>
    <w:rsid w:val="7CE805D8"/>
    <w:rsid w:val="7D054242"/>
    <w:rsid w:val="7D2470C5"/>
    <w:rsid w:val="7D251ACA"/>
    <w:rsid w:val="7D280528"/>
    <w:rsid w:val="7D310CD8"/>
    <w:rsid w:val="7D496114"/>
    <w:rsid w:val="7D585644"/>
    <w:rsid w:val="7D975A1A"/>
    <w:rsid w:val="7DCB216A"/>
    <w:rsid w:val="7DE042E5"/>
    <w:rsid w:val="7DE50DD1"/>
    <w:rsid w:val="7E4029B0"/>
    <w:rsid w:val="7E5348AA"/>
    <w:rsid w:val="7E7B539F"/>
    <w:rsid w:val="7E8C502E"/>
    <w:rsid w:val="7EB30FAD"/>
    <w:rsid w:val="7ECD2214"/>
    <w:rsid w:val="7ECE64B2"/>
    <w:rsid w:val="7ED26D6F"/>
    <w:rsid w:val="7EDC2314"/>
    <w:rsid w:val="7F0F4DD7"/>
    <w:rsid w:val="7F2E4837"/>
    <w:rsid w:val="7F374E55"/>
    <w:rsid w:val="7F3D7069"/>
    <w:rsid w:val="7F3F1C75"/>
    <w:rsid w:val="7F4D6B06"/>
    <w:rsid w:val="7F8469D2"/>
    <w:rsid w:val="7FD02EAD"/>
    <w:rsid w:val="7FDE61CF"/>
    <w:rsid w:val="7FE912A1"/>
    <w:rsid w:val="7FF70952"/>
    <w:rsid w:val="7FFD4ADA"/>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semiHidden="0" w:uiPriority="0" w:unhideWhenUsed="0" w:qFormat="1"/>
    <w:lsdException w:name="toc 4" w:uiPriority="39"/>
    <w:lsdException w:name="toc 5" w:uiPriority="39"/>
    <w:lsdException w:name="toc 6" w:uiPriority="39"/>
    <w:lsdException w:name="toc 7" w:semiHidden="0" w:uiPriority="0" w:unhideWhenUsed="0" w:qFormat="1"/>
    <w:lsdException w:name="toc 8" w:uiPriority="39"/>
    <w:lsdException w:name="toc 9" w:uiPriority="39"/>
    <w:lsdException w:name="Normal Indent" w:semiHidden="0" w:unhideWhenUsed="0" w:qFormat="1"/>
    <w:lsdException w:name="footnote text"/>
    <w:lsdException w:name="annotation text" w:semiHidden="0" w:unhideWhenUsed="0" w:qFormat="1"/>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semiHidden="0" w:uiPriority="0" w:unhideWhenUsed="0" w:qFormat="1"/>
    <w:lsdException w:name="Body Text First Indent 2"/>
    <w:lsdException w:name="Note Heading"/>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lsdException w:name="Hyperlink" w:semiHidden="0" w:uiPriority="0" w:unhideWhenUsed="0" w:qFormat="1"/>
    <w:lsdException w:name="FollowedHyperlink" w:semiHidden="0" w:uiPriority="0" w:unhideWhenUsed="0" w:qFormat="1"/>
    <w:lsdException w:name="Strong" w:semiHidden="0" w:uiPriority="22" w:unhideWhenUsed="0" w:qFormat="1"/>
    <w:lsdException w:name="Emphasis" w:semiHidden="0" w:uiPriority="0" w:unhideWhenUsed="0" w:qFormat="1"/>
    <w:lsdException w:name="Document Map" w:semiHidden="0" w:uiPriority="0" w:unhideWhenUsed="0" w:qFormat="1"/>
    <w:lsdException w:name="Plain Text" w:semiHidden="0" w:uiPriority="0" w:unhideWhenUsed="0" w:qFormat="1"/>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semiHidden="0" w:uiPriority="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qFormat/>
    <w:pPr>
      <w:widowControl w:val="0"/>
      <w:adjustRightInd w:val="0"/>
      <w:spacing w:line="312" w:lineRule="atLeast"/>
      <w:jc w:val="both"/>
      <w:textAlignment w:val="baseline"/>
    </w:pPr>
    <w:rPr>
      <w:rFonts w:ascii="Times New Roman" w:eastAsia="宋体" w:hAnsi="Times New Roman" w:cs="Times New Roman"/>
      <w:sz w:val="21"/>
      <w:lang w:val="en-US" w:eastAsia="zh-CN" w:bidi="ar-SA"/>
    </w:rPr>
  </w:style>
  <w:style w:type="paragraph" w:styleId="Heading1">
    <w:name w:val="heading 1"/>
    <w:basedOn w:val="Normal"/>
    <w:next w:val="Normal"/>
    <w:link w:val="19"/>
    <w:qFormat/>
    <w:pPr>
      <w:keepNext/>
      <w:keepLines/>
      <w:spacing w:before="120" w:after="120" w:line="360" w:lineRule="auto"/>
      <w:outlineLvl w:val="0"/>
    </w:pPr>
    <w:rPr>
      <w:rFonts w:ascii="黑体" w:eastAsia="黑体" w:hAnsi="Arial"/>
      <w:b/>
      <w:sz w:val="24"/>
    </w:rPr>
  </w:style>
  <w:style w:type="paragraph" w:styleId="Heading2">
    <w:name w:val="heading 2"/>
    <w:basedOn w:val="Normal"/>
    <w:next w:val="Normal"/>
    <w:qFormat/>
    <w:pPr>
      <w:keepNext/>
      <w:keepLines/>
      <w:spacing w:line="360" w:lineRule="auto"/>
      <w:outlineLvl w:val="1"/>
    </w:pPr>
    <w:rPr>
      <w:rFonts w:ascii="Arial" w:eastAsia="黑体" w:hAnsi="Arial"/>
      <w:b/>
      <w:sz w:val="24"/>
    </w:rPr>
  </w:style>
  <w:style w:type="paragraph" w:styleId="Heading3">
    <w:name w:val="heading 3"/>
    <w:basedOn w:val="Normal"/>
    <w:next w:val="NormalIndent"/>
    <w:qFormat/>
    <w:pPr>
      <w:keepNext/>
      <w:autoSpaceDE w:val="0"/>
      <w:autoSpaceDN w:val="0"/>
      <w:snapToGrid w:val="0"/>
      <w:spacing w:before="120" w:after="120" w:line="360" w:lineRule="auto"/>
      <w:jc w:val="left"/>
      <w:outlineLvl w:val="2"/>
    </w:pPr>
    <w:rPr>
      <w:rFonts w:ascii="宋体"/>
      <w:snapToGrid w:val="0"/>
      <w:spacing w:val="4"/>
      <w:sz w:val="24"/>
    </w:rPr>
  </w:style>
  <w:style w:type="paragraph" w:styleId="Heading4">
    <w:name w:val="heading 4"/>
    <w:basedOn w:val="Normal"/>
    <w:next w:val="Normal"/>
    <w:qFormat/>
    <w:pPr>
      <w:keepNext/>
      <w:adjustRightInd/>
      <w:spacing w:line="240" w:lineRule="auto"/>
      <w:jc w:val="center"/>
      <w:textAlignment w:val="auto"/>
      <w:outlineLvl w:val="3"/>
    </w:pPr>
    <w:rPr>
      <w:rFonts w:ascii="仿宋_GB2312" w:eastAsia="仿宋_GB2312" w:hAnsi="宋体"/>
      <w:b/>
      <w:w w:val="90"/>
      <w:kern w:val="2"/>
      <w:sz w:val="24"/>
    </w:rPr>
  </w:style>
  <w:style w:type="paragraph" w:styleId="Heading5">
    <w:name w:val="heading 5"/>
    <w:basedOn w:val="Normal"/>
    <w:next w:val="Normal"/>
    <w:qFormat/>
    <w:pPr>
      <w:keepNext/>
      <w:keepLines/>
      <w:spacing w:before="280" w:after="290" w:line="376" w:lineRule="atLeast"/>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Default">
    <w:name w:val="Default"/>
    <w:uiPriority w:val="99"/>
    <w:unhideWhenUsed/>
    <w:qFormat/>
    <w:pPr>
      <w:widowControl w:val="0"/>
      <w:autoSpaceDE w:val="0"/>
      <w:autoSpaceDN w:val="0"/>
      <w:adjustRightInd w:val="0"/>
    </w:pPr>
    <w:rPr>
      <w:rFonts w:ascii="黑体" w:eastAsia="黑体" w:hAnsi="黑体" w:cs="Times New Roman" w:hint="eastAsia"/>
      <w:color w:val="000000"/>
      <w:sz w:val="24"/>
      <w:szCs w:val="22"/>
      <w:lang w:val="en-US" w:eastAsia="zh-CN" w:bidi="ar-SA"/>
    </w:rPr>
  </w:style>
  <w:style w:type="paragraph" w:styleId="NormalIndent">
    <w:name w:val="Normal Indent"/>
    <w:basedOn w:val="Normal"/>
    <w:link w:val="a"/>
    <w:uiPriority w:val="99"/>
    <w:qFormat/>
    <w:pPr>
      <w:ind w:firstLine="420" w:firstLineChars="200"/>
    </w:pPr>
  </w:style>
  <w:style w:type="paragraph" w:styleId="TOC7">
    <w:name w:val="toc 7"/>
    <w:basedOn w:val="Normal"/>
    <w:next w:val="Normal"/>
    <w:qFormat/>
    <w:pPr>
      <w:spacing w:line="360" w:lineRule="auto"/>
      <w:ind w:left="2520" w:leftChars="1200"/>
    </w:pPr>
    <w:rPr>
      <w:rFonts w:ascii="仿宋_GB2312" w:eastAsia="仿宋_GB2312"/>
      <w:sz w:val="24"/>
      <w:szCs w:val="24"/>
    </w:rPr>
  </w:style>
  <w:style w:type="paragraph" w:styleId="DocumentMap">
    <w:name w:val="Document Map"/>
    <w:basedOn w:val="Normal"/>
    <w:qFormat/>
    <w:pPr>
      <w:shd w:val="clear" w:color="auto" w:fill="000080"/>
    </w:pPr>
  </w:style>
  <w:style w:type="paragraph" w:styleId="CommentText">
    <w:name w:val="annotation text"/>
    <w:basedOn w:val="Normal"/>
    <w:link w:val="a39"/>
    <w:uiPriority w:val="99"/>
    <w:qFormat/>
    <w:pPr>
      <w:jc w:val="left"/>
    </w:pPr>
  </w:style>
  <w:style w:type="paragraph" w:styleId="BodyText3">
    <w:name w:val="Body Text 3"/>
    <w:basedOn w:val="Normal"/>
    <w:qFormat/>
    <w:pPr>
      <w:adjustRightInd/>
      <w:spacing w:before="120" w:line="360" w:lineRule="auto"/>
      <w:textAlignment w:val="auto"/>
    </w:pPr>
    <w:rPr>
      <w:b/>
      <w:kern w:val="10"/>
      <w:sz w:val="24"/>
    </w:rPr>
  </w:style>
  <w:style w:type="paragraph" w:styleId="BodyText">
    <w:name w:val="Body Text"/>
    <w:basedOn w:val="Normal"/>
    <w:link w:val="a37"/>
    <w:qFormat/>
    <w:pPr>
      <w:spacing w:after="120"/>
    </w:pPr>
  </w:style>
  <w:style w:type="paragraph" w:styleId="BodyTextIndent">
    <w:name w:val="Body Text Indent"/>
    <w:basedOn w:val="Normal"/>
    <w:qFormat/>
    <w:pPr>
      <w:spacing w:line="360" w:lineRule="auto"/>
      <w:ind w:firstLine="480" w:firstLineChars="200"/>
    </w:pPr>
    <w:rPr>
      <w:rFonts w:ascii="宋体"/>
      <w:sz w:val="24"/>
    </w:rPr>
  </w:style>
  <w:style w:type="paragraph" w:styleId="TOC3">
    <w:name w:val="toc 3"/>
    <w:basedOn w:val="Normal"/>
    <w:next w:val="Normal"/>
    <w:qFormat/>
    <w:pPr>
      <w:snapToGrid w:val="0"/>
      <w:spacing w:line="360" w:lineRule="auto"/>
      <w:ind w:left="480" w:firstLine="200" w:firstLineChars="200"/>
      <w:jc w:val="left"/>
    </w:pPr>
    <w:rPr>
      <w:i/>
      <w:snapToGrid w:val="0"/>
      <w:spacing w:val="4"/>
      <w:sz w:val="24"/>
    </w:rPr>
  </w:style>
  <w:style w:type="paragraph" w:styleId="PlainText">
    <w:name w:val="Plain Text"/>
    <w:basedOn w:val="Normal"/>
    <w:link w:val="a1"/>
    <w:qFormat/>
    <w:pPr>
      <w:adjustRightInd/>
      <w:spacing w:line="240" w:lineRule="auto"/>
      <w:textAlignment w:val="auto"/>
    </w:pPr>
    <w:rPr>
      <w:rFonts w:ascii="宋体" w:hAnsi="Courier New"/>
      <w:kern w:val="2"/>
    </w:rPr>
  </w:style>
  <w:style w:type="paragraph" w:styleId="Date">
    <w:name w:val="Date"/>
    <w:basedOn w:val="Normal"/>
    <w:next w:val="Normal"/>
    <w:qFormat/>
    <w:pPr>
      <w:adjustRightInd/>
      <w:spacing w:line="240" w:lineRule="auto"/>
      <w:textAlignment w:val="auto"/>
    </w:pPr>
    <w:rPr>
      <w:rFonts w:ascii="仿宋_GB2312" w:eastAsia="仿宋_GB2312"/>
      <w:kern w:val="2"/>
      <w:sz w:val="28"/>
    </w:rPr>
  </w:style>
  <w:style w:type="paragraph" w:styleId="BodyTextIndent2">
    <w:name w:val="Body Text Indent 2"/>
    <w:basedOn w:val="Normal"/>
    <w:qFormat/>
    <w:pPr>
      <w:adjustRightInd/>
      <w:spacing w:line="500" w:lineRule="exact"/>
      <w:ind w:firstLine="556"/>
      <w:textAlignment w:val="auto"/>
    </w:pPr>
    <w:rPr>
      <w:rFonts w:ascii="仿宋_GB2312" w:eastAsia="仿宋_GB2312"/>
      <w:kern w:val="2"/>
      <w:sz w:val="28"/>
    </w:rPr>
  </w:style>
  <w:style w:type="paragraph" w:styleId="BalloonText">
    <w:name w:val="Balloon Text"/>
    <w:basedOn w:val="Normal"/>
    <w:qFormat/>
    <w:rPr>
      <w:sz w:val="18"/>
    </w:rPr>
  </w:style>
  <w:style w:type="paragraph" w:styleId="Footer">
    <w:name w:val="footer"/>
    <w:basedOn w:val="Normal"/>
    <w:link w:val="a36"/>
    <w:qFormat/>
    <w:pPr>
      <w:tabs>
        <w:tab w:val="center" w:pos="4153"/>
        <w:tab w:val="right" w:pos="8306"/>
      </w:tabs>
      <w:snapToGrid w:val="0"/>
      <w:spacing w:line="240" w:lineRule="atLeast"/>
      <w:jc w:val="left"/>
    </w:pPr>
    <w:rPr>
      <w:sz w:val="18"/>
    </w:rPr>
  </w:style>
  <w:style w:type="paragraph" w:styleId="Header">
    <w:name w:val="header"/>
    <w:basedOn w:val="Normal"/>
    <w:link w:val="a38"/>
    <w:qFormat/>
    <w:pPr>
      <w:pBdr>
        <w:bottom w:val="single" w:sz="6" w:space="1" w:color="auto"/>
      </w:pBdr>
      <w:tabs>
        <w:tab w:val="center" w:pos="4153"/>
        <w:tab w:val="right" w:pos="8306"/>
      </w:tabs>
      <w:snapToGrid w:val="0"/>
      <w:spacing w:line="240" w:lineRule="atLeast"/>
      <w:jc w:val="center"/>
    </w:pPr>
    <w:rPr>
      <w:sz w:val="18"/>
    </w:rPr>
  </w:style>
  <w:style w:type="paragraph" w:styleId="BodyTextIndent3">
    <w:name w:val="Body Text Indent 3"/>
    <w:basedOn w:val="Normal"/>
    <w:qFormat/>
    <w:pPr>
      <w:adjustRightInd/>
      <w:spacing w:line="360" w:lineRule="auto"/>
      <w:ind w:firstLine="560" w:firstLineChars="200"/>
      <w:textAlignment w:val="auto"/>
    </w:pPr>
    <w:rPr>
      <w:rFonts w:ascii="仿宋_GB2312" w:eastAsia="仿宋_GB2312" w:hAnsi="宋体"/>
      <w:color w:val="000000"/>
      <w:kern w:val="2"/>
      <w:sz w:val="28"/>
    </w:rPr>
  </w:style>
  <w:style w:type="paragraph" w:styleId="BodyText2">
    <w:name w:val="Body Text 2"/>
    <w:basedOn w:val="Normal"/>
    <w:qFormat/>
    <w:rPr>
      <w:rFonts w:eastAsia="仿宋_GB2312"/>
      <w:sz w:val="28"/>
    </w:rPr>
  </w:style>
  <w:style w:type="paragraph" w:styleId="NormalWeb">
    <w:name w:val="Normal (Web)"/>
    <w:basedOn w:val="Normal"/>
    <w:uiPriority w:val="99"/>
    <w:qFormat/>
    <w:pPr>
      <w:widowControl/>
      <w:adjustRightInd/>
      <w:spacing w:before="100" w:beforeAutospacing="1" w:after="100" w:afterAutospacing="1" w:line="240" w:lineRule="auto"/>
      <w:jc w:val="left"/>
      <w:textAlignment w:val="auto"/>
    </w:pPr>
    <w:rPr>
      <w:rFonts w:ascii="宋体" w:hAnsi="宋体"/>
      <w:sz w:val="24"/>
    </w:rPr>
  </w:style>
  <w:style w:type="paragraph" w:styleId="Index1">
    <w:name w:val="index 1"/>
    <w:basedOn w:val="Normal"/>
    <w:next w:val="Normal"/>
    <w:qFormat/>
    <w:pPr>
      <w:spacing w:line="240" w:lineRule="auto"/>
      <w:jc w:val="center"/>
    </w:pPr>
    <w:rPr>
      <w:rFonts w:ascii="仿宋_GB2312" w:eastAsia="仿宋_GB2312" w:hAnsi="宋体"/>
      <w:color w:val="000000"/>
      <w:sz w:val="24"/>
    </w:rPr>
  </w:style>
  <w:style w:type="paragraph" w:styleId="Title">
    <w:name w:val="Title"/>
    <w:basedOn w:val="Normal"/>
    <w:next w:val="Normal"/>
    <w:link w:val="a33"/>
    <w:qFormat/>
    <w:pPr>
      <w:snapToGrid w:val="0"/>
      <w:spacing w:line="360" w:lineRule="auto"/>
      <w:jc w:val="center"/>
    </w:pPr>
    <w:rPr>
      <w:b/>
      <w:bCs/>
      <w:sz w:val="24"/>
      <w:szCs w:val="32"/>
    </w:rPr>
  </w:style>
  <w:style w:type="paragraph" w:styleId="CommentSubject">
    <w:name w:val="annotation subject"/>
    <w:basedOn w:val="CommentText"/>
    <w:next w:val="CommentText"/>
    <w:qFormat/>
    <w:rPr>
      <w:b/>
    </w:rPr>
  </w:style>
  <w:style w:type="paragraph" w:styleId="BodyTextFirstIndent">
    <w:name w:val="Body Text First Indent"/>
    <w:basedOn w:val="BodyText"/>
    <w:qFormat/>
    <w:pPr>
      <w:ind w:firstLine="420" w:firstLineChars="1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nhideWhenUsed/>
    <w:qFormat/>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qFormat/>
    <w:rPr>
      <w:color w:val="CC0033"/>
    </w:rPr>
  </w:style>
  <w:style w:type="character" w:styleId="Hyperlink">
    <w:name w:val="Hyperlink"/>
    <w:qFormat/>
    <w:rPr>
      <w:color w:val="000000"/>
      <w:u w:val="single"/>
    </w:rPr>
  </w:style>
  <w:style w:type="character" w:styleId="CommentReference">
    <w:name w:val="annotation reference"/>
    <w:basedOn w:val="DefaultParagraphFont"/>
    <w:qFormat/>
    <w:rPr>
      <w:sz w:val="21"/>
    </w:rPr>
  </w:style>
  <w:style w:type="paragraph" w:customStyle="1" w:styleId="Default1">
    <w:name w:val="Default1"/>
    <w:qFormat/>
    <w:pPr>
      <w:widowControl w:val="0"/>
      <w:autoSpaceDE w:val="0"/>
      <w:autoSpaceDN w:val="0"/>
      <w:adjustRightInd w:val="0"/>
    </w:pPr>
    <w:rPr>
      <w:rFonts w:ascii="宋体" w:eastAsia="宋体" w:hAnsi="Times New Roman" w:cs="宋体"/>
      <w:color w:val="000000"/>
      <w:sz w:val="24"/>
      <w:szCs w:val="24"/>
      <w:lang w:val="en-US" w:eastAsia="zh-CN" w:bidi="ar-SA"/>
    </w:rPr>
  </w:style>
  <w:style w:type="character" w:customStyle="1" w:styleId="1">
    <w:name w:val="页码1"/>
    <w:qFormat/>
    <w:rPr>
      <w:rFonts w:eastAsia="黑体"/>
      <w:sz w:val="24"/>
    </w:rPr>
  </w:style>
  <w:style w:type="character" w:customStyle="1" w:styleId="apple-converted-space">
    <w:name w:val="apple-converted-space"/>
    <w:basedOn w:val="DefaultParagraphFont"/>
    <w:qFormat/>
  </w:style>
  <w:style w:type="character" w:customStyle="1" w:styleId="a">
    <w:name w:val="正文缩进 字符"/>
    <w:link w:val="NormalIndent"/>
    <w:qFormat/>
    <w:rPr>
      <w:sz w:val="21"/>
    </w:rPr>
  </w:style>
  <w:style w:type="character" w:customStyle="1" w:styleId="CharCharChar">
    <w:name w:val="表格正文 Char Char Char"/>
    <w:qFormat/>
    <w:rPr>
      <w:rFonts w:ascii="宋体" w:eastAsia="宋体"/>
      <w:snapToGrid w:val="0"/>
      <w:spacing w:val="4"/>
      <w:w w:val="90"/>
      <w:kern w:val="18"/>
      <w:sz w:val="24"/>
      <w:lang w:val="en-US" w:eastAsia="zh-CN"/>
    </w:rPr>
  </w:style>
  <w:style w:type="character" w:customStyle="1" w:styleId="ttag">
    <w:name w:val="t_tag"/>
    <w:basedOn w:val="DefaultParagraphFont"/>
    <w:qFormat/>
  </w:style>
  <w:style w:type="character" w:customStyle="1" w:styleId="Char1">
    <w:name w:val="表格正文 Char1"/>
    <w:link w:val="a0"/>
    <w:qFormat/>
    <w:rPr>
      <w:rFonts w:ascii="宋体"/>
      <w:snapToGrid w:val="0"/>
      <w:spacing w:val="4"/>
      <w:w w:val="90"/>
      <w:sz w:val="24"/>
    </w:rPr>
  </w:style>
  <w:style w:type="paragraph" w:customStyle="1" w:styleId="a0">
    <w:name w:val="表格正文"/>
    <w:basedOn w:val="Normal"/>
    <w:next w:val="Normal"/>
    <w:link w:val="Char1"/>
    <w:qFormat/>
    <w:pPr>
      <w:snapToGrid w:val="0"/>
      <w:spacing w:line="240" w:lineRule="auto"/>
      <w:jc w:val="center"/>
    </w:pPr>
    <w:rPr>
      <w:rFonts w:ascii="宋体"/>
      <w:snapToGrid w:val="0"/>
      <w:spacing w:val="4"/>
      <w:w w:val="90"/>
      <w:sz w:val="24"/>
    </w:rPr>
  </w:style>
  <w:style w:type="character" w:customStyle="1" w:styleId="a1">
    <w:name w:val="纯文本 字符"/>
    <w:link w:val="PlainText"/>
    <w:qFormat/>
    <w:rPr>
      <w:rFonts w:ascii="宋体" w:hAnsi="Courier New"/>
      <w:kern w:val="2"/>
      <w:sz w:val="21"/>
    </w:rPr>
  </w:style>
  <w:style w:type="character" w:customStyle="1" w:styleId="WW-">
    <w:name w:val="WW-编号"/>
    <w:qFormat/>
  </w:style>
  <w:style w:type="character" w:customStyle="1" w:styleId="Char">
    <w:name w:val="Char"/>
    <w:qFormat/>
    <w:rPr>
      <w:rFonts w:ascii="宋体" w:hAnsi="Courier New"/>
      <w:kern w:val="2"/>
      <w:sz w:val="21"/>
    </w:rPr>
  </w:style>
  <w:style w:type="character" w:customStyle="1" w:styleId="CharChar">
    <w:name w:val="表格居中 Char Char"/>
    <w:link w:val="Char0"/>
    <w:qFormat/>
    <w:rPr>
      <w:rFonts w:ascii="宋体" w:hAnsi="宋体"/>
      <w:w w:val="90"/>
      <w:sz w:val="24"/>
      <w:szCs w:val="24"/>
    </w:rPr>
  </w:style>
  <w:style w:type="paragraph" w:customStyle="1" w:styleId="Char0">
    <w:name w:val="表格居中 Char"/>
    <w:basedOn w:val="Normal"/>
    <w:link w:val="CharChar"/>
    <w:qFormat/>
    <w:pPr>
      <w:adjustRightInd/>
      <w:spacing w:line="240" w:lineRule="auto"/>
      <w:jc w:val="center"/>
      <w:textAlignment w:val="auto"/>
    </w:pPr>
    <w:rPr>
      <w:rFonts w:ascii="宋体" w:hAnsi="宋体"/>
      <w:w w:val="90"/>
      <w:sz w:val="24"/>
      <w:szCs w:val="24"/>
    </w:rPr>
  </w:style>
  <w:style w:type="character" w:customStyle="1" w:styleId="Char2">
    <w:name w:val="页脚 Char"/>
    <w:qFormat/>
    <w:rPr>
      <w:rFonts w:eastAsia="宋体"/>
      <w:sz w:val="18"/>
      <w:lang w:val="en-US" w:eastAsia="zh-CN" w:bidi="ar-SA"/>
    </w:rPr>
  </w:style>
  <w:style w:type="character" w:customStyle="1" w:styleId="a2">
    <w:name w:val="样式 宋体 小四"/>
    <w:qFormat/>
    <w:rPr>
      <w:rFonts w:ascii="宋体" w:eastAsia="宋体" w:hAnsi="宋体"/>
      <w:sz w:val="24"/>
    </w:rPr>
  </w:style>
  <w:style w:type="character" w:customStyle="1" w:styleId="CharCharChar0">
    <w:name w:val="Char Char Char"/>
    <w:qFormat/>
    <w:rPr>
      <w:rFonts w:ascii="宋体" w:eastAsia="宋体" w:hAnsi="Arial"/>
      <w:b/>
      <w:bCs/>
      <w:spacing w:val="4"/>
      <w:kern w:val="18"/>
      <w:sz w:val="24"/>
      <w:szCs w:val="24"/>
      <w:lang w:val="en-US" w:eastAsia="zh-CN" w:bidi="ar-SA"/>
    </w:rPr>
  </w:style>
  <w:style w:type="character" w:customStyle="1" w:styleId="hh1">
    <w:name w:val="hh1"/>
    <w:qFormat/>
    <w:rPr>
      <w:u w:val="none"/>
    </w:rPr>
  </w:style>
  <w:style w:type="character" w:customStyle="1" w:styleId="Char3">
    <w:name w:val="正文文本 Char"/>
    <w:qFormat/>
    <w:rPr>
      <w:sz w:val="21"/>
    </w:rPr>
  </w:style>
  <w:style w:type="character" w:customStyle="1" w:styleId="Char10">
    <w:name w:val="表头 Char1"/>
    <w:link w:val="a3"/>
    <w:qFormat/>
    <w:rPr>
      <w:rFonts w:ascii="宋体" w:hAnsi="宋体"/>
      <w:snapToGrid w:val="0"/>
      <w:spacing w:val="6"/>
      <w:kern w:val="10"/>
      <w:sz w:val="24"/>
    </w:rPr>
  </w:style>
  <w:style w:type="paragraph" w:customStyle="1" w:styleId="a3">
    <w:name w:val="表头"/>
    <w:basedOn w:val="Normal"/>
    <w:link w:val="Char10"/>
    <w:qFormat/>
    <w:pPr>
      <w:snapToGrid w:val="0"/>
      <w:spacing w:line="360" w:lineRule="auto"/>
      <w:jc w:val="center"/>
    </w:pPr>
    <w:rPr>
      <w:rFonts w:ascii="宋体" w:hAnsi="宋体"/>
      <w:snapToGrid w:val="0"/>
      <w:spacing w:val="6"/>
      <w:kern w:val="10"/>
      <w:sz w:val="24"/>
    </w:rPr>
  </w:style>
  <w:style w:type="paragraph" w:customStyle="1" w:styleId="10">
    <w:name w:val="表格1"/>
    <w:basedOn w:val="Normal"/>
    <w:qFormat/>
    <w:pPr>
      <w:snapToGrid w:val="0"/>
      <w:spacing w:line="240" w:lineRule="auto"/>
      <w:jc w:val="center"/>
    </w:pPr>
    <w:rPr>
      <w:rFonts w:ascii="宋体" w:cs="宋体"/>
      <w:spacing w:val="6"/>
      <w:kern w:val="10"/>
      <w:sz w:val="24"/>
      <w:szCs w:val="24"/>
    </w:rPr>
  </w:style>
  <w:style w:type="paragraph" w:customStyle="1" w:styleId="11">
    <w:name w:val="纯文本1"/>
    <w:basedOn w:val="Normal"/>
    <w:qFormat/>
    <w:pPr>
      <w:autoSpaceDE w:val="0"/>
      <w:autoSpaceDN w:val="0"/>
      <w:spacing w:line="240" w:lineRule="auto"/>
    </w:pPr>
    <w:rPr>
      <w:rFonts w:ascii="Courier New" w:hAnsi="Courier New"/>
      <w:kern w:val="2"/>
      <w:sz w:val="15"/>
    </w:rPr>
  </w:style>
  <w:style w:type="paragraph" w:customStyle="1" w:styleId="CharCharCharCharCharCharCharCharChar">
    <w:name w:val="Char Char Char Char Char Char Char Char Char"/>
    <w:basedOn w:val="Normal"/>
    <w:qFormat/>
    <w:pPr>
      <w:adjustRightInd/>
      <w:spacing w:line="240" w:lineRule="auto"/>
      <w:textAlignment w:val="auto"/>
    </w:pPr>
    <w:rPr>
      <w:kern w:val="2"/>
      <w:sz w:val="24"/>
    </w:rPr>
  </w:style>
  <w:style w:type="paragraph" w:customStyle="1" w:styleId="reader-word-layer">
    <w:name w:val="reader-word-layer"/>
    <w:basedOn w:val="Normal"/>
    <w:qFormat/>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a4">
    <w:name w:val="附录四级条标题"/>
    <w:basedOn w:val="a5"/>
    <w:next w:val="a9"/>
    <w:qFormat/>
    <w:pPr>
      <w:outlineLvl w:val="5"/>
    </w:pPr>
  </w:style>
  <w:style w:type="paragraph" w:customStyle="1" w:styleId="a5">
    <w:name w:val="附录三级条标题"/>
    <w:basedOn w:val="a6"/>
    <w:next w:val="a9"/>
    <w:qFormat/>
    <w:pPr>
      <w:outlineLvl w:val="4"/>
    </w:pPr>
  </w:style>
  <w:style w:type="paragraph" w:customStyle="1" w:styleId="a6">
    <w:name w:val="附录二级条标题"/>
    <w:basedOn w:val="a7"/>
    <w:next w:val="a9"/>
    <w:qFormat/>
    <w:pPr>
      <w:outlineLvl w:val="3"/>
    </w:pPr>
  </w:style>
  <w:style w:type="paragraph" w:customStyle="1" w:styleId="a7">
    <w:name w:val="附录一级条标题"/>
    <w:basedOn w:val="a8"/>
    <w:next w:val="a9"/>
    <w:qFormat/>
    <w:pPr>
      <w:autoSpaceDN w:val="0"/>
      <w:outlineLvl w:val="2"/>
    </w:pPr>
  </w:style>
  <w:style w:type="paragraph" w:customStyle="1" w:styleId="a8">
    <w:name w:val="附录章标题"/>
    <w:next w:val="a9"/>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lang w:val="en-US" w:eastAsia="zh-CN" w:bidi="ar-SA"/>
    </w:rPr>
  </w:style>
  <w:style w:type="paragraph" w:customStyle="1" w:styleId="a9">
    <w:name w:val="段"/>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a10">
    <w:name w:val="表格文字"/>
    <w:basedOn w:val="Normal"/>
    <w:link w:val="CharChar2"/>
    <w:qFormat/>
    <w:pPr>
      <w:autoSpaceDE w:val="0"/>
      <w:autoSpaceDN w:val="0"/>
      <w:spacing w:line="240" w:lineRule="auto"/>
      <w:jc w:val="center"/>
      <w:textAlignment w:val="auto"/>
    </w:pPr>
    <w:rPr>
      <w:rFonts w:ascii="宋体" w:cs="宋体"/>
      <w:color w:val="000000"/>
      <w:spacing w:val="4"/>
      <w:w w:val="90"/>
      <w:kern w:val="24"/>
      <w:sz w:val="24"/>
      <w:szCs w:val="24"/>
      <w:lang w:val="zh-CN"/>
    </w:rPr>
  </w:style>
  <w:style w:type="paragraph" w:customStyle="1" w:styleId="Char11">
    <w:name w:val="Char1"/>
    <w:basedOn w:val="Normal"/>
    <w:qFormat/>
    <w:pPr>
      <w:adjustRightInd/>
      <w:spacing w:line="240" w:lineRule="auto"/>
      <w:textAlignment w:val="auto"/>
    </w:pPr>
    <w:rPr>
      <w:kern w:val="2"/>
      <w:szCs w:val="24"/>
    </w:rPr>
  </w:style>
  <w:style w:type="paragraph" w:customStyle="1" w:styleId="-4">
    <w:name w:val="胡奔流-标题4"/>
    <w:basedOn w:val="Normal"/>
    <w:qFormat/>
    <w:pPr>
      <w:spacing w:before="240" w:after="240" w:line="360" w:lineRule="auto"/>
    </w:pPr>
    <w:rPr>
      <w:rFonts w:ascii="宋体"/>
      <w:spacing w:val="10"/>
      <w:kern w:val="21"/>
      <w:sz w:val="24"/>
    </w:rPr>
  </w:style>
  <w:style w:type="paragraph" w:customStyle="1" w:styleId="a11">
    <w:name w:val="表格"/>
    <w:next w:val="NormalIndent"/>
    <w:link w:val="Char8"/>
    <w:qFormat/>
    <w:pPr>
      <w:spacing w:line="0" w:lineRule="atLeast"/>
      <w:jc w:val="center"/>
    </w:pPr>
    <w:rPr>
      <w:rFonts w:ascii="宋体" w:eastAsia="宋体" w:hAnsi="Times New Roman" w:cs="Times New Roman"/>
      <w:sz w:val="21"/>
      <w:lang w:val="en-US" w:eastAsia="zh-CN" w:bidi="ar-SA"/>
    </w:rPr>
  </w:style>
  <w:style w:type="paragraph" w:customStyle="1" w:styleId="a12">
    <w:name w:val="表格居中"/>
    <w:basedOn w:val="Normal"/>
    <w:qFormat/>
    <w:pPr>
      <w:adjustRightInd/>
      <w:spacing w:line="240" w:lineRule="auto"/>
      <w:jc w:val="center"/>
      <w:textAlignment w:val="auto"/>
    </w:pPr>
    <w:rPr>
      <w:rFonts w:ascii="宋体" w:hAnsi="宋体"/>
      <w:snapToGrid w:val="0"/>
      <w:spacing w:val="-4"/>
      <w:w w:val="90"/>
      <w:sz w:val="24"/>
    </w:rPr>
  </w:style>
  <w:style w:type="paragraph" w:customStyle="1" w:styleId="CharCharCharChar">
    <w:name w:val="正文 Char Char Char Char"/>
    <w:basedOn w:val="Normal"/>
    <w:next w:val="Normal"/>
    <w:qFormat/>
    <w:pPr>
      <w:spacing w:line="360" w:lineRule="auto"/>
      <w:ind w:firstLine="482"/>
      <w:jc w:val="left"/>
    </w:pPr>
    <w:rPr>
      <w:rFonts w:ascii="宋体"/>
      <w:snapToGrid w:val="0"/>
      <w:kern w:val="21"/>
      <w:sz w:val="24"/>
    </w:rPr>
  </w:style>
  <w:style w:type="paragraph" w:customStyle="1" w:styleId="a13">
    <w:name w:val="小四+首行缩进"/>
    <w:basedOn w:val="Normal"/>
    <w:qFormat/>
    <w:pPr>
      <w:adjustRightInd/>
      <w:spacing w:line="360" w:lineRule="auto"/>
      <w:ind w:firstLine="482"/>
      <w:textAlignment w:val="auto"/>
    </w:pPr>
    <w:rPr>
      <w:rFonts w:ascii="宋体" w:hAnsi="宋体" w:cs="宋体"/>
      <w:kern w:val="2"/>
      <w:sz w:val="24"/>
    </w:rPr>
  </w:style>
  <w:style w:type="paragraph" w:customStyle="1" w:styleId="12">
    <w:name w:val="日期1"/>
    <w:basedOn w:val="Normal"/>
    <w:next w:val="Normal"/>
    <w:qFormat/>
    <w:rPr>
      <w:sz w:val="28"/>
    </w:rPr>
  </w:style>
  <w:style w:type="paragraph" w:customStyle="1" w:styleId="-6">
    <w:name w:val="胡奔流-标题6"/>
    <w:basedOn w:val="Normal"/>
    <w:qFormat/>
    <w:pPr>
      <w:snapToGrid w:val="0"/>
      <w:spacing w:line="360" w:lineRule="auto"/>
    </w:pPr>
    <w:rPr>
      <w:rFonts w:ascii="宋体"/>
      <w:snapToGrid w:val="0"/>
      <w:spacing w:val="10"/>
      <w:sz w:val="24"/>
    </w:rPr>
  </w:style>
  <w:style w:type="paragraph" w:customStyle="1" w:styleId="ParaChar">
    <w:name w:val="默认段落字体 Para Char"/>
    <w:basedOn w:val="Normal"/>
    <w:qFormat/>
    <w:pPr>
      <w:adjustRightInd/>
      <w:spacing w:line="240" w:lineRule="auto"/>
      <w:textAlignment w:val="auto"/>
    </w:pPr>
    <w:rPr>
      <w:rFonts w:ascii="Arial" w:hAnsi="Arial"/>
      <w:kern w:val="2"/>
    </w:rPr>
  </w:style>
  <w:style w:type="paragraph" w:customStyle="1" w:styleId="Style17">
    <w:name w:val="_Style 17"/>
    <w:basedOn w:val="Normal"/>
    <w:next w:val="PlainText"/>
    <w:qFormat/>
    <w:pPr>
      <w:adjustRightInd/>
      <w:spacing w:line="240" w:lineRule="auto"/>
      <w:textAlignment w:val="auto"/>
    </w:pPr>
    <w:rPr>
      <w:rFonts w:ascii="Courier New" w:hAnsi="Courier New"/>
      <w:kern w:val="2"/>
      <w:sz w:val="15"/>
    </w:rPr>
  </w:style>
  <w:style w:type="paragraph" w:customStyle="1" w:styleId="4">
    <w:name w:val="表格正文4"/>
    <w:basedOn w:val="Normal"/>
    <w:qFormat/>
    <w:pPr>
      <w:snapToGrid w:val="0"/>
      <w:spacing w:line="240" w:lineRule="auto"/>
    </w:pPr>
    <w:rPr>
      <w:rFonts w:ascii="宋体"/>
      <w:snapToGrid w:val="0"/>
      <w:w w:val="90"/>
      <w:sz w:val="24"/>
    </w:rPr>
  </w:style>
  <w:style w:type="paragraph" w:customStyle="1" w:styleId="21">
    <w:name w:val="正文文本 21"/>
    <w:basedOn w:val="Normal"/>
    <w:qFormat/>
    <w:pPr>
      <w:spacing w:line="240" w:lineRule="auto"/>
      <w:jc w:val="center"/>
    </w:pPr>
    <w:rPr>
      <w:kern w:val="2"/>
      <w:sz w:val="24"/>
    </w:rPr>
  </w:style>
  <w:style w:type="paragraph" w:customStyle="1" w:styleId="a14">
    <w:name w:val="正文内容"/>
    <w:basedOn w:val="Normal"/>
    <w:qFormat/>
    <w:pPr>
      <w:snapToGrid w:val="0"/>
      <w:spacing w:line="360" w:lineRule="auto"/>
      <w:ind w:firstLine="496" w:firstLineChars="200"/>
      <w:textAlignment w:val="auto"/>
    </w:pPr>
    <w:rPr>
      <w:rFonts w:ascii="宋体" w:hAnsi="宋体"/>
      <w:snapToGrid w:val="0"/>
      <w:spacing w:val="4"/>
      <w:sz w:val="24"/>
    </w:rPr>
  </w:style>
  <w:style w:type="paragraph" w:customStyle="1" w:styleId="a15">
    <w:name w:val="报告表正文"/>
    <w:basedOn w:val="Normal"/>
    <w:qFormat/>
    <w:pPr>
      <w:spacing w:line="312" w:lineRule="auto"/>
      <w:ind w:left="113" w:right="113" w:firstLine="482"/>
      <w:jc w:val="left"/>
    </w:pPr>
    <w:rPr>
      <w:sz w:val="24"/>
    </w:rPr>
  </w:style>
  <w:style w:type="paragraph" w:customStyle="1" w:styleId="AM">
    <w:name w:val="表格AM"/>
    <w:basedOn w:val="Normal"/>
    <w:qFormat/>
    <w:pPr>
      <w:tabs>
        <w:tab w:val="left" w:pos="0"/>
      </w:tabs>
      <w:snapToGrid w:val="0"/>
      <w:spacing w:line="240" w:lineRule="auto"/>
      <w:ind w:left="-113" w:right="-113"/>
      <w:jc w:val="center"/>
      <w:textAlignment w:val="auto"/>
    </w:pPr>
    <w:rPr>
      <w:rFonts w:eastAsia="仿宋_GB2312"/>
      <w:spacing w:val="4"/>
      <w:kern w:val="18"/>
      <w:sz w:val="24"/>
      <w:szCs w:val="24"/>
    </w:rPr>
  </w:style>
  <w:style w:type="paragraph" w:customStyle="1" w:styleId="a16">
    <w:name w:val="表格样式"/>
    <w:basedOn w:val="Normal"/>
    <w:qFormat/>
    <w:pPr>
      <w:snapToGrid w:val="0"/>
      <w:spacing w:line="240" w:lineRule="auto"/>
      <w:jc w:val="center"/>
    </w:pPr>
    <w:rPr>
      <w:rFonts w:ascii="宋体"/>
      <w:snapToGrid w:val="0"/>
      <w:spacing w:val="4"/>
      <w:w w:val="90"/>
      <w:sz w:val="24"/>
      <w:szCs w:val="24"/>
    </w:rPr>
  </w:style>
  <w:style w:type="paragraph" w:customStyle="1" w:styleId="a17">
    <w:name w:val="正文样式"/>
    <w:basedOn w:val="Normal"/>
    <w:qFormat/>
    <w:pPr>
      <w:spacing w:line="360" w:lineRule="auto"/>
      <w:ind w:right="170" w:firstLine="480" w:firstLineChars="200"/>
    </w:pPr>
    <w:rPr>
      <w:rFonts w:hAnsi="宋体"/>
      <w:kern w:val="2"/>
      <w:sz w:val="24"/>
      <w:szCs w:val="24"/>
    </w:rPr>
  </w:style>
  <w:style w:type="paragraph" w:customStyle="1" w:styleId="a18">
    <w:name w:val="敏敏敏环评正文"/>
    <w:basedOn w:val="Normal"/>
    <w:link w:val="Char5"/>
    <w:qFormat/>
    <w:pPr>
      <w:adjustRightInd/>
      <w:spacing w:line="360" w:lineRule="auto"/>
      <w:ind w:firstLine="200" w:firstLineChars="200"/>
    </w:pPr>
    <w:rPr>
      <w:sz w:val="24"/>
    </w:rPr>
  </w:style>
  <w:style w:type="paragraph" w:customStyle="1" w:styleId="13">
    <w:name w:val="1"/>
    <w:basedOn w:val="Normal"/>
    <w:next w:val="BodyText"/>
    <w:link w:val="1Char"/>
    <w:qFormat/>
    <w:pPr>
      <w:spacing w:after="120"/>
    </w:pPr>
    <w:rPr>
      <w:rFonts w:ascii="宋体"/>
      <w:spacing w:val="4"/>
      <w:kern w:val="21"/>
      <w:sz w:val="24"/>
    </w:rPr>
  </w:style>
  <w:style w:type="paragraph" w:customStyle="1" w:styleId="211">
    <w:name w:val="正文文本 211"/>
    <w:basedOn w:val="Normal"/>
    <w:qFormat/>
    <w:pPr>
      <w:spacing w:line="240" w:lineRule="auto"/>
      <w:jc w:val="center"/>
    </w:pPr>
    <w:rPr>
      <w:kern w:val="2"/>
      <w:sz w:val="24"/>
    </w:rPr>
  </w:style>
  <w:style w:type="paragraph" w:customStyle="1" w:styleId="2">
    <w:name w:val="正文2"/>
    <w:basedOn w:val="Normal"/>
    <w:link w:val="2CharChar"/>
    <w:qFormat/>
    <w:pPr>
      <w:spacing w:line="360" w:lineRule="auto"/>
      <w:ind w:firstLine="480" w:firstLineChars="200"/>
    </w:pPr>
    <w:rPr>
      <w:sz w:val="24"/>
    </w:rPr>
  </w:style>
  <w:style w:type="paragraph" w:customStyle="1" w:styleId="a19">
    <w:name w:val="文本正文"/>
    <w:basedOn w:val="Normal"/>
    <w:qFormat/>
    <w:pPr>
      <w:autoSpaceDE w:val="0"/>
      <w:autoSpaceDN w:val="0"/>
      <w:spacing w:line="360" w:lineRule="auto"/>
      <w:ind w:firstLine="510"/>
    </w:pPr>
    <w:rPr>
      <w:rFonts w:ascii="宋体" w:hAnsi="宋体"/>
      <w:snapToGrid w:val="0"/>
      <w:color w:val="000000"/>
      <w:spacing w:val="4"/>
      <w:kern w:val="18"/>
      <w:sz w:val="24"/>
      <w:szCs w:val="24"/>
    </w:rPr>
  </w:style>
  <w:style w:type="paragraph" w:customStyle="1" w:styleId="CharCharCharCharCharChar">
    <w:name w:val="Char Char Char Char Char Char"/>
    <w:basedOn w:val="Normal"/>
    <w:qFormat/>
    <w:pPr>
      <w:adjustRightInd/>
      <w:spacing w:line="240" w:lineRule="auto"/>
      <w:textAlignment w:val="auto"/>
    </w:pPr>
    <w:rPr>
      <w:kern w:val="2"/>
      <w:sz w:val="24"/>
      <w:szCs w:val="24"/>
    </w:rPr>
  </w:style>
  <w:style w:type="paragraph" w:customStyle="1" w:styleId="a20">
    <w:name w:val="君邦正文"/>
    <w:qFormat/>
    <w:pPr>
      <w:spacing w:line="360" w:lineRule="auto"/>
      <w:ind w:left="-4" w:firstLine="480" w:leftChars="-2" w:firstLineChars="200"/>
      <w:jc w:val="both"/>
    </w:pPr>
    <w:rPr>
      <w:rFonts w:ascii="宋体" w:eastAsia="宋体" w:hAnsi="宋体" w:cs="Times New Roman"/>
      <w:kern w:val="2"/>
      <w:sz w:val="24"/>
      <w:szCs w:val="22"/>
      <w:lang w:val="en-US" w:eastAsia="zh-CN" w:bidi="ar-SA"/>
    </w:rPr>
  </w:style>
  <w:style w:type="paragraph" w:customStyle="1" w:styleId="2GB23122">
    <w:name w:val="样式 正文2 + 仿宋_GB2312 黑色 首行缩进:  2 字符"/>
    <w:basedOn w:val="Normal"/>
    <w:qFormat/>
    <w:pPr>
      <w:spacing w:line="360" w:lineRule="auto"/>
      <w:ind w:firstLine="496" w:firstLineChars="200"/>
    </w:pPr>
    <w:rPr>
      <w:rFonts w:ascii="仿宋_GB2312" w:eastAsia="仿宋_GB2312" w:hAnsi="仿宋_GB2312"/>
      <w:color w:val="000000"/>
      <w:spacing w:val="4"/>
      <w:kern w:val="18"/>
      <w:sz w:val="28"/>
    </w:rPr>
  </w:style>
  <w:style w:type="paragraph" w:customStyle="1" w:styleId="CharChar0">
    <w:name w:val="表格内正文 Char Char"/>
    <w:basedOn w:val="Normal"/>
    <w:qFormat/>
    <w:pPr>
      <w:adjustRightInd/>
      <w:spacing w:line="360" w:lineRule="auto"/>
      <w:ind w:firstLine="493"/>
      <w:textAlignment w:val="auto"/>
    </w:pPr>
    <w:rPr>
      <w:rFonts w:ascii="宋体" w:hAnsi="宋体"/>
      <w:spacing w:val="4"/>
      <w:kern w:val="18"/>
      <w:sz w:val="24"/>
      <w:szCs w:val="24"/>
    </w:rPr>
  </w:style>
  <w:style w:type="paragraph" w:customStyle="1" w:styleId="a21">
    <w:name w:val="表格内正文"/>
    <w:basedOn w:val="Normal"/>
    <w:qFormat/>
    <w:pPr>
      <w:adjustRightInd/>
      <w:spacing w:line="360" w:lineRule="auto"/>
      <w:ind w:firstLine="493"/>
      <w:textAlignment w:val="auto"/>
    </w:pPr>
    <w:rPr>
      <w:rFonts w:ascii="宋体" w:hAnsi="宋体"/>
      <w:spacing w:val="4"/>
      <w:kern w:val="18"/>
      <w:sz w:val="24"/>
      <w:szCs w:val="24"/>
    </w:rPr>
  </w:style>
  <w:style w:type="paragraph" w:customStyle="1" w:styleId="a22">
    <w:name w:val="附录标识"/>
    <w:basedOn w:val="Normal"/>
    <w:qFormat/>
    <w:pPr>
      <w:widowControl/>
      <w:shd w:val="clear" w:color="FFFFFF" w:fill="FFFFFF"/>
      <w:tabs>
        <w:tab w:val="left" w:pos="6405"/>
      </w:tabs>
      <w:adjustRightInd/>
      <w:spacing w:before="240" w:after="200" w:line="240" w:lineRule="auto"/>
      <w:jc w:val="center"/>
      <w:textAlignment w:val="auto"/>
      <w:outlineLvl w:val="0"/>
    </w:pPr>
    <w:rPr>
      <w:rFonts w:ascii="黑体" w:eastAsia="黑体"/>
    </w:rPr>
  </w:style>
  <w:style w:type="paragraph" w:customStyle="1" w:styleId="a23">
    <w:name w:val="中文报告书样式"/>
    <w:basedOn w:val="Normal"/>
    <w:qFormat/>
    <w:pPr>
      <w:spacing w:line="480" w:lineRule="atLeast"/>
      <w:ind w:firstLine="482"/>
    </w:pPr>
    <w:rPr>
      <w:kern w:val="24"/>
      <w:sz w:val="24"/>
    </w:rPr>
  </w:style>
  <w:style w:type="paragraph" w:customStyle="1" w:styleId="CharCharCharCharCharCharCharCharCharCharCharChar">
    <w:name w:val="Char Char Char Char Char Char Char Char Char Char Char Char"/>
    <w:basedOn w:val="Normal"/>
    <w:qFormat/>
    <w:pPr>
      <w:adjustRightInd/>
      <w:spacing w:line="240" w:lineRule="auto"/>
      <w:textAlignment w:val="auto"/>
    </w:pPr>
    <w:rPr>
      <w:kern w:val="2"/>
      <w:sz w:val="24"/>
    </w:rPr>
  </w:style>
  <w:style w:type="paragraph" w:customStyle="1" w:styleId="CharCharCharCharCharCharCharCharCharCharCharCharCharCharCharChar">
    <w:name w:val="Char Char Char Char Char Char Char Char Char Char Char Char Char 字元 字元 Char Char Char"/>
    <w:basedOn w:val="Normal"/>
    <w:qFormat/>
    <w:pPr>
      <w:adjustRightInd/>
      <w:spacing w:line="240" w:lineRule="auto"/>
      <w:textAlignment w:val="auto"/>
    </w:pPr>
    <w:rPr>
      <w:kern w:val="2"/>
      <w:sz w:val="24"/>
    </w:rPr>
  </w:style>
  <w:style w:type="paragraph" w:customStyle="1" w:styleId="a24">
    <w:name w:val="附录五级条标题"/>
    <w:basedOn w:val="a4"/>
    <w:next w:val="a9"/>
    <w:qFormat/>
    <w:pPr>
      <w:outlineLvl w:val="6"/>
    </w:pPr>
  </w:style>
  <w:style w:type="paragraph" w:customStyle="1" w:styleId="14">
    <w:name w:val="样式1"/>
    <w:basedOn w:val="Normal"/>
    <w:qFormat/>
    <w:pPr>
      <w:adjustRightInd/>
      <w:spacing w:line="360" w:lineRule="auto"/>
      <w:ind w:firstLine="510"/>
      <w:textAlignment w:val="auto"/>
    </w:pPr>
    <w:rPr>
      <w:kern w:val="2"/>
      <w:sz w:val="24"/>
    </w:rPr>
  </w:style>
  <w:style w:type="paragraph" w:customStyle="1" w:styleId="15">
    <w:name w:val="修订1"/>
    <w:qFormat/>
    <w:rPr>
      <w:rFonts w:ascii="Times New Roman" w:eastAsia="宋体" w:hAnsi="Times New Roman" w:cs="Times New Roman"/>
      <w:sz w:val="21"/>
      <w:lang w:val="en-US" w:eastAsia="zh-CN" w:bidi="ar-SA"/>
    </w:rPr>
  </w:style>
  <w:style w:type="paragraph" w:customStyle="1" w:styleId="ParaCharCharCharCharCharCharChar">
    <w:name w:val="默认段落字体 Para Char Char Char Char Char Char Char"/>
    <w:basedOn w:val="Normal"/>
    <w:qFormat/>
    <w:pPr>
      <w:tabs>
        <w:tab w:val="left" w:pos="4665"/>
        <w:tab w:val="left" w:pos="8970"/>
      </w:tabs>
      <w:adjustRightInd/>
      <w:spacing w:line="240" w:lineRule="auto"/>
      <w:ind w:firstLine="400"/>
      <w:textAlignment w:val="auto"/>
    </w:pPr>
    <w:rPr>
      <w:kern w:val="2"/>
    </w:rPr>
  </w:style>
  <w:style w:type="paragraph" w:customStyle="1" w:styleId="23">
    <w:name w:val="样式 文本正文 + 首行缩进:  2 字符3"/>
    <w:basedOn w:val="Normal"/>
    <w:qFormat/>
    <w:pPr>
      <w:autoSpaceDE w:val="0"/>
      <w:autoSpaceDN w:val="0"/>
      <w:spacing w:line="360" w:lineRule="auto"/>
      <w:ind w:firstLine="496" w:firstLineChars="200"/>
    </w:pPr>
    <w:rPr>
      <w:rFonts w:ascii="宋体" w:hAnsi="宋体" w:cs="宋体"/>
      <w:snapToGrid w:val="0"/>
      <w:color w:val="000000"/>
      <w:kern w:val="21"/>
      <w:sz w:val="24"/>
      <w:szCs w:val="24"/>
    </w:rPr>
  </w:style>
  <w:style w:type="paragraph" w:customStyle="1" w:styleId="16">
    <w:name w:val="列出段落1"/>
    <w:basedOn w:val="Normal"/>
    <w:qFormat/>
    <w:pPr>
      <w:snapToGrid w:val="0"/>
      <w:jc w:val="center"/>
    </w:pPr>
    <w:rPr>
      <w:szCs w:val="22"/>
    </w:rPr>
  </w:style>
  <w:style w:type="paragraph" w:customStyle="1" w:styleId="Char4">
    <w:name w:val="表格正文 Char"/>
    <w:basedOn w:val="Normal"/>
    <w:qFormat/>
    <w:pPr>
      <w:spacing w:line="240" w:lineRule="auto"/>
      <w:jc w:val="center"/>
    </w:pPr>
    <w:rPr>
      <w:rFonts w:ascii="宋体"/>
      <w:color w:val="000000"/>
      <w:spacing w:val="4"/>
      <w:w w:val="90"/>
      <w:sz w:val="24"/>
    </w:rPr>
  </w:style>
  <w:style w:type="paragraph" w:customStyle="1" w:styleId="a25">
    <w:name w:val="字元 字元"/>
    <w:basedOn w:val="Normal"/>
    <w:qFormat/>
    <w:pPr>
      <w:adjustRightInd/>
      <w:spacing w:line="240" w:lineRule="auto"/>
      <w:textAlignment w:val="auto"/>
    </w:pPr>
    <w:rPr>
      <w:kern w:val="2"/>
      <w:sz w:val="24"/>
    </w:rPr>
  </w:style>
  <w:style w:type="paragraph" w:customStyle="1" w:styleId="CharCharCharCharCharCharCharCharCharCharCharCharChar">
    <w:name w:val="Char Char Char Char Char Char Char Char Char Char Char Char Char 字元 字元"/>
    <w:basedOn w:val="Normal"/>
    <w:qFormat/>
    <w:pPr>
      <w:adjustRightInd/>
      <w:spacing w:line="240" w:lineRule="auto"/>
      <w:textAlignment w:val="auto"/>
    </w:pPr>
    <w:rPr>
      <w:kern w:val="2"/>
      <w:sz w:val="24"/>
    </w:rPr>
  </w:style>
  <w:style w:type="paragraph" w:customStyle="1" w:styleId="HJN-ZZ">
    <w:name w:val="HJN-ZZ"/>
    <w:basedOn w:val="Normal"/>
    <w:qFormat/>
    <w:pPr>
      <w:spacing w:line="360" w:lineRule="auto"/>
      <w:ind w:firstLine="482"/>
      <w:jc w:val="left"/>
    </w:pPr>
    <w:rPr>
      <w:rFonts w:ascii="宋体" w:hAnsi="宋体"/>
      <w:kern w:val="21"/>
      <w:sz w:val="24"/>
    </w:rPr>
  </w:style>
  <w:style w:type="paragraph" w:customStyle="1" w:styleId="CharCharChar1">
    <w:name w:val="Char Char Char1"/>
    <w:basedOn w:val="Normal"/>
    <w:qFormat/>
    <w:pPr>
      <w:adjustRightInd/>
      <w:spacing w:line="240" w:lineRule="auto"/>
      <w:textAlignment w:val="auto"/>
    </w:pPr>
    <w:rPr>
      <w:kern w:val="2"/>
      <w:sz w:val="24"/>
    </w:rPr>
  </w:style>
  <w:style w:type="paragraph" w:customStyle="1" w:styleId="20">
    <w:name w:val="无间隔2"/>
    <w:basedOn w:val="Normal"/>
    <w:qFormat/>
    <w:pPr>
      <w:snapToGrid w:val="0"/>
      <w:jc w:val="left"/>
    </w:pPr>
    <w:rPr>
      <w:szCs w:val="22"/>
    </w:rPr>
  </w:style>
  <w:style w:type="paragraph" w:customStyle="1" w:styleId="TableParagraph">
    <w:name w:val="Table Paragraph"/>
    <w:basedOn w:val="Normal"/>
    <w:uiPriority w:val="1"/>
    <w:qFormat/>
  </w:style>
  <w:style w:type="paragraph" w:customStyle="1" w:styleId="40">
    <w:name w:val="标题4"/>
    <w:basedOn w:val="Normal"/>
    <w:qFormat/>
    <w:pPr>
      <w:snapToGrid w:val="0"/>
      <w:spacing w:line="360" w:lineRule="auto"/>
      <w:ind w:left="496" w:leftChars="200"/>
      <w:textAlignment w:val="auto"/>
    </w:pPr>
    <w:rPr>
      <w:rFonts w:ascii="宋体" w:hAnsi="宋体"/>
      <w:snapToGrid w:val="0"/>
      <w:spacing w:val="4"/>
      <w:sz w:val="24"/>
    </w:rPr>
  </w:style>
  <w:style w:type="paragraph" w:customStyle="1" w:styleId="CharCharCharCharCharCharCharCharCharCharCharCharCharCharCharCharCharChar">
    <w:name w:val="Char Char Char Char Char Char Char Char Char Char Char Char Char Char Char Char Char Char"/>
    <w:basedOn w:val="Normal"/>
    <w:qFormat/>
    <w:pPr>
      <w:adjustRightInd/>
      <w:spacing w:line="240" w:lineRule="auto"/>
      <w:textAlignment w:val="auto"/>
    </w:pPr>
    <w:rPr>
      <w:kern w:val="2"/>
      <w:sz w:val="24"/>
    </w:rPr>
  </w:style>
  <w:style w:type="paragraph" w:customStyle="1" w:styleId="AM0">
    <w:name w:val="正本AM"/>
    <w:basedOn w:val="Normal"/>
    <w:qFormat/>
    <w:pPr>
      <w:snapToGrid w:val="0"/>
      <w:spacing w:line="360" w:lineRule="auto"/>
      <w:ind w:firstLine="576" w:firstLineChars="200"/>
      <w:jc w:val="left"/>
      <w:textAlignment w:val="auto"/>
    </w:pPr>
    <w:rPr>
      <w:rFonts w:eastAsia="仿宋_GB2312"/>
      <w:spacing w:val="4"/>
      <w:kern w:val="18"/>
      <w:sz w:val="28"/>
      <w:szCs w:val="28"/>
    </w:rPr>
  </w:style>
  <w:style w:type="paragraph" w:customStyle="1" w:styleId="CharChar1">
    <w:name w:val="小四+首行缩进 Char Char"/>
    <w:basedOn w:val="Normal"/>
    <w:qFormat/>
    <w:pPr>
      <w:adjustRightInd/>
      <w:spacing w:line="360" w:lineRule="auto"/>
      <w:ind w:firstLine="482"/>
      <w:textAlignment w:val="auto"/>
    </w:pPr>
    <w:rPr>
      <w:rFonts w:ascii="宋体" w:hAnsi="宋体" w:cs="宋体"/>
      <w:snapToGrid w:val="0"/>
      <w:kern w:val="18"/>
      <w:sz w:val="24"/>
    </w:rPr>
  </w:style>
  <w:style w:type="paragraph" w:customStyle="1" w:styleId="a26">
    <w:name w:val="居中正文"/>
    <w:basedOn w:val="BodyTextFirstIndent"/>
    <w:qFormat/>
    <w:pPr>
      <w:spacing w:before="120" w:after="0" w:line="360" w:lineRule="auto"/>
      <w:ind w:firstLine="0" w:firstLineChars="0"/>
      <w:jc w:val="center"/>
    </w:pPr>
    <w:rPr>
      <w:rFonts w:ascii="宋体"/>
      <w:kern w:val="28"/>
      <w:sz w:val="24"/>
    </w:rPr>
  </w:style>
  <w:style w:type="character" w:customStyle="1" w:styleId="Char5">
    <w:name w:val="敏敏敏环评正文 Char"/>
    <w:link w:val="a18"/>
    <w:qFormat/>
    <w:rPr>
      <w:sz w:val="24"/>
    </w:rPr>
  </w:style>
  <w:style w:type="character" w:customStyle="1" w:styleId="font51">
    <w:name w:val="font51"/>
    <w:basedOn w:val="DefaultParagraphFont"/>
    <w:qFormat/>
    <w:rPr>
      <w:rFonts w:ascii="宋体" w:eastAsia="宋体" w:hAnsi="宋体" w:hint="eastAsia"/>
      <w:color w:val="000000"/>
      <w:sz w:val="21"/>
      <w:szCs w:val="21"/>
      <w:u w:val="none"/>
      <w:vertAlign w:val="subscript"/>
    </w:rPr>
  </w:style>
  <w:style w:type="character" w:customStyle="1" w:styleId="font31">
    <w:name w:val="font31"/>
    <w:basedOn w:val="DefaultParagraphFont"/>
    <w:qFormat/>
    <w:rPr>
      <w:rFonts w:ascii="宋体" w:eastAsia="宋体" w:hAnsi="宋体" w:hint="eastAsia"/>
      <w:color w:val="000000"/>
      <w:sz w:val="21"/>
      <w:szCs w:val="21"/>
      <w:u w:val="none"/>
    </w:rPr>
  </w:style>
  <w:style w:type="character" w:customStyle="1" w:styleId="font41">
    <w:name w:val="font41"/>
    <w:basedOn w:val="DefaultParagraphFont"/>
    <w:qFormat/>
    <w:rPr>
      <w:rFonts w:ascii="宋体" w:eastAsia="宋体" w:hAnsi="宋体" w:hint="eastAsia"/>
      <w:color w:val="000000"/>
      <w:sz w:val="21"/>
      <w:szCs w:val="21"/>
      <w:u w:val="none"/>
      <w:vertAlign w:val="superscript"/>
    </w:rPr>
  </w:style>
  <w:style w:type="character" w:customStyle="1" w:styleId="font21">
    <w:name w:val="font21"/>
    <w:basedOn w:val="DefaultParagraphFont"/>
    <w:qFormat/>
    <w:rPr>
      <w:rFonts w:ascii="宋体" w:eastAsia="宋体" w:hAnsi="宋体" w:hint="eastAsia"/>
      <w:color w:val="000000"/>
      <w:sz w:val="24"/>
      <w:szCs w:val="24"/>
      <w:u w:val="none"/>
    </w:rPr>
  </w:style>
  <w:style w:type="character" w:customStyle="1" w:styleId="font61">
    <w:name w:val="font61"/>
    <w:basedOn w:val="DefaultParagraphFont"/>
    <w:qFormat/>
    <w:rPr>
      <w:rFonts w:ascii="宋体" w:eastAsia="宋体" w:hAnsi="宋体" w:hint="eastAsia"/>
      <w:color w:val="000000"/>
      <w:sz w:val="24"/>
      <w:szCs w:val="24"/>
      <w:u w:val="none"/>
      <w:vertAlign w:val="superscript"/>
    </w:rPr>
  </w:style>
  <w:style w:type="character" w:customStyle="1" w:styleId="font01">
    <w:name w:val="font01"/>
    <w:basedOn w:val="DefaultParagraphFont"/>
    <w:qFormat/>
    <w:rPr>
      <w:rFonts w:ascii="宋体" w:eastAsia="宋体" w:hAnsi="宋体" w:hint="eastAsia"/>
      <w:color w:val="0000FF"/>
      <w:sz w:val="21"/>
      <w:szCs w:val="21"/>
      <w:u w:val="none"/>
    </w:rPr>
  </w:style>
  <w:style w:type="table" w:customStyle="1" w:styleId="TableNormal0">
    <w:name w:val="Table Normal_0"/>
    <w:uiPriority w:val="2"/>
    <w:semiHidden/>
    <w:unhideWhenUsed/>
    <w:qFormat/>
    <w:pPr>
      <w:widowControl w:val="0"/>
    </w:pPr>
    <w:rPr>
      <w:sz w:val="22"/>
      <w:szCs w:val="22"/>
      <w:lang w:eastAsia="en-US"/>
    </w:rPr>
    <w:tblPr>
      <w:tblCellMar>
        <w:top w:w="0" w:type="dxa"/>
        <w:left w:w="0" w:type="dxa"/>
        <w:bottom w:w="0" w:type="dxa"/>
        <w:right w:w="0" w:type="dxa"/>
      </w:tblCellMar>
    </w:tblPr>
  </w:style>
  <w:style w:type="character" w:customStyle="1" w:styleId="858D7CFB-ED40-4347-BF05-701D383B685F">
    <w:name w:val="表格标题[858D7CFB-ED40-4347-BF05-701D383B685F]"/>
    <w:link w:val="a27"/>
    <w:qFormat/>
    <w:rPr>
      <w:rFonts w:eastAsia="黑体"/>
    </w:rPr>
  </w:style>
  <w:style w:type="paragraph" w:customStyle="1" w:styleId="a27">
    <w:name w:val="表格标题"/>
    <w:basedOn w:val="Normal"/>
    <w:link w:val="858D7CFB-ED40-4347-BF05-701D383B685F"/>
    <w:qFormat/>
    <w:pPr>
      <w:adjustRightInd/>
      <w:spacing w:beforeLines="50" w:line="360" w:lineRule="auto"/>
      <w:jc w:val="center"/>
      <w:textAlignment w:val="auto"/>
    </w:pPr>
    <w:rPr>
      <w:rFonts w:eastAsia="黑体"/>
      <w:sz w:val="20"/>
    </w:rPr>
  </w:style>
  <w:style w:type="paragraph" w:customStyle="1" w:styleId="a28">
    <w:name w:val="六表内容"/>
    <w:basedOn w:val="Normal"/>
    <w:qFormat/>
    <w:pPr>
      <w:adjustRightInd/>
      <w:spacing w:line="340" w:lineRule="exact"/>
      <w:jc w:val="center"/>
      <w:textAlignment w:val="auto"/>
    </w:pPr>
    <w:rPr>
      <w:rFonts w:ascii="Calibri" w:hAnsi="Calibri"/>
      <w:kern w:val="2"/>
      <w:szCs w:val="21"/>
    </w:rPr>
  </w:style>
  <w:style w:type="paragraph" w:customStyle="1" w:styleId="41">
    <w:name w:val="4"/>
    <w:basedOn w:val="Normal"/>
    <w:qFormat/>
    <w:pPr>
      <w:adjustRightInd/>
      <w:spacing w:line="360" w:lineRule="auto"/>
      <w:ind w:firstLine="601"/>
      <w:textAlignment w:val="auto"/>
    </w:pPr>
    <w:rPr>
      <w:rFonts w:ascii="宋体" w:hAnsi="宋体" w:cs="黑体"/>
      <w:kern w:val="2"/>
      <w:sz w:val="28"/>
      <w:szCs w:val="24"/>
    </w:rPr>
  </w:style>
  <w:style w:type="character" w:customStyle="1" w:styleId="2Char">
    <w:name w:val="表头2 Char"/>
    <w:link w:val="22"/>
    <w:qFormat/>
    <w:rPr>
      <w:b/>
      <w:bCs/>
      <w:szCs w:val="21"/>
    </w:rPr>
  </w:style>
  <w:style w:type="paragraph" w:customStyle="1" w:styleId="22">
    <w:name w:val="表头2"/>
    <w:basedOn w:val="Normal"/>
    <w:link w:val="2Char"/>
    <w:qFormat/>
    <w:pPr>
      <w:adjustRightInd/>
      <w:spacing w:beforeLines="50" w:afterLines="50" w:line="240" w:lineRule="auto"/>
      <w:jc w:val="center"/>
      <w:textAlignment w:val="auto"/>
    </w:pPr>
    <w:rPr>
      <w:b/>
      <w:bCs/>
      <w:sz w:val="20"/>
      <w:szCs w:val="21"/>
    </w:rPr>
  </w:style>
  <w:style w:type="paragraph" w:customStyle="1" w:styleId="120">
    <w:name w:val="12"/>
    <w:basedOn w:val="Normal"/>
    <w:qFormat/>
    <w:pPr>
      <w:adjustRightInd/>
      <w:spacing w:line="360" w:lineRule="auto"/>
      <w:ind w:firstLine="482" w:firstLineChars="200"/>
      <w:textAlignment w:val="auto"/>
    </w:pPr>
    <w:rPr>
      <w:b/>
      <w:bCs/>
      <w:kern w:val="2"/>
      <w:sz w:val="24"/>
      <w:szCs w:val="24"/>
    </w:rPr>
  </w:style>
  <w:style w:type="character" w:customStyle="1" w:styleId="Char6">
    <w:name w:val="环评正文 Char"/>
    <w:link w:val="a29"/>
    <w:qFormat/>
    <w:rPr>
      <w:bCs/>
      <w:sz w:val="24"/>
      <w:szCs w:val="24"/>
    </w:rPr>
  </w:style>
  <w:style w:type="paragraph" w:customStyle="1" w:styleId="a29">
    <w:name w:val="环评正文"/>
    <w:basedOn w:val="Normal"/>
    <w:link w:val="Char6"/>
    <w:qFormat/>
    <w:pPr>
      <w:framePr w:wrap="around" w:vAnchor="text" w:hAnchor="text" w:y="1"/>
      <w:adjustRightInd/>
      <w:spacing w:line="360" w:lineRule="auto"/>
      <w:ind w:firstLine="200" w:firstLineChars="200"/>
      <w:textAlignment w:val="auto"/>
    </w:pPr>
    <w:rPr>
      <w:bCs/>
      <w:sz w:val="24"/>
      <w:szCs w:val="24"/>
    </w:rPr>
  </w:style>
  <w:style w:type="paragraph" w:customStyle="1" w:styleId="a30">
    <w:name w:val="我的正文"/>
    <w:basedOn w:val="Normal"/>
    <w:qFormat/>
    <w:pPr>
      <w:adjustRightInd/>
      <w:spacing w:line="520" w:lineRule="exact"/>
      <w:ind w:firstLine="200" w:firstLineChars="200"/>
      <w:textAlignment w:val="auto"/>
    </w:pPr>
    <w:rPr>
      <w:color w:val="000000"/>
      <w:kern w:val="2"/>
      <w:sz w:val="24"/>
    </w:rPr>
  </w:style>
  <w:style w:type="paragraph" w:customStyle="1" w:styleId="5">
    <w:name w:val="5表头"/>
    <w:basedOn w:val="Normal"/>
    <w:qFormat/>
    <w:pPr>
      <w:adjustRightInd/>
      <w:spacing w:beforeLines="50" w:line="240" w:lineRule="auto"/>
      <w:jc w:val="center"/>
      <w:textAlignment w:val="auto"/>
    </w:pPr>
    <w:rPr>
      <w:rFonts w:ascii="宋体" w:eastAsia="黑体" w:hAnsi="宋体" w:cs="宋体"/>
      <w:kern w:val="2"/>
    </w:rPr>
  </w:style>
  <w:style w:type="paragraph" w:customStyle="1" w:styleId="p0">
    <w:name w:val="p0"/>
    <w:basedOn w:val="Normal"/>
    <w:qFormat/>
    <w:pPr>
      <w:widowControl/>
      <w:adjustRightInd/>
      <w:spacing w:line="240" w:lineRule="auto"/>
      <w:textAlignment w:val="auto"/>
    </w:pPr>
    <w:rPr>
      <w:rFonts w:ascii="宋体" w:hAnsi="宋体" w:cs="宋体"/>
      <w:sz w:val="24"/>
      <w:szCs w:val="24"/>
    </w:rPr>
  </w:style>
  <w:style w:type="paragraph" w:customStyle="1" w:styleId="42">
    <w:name w:val="4正文"/>
    <w:basedOn w:val="Normal"/>
    <w:link w:val="4CharChar"/>
    <w:qFormat/>
    <w:pPr>
      <w:adjustRightInd/>
      <w:spacing w:line="240" w:lineRule="auto"/>
      <w:ind w:firstLine="480"/>
      <w:textAlignment w:val="auto"/>
    </w:pPr>
    <w:rPr>
      <w:rFonts w:cs="宋体"/>
      <w:kern w:val="2"/>
    </w:rPr>
  </w:style>
  <w:style w:type="character" w:customStyle="1" w:styleId="4CharChar">
    <w:name w:val="4正文 Char Char"/>
    <w:basedOn w:val="DefaultParagraphFont"/>
    <w:link w:val="42"/>
    <w:qFormat/>
    <w:locked/>
    <w:rPr>
      <w:rFonts w:cs="宋体"/>
      <w:kern w:val="2"/>
      <w:sz w:val="21"/>
    </w:rPr>
  </w:style>
  <w:style w:type="paragraph" w:customStyle="1" w:styleId="aa">
    <w:name w:val="aa正文"/>
    <w:basedOn w:val="Normal"/>
    <w:link w:val="aaChar"/>
    <w:qFormat/>
    <w:pPr>
      <w:snapToGrid w:val="0"/>
      <w:spacing w:line="360" w:lineRule="auto"/>
      <w:ind w:firstLine="200" w:firstLineChars="200"/>
    </w:pPr>
    <w:rPr>
      <w:sz w:val="24"/>
    </w:rPr>
  </w:style>
  <w:style w:type="character" w:customStyle="1" w:styleId="aaChar">
    <w:name w:val="aa正文 Char"/>
    <w:basedOn w:val="DefaultParagraphFont"/>
    <w:link w:val="aa"/>
    <w:qFormat/>
    <w:locked/>
    <w:rPr>
      <w:sz w:val="24"/>
    </w:rPr>
  </w:style>
  <w:style w:type="character" w:customStyle="1" w:styleId="CharChar2">
    <w:name w:val="表格文字 Char Char"/>
    <w:link w:val="a10"/>
    <w:qFormat/>
    <w:rPr>
      <w:rFonts w:ascii="宋体" w:cs="宋体"/>
      <w:color w:val="000000"/>
      <w:spacing w:val="4"/>
      <w:w w:val="90"/>
      <w:kern w:val="24"/>
      <w:sz w:val="24"/>
      <w:szCs w:val="24"/>
      <w:lang w:val="zh-CN"/>
    </w:rPr>
  </w:style>
  <w:style w:type="paragraph" w:customStyle="1" w:styleId="a31">
    <w:name w:val="环评正文文字"/>
    <w:basedOn w:val="Normal"/>
    <w:link w:val="Char7"/>
    <w:qFormat/>
    <w:pPr>
      <w:adjustRightInd/>
      <w:spacing w:line="360" w:lineRule="auto"/>
      <w:ind w:firstLine="480" w:firstLineChars="200"/>
      <w:textAlignment w:val="auto"/>
    </w:pPr>
    <w:rPr>
      <w:sz w:val="24"/>
      <w:lang w:val="zh-CN"/>
    </w:rPr>
  </w:style>
  <w:style w:type="character" w:customStyle="1" w:styleId="Char7">
    <w:name w:val="环评正文文字 Char"/>
    <w:link w:val="a31"/>
    <w:qFormat/>
    <w:rPr>
      <w:sz w:val="24"/>
      <w:lang w:val="zh-CN"/>
    </w:rPr>
  </w:style>
  <w:style w:type="paragraph" w:customStyle="1" w:styleId="a32">
    <w:name w:val="报告书表格"/>
    <w:basedOn w:val="Normal"/>
    <w:qFormat/>
    <w:pPr>
      <w:spacing w:before="60" w:after="60" w:line="240" w:lineRule="atLeast"/>
      <w:jc w:val="center"/>
      <w:textAlignment w:val="auto"/>
    </w:pPr>
  </w:style>
  <w:style w:type="character" w:customStyle="1" w:styleId="2CharChar">
    <w:name w:val="正文2 Char Char"/>
    <w:link w:val="2"/>
    <w:qFormat/>
    <w:rPr>
      <w:sz w:val="24"/>
    </w:rPr>
  </w:style>
  <w:style w:type="paragraph" w:customStyle="1" w:styleId="D1">
    <w:name w:val="D表内1磅"/>
    <w:basedOn w:val="Normal"/>
    <w:qFormat/>
    <w:pPr>
      <w:adjustRightInd/>
      <w:spacing w:before="20" w:after="20" w:line="240" w:lineRule="auto"/>
      <w:jc w:val="center"/>
      <w:textAlignment w:val="auto"/>
    </w:pPr>
    <w:rPr>
      <w:kern w:val="2"/>
      <w:szCs w:val="21"/>
    </w:rPr>
  </w:style>
  <w:style w:type="character" w:customStyle="1" w:styleId="DChar">
    <w:name w:val="D正文 Char"/>
    <w:link w:val="D"/>
    <w:qFormat/>
    <w:locked/>
    <w:rPr>
      <w:sz w:val="24"/>
    </w:rPr>
  </w:style>
  <w:style w:type="paragraph" w:customStyle="1" w:styleId="D">
    <w:name w:val="D正文"/>
    <w:basedOn w:val="Normal"/>
    <w:link w:val="DChar"/>
    <w:qFormat/>
    <w:pPr>
      <w:adjustRightInd/>
      <w:spacing w:line="324" w:lineRule="auto"/>
      <w:ind w:firstLine="200" w:firstLineChars="200"/>
      <w:textAlignment w:val="auto"/>
    </w:pPr>
    <w:rPr>
      <w:sz w:val="24"/>
    </w:rPr>
  </w:style>
  <w:style w:type="character" w:customStyle="1" w:styleId="1CharChar">
    <w:name w:val="1正文 Char Char"/>
    <w:link w:val="17"/>
    <w:qFormat/>
    <w:rPr>
      <w:bCs/>
      <w:sz w:val="24"/>
      <w:szCs w:val="24"/>
    </w:rPr>
  </w:style>
  <w:style w:type="paragraph" w:customStyle="1" w:styleId="17">
    <w:name w:val="1正文"/>
    <w:basedOn w:val="Normal"/>
    <w:link w:val="1CharChar"/>
    <w:qFormat/>
    <w:pPr>
      <w:adjustRightInd/>
      <w:spacing w:line="360" w:lineRule="auto"/>
      <w:ind w:firstLine="200" w:firstLineChars="200"/>
      <w:textAlignment w:val="auto"/>
    </w:pPr>
    <w:rPr>
      <w:bCs/>
      <w:sz w:val="24"/>
      <w:szCs w:val="24"/>
    </w:rPr>
  </w:style>
  <w:style w:type="paragraph" w:customStyle="1" w:styleId="D0">
    <w:name w:val="D图表"/>
    <w:basedOn w:val="Normal"/>
    <w:qFormat/>
    <w:pPr>
      <w:adjustRightInd/>
      <w:spacing w:before="120" w:after="120" w:line="240" w:lineRule="auto"/>
      <w:jc w:val="center"/>
      <w:textAlignment w:val="auto"/>
    </w:pPr>
    <w:rPr>
      <w:b/>
      <w:kern w:val="2"/>
      <w:szCs w:val="21"/>
    </w:rPr>
  </w:style>
  <w:style w:type="paragraph" w:customStyle="1" w:styleId="A-">
    <w:name w:val="A-正文"/>
    <w:basedOn w:val="BodyTextFirstIndent"/>
    <w:link w:val="A-CharChar"/>
    <w:qFormat/>
    <w:pPr>
      <w:adjustRightInd/>
      <w:spacing w:after="0" w:line="360" w:lineRule="auto"/>
      <w:ind w:firstLine="480" w:firstLineChars="200"/>
      <w:textAlignment w:val="auto"/>
    </w:pPr>
    <w:rPr>
      <w:sz w:val="24"/>
    </w:rPr>
  </w:style>
  <w:style w:type="character" w:customStyle="1" w:styleId="A-CharChar">
    <w:name w:val="A-正文 Char Char"/>
    <w:link w:val="A-"/>
    <w:qFormat/>
    <w:rPr>
      <w:sz w:val="24"/>
    </w:rPr>
  </w:style>
  <w:style w:type="paragraph" w:customStyle="1" w:styleId="D00">
    <w:name w:val="D表内0磅"/>
    <w:basedOn w:val="Normal"/>
    <w:qFormat/>
    <w:pPr>
      <w:adjustRightInd/>
      <w:spacing w:line="240" w:lineRule="auto"/>
      <w:jc w:val="center"/>
      <w:textAlignment w:val="auto"/>
    </w:pPr>
    <w:rPr>
      <w:kern w:val="2"/>
      <w:szCs w:val="21"/>
    </w:rPr>
  </w:style>
  <w:style w:type="paragraph" w:customStyle="1" w:styleId="18">
    <w:name w:val="注释1"/>
    <w:basedOn w:val="Normal"/>
    <w:qFormat/>
    <w:pPr>
      <w:snapToGrid w:val="0"/>
      <w:ind w:firstLine="420" w:firstLineChars="200"/>
    </w:pPr>
    <w:rPr>
      <w:rFonts w:hAnsi="宋体"/>
      <w:szCs w:val="21"/>
    </w:rPr>
  </w:style>
  <w:style w:type="character" w:customStyle="1" w:styleId="a33">
    <w:name w:val="标题 字符"/>
    <w:basedOn w:val="DefaultParagraphFont"/>
    <w:link w:val="Title"/>
    <w:qFormat/>
    <w:rPr>
      <w:b/>
      <w:bCs/>
      <w:sz w:val="24"/>
      <w:szCs w:val="32"/>
    </w:rPr>
  </w:style>
  <w:style w:type="paragraph" w:customStyle="1" w:styleId="BT">
    <w:name w:val="BT"/>
    <w:basedOn w:val="Normal"/>
    <w:link w:val="BTChar"/>
    <w:qFormat/>
    <w:pPr>
      <w:spacing w:before="30" w:beforeLines="30"/>
      <w:jc w:val="center"/>
    </w:pPr>
    <w:rPr>
      <w:b/>
      <w:sz w:val="24"/>
    </w:rPr>
  </w:style>
  <w:style w:type="paragraph" w:customStyle="1" w:styleId="BG">
    <w:name w:val="BG"/>
    <w:basedOn w:val="Normal"/>
    <w:uiPriority w:val="99"/>
    <w:unhideWhenUsed/>
    <w:qFormat/>
    <w:pPr>
      <w:snapToGrid w:val="0"/>
      <w:spacing w:line="240" w:lineRule="auto"/>
      <w:jc w:val="center"/>
    </w:pPr>
  </w:style>
  <w:style w:type="paragraph" w:customStyle="1" w:styleId="a34">
    <w:name w:val="+"/>
    <w:basedOn w:val="Normal"/>
    <w:link w:val="Char9"/>
    <w:qFormat/>
    <w:pPr>
      <w:snapToGrid w:val="0"/>
      <w:spacing w:line="360" w:lineRule="auto"/>
      <w:ind w:firstLine="420" w:firstLineChars="200"/>
      <w:jc w:val="left"/>
    </w:pPr>
    <w:rPr>
      <w:sz w:val="24"/>
      <w:szCs w:val="24"/>
    </w:rPr>
  </w:style>
  <w:style w:type="paragraph" w:customStyle="1" w:styleId="a35">
    <w:name w:val="正文(邵)"/>
    <w:basedOn w:val="Normal"/>
    <w:qFormat/>
    <w:pPr>
      <w:snapToGrid w:val="0"/>
      <w:spacing w:line="360" w:lineRule="auto"/>
      <w:ind w:firstLine="480"/>
    </w:pPr>
    <w:rPr>
      <w:sz w:val="24"/>
      <w:szCs w:val="24"/>
      <w:lang w:bidi="en-US"/>
    </w:rPr>
  </w:style>
  <w:style w:type="paragraph" w:customStyle="1" w:styleId="WPSOffice1">
    <w:name w:val="WPSOffice手动目录 1"/>
    <w:qFormat/>
    <w:rPr>
      <w:rFonts w:asciiTheme="minorHAnsi" w:eastAsiaTheme="minorEastAsia" w:hAnsiTheme="minorHAnsi" w:cstheme="minorBidi"/>
      <w:lang w:val="en-US" w:eastAsia="zh-CN" w:bidi="ar-SA"/>
    </w:rPr>
  </w:style>
  <w:style w:type="character" w:customStyle="1" w:styleId="a36">
    <w:name w:val="页脚 字符"/>
    <w:basedOn w:val="DefaultParagraphFont"/>
    <w:link w:val="Footer"/>
    <w:qFormat/>
  </w:style>
  <w:style w:type="character" w:customStyle="1" w:styleId="a37">
    <w:name w:val="正文文本 字符"/>
    <w:basedOn w:val="DefaultParagraphFont"/>
    <w:link w:val="BodyText"/>
    <w:qFormat/>
    <w:rPr>
      <w:rFonts w:ascii="宋体" w:eastAsia="宋体" w:hAnsi="宋体" w:cs="宋体" w:hint="eastAsia"/>
      <w:sz w:val="22"/>
      <w:szCs w:val="22"/>
    </w:rPr>
  </w:style>
  <w:style w:type="character" w:customStyle="1" w:styleId="19">
    <w:name w:val="标题 1 字符"/>
    <w:basedOn w:val="DefaultParagraphFont"/>
    <w:link w:val="Heading1"/>
    <w:qFormat/>
    <w:rPr>
      <w:rFonts w:ascii="宋体" w:eastAsia="宋体" w:hAnsi="宋体" w:cs="宋体" w:hint="eastAsia"/>
      <w:b/>
      <w:kern w:val="44"/>
      <w:sz w:val="44"/>
      <w:szCs w:val="44"/>
    </w:rPr>
  </w:style>
  <w:style w:type="character" w:customStyle="1" w:styleId="a38">
    <w:name w:val="页眉 字符"/>
    <w:basedOn w:val="DefaultParagraphFont"/>
    <w:link w:val="Header"/>
    <w:qFormat/>
  </w:style>
  <w:style w:type="paragraph" w:customStyle="1" w:styleId="GBK28">
    <w:name w:val="样式 方正仿宋_GBK 三号 行距: 固定值 28 磅"/>
    <w:basedOn w:val="Normal"/>
    <w:qFormat/>
    <w:pPr>
      <w:spacing w:line="360" w:lineRule="auto"/>
      <w:ind w:firstLine="200" w:firstLineChars="200"/>
      <w:jc w:val="left"/>
    </w:pPr>
    <w:rPr>
      <w:rFonts w:ascii="方正仿宋_GBK" w:hAnsi="方正仿宋_GBK" w:cs="宋体"/>
      <w:sz w:val="28"/>
    </w:rPr>
  </w:style>
  <w:style w:type="character" w:customStyle="1" w:styleId="Char8">
    <w:name w:val="表格 Char"/>
    <w:link w:val="a11"/>
    <w:qFormat/>
    <w:rPr>
      <w:rFonts w:ascii="宋体" w:eastAsia="宋体" w:hAnsi="Times New Roman" w:cs="Times New Roman"/>
      <w:sz w:val="21"/>
    </w:rPr>
  </w:style>
  <w:style w:type="paragraph" w:customStyle="1" w:styleId="075">
    <w:name w:val="样式 居中 底端: (单实线 自动设置  0.75 磅 行宽)"/>
    <w:basedOn w:val="Normal"/>
    <w:qFormat/>
    <w:pPr>
      <w:adjustRightInd/>
      <w:spacing w:line="240" w:lineRule="auto"/>
      <w:jc w:val="center"/>
      <w:textAlignment w:val="auto"/>
    </w:pPr>
    <w:rPr>
      <w:rFonts w:cs="宋体"/>
      <w:kern w:val="2"/>
    </w:rPr>
  </w:style>
  <w:style w:type="paragraph" w:customStyle="1" w:styleId="-RED">
    <w:name w:val="正文-RED"/>
    <w:qFormat/>
    <w:pPr>
      <w:spacing w:line="360" w:lineRule="auto"/>
      <w:ind w:firstLine="420"/>
      <w:jc w:val="both"/>
    </w:pPr>
    <w:rPr>
      <w:rFonts w:ascii="Calibri" w:eastAsia="宋体" w:hAnsi="Calibri" w:cs="Times New Roman"/>
      <w:kern w:val="2"/>
      <w:sz w:val="24"/>
      <w:szCs w:val="22"/>
      <w:lang w:val="en-US" w:eastAsia="zh-CN" w:bidi="ar-SA"/>
    </w:rPr>
  </w:style>
  <w:style w:type="paragraph" w:customStyle="1" w:styleId="CT">
    <w:name w:val="CT"/>
    <w:basedOn w:val="Normal"/>
    <w:qFormat/>
    <w:pPr>
      <w:spacing w:line="480" w:lineRule="auto"/>
      <w:jc w:val="center"/>
    </w:pPr>
    <w:rPr>
      <w:rFonts w:eastAsia="黑体"/>
      <w:b/>
      <w:lang w:val="zh-CN"/>
    </w:rPr>
  </w:style>
  <w:style w:type="paragraph" w:customStyle="1" w:styleId="D2">
    <w:name w:val="D表内"/>
    <w:basedOn w:val="Normal"/>
    <w:qFormat/>
    <w:pPr>
      <w:spacing w:before="40" w:after="40"/>
      <w:jc w:val="center"/>
    </w:pPr>
    <w:rPr>
      <w:szCs w:val="21"/>
    </w:rPr>
  </w:style>
  <w:style w:type="character" w:customStyle="1" w:styleId="a39">
    <w:name w:val="批注文字 字符"/>
    <w:link w:val="CommentText"/>
    <w:qFormat/>
    <w:rPr>
      <w:sz w:val="21"/>
    </w:rPr>
  </w:style>
  <w:style w:type="character" w:customStyle="1" w:styleId="BTChar">
    <w:name w:val="BT Char"/>
    <w:link w:val="BT"/>
    <w:qFormat/>
    <w:rPr>
      <w:b/>
      <w:sz w:val="24"/>
    </w:rPr>
  </w:style>
  <w:style w:type="character" w:customStyle="1" w:styleId="1Char">
    <w:name w:val="1 Char"/>
    <w:link w:val="13"/>
    <w:qFormat/>
    <w:rPr>
      <w:rFonts w:ascii="宋体"/>
      <w:spacing w:val="4"/>
      <w:kern w:val="21"/>
      <w:sz w:val="24"/>
    </w:rPr>
  </w:style>
  <w:style w:type="character" w:customStyle="1" w:styleId="Char12">
    <w:name w:val="批注文字 Char1"/>
    <w:qFormat/>
    <w:rPr>
      <w:kern w:val="2"/>
      <w:sz w:val="21"/>
      <w:szCs w:val="24"/>
    </w:rPr>
  </w:style>
  <w:style w:type="character" w:customStyle="1" w:styleId="Char9">
    <w:name w:val="+ Char"/>
    <w:link w:val="a34"/>
    <w:qFormat/>
    <w:rPr>
      <w:sz w:val="24"/>
      <w:szCs w:val="24"/>
    </w:rPr>
  </w:style>
  <w:style w:type="paragraph" w:customStyle="1" w:styleId="a40">
    <w:name w:val="正文小四"/>
    <w:basedOn w:val="Normal"/>
    <w:qFormat/>
    <w:pPr>
      <w:adjustRightInd/>
      <w:spacing w:line="360" w:lineRule="auto"/>
      <w:ind w:firstLine="360" w:firstLineChars="150"/>
      <w:jc w:val="left"/>
      <w:textAlignment w:val="auto"/>
    </w:pPr>
    <w:rPr>
      <w:rFonts w:eastAsia="Century Gothic"/>
      <w:kern w:val="2"/>
      <w:sz w:val="24"/>
    </w:rPr>
  </w:style>
  <w:style w:type="paragraph" w:customStyle="1" w:styleId="a41">
    <w:name w:val="报告书正文"/>
    <w:basedOn w:val="BodyTextFirstIndent"/>
    <w:qFormat/>
    <w:pPr>
      <w:spacing w:line="360" w:lineRule="auto"/>
      <w:ind w:firstLine="200" w:firstLineChars="200"/>
    </w:pPr>
    <w:rPr>
      <w:sz w:val="24"/>
      <w:szCs w:val="24"/>
    </w:rPr>
  </w:style>
  <w:style w:type="paragraph" w:customStyle="1" w:styleId="CharChar1CharCharCharChar">
    <w:name w:val="Char Char1 Char Char Char Char"/>
    <w:basedOn w:val="Normal"/>
    <w:qFormat/>
    <w:pPr>
      <w:adjustRightInd/>
      <w:spacing w:line="240" w:lineRule="auto"/>
      <w:textAlignment w:val="auto"/>
    </w:pPr>
    <w:rPr>
      <w:kern w:val="2"/>
      <w:szCs w:val="24"/>
    </w:rPr>
  </w:style>
  <w:style w:type="character" w:customStyle="1" w:styleId="Char13">
    <w:name w:val="表格名称 Char"/>
    <w:link w:val="a42"/>
    <w:qFormat/>
    <w:rPr>
      <w:rFonts w:cs="宋体"/>
      <w:b/>
      <w:kern w:val="2"/>
      <w:sz w:val="21"/>
      <w:szCs w:val="24"/>
    </w:rPr>
  </w:style>
  <w:style w:type="paragraph" w:customStyle="1" w:styleId="a42">
    <w:name w:val="表格名称"/>
    <w:basedOn w:val="Normal"/>
    <w:link w:val="Char13"/>
    <w:qFormat/>
    <w:pPr>
      <w:adjustRightInd/>
      <w:spacing w:before="50" w:beforeLines="50" w:line="240" w:lineRule="auto"/>
      <w:jc w:val="center"/>
      <w:textAlignment w:val="auto"/>
    </w:pPr>
    <w:rPr>
      <w:rFonts w:cs="宋体"/>
      <w:b/>
      <w:kern w:val="2"/>
      <w:szCs w:val="24"/>
    </w:rPr>
  </w:style>
  <w:style w:type="paragraph" w:customStyle="1" w:styleId="LXH">
    <w:name w:val="LXH正文"/>
    <w:basedOn w:val="Normal"/>
    <w:link w:val="LXHChar"/>
    <w:qFormat/>
    <w:pPr>
      <w:adjustRightInd/>
      <w:spacing w:line="25" w:lineRule="atLeast"/>
      <w:ind w:firstLine="200" w:firstLineChars="200"/>
      <w:textAlignment w:val="center"/>
    </w:pPr>
    <w:rPr>
      <w:kern w:val="2"/>
      <w:sz w:val="28"/>
      <w:szCs w:val="24"/>
    </w:rPr>
  </w:style>
  <w:style w:type="character" w:customStyle="1" w:styleId="LXHChar">
    <w:name w:val="LXH正文 Char"/>
    <w:link w:val="LXH"/>
    <w:qFormat/>
    <w:rPr>
      <w:kern w:val="2"/>
      <w:sz w:val="28"/>
      <w:szCs w:val="24"/>
    </w:rPr>
  </w:style>
  <w:style w:type="paragraph" w:customStyle="1" w:styleId="CharChar1CharCharCharChar1">
    <w:name w:val="Char Char1 Char Char Char Char1"/>
    <w:basedOn w:val="Normal"/>
    <w:qFormat/>
    <w:pPr>
      <w:adjustRightInd/>
      <w:spacing w:line="240" w:lineRule="auto"/>
      <w:textAlignment w:val="auto"/>
    </w:pPr>
    <w:rPr>
      <w:kern w:val="2"/>
      <w:szCs w:val="24"/>
    </w:rPr>
  </w:style>
  <w:style w:type="paragraph" w:customStyle="1" w:styleId="CharChar1CharCharCharChar2">
    <w:name w:val="Char Char1 Char Char Char Char2"/>
    <w:basedOn w:val="Normal"/>
    <w:qFormat/>
    <w:pPr>
      <w:adjustRightInd/>
      <w:spacing w:line="240" w:lineRule="auto"/>
      <w:textAlignment w:val="auto"/>
    </w:pPr>
    <w:rPr>
      <w:kern w:val="2"/>
      <w:szCs w:val="24"/>
    </w:rPr>
  </w:style>
  <w:style w:type="paragraph" w:customStyle="1" w:styleId="2030320Char">
    <w:name w:val="样式 样式 报告 + 首行缩进:  2 字符 段前: 0.3 行 段后: 0.3 行 + 首行缩进:  2 字符 段前: 0.... Char"/>
    <w:basedOn w:val="Normal"/>
    <w:qFormat/>
    <w:pPr>
      <w:overflowPunct w:val="0"/>
      <w:autoSpaceDE w:val="0"/>
      <w:autoSpaceDN w:val="0"/>
      <w:spacing w:before="93" w:beforeLines="30" w:after="93" w:afterLines="30" w:line="360" w:lineRule="auto"/>
      <w:ind w:firstLine="200" w:firstLineChars="200"/>
    </w:pPr>
    <w:rPr>
      <w:rFonts w:ascii="Calibri" w:hAnsi="Calibri" w:cs="Calibri"/>
      <w:sz w:val="24"/>
    </w:rPr>
  </w:style>
  <w:style w:type="character" w:customStyle="1" w:styleId="number">
    <w:name w:val="number"/>
    <w:basedOn w:val="DefaultParagraphFont"/>
    <w:qFormat/>
  </w:style>
  <w:style w:type="paragraph" w:customStyle="1" w:styleId="CharChar1CharCharCharChar3">
    <w:name w:val="Char Char1 Char Char Char Char3"/>
    <w:basedOn w:val="Normal"/>
    <w:qFormat/>
    <w:pPr>
      <w:adjustRightInd/>
      <w:spacing w:line="240" w:lineRule="auto"/>
      <w:textAlignment w:val="auto"/>
    </w:pPr>
    <w:rPr>
      <w:kern w:val="2"/>
      <w:szCs w:val="24"/>
    </w:rPr>
  </w:style>
  <w:style w:type="character" w:customStyle="1" w:styleId="ACharChar">
    <w:name w:val="A标准格式 Char Char"/>
    <w:link w:val="A43"/>
    <w:qFormat/>
    <w:rPr>
      <w:kern w:val="2"/>
      <w:sz w:val="24"/>
      <w:szCs w:val="24"/>
    </w:rPr>
  </w:style>
  <w:style w:type="paragraph" w:customStyle="1" w:styleId="A43">
    <w:name w:val="A标准格式"/>
    <w:basedOn w:val="Normal"/>
    <w:link w:val="ACharChar"/>
    <w:qFormat/>
    <w:pPr>
      <w:adjustRightInd/>
      <w:spacing w:line="440" w:lineRule="exact"/>
      <w:ind w:firstLine="480" w:firstLineChars="200"/>
      <w:textAlignment w:val="auto"/>
    </w:pPr>
    <w:rPr>
      <w:kern w:val="2"/>
      <w:sz w:val="24"/>
      <w:szCs w:val="24"/>
    </w:rPr>
  </w:style>
  <w:style w:type="paragraph" w:styleId="ListParagraph">
    <w:name w:val="List Paragraph"/>
    <w:basedOn w:val="Normal"/>
    <w:uiPriority w:val="99"/>
    <w:qFormat/>
    <w:pPr>
      <w:ind w:firstLine="420" w:firstLineChars="200"/>
    </w:pPr>
  </w:style>
  <w:style w:type="character" w:customStyle="1" w:styleId="24">
    <w:name w:val="批注文字 字符2"/>
    <w:qFormat/>
    <w:rPr>
      <w:kern w:val="2"/>
      <w:sz w:val="21"/>
      <w:szCs w:val="24"/>
    </w:rPr>
  </w:style>
  <w:style w:type="paragraph" w:customStyle="1" w:styleId="xl27">
    <w:name w:val="xl27"/>
    <w:basedOn w:val="Normal"/>
    <w:qFormat/>
    <w:pPr>
      <w:widowControl/>
      <w:pBdr>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4"/>
      <w:szCs w:val="24"/>
    </w:rPr>
  </w:style>
  <w:style w:type="character" w:styleId="PlaceholderText">
    <w:name w:val="Placeholder Text"/>
    <w:basedOn w:val="DefaultParagraphFont"/>
    <w:uiPriority w:val="99"/>
    <w:semiHidden/>
    <w:qFormat/>
    <w:rPr>
      <w:color w:val="808080"/>
    </w:rPr>
  </w:style>
  <w:style w:type="paragraph" w:customStyle="1" w:styleId="CharChar1CharCharCharChar0">
    <w:name w:val=" Char Char1 Char Char Char Char"/>
    <w:basedOn w:val="Normal"/>
    <w:qFormat/>
    <w:pPr>
      <w:adjustRightInd/>
      <w:spacing w:line="240" w:lineRule="auto"/>
      <w:textAlignment w:val="auto"/>
    </w:pPr>
    <w:rPr>
      <w:kern w:val="2"/>
      <w:szCs w:val="24"/>
    </w:rPr>
  </w:style>
  <w:style w:type="paragraph" w:customStyle="1" w:styleId="322">
    <w:name w:val="样式 表格 32 + 首行缩进:  2 字符"/>
    <w:basedOn w:val="Normal"/>
    <w:qFormat/>
    <w:pPr>
      <w:autoSpaceDE w:val="0"/>
      <w:autoSpaceDN w:val="0"/>
      <w:spacing w:line="0" w:lineRule="atLeast"/>
      <w:jc w:val="center"/>
    </w:pPr>
    <w:rPr>
      <w:rFonts w:cs="宋体"/>
      <w:szCs w:val="21"/>
      <w:lang w:val="en-US" w:eastAsia="zh-CN"/>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0">
    <w:name w:val="Table Theme_0"/>
    <w:basedOn w:val="TableNormal"/>
    <w:unhideWhenUsed/>
    <w:qFormat/>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1">
    <w:name w:val="Table Theme_1"/>
    <w:basedOn w:val="TableNormal"/>
    <w:unhideWhenUsed/>
    <w:qFormat/>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00" Type="http://schemas.openxmlformats.org/officeDocument/2006/relationships/footer" Target="footer84.xml" /><Relationship Id="rId101" Type="http://schemas.openxmlformats.org/officeDocument/2006/relationships/footer" Target="footer85.xml" /><Relationship Id="rId102" Type="http://schemas.openxmlformats.org/officeDocument/2006/relationships/footer" Target="footer86.xml" /><Relationship Id="rId103" Type="http://schemas.openxmlformats.org/officeDocument/2006/relationships/footer" Target="footer87.xml" /><Relationship Id="rId104" Type="http://schemas.openxmlformats.org/officeDocument/2006/relationships/hyperlink" Target="https://d.book118.com/027146125032006046" TargetMode="External" /><Relationship Id="rId105" Type="http://schemas.openxmlformats.org/officeDocument/2006/relationships/footer" Target="footer88.xml" /><Relationship Id="rId106" Type="http://schemas.openxmlformats.org/officeDocument/2006/relationships/footer" Target="footer89.xml" /><Relationship Id="rId107" Type="http://schemas.openxmlformats.org/officeDocument/2006/relationships/footer" Target="footer90.xml" /><Relationship Id="rId108" Type="http://schemas.openxmlformats.org/officeDocument/2006/relationships/theme" Target="theme/theme1.xml" /><Relationship Id="rId109" Type="http://schemas.openxmlformats.org/officeDocument/2006/relationships/numbering" Target="numbering.xml" /><Relationship Id="rId11" Type="http://schemas.openxmlformats.org/officeDocument/2006/relationships/footer" Target="footer6.xml" /><Relationship Id="rId110" Type="http://schemas.openxmlformats.org/officeDocument/2006/relationships/styles" Target="styles.xml" /><Relationship Id="rId111" Type="http://schemas.microsoft.com/office/2011/relationships/people" Target="people.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1.jpeg"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image" Target="media/image3.jpeg" /><Relationship Id="rId21" Type="http://schemas.openxmlformats.org/officeDocument/2006/relationships/image" Target="media/image4.jpeg"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hyperlink" Target="https://baike.so.com/doc/2090402-2211374.html" TargetMode="External" /><Relationship Id="rId29" Type="http://schemas.openxmlformats.org/officeDocument/2006/relationships/hyperlink" Target="https://baike.so.com/doc/621514-657894.html" TargetMode="External" /><Relationship Id="rId3" Type="http://schemas.openxmlformats.org/officeDocument/2006/relationships/fontTable" Target="fontTable.xml" /><Relationship Id="rId30" Type="http://schemas.openxmlformats.org/officeDocument/2006/relationships/hyperlink" Target="https://baike.baidu.com/item/%E5%88%86%E5%AD%90%E9%87%8F" TargetMode="External" /><Relationship Id="rId31" Type="http://schemas.openxmlformats.org/officeDocument/2006/relationships/hyperlink" Target="https://baike.baidu.com/item/%E8%85%90%E8%9A%80%E5%93%81" TargetMode="External" /><Relationship Id="rId32" Type="http://schemas.openxmlformats.org/officeDocument/2006/relationships/hyperlink" Target="https://baike.baidu.com/item/%E6%B0%AF%E6%B0%94" TargetMode="External" /><Relationship Id="rId33" Type="http://schemas.openxmlformats.org/officeDocument/2006/relationships/hyperlink" Target="https://baike.baidu.com/item/%E8%85%90%E8%9A%80%E6%80%A7" TargetMode="Externa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footer" Target="footer23.xml" /><Relationship Id="rId39" Type="http://schemas.openxmlformats.org/officeDocument/2006/relationships/footer" Target="footer24.xml" /><Relationship Id="rId4" Type="http://schemas.openxmlformats.org/officeDocument/2006/relationships/customXml" Target="../customXml/item1.xml" /><Relationship Id="rId40" Type="http://schemas.openxmlformats.org/officeDocument/2006/relationships/footer" Target="footer25.xml" /><Relationship Id="rId41" Type="http://schemas.openxmlformats.org/officeDocument/2006/relationships/footer" Target="footer26.xml" /><Relationship Id="rId42" Type="http://schemas.openxmlformats.org/officeDocument/2006/relationships/footer" Target="footer27.xml" /><Relationship Id="rId43" Type="http://schemas.openxmlformats.org/officeDocument/2006/relationships/footer" Target="footer28.xml" /><Relationship Id="rId44" Type="http://schemas.openxmlformats.org/officeDocument/2006/relationships/footer" Target="footer29.xml" /><Relationship Id="rId45" Type="http://schemas.openxmlformats.org/officeDocument/2006/relationships/footer" Target="footer30.xml" /><Relationship Id="rId46" Type="http://schemas.openxmlformats.org/officeDocument/2006/relationships/footer" Target="footer31.xml" /><Relationship Id="rId47" Type="http://schemas.openxmlformats.org/officeDocument/2006/relationships/footer" Target="footer32.xml" /><Relationship Id="rId48" Type="http://schemas.openxmlformats.org/officeDocument/2006/relationships/footer" Target="footer33.xml" /><Relationship Id="rId49" Type="http://schemas.openxmlformats.org/officeDocument/2006/relationships/footer" Target="footer34.xml" /><Relationship Id="rId5" Type="http://schemas.openxmlformats.org/officeDocument/2006/relationships/customXml" Target="../customXml/item2.xml" /><Relationship Id="rId50" Type="http://schemas.openxmlformats.org/officeDocument/2006/relationships/footer" Target="footer35.xml" /><Relationship Id="rId51" Type="http://schemas.openxmlformats.org/officeDocument/2006/relationships/footer" Target="footer36.xml" /><Relationship Id="rId52" Type="http://schemas.openxmlformats.org/officeDocument/2006/relationships/footer" Target="footer37.xml" /><Relationship Id="rId53" Type="http://schemas.openxmlformats.org/officeDocument/2006/relationships/footer" Target="footer38.xml" /><Relationship Id="rId54" Type="http://schemas.openxmlformats.org/officeDocument/2006/relationships/footer" Target="footer39.xml" /><Relationship Id="rId55" Type="http://schemas.openxmlformats.org/officeDocument/2006/relationships/footer" Target="footer40.xml" /><Relationship Id="rId56" Type="http://schemas.openxmlformats.org/officeDocument/2006/relationships/footer" Target="footer41.xml" /><Relationship Id="rId57" Type="http://schemas.openxmlformats.org/officeDocument/2006/relationships/footer" Target="footer42.xml" /><Relationship Id="rId58" Type="http://schemas.openxmlformats.org/officeDocument/2006/relationships/footer" Target="footer43.xml" /><Relationship Id="rId59" Type="http://schemas.openxmlformats.org/officeDocument/2006/relationships/footer" Target="footer44.xml" /><Relationship Id="rId6" Type="http://schemas.openxmlformats.org/officeDocument/2006/relationships/footer" Target="footer1.xml" /><Relationship Id="rId60" Type="http://schemas.openxmlformats.org/officeDocument/2006/relationships/footer" Target="footer45.xml" /><Relationship Id="rId61" Type="http://schemas.openxmlformats.org/officeDocument/2006/relationships/footer" Target="footer46.xml" /><Relationship Id="rId62" Type="http://schemas.openxmlformats.org/officeDocument/2006/relationships/footer" Target="footer47.xml" /><Relationship Id="rId63" Type="http://schemas.openxmlformats.org/officeDocument/2006/relationships/footer" Target="footer48.xml" /><Relationship Id="rId64" Type="http://schemas.openxmlformats.org/officeDocument/2006/relationships/footer" Target="footer49.xml" /><Relationship Id="rId65" Type="http://schemas.openxmlformats.org/officeDocument/2006/relationships/footer" Target="footer50.xml" /><Relationship Id="rId66" Type="http://schemas.openxmlformats.org/officeDocument/2006/relationships/footer" Target="footer51.xml" /><Relationship Id="rId67" Type="http://schemas.openxmlformats.org/officeDocument/2006/relationships/footer" Target="footer52.xml" /><Relationship Id="rId68" Type="http://schemas.openxmlformats.org/officeDocument/2006/relationships/footer" Target="footer53.xml" /><Relationship Id="rId69" Type="http://schemas.openxmlformats.org/officeDocument/2006/relationships/footer" Target="footer54.xml" /><Relationship Id="rId7" Type="http://schemas.openxmlformats.org/officeDocument/2006/relationships/footer" Target="footer2.xml" /><Relationship Id="rId70" Type="http://schemas.openxmlformats.org/officeDocument/2006/relationships/footer" Target="footer55.xml" /><Relationship Id="rId71" Type="http://schemas.openxmlformats.org/officeDocument/2006/relationships/footer" Target="footer56.xml" /><Relationship Id="rId72" Type="http://schemas.openxmlformats.org/officeDocument/2006/relationships/footer" Target="footer57.xml" /><Relationship Id="rId73" Type="http://schemas.openxmlformats.org/officeDocument/2006/relationships/footer" Target="footer58.xml" /><Relationship Id="rId74" Type="http://schemas.openxmlformats.org/officeDocument/2006/relationships/footer" Target="footer59.xml" /><Relationship Id="rId75" Type="http://schemas.openxmlformats.org/officeDocument/2006/relationships/footer" Target="footer60.xml" /><Relationship Id="rId76" Type="http://schemas.openxmlformats.org/officeDocument/2006/relationships/footer" Target="footer61.xml" /><Relationship Id="rId77" Type="http://schemas.openxmlformats.org/officeDocument/2006/relationships/footer" Target="footer62.xml" /><Relationship Id="rId78" Type="http://schemas.openxmlformats.org/officeDocument/2006/relationships/footer" Target="footer63.xml" /><Relationship Id="rId79" Type="http://schemas.openxmlformats.org/officeDocument/2006/relationships/footer" Target="footer64.xml" /><Relationship Id="rId8" Type="http://schemas.openxmlformats.org/officeDocument/2006/relationships/footer" Target="footer3.xml" /><Relationship Id="rId80" Type="http://schemas.openxmlformats.org/officeDocument/2006/relationships/footer" Target="footer65.xml" /><Relationship Id="rId81" Type="http://schemas.openxmlformats.org/officeDocument/2006/relationships/footer" Target="footer66.xml" /><Relationship Id="rId82" Type="http://schemas.openxmlformats.org/officeDocument/2006/relationships/footer" Target="footer67.xml" /><Relationship Id="rId83" Type="http://schemas.openxmlformats.org/officeDocument/2006/relationships/footer" Target="footer68.xml" /><Relationship Id="rId84" Type="http://schemas.openxmlformats.org/officeDocument/2006/relationships/footer" Target="footer69.xml" /><Relationship Id="rId85" Type="http://schemas.openxmlformats.org/officeDocument/2006/relationships/footer" Target="footer70.xml" /><Relationship Id="rId86" Type="http://schemas.openxmlformats.org/officeDocument/2006/relationships/footer" Target="footer71.xml" /><Relationship Id="rId87" Type="http://schemas.openxmlformats.org/officeDocument/2006/relationships/footer" Target="footer72.xml" /><Relationship Id="rId88" Type="http://schemas.openxmlformats.org/officeDocument/2006/relationships/hyperlink" Target="https://baike.sogou.com/lemma/ShowInnerLink.htm?lemmaId=6398562&amp;ss_c=ssc.citiao.link" TargetMode="External" /><Relationship Id="rId89" Type="http://schemas.openxmlformats.org/officeDocument/2006/relationships/footer" Target="footer73.xml" /><Relationship Id="rId9" Type="http://schemas.openxmlformats.org/officeDocument/2006/relationships/footer" Target="footer4.xml" /><Relationship Id="rId90" Type="http://schemas.openxmlformats.org/officeDocument/2006/relationships/footer" Target="footer74.xml" /><Relationship Id="rId91" Type="http://schemas.openxmlformats.org/officeDocument/2006/relationships/footer" Target="footer75.xml" /><Relationship Id="rId92" Type="http://schemas.openxmlformats.org/officeDocument/2006/relationships/footer" Target="footer76.xml" /><Relationship Id="rId93" Type="http://schemas.openxmlformats.org/officeDocument/2006/relationships/footer" Target="footer77.xml" /><Relationship Id="rId94" Type="http://schemas.openxmlformats.org/officeDocument/2006/relationships/footer" Target="footer78.xml" /><Relationship Id="rId95" Type="http://schemas.openxmlformats.org/officeDocument/2006/relationships/footer" Target="footer79.xml" /><Relationship Id="rId96" Type="http://schemas.openxmlformats.org/officeDocument/2006/relationships/footer" Target="footer80.xml" /><Relationship Id="rId97" Type="http://schemas.openxmlformats.org/officeDocument/2006/relationships/footer" Target="footer81.xml" /><Relationship Id="rId98" Type="http://schemas.openxmlformats.org/officeDocument/2006/relationships/footer" Target="footer82.xml" /><Relationship Id="rId99" Type="http://schemas.openxmlformats.org/officeDocument/2006/relationships/footer" Target="footer8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03A845-FA6E-4FA1-9EEC-1A833BFEACD4}">
  <ds:schemaRefs/>
</ds:datastoreItem>
</file>

<file path=docProps/app.xml><?xml version="1.0" encoding="utf-8"?>
<Properties xmlns="http://schemas.openxmlformats.org/officeDocument/2006/extended-properties" xmlns:vt="http://schemas.openxmlformats.org/officeDocument/2006/docPropsVTypes">
  <Template>Normal</Template>
  <TotalTime>1301</TotalTime>
  <Pages>35</Pages>
  <Words>8010</Words>
  <Characters>45659</Characters>
  <Application>Microsoft Office Word</Application>
  <DocSecurity>0</DocSecurity>
  <Lines>380</Lines>
  <Paragraphs>107</Paragraphs>
  <ScaleCrop>false</ScaleCrop>
  <Company>neci</Company>
  <LinksUpToDate>false</LinksUpToDate>
  <CharactersWithSpaces>53562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游艇组装</dc:title>
  <dc:creator>envsea</dc:creator>
  <cp:lastModifiedBy>委员</cp:lastModifiedBy>
  <cp:revision>97</cp:revision>
  <cp:lastPrinted>2020-02-27T09:42:00Z</cp:lastPrinted>
  <dcterms:created xsi:type="dcterms:W3CDTF">2017-12-01T11:34:00Z</dcterms:created>
  <dcterms:modified xsi:type="dcterms:W3CDTF">2024-02-20T03:53:08Z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70761550614D49C9BA1BC557F4AF182B_12</vt:lpwstr>
  </property>
  <property fmtid="{D5CDD505-2E9C-101B-9397-08002B2CF9AE}" pid="3" name="KSOProductBuildVer">
    <vt:lpwstr>2052-12.1.0.15712</vt:lpwstr>
  </property>
</Properties>
</file>